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Ind w:w="-1134" w:type="dxa"/>
        <w:tblLayout w:type="fixed"/>
        <w:tblCellMar>
          <w:left w:w="0" w:type="dxa"/>
          <w:right w:w="0" w:type="dxa"/>
        </w:tblCellMar>
        <w:tblLook w:val="04A0" w:firstRow="1" w:lastRow="0" w:firstColumn="1" w:lastColumn="0" w:noHBand="0" w:noVBand="1"/>
      </w:tblPr>
      <w:tblGrid>
        <w:gridCol w:w="425"/>
        <w:gridCol w:w="10348"/>
      </w:tblGrid>
      <w:tr w:rsidR="00DC7C56" w14:paraId="019E4FD4" w14:textId="77777777" w:rsidTr="005D50B6">
        <w:trPr>
          <w:cantSplit/>
        </w:trPr>
        <w:tc>
          <w:tcPr>
            <w:tcW w:w="425" w:type="dxa"/>
            <w:vMerge w:val="restart"/>
            <w:tcBorders>
              <w:top w:val="nil"/>
              <w:left w:val="nil"/>
              <w:bottom w:val="nil"/>
              <w:right w:val="nil"/>
            </w:tcBorders>
            <w:shd w:val="clear" w:color="auto" w:fill="1B83A0" w:themeFill="text1"/>
          </w:tcPr>
          <w:p w14:paraId="3BB3F5CF" w14:textId="77777777" w:rsidR="00DC7C56" w:rsidRDefault="00DC7C56" w:rsidP="00DC7C56"/>
        </w:tc>
        <w:tc>
          <w:tcPr>
            <w:tcW w:w="10348" w:type="dxa"/>
            <w:tcBorders>
              <w:top w:val="nil"/>
              <w:left w:val="nil"/>
              <w:bottom w:val="nil"/>
              <w:right w:val="nil"/>
            </w:tcBorders>
          </w:tcPr>
          <w:p w14:paraId="01E9CE5C" w14:textId="77777777" w:rsidR="00DC7C56" w:rsidRDefault="00F503A0" w:rsidP="00F503A0">
            <w:pPr>
              <w:pStyle w:val="Title"/>
            </w:pPr>
            <w:r>
              <w:t>Principles for healthy urban development</w:t>
            </w:r>
          </w:p>
        </w:tc>
      </w:tr>
      <w:tr w:rsidR="00DC7C56" w14:paraId="26D3F092" w14:textId="77777777" w:rsidTr="005D50B6">
        <w:trPr>
          <w:cantSplit/>
        </w:trPr>
        <w:tc>
          <w:tcPr>
            <w:tcW w:w="425" w:type="dxa"/>
            <w:vMerge/>
            <w:tcBorders>
              <w:top w:val="nil"/>
              <w:left w:val="nil"/>
              <w:bottom w:val="nil"/>
              <w:right w:val="nil"/>
            </w:tcBorders>
            <w:shd w:val="clear" w:color="auto" w:fill="1B83A0" w:themeFill="text1"/>
          </w:tcPr>
          <w:p w14:paraId="31693888" w14:textId="77777777" w:rsidR="00DC7C56" w:rsidRDefault="00DC7C56" w:rsidP="00DC7C56"/>
        </w:tc>
        <w:tc>
          <w:tcPr>
            <w:tcW w:w="10348" w:type="dxa"/>
            <w:tcBorders>
              <w:top w:val="nil"/>
              <w:left w:val="nil"/>
              <w:bottom w:val="nil"/>
              <w:right w:val="nil"/>
            </w:tcBorders>
          </w:tcPr>
          <w:p w14:paraId="2CAA92F1" w14:textId="77777777" w:rsidR="00DC7C56" w:rsidRDefault="00F503A0" w:rsidP="00F503A0">
            <w:pPr>
              <w:pStyle w:val="Year"/>
            </w:pPr>
            <w:r>
              <w:t>2022</w:t>
            </w:r>
          </w:p>
        </w:tc>
      </w:tr>
    </w:tbl>
    <w:p w14:paraId="2BC0D809" w14:textId="77777777" w:rsidR="00C05132" w:rsidRPr="00B47C82" w:rsidRDefault="00DC7C56" w:rsidP="00E064D9">
      <w:pPr>
        <w:spacing w:before="960"/>
      </w:pPr>
      <w:r w:rsidRPr="00922A0F">
        <w:rPr>
          <w:noProof/>
          <w:lang w:eastAsia="en-NZ"/>
        </w:rPr>
        <w:drawing>
          <wp:inline distT="0" distB="0" distL="0" distR="0" wp14:anchorId="2809A6CC" wp14:editId="1550AB7D">
            <wp:extent cx="6113639" cy="4206240"/>
            <wp:effectExtent l="0" t="0" r="1905" b="3810"/>
            <wp:docPr id="8" name="Picture 1" descr="Background pattern&#10;&#10;Description automatically generated">
              <a:extLst xmlns:a="http://schemas.openxmlformats.org/drawingml/2006/main">
                <a:ext uri="{FF2B5EF4-FFF2-40B4-BE49-F238E27FC236}">
                  <a16:creationId xmlns:a16="http://schemas.microsoft.com/office/drawing/2014/main" id="{AD64F633-D4C7-BE1E-3B6B-F6DD95A2B23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Background pattern&#10;&#10;Description automatically generated">
                      <a:extLst>
                        <a:ext uri="{FF2B5EF4-FFF2-40B4-BE49-F238E27FC236}">
                          <a16:creationId xmlns:a16="http://schemas.microsoft.com/office/drawing/2014/main" id="{AD64F633-D4C7-BE1E-3B6B-F6DD95A2B235}"/>
                        </a:ext>
                      </a:extLst>
                    </pic:cNvPr>
                    <pic:cNvPicPr>
                      <a:picLocks noChangeAspect="1"/>
                    </pic:cNvPicPr>
                  </pic:nvPicPr>
                  <pic:blipFill rotWithShape="1">
                    <a:blip r:embed="rId8">
                      <a:extLst>
                        <a:ext uri="{28A0092B-C50C-407E-A947-70E740481C1C}">
                          <a14:useLocalDpi xmlns:a14="http://schemas.microsoft.com/office/drawing/2010/main" val="0"/>
                        </a:ext>
                      </a:extLst>
                    </a:blip>
                    <a:srcRect t="38812" b="15341"/>
                    <a:stretch/>
                  </pic:blipFill>
                  <pic:spPr bwMode="auto">
                    <a:xfrm>
                      <a:off x="0" y="0"/>
                      <a:ext cx="6116308" cy="4208077"/>
                    </a:xfrm>
                    <a:prstGeom prst="rect">
                      <a:avLst/>
                    </a:prstGeom>
                    <a:ln>
                      <a:noFill/>
                    </a:ln>
                    <a:extLst>
                      <a:ext uri="{53640926-AAD7-44D8-BBD7-CCE9431645EC}">
                        <a14:shadowObscured xmlns:a14="http://schemas.microsoft.com/office/drawing/2010/main"/>
                      </a:ext>
                    </a:extLst>
                  </pic:spPr>
                </pic:pic>
              </a:graphicData>
            </a:graphic>
          </wp:inline>
        </w:drawing>
      </w:r>
    </w:p>
    <w:p w14:paraId="202C9BF0" w14:textId="77777777" w:rsidR="00142954" w:rsidRPr="00B47C82" w:rsidRDefault="00142954" w:rsidP="00142954">
      <w:pPr>
        <w:sectPr w:rsidR="00142954" w:rsidRPr="00B47C82" w:rsidSect="00F503A0">
          <w:headerReference w:type="default" r:id="rId9"/>
          <w:footerReference w:type="default" r:id="rId10"/>
          <w:pgSz w:w="11907" w:h="16834" w:code="9"/>
          <w:pgMar w:top="3119" w:right="1134" w:bottom="1134" w:left="1134" w:header="567" w:footer="851" w:gutter="0"/>
          <w:pgNumType w:start="1"/>
          <w:cols w:space="720"/>
        </w:sectPr>
      </w:pPr>
    </w:p>
    <w:p w14:paraId="6A670D08" w14:textId="76F6E914" w:rsidR="00F503A0" w:rsidRPr="00B47C82" w:rsidRDefault="00A80363" w:rsidP="00F503A0">
      <w:pPr>
        <w:pStyle w:val="Imprint"/>
        <w:spacing w:before="1200"/>
        <w:rPr>
          <w:rFonts w:cs="Segoe UI"/>
        </w:rPr>
      </w:pPr>
      <w:r w:rsidRPr="00B47C82">
        <w:rPr>
          <w:rFonts w:cs="Segoe UI"/>
        </w:rPr>
        <w:lastRenderedPageBreak/>
        <w:t xml:space="preserve">Citation: </w:t>
      </w:r>
      <w:r w:rsidR="003F374A">
        <w:rPr>
          <w:rFonts w:cs="Segoe UI"/>
        </w:rPr>
        <w:t xml:space="preserve">Public Health Agency. </w:t>
      </w:r>
      <w:r w:rsidR="00F503A0">
        <w:rPr>
          <w:rFonts w:cs="Segoe UI"/>
        </w:rPr>
        <w:t>2022</w:t>
      </w:r>
      <w:r w:rsidR="00F503A0" w:rsidRPr="00B47C82">
        <w:rPr>
          <w:rFonts w:cs="Segoe UI"/>
        </w:rPr>
        <w:t xml:space="preserve">. </w:t>
      </w:r>
      <w:r w:rsidR="00F503A0">
        <w:rPr>
          <w:rFonts w:cs="Segoe UI"/>
          <w:i/>
        </w:rPr>
        <w:t>Principles for Healthy Urban Development</w:t>
      </w:r>
      <w:r w:rsidR="00F503A0" w:rsidRPr="00B47C82">
        <w:rPr>
          <w:rFonts w:cs="Segoe UI"/>
        </w:rPr>
        <w:t xml:space="preserve">. Wellington: </w:t>
      </w:r>
      <w:r w:rsidR="0025188B">
        <w:rPr>
          <w:rFonts w:cs="Segoe UI"/>
        </w:rPr>
        <w:t>Ministry of Health</w:t>
      </w:r>
      <w:r w:rsidR="00F503A0" w:rsidRPr="00B47C82">
        <w:rPr>
          <w:rFonts w:cs="Segoe UI"/>
        </w:rPr>
        <w:t>.</w:t>
      </w:r>
    </w:p>
    <w:p w14:paraId="0E6BCF01" w14:textId="03D8E13A" w:rsidR="00F503A0" w:rsidRPr="00B47C82" w:rsidRDefault="00F503A0" w:rsidP="00F503A0">
      <w:pPr>
        <w:pStyle w:val="Imprint"/>
      </w:pPr>
      <w:r w:rsidRPr="00B47C82">
        <w:t xml:space="preserve">Published in </w:t>
      </w:r>
      <w:r>
        <w:t>August</w:t>
      </w:r>
      <w:r w:rsidRPr="00B47C82">
        <w:t xml:space="preserve"> 202</w:t>
      </w:r>
      <w:r>
        <w:t>2</w:t>
      </w:r>
      <w:r w:rsidRPr="00B47C82">
        <w:t xml:space="preserve"> by </w:t>
      </w:r>
      <w:r w:rsidR="0025188B">
        <w:t>Ministry of Health</w:t>
      </w:r>
      <w:r w:rsidRPr="00B47C82">
        <w:br/>
        <w:t>PO Box 5013, Wellington 6140, New Zealand</w:t>
      </w:r>
    </w:p>
    <w:p w14:paraId="58F10220" w14:textId="441FD629" w:rsidR="00082CD6" w:rsidRPr="00B47C82" w:rsidRDefault="00D863D0" w:rsidP="00F503A0">
      <w:pPr>
        <w:pStyle w:val="Imprint"/>
      </w:pPr>
      <w:r w:rsidRPr="00B47C82">
        <w:t>ISBN</w:t>
      </w:r>
      <w:r w:rsidR="00442C1C" w:rsidRPr="00B47C82">
        <w:t xml:space="preserve"> </w:t>
      </w:r>
      <w:r w:rsidR="00184AC1" w:rsidRPr="00184AC1">
        <w:t>978-1-99-110074-0</w:t>
      </w:r>
      <w:r w:rsidR="002B7BEC" w:rsidRPr="00B47C82">
        <w:t xml:space="preserve"> </w:t>
      </w:r>
      <w:r w:rsidRPr="00B47C82">
        <w:t>(</w:t>
      </w:r>
      <w:r w:rsidR="00442C1C" w:rsidRPr="00B47C82">
        <w:t>online</w:t>
      </w:r>
      <w:r w:rsidRPr="00B47C82">
        <w:t>)</w:t>
      </w:r>
      <w:r w:rsidR="00082CD6" w:rsidRPr="00B47C82">
        <w:br/>
        <w:t xml:space="preserve">HP </w:t>
      </w:r>
      <w:r w:rsidR="00636CC7">
        <w:t>8551</w:t>
      </w:r>
    </w:p>
    <w:p w14:paraId="30EB5846" w14:textId="77777777" w:rsidR="005718A6" w:rsidRPr="00B47C82" w:rsidRDefault="00F86028" w:rsidP="00D27922">
      <w:pPr>
        <w:spacing w:before="360"/>
      </w:pPr>
      <w:r>
        <w:rPr>
          <w:noProof/>
          <w:lang w:eastAsia="en-NZ"/>
        </w:rPr>
        <w:drawing>
          <wp:inline distT="0" distB="0" distL="0" distR="0" wp14:anchorId="52CFA9E9" wp14:editId="587D256A">
            <wp:extent cx="1423284" cy="620202"/>
            <wp:effectExtent l="0" t="0" r="5715" b="8890"/>
            <wp:docPr id="17" name="Picture 17" descr="Ministry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Ministry of Health logo"/>
                    <pic:cNvPicPr>
                      <a:picLocks noChangeAspect="1" noChangeArrowheads="1"/>
                    </pic:cNvPicPr>
                  </pic:nvPicPr>
                  <pic:blipFill rotWithShape="1">
                    <a:blip r:embed="rId11" cstate="print">
                      <a:grayscl/>
                      <a:extLst>
                        <a:ext uri="{28A0092B-C50C-407E-A947-70E740481C1C}">
                          <a14:useLocalDpi xmlns:a14="http://schemas.microsoft.com/office/drawing/2010/main" val="0"/>
                        </a:ext>
                      </a:extLst>
                    </a:blip>
                    <a:srcRect l="2630" t="6666" r="3158" b="6473"/>
                    <a:stretch/>
                  </pic:blipFill>
                  <pic:spPr bwMode="auto">
                    <a:xfrm>
                      <a:off x="0" y="0"/>
                      <a:ext cx="1431581" cy="623817"/>
                    </a:xfrm>
                    <a:prstGeom prst="rect">
                      <a:avLst/>
                    </a:prstGeom>
                    <a:noFill/>
                    <a:ln>
                      <a:noFill/>
                    </a:ln>
                    <a:extLst>
                      <a:ext uri="{53640926-AAD7-44D8-BBD7-CCE9431645EC}">
                        <a14:shadowObscured xmlns:a14="http://schemas.microsoft.com/office/drawing/2010/main"/>
                      </a:ext>
                    </a:extLst>
                  </pic:spPr>
                </pic:pic>
              </a:graphicData>
            </a:graphic>
          </wp:inline>
        </w:drawing>
      </w:r>
    </w:p>
    <w:p w14:paraId="4FA63651" w14:textId="77777777" w:rsidR="00A63DFF" w:rsidRPr="00B47C82" w:rsidRDefault="00A63DFF" w:rsidP="00A63DFF">
      <w:pPr>
        <w:pStyle w:val="Imprint"/>
        <w:spacing w:before="240" w:after="480"/>
      </w:pPr>
      <w:r w:rsidRPr="00B47C82">
        <w:t xml:space="preserve">This document is available at </w:t>
      </w:r>
      <w:hyperlink r:id="rId12" w:history="1">
        <w:r w:rsidR="00B155FD" w:rsidRPr="00F76CB4">
          <w:rPr>
            <w:rStyle w:val="Hyperlink"/>
          </w:rPr>
          <w:t>health.govt.nz</w:t>
        </w:r>
      </w:hyperlink>
    </w:p>
    <w:tbl>
      <w:tblPr>
        <w:tblW w:w="0" w:type="auto"/>
        <w:tblLayout w:type="fixed"/>
        <w:tblLook w:val="04A0" w:firstRow="1" w:lastRow="0" w:firstColumn="1" w:lastColumn="0" w:noHBand="0" w:noVBand="1"/>
      </w:tblPr>
      <w:tblGrid>
        <w:gridCol w:w="1526"/>
        <w:gridCol w:w="6061"/>
      </w:tblGrid>
      <w:tr w:rsidR="00A63DFF" w:rsidRPr="00B47C82" w14:paraId="19F55C6E" w14:textId="77777777" w:rsidTr="00A63DFF">
        <w:trPr>
          <w:cantSplit/>
        </w:trPr>
        <w:tc>
          <w:tcPr>
            <w:tcW w:w="1526" w:type="dxa"/>
          </w:tcPr>
          <w:p w14:paraId="367EA6CE" w14:textId="77777777" w:rsidR="00A63DFF" w:rsidRPr="00B47C82" w:rsidRDefault="00A63DFF" w:rsidP="00F103BE">
            <w:pPr>
              <w:spacing w:before="240"/>
              <w:rPr>
                <w:rFonts w:cs="Segoe UI"/>
                <w:sz w:val="15"/>
                <w:szCs w:val="15"/>
              </w:rPr>
            </w:pPr>
            <w:r w:rsidRPr="00B47C82">
              <w:rPr>
                <w:rFonts w:cs="Segoe UI"/>
                <w:b/>
                <w:noProof/>
                <w:sz w:val="15"/>
                <w:szCs w:val="15"/>
                <w:lang w:eastAsia="en-NZ"/>
              </w:rPr>
              <w:drawing>
                <wp:inline distT="0" distB="0" distL="0" distR="0" wp14:anchorId="7CC73E35" wp14:editId="02AA84DF">
                  <wp:extent cx="809625" cy="285750"/>
                  <wp:effectExtent l="0" t="0" r="9525" b="0"/>
                  <wp:docPr id="3" name="Picture 3" descr="CC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BY"/>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a:noFill/>
                          </a:ln>
                        </pic:spPr>
                      </pic:pic>
                    </a:graphicData>
                  </a:graphic>
                </wp:inline>
              </w:drawing>
            </w:r>
          </w:p>
        </w:tc>
        <w:tc>
          <w:tcPr>
            <w:tcW w:w="6061" w:type="dxa"/>
          </w:tcPr>
          <w:p w14:paraId="33D1FD76" w14:textId="77777777" w:rsidR="00A63DFF" w:rsidRPr="00B47C82" w:rsidRDefault="00A63DFF" w:rsidP="00A63DFF">
            <w:pPr>
              <w:rPr>
                <w:rFonts w:cs="Segoe UI"/>
                <w:sz w:val="15"/>
                <w:szCs w:val="15"/>
              </w:rPr>
            </w:pPr>
            <w:r w:rsidRPr="00B47C82">
              <w:rPr>
                <w:rFonts w:cs="Segoe UI"/>
                <w:sz w:val="15"/>
                <w:szCs w:val="15"/>
              </w:rPr>
              <w:t xml:space="preserve">This work is licensed under the Creative Commons Attribution 4.0 International licence. In essence, </w:t>
            </w:r>
            <w:r w:rsidRPr="00B47C82">
              <w:rPr>
                <w:rFonts w:cs="Segoe UI"/>
                <w:bCs/>
                <w:sz w:val="15"/>
                <w:szCs w:val="15"/>
              </w:rPr>
              <w:t xml:space="preserve">you are free to: </w:t>
            </w:r>
            <w:r w:rsidRPr="00B47C82">
              <w:rPr>
                <w:rFonts w:cs="Segoe UI"/>
                <w:sz w:val="15"/>
                <w:szCs w:val="15"/>
              </w:rPr>
              <w:t xml:space="preserve">share </w:t>
            </w:r>
            <w:proofErr w:type="spellStart"/>
            <w:r w:rsidRPr="00B47C82">
              <w:rPr>
                <w:rFonts w:cs="Segoe UI"/>
                <w:sz w:val="15"/>
                <w:szCs w:val="15"/>
              </w:rPr>
              <w:t>ie</w:t>
            </w:r>
            <w:proofErr w:type="spellEnd"/>
            <w:r w:rsidRPr="00B47C82">
              <w:rPr>
                <w:rFonts w:cs="Segoe UI"/>
                <w:sz w:val="15"/>
                <w:szCs w:val="15"/>
              </w:rPr>
              <w:t xml:space="preserve">, copy and redistribute the material in any medium or format; adapt </w:t>
            </w:r>
            <w:proofErr w:type="spellStart"/>
            <w:r w:rsidRPr="00B47C82">
              <w:rPr>
                <w:rFonts w:cs="Segoe UI"/>
                <w:sz w:val="15"/>
                <w:szCs w:val="15"/>
              </w:rPr>
              <w:t>ie</w:t>
            </w:r>
            <w:proofErr w:type="spellEnd"/>
            <w:r w:rsidRPr="00B47C82">
              <w:rPr>
                <w:rFonts w:cs="Segoe UI"/>
                <w:sz w:val="15"/>
                <w:szCs w:val="15"/>
              </w:rPr>
              <w:t xml:space="preserve">, remix, transform and build upon the material. </w:t>
            </w:r>
            <w:r w:rsidRPr="00B47C82">
              <w:rPr>
                <w:rFonts w:cs="Segoe UI"/>
                <w:bCs/>
                <w:sz w:val="15"/>
                <w:szCs w:val="15"/>
              </w:rPr>
              <w:t>You must give appropriate credit, provide a link to the licence and indicate if changes were made.</w:t>
            </w:r>
          </w:p>
        </w:tc>
      </w:tr>
    </w:tbl>
    <w:p w14:paraId="74E7A327" w14:textId="77777777" w:rsidR="007E74F1" w:rsidRPr="00B47C82" w:rsidRDefault="007E74F1" w:rsidP="006E2886">
      <w:pPr>
        <w:pStyle w:val="Imprint"/>
      </w:pPr>
    </w:p>
    <w:p w14:paraId="756AFC09" w14:textId="77777777" w:rsidR="00C86248" w:rsidRPr="00B47C82" w:rsidRDefault="00C86248">
      <w:pPr>
        <w:jc w:val="center"/>
        <w:sectPr w:rsidR="00C86248" w:rsidRPr="00B47C82" w:rsidSect="003D59BB">
          <w:footerReference w:type="even" r:id="rId14"/>
          <w:footerReference w:type="default" r:id="rId15"/>
          <w:pgSz w:w="11907" w:h="16834" w:code="9"/>
          <w:pgMar w:top="1701" w:right="2268" w:bottom="1134" w:left="2268" w:header="425" w:footer="284" w:gutter="0"/>
          <w:cols w:space="720"/>
          <w:vAlign w:val="bottom"/>
        </w:sectPr>
      </w:pPr>
    </w:p>
    <w:p w14:paraId="2453E2A0" w14:textId="77777777" w:rsidR="00C86248" w:rsidRPr="00B47C82" w:rsidRDefault="00C86248" w:rsidP="00025A6F">
      <w:pPr>
        <w:pStyle w:val="IntroHead"/>
      </w:pPr>
      <w:bookmarkStart w:id="0" w:name="_Toc405792991"/>
      <w:bookmarkStart w:id="1" w:name="_Toc405793224"/>
      <w:r w:rsidRPr="00B47C82">
        <w:lastRenderedPageBreak/>
        <w:t>Contents</w:t>
      </w:r>
      <w:bookmarkEnd w:id="0"/>
      <w:bookmarkEnd w:id="1"/>
    </w:p>
    <w:p w14:paraId="4D9192ED" w14:textId="6D49134C" w:rsidR="001C3958" w:rsidRDefault="001C3958">
      <w:pPr>
        <w:pStyle w:val="TOC1"/>
        <w:rPr>
          <w:rFonts w:asciiTheme="minorHAnsi" w:eastAsiaTheme="minorEastAsia" w:hAnsiTheme="minorHAnsi" w:cstheme="minorBidi"/>
          <w:noProof/>
          <w:sz w:val="22"/>
          <w:szCs w:val="22"/>
          <w:lang w:eastAsia="en-NZ"/>
        </w:rPr>
      </w:pPr>
      <w:r>
        <w:rPr>
          <w:rFonts w:ascii="Segoe UI Semibold" w:hAnsi="Segoe UI Semibold"/>
          <w:b/>
        </w:rPr>
        <w:fldChar w:fldCharType="begin"/>
      </w:r>
      <w:r>
        <w:rPr>
          <w:rFonts w:ascii="Segoe UI Semibold" w:hAnsi="Segoe UI Semibold"/>
          <w:b/>
        </w:rPr>
        <w:instrText xml:space="preserve"> TOC \o "1-2" \h \z </w:instrText>
      </w:r>
      <w:r>
        <w:rPr>
          <w:rFonts w:ascii="Segoe UI Semibold" w:hAnsi="Segoe UI Semibold"/>
          <w:b/>
        </w:rPr>
        <w:fldChar w:fldCharType="separate"/>
      </w:r>
      <w:hyperlink w:anchor="_Toc111131381" w:history="1">
        <w:r w:rsidRPr="00C45826">
          <w:rPr>
            <w:rStyle w:val="Hyperlink"/>
            <w:noProof/>
          </w:rPr>
          <w:t>Principles for Healthy Urban Development</w:t>
        </w:r>
        <w:r>
          <w:rPr>
            <w:noProof/>
            <w:webHidden/>
          </w:rPr>
          <w:tab/>
        </w:r>
        <w:r>
          <w:rPr>
            <w:noProof/>
            <w:webHidden/>
          </w:rPr>
          <w:fldChar w:fldCharType="begin"/>
        </w:r>
        <w:r>
          <w:rPr>
            <w:noProof/>
            <w:webHidden/>
          </w:rPr>
          <w:instrText xml:space="preserve"> PAGEREF _Toc111131381 \h </w:instrText>
        </w:r>
        <w:r>
          <w:rPr>
            <w:noProof/>
            <w:webHidden/>
          </w:rPr>
        </w:r>
        <w:r>
          <w:rPr>
            <w:noProof/>
            <w:webHidden/>
          </w:rPr>
          <w:fldChar w:fldCharType="separate"/>
        </w:r>
        <w:r>
          <w:rPr>
            <w:noProof/>
            <w:webHidden/>
          </w:rPr>
          <w:t>1</w:t>
        </w:r>
        <w:r>
          <w:rPr>
            <w:noProof/>
            <w:webHidden/>
          </w:rPr>
          <w:fldChar w:fldCharType="end"/>
        </w:r>
      </w:hyperlink>
    </w:p>
    <w:p w14:paraId="64BE7905" w14:textId="2288F38B" w:rsidR="001C3958" w:rsidRDefault="00E16FCE">
      <w:pPr>
        <w:pStyle w:val="TOC1"/>
        <w:rPr>
          <w:rFonts w:asciiTheme="minorHAnsi" w:eastAsiaTheme="minorEastAsia" w:hAnsiTheme="minorHAnsi" w:cstheme="minorBidi"/>
          <w:noProof/>
          <w:sz w:val="22"/>
          <w:szCs w:val="22"/>
          <w:lang w:eastAsia="en-NZ"/>
        </w:rPr>
      </w:pPr>
      <w:hyperlink w:anchor="_Toc111131382" w:history="1">
        <w:r w:rsidR="001C3958" w:rsidRPr="00C45826">
          <w:rPr>
            <w:rStyle w:val="Hyperlink"/>
            <w:noProof/>
          </w:rPr>
          <w:t>Pae ora – healthy futures for all</w:t>
        </w:r>
        <w:r w:rsidR="001C3958">
          <w:rPr>
            <w:noProof/>
            <w:webHidden/>
          </w:rPr>
          <w:tab/>
        </w:r>
        <w:r w:rsidR="001C3958">
          <w:rPr>
            <w:noProof/>
            <w:webHidden/>
          </w:rPr>
          <w:fldChar w:fldCharType="begin"/>
        </w:r>
        <w:r w:rsidR="001C3958">
          <w:rPr>
            <w:noProof/>
            <w:webHidden/>
          </w:rPr>
          <w:instrText xml:space="preserve"> PAGEREF _Toc111131382 \h </w:instrText>
        </w:r>
        <w:r w:rsidR="001C3958">
          <w:rPr>
            <w:noProof/>
            <w:webHidden/>
          </w:rPr>
        </w:r>
        <w:r w:rsidR="001C3958">
          <w:rPr>
            <w:noProof/>
            <w:webHidden/>
          </w:rPr>
          <w:fldChar w:fldCharType="separate"/>
        </w:r>
        <w:r w:rsidR="001C3958">
          <w:rPr>
            <w:noProof/>
            <w:webHidden/>
          </w:rPr>
          <w:t>2</w:t>
        </w:r>
        <w:r w:rsidR="001C3958">
          <w:rPr>
            <w:noProof/>
            <w:webHidden/>
          </w:rPr>
          <w:fldChar w:fldCharType="end"/>
        </w:r>
      </w:hyperlink>
    </w:p>
    <w:p w14:paraId="7A35965F" w14:textId="6E9180B7" w:rsidR="001C3958" w:rsidRDefault="00E16FCE">
      <w:pPr>
        <w:pStyle w:val="TOC1"/>
        <w:rPr>
          <w:rFonts w:asciiTheme="minorHAnsi" w:eastAsiaTheme="minorEastAsia" w:hAnsiTheme="minorHAnsi" w:cstheme="minorBidi"/>
          <w:noProof/>
          <w:sz w:val="22"/>
          <w:szCs w:val="22"/>
          <w:lang w:eastAsia="en-NZ"/>
        </w:rPr>
      </w:pPr>
      <w:hyperlink w:anchor="_Toc111131383" w:history="1">
        <w:r w:rsidR="001C3958" w:rsidRPr="00C45826">
          <w:rPr>
            <w:rStyle w:val="Hyperlink"/>
            <w:noProof/>
          </w:rPr>
          <w:t>Te Tiriti o Waitangi</w:t>
        </w:r>
        <w:r w:rsidR="001C3958">
          <w:rPr>
            <w:noProof/>
            <w:webHidden/>
          </w:rPr>
          <w:tab/>
        </w:r>
        <w:r w:rsidR="001C3958">
          <w:rPr>
            <w:noProof/>
            <w:webHidden/>
          </w:rPr>
          <w:fldChar w:fldCharType="begin"/>
        </w:r>
        <w:r w:rsidR="001C3958">
          <w:rPr>
            <w:noProof/>
            <w:webHidden/>
          </w:rPr>
          <w:instrText xml:space="preserve"> PAGEREF _Toc111131383 \h </w:instrText>
        </w:r>
        <w:r w:rsidR="001C3958">
          <w:rPr>
            <w:noProof/>
            <w:webHidden/>
          </w:rPr>
        </w:r>
        <w:r w:rsidR="001C3958">
          <w:rPr>
            <w:noProof/>
            <w:webHidden/>
          </w:rPr>
          <w:fldChar w:fldCharType="separate"/>
        </w:r>
        <w:r w:rsidR="001C3958">
          <w:rPr>
            <w:noProof/>
            <w:webHidden/>
          </w:rPr>
          <w:t>3</w:t>
        </w:r>
        <w:r w:rsidR="001C3958">
          <w:rPr>
            <w:noProof/>
            <w:webHidden/>
          </w:rPr>
          <w:fldChar w:fldCharType="end"/>
        </w:r>
      </w:hyperlink>
    </w:p>
    <w:p w14:paraId="74D6A761" w14:textId="047B19E6" w:rsidR="001C3958" w:rsidRDefault="00E16FCE">
      <w:pPr>
        <w:pStyle w:val="TOC1"/>
        <w:rPr>
          <w:rFonts w:asciiTheme="minorHAnsi" w:eastAsiaTheme="minorEastAsia" w:hAnsiTheme="minorHAnsi" w:cstheme="minorBidi"/>
          <w:noProof/>
          <w:sz w:val="22"/>
          <w:szCs w:val="22"/>
          <w:lang w:eastAsia="en-NZ"/>
        </w:rPr>
      </w:pPr>
      <w:hyperlink w:anchor="_Toc111131384" w:history="1">
        <w:r w:rsidR="001C3958" w:rsidRPr="00C45826">
          <w:rPr>
            <w:rStyle w:val="Hyperlink"/>
            <w:noProof/>
          </w:rPr>
          <w:t>Healthy, safe and resilient communities</w:t>
        </w:r>
        <w:r w:rsidR="001C3958">
          <w:rPr>
            <w:noProof/>
            <w:webHidden/>
          </w:rPr>
          <w:tab/>
        </w:r>
        <w:r w:rsidR="001C3958">
          <w:rPr>
            <w:noProof/>
            <w:webHidden/>
          </w:rPr>
          <w:fldChar w:fldCharType="begin"/>
        </w:r>
        <w:r w:rsidR="001C3958">
          <w:rPr>
            <w:noProof/>
            <w:webHidden/>
          </w:rPr>
          <w:instrText xml:space="preserve"> PAGEREF _Toc111131384 \h </w:instrText>
        </w:r>
        <w:r w:rsidR="001C3958">
          <w:rPr>
            <w:noProof/>
            <w:webHidden/>
          </w:rPr>
        </w:r>
        <w:r w:rsidR="001C3958">
          <w:rPr>
            <w:noProof/>
            <w:webHidden/>
          </w:rPr>
          <w:fldChar w:fldCharType="separate"/>
        </w:r>
        <w:r w:rsidR="001C3958">
          <w:rPr>
            <w:noProof/>
            <w:webHidden/>
          </w:rPr>
          <w:t>4</w:t>
        </w:r>
        <w:r w:rsidR="001C3958">
          <w:rPr>
            <w:noProof/>
            <w:webHidden/>
          </w:rPr>
          <w:fldChar w:fldCharType="end"/>
        </w:r>
      </w:hyperlink>
    </w:p>
    <w:p w14:paraId="69E03197" w14:textId="78306A98" w:rsidR="001C3958" w:rsidRDefault="00E16FCE">
      <w:pPr>
        <w:pStyle w:val="TOC1"/>
        <w:rPr>
          <w:rFonts w:asciiTheme="minorHAnsi" w:eastAsiaTheme="minorEastAsia" w:hAnsiTheme="minorHAnsi" w:cstheme="minorBidi"/>
          <w:noProof/>
          <w:sz w:val="22"/>
          <w:szCs w:val="22"/>
          <w:lang w:eastAsia="en-NZ"/>
        </w:rPr>
      </w:pPr>
      <w:hyperlink w:anchor="_Toc111131385" w:history="1">
        <w:r w:rsidR="001C3958" w:rsidRPr="00C45826">
          <w:rPr>
            <w:rStyle w:val="Hyperlink"/>
            <w:noProof/>
          </w:rPr>
          <w:t>Wai ora – healthy environments</w:t>
        </w:r>
        <w:r w:rsidR="001C3958">
          <w:rPr>
            <w:noProof/>
            <w:webHidden/>
          </w:rPr>
          <w:tab/>
        </w:r>
        <w:r w:rsidR="001C3958">
          <w:rPr>
            <w:noProof/>
            <w:webHidden/>
          </w:rPr>
          <w:fldChar w:fldCharType="begin"/>
        </w:r>
        <w:r w:rsidR="001C3958">
          <w:rPr>
            <w:noProof/>
            <w:webHidden/>
          </w:rPr>
          <w:instrText xml:space="preserve"> PAGEREF _Toc111131385 \h </w:instrText>
        </w:r>
        <w:r w:rsidR="001C3958">
          <w:rPr>
            <w:noProof/>
            <w:webHidden/>
          </w:rPr>
        </w:r>
        <w:r w:rsidR="001C3958">
          <w:rPr>
            <w:noProof/>
            <w:webHidden/>
          </w:rPr>
          <w:fldChar w:fldCharType="separate"/>
        </w:r>
        <w:r w:rsidR="001C3958">
          <w:rPr>
            <w:noProof/>
            <w:webHidden/>
          </w:rPr>
          <w:t>5</w:t>
        </w:r>
        <w:r w:rsidR="001C3958">
          <w:rPr>
            <w:noProof/>
            <w:webHidden/>
          </w:rPr>
          <w:fldChar w:fldCharType="end"/>
        </w:r>
      </w:hyperlink>
    </w:p>
    <w:p w14:paraId="58DB69B6" w14:textId="3C6E9910" w:rsidR="001C3958" w:rsidRDefault="00E16FCE">
      <w:pPr>
        <w:pStyle w:val="TOC1"/>
        <w:rPr>
          <w:rFonts w:asciiTheme="minorHAnsi" w:eastAsiaTheme="minorEastAsia" w:hAnsiTheme="minorHAnsi" w:cstheme="minorBidi"/>
          <w:noProof/>
          <w:sz w:val="22"/>
          <w:szCs w:val="22"/>
          <w:lang w:eastAsia="en-NZ"/>
        </w:rPr>
      </w:pPr>
      <w:hyperlink w:anchor="_Toc111131386" w:history="1">
        <w:r w:rsidR="001C3958" w:rsidRPr="00C45826">
          <w:rPr>
            <w:rStyle w:val="Hyperlink"/>
            <w:noProof/>
          </w:rPr>
          <w:t>Equity</w:t>
        </w:r>
        <w:r w:rsidR="001C3958">
          <w:rPr>
            <w:noProof/>
            <w:webHidden/>
          </w:rPr>
          <w:tab/>
        </w:r>
        <w:r w:rsidR="001C3958">
          <w:rPr>
            <w:noProof/>
            <w:webHidden/>
          </w:rPr>
          <w:fldChar w:fldCharType="begin"/>
        </w:r>
        <w:r w:rsidR="001C3958">
          <w:rPr>
            <w:noProof/>
            <w:webHidden/>
          </w:rPr>
          <w:instrText xml:space="preserve"> PAGEREF _Toc111131386 \h </w:instrText>
        </w:r>
        <w:r w:rsidR="001C3958">
          <w:rPr>
            <w:noProof/>
            <w:webHidden/>
          </w:rPr>
        </w:r>
        <w:r w:rsidR="001C3958">
          <w:rPr>
            <w:noProof/>
            <w:webHidden/>
          </w:rPr>
          <w:fldChar w:fldCharType="separate"/>
        </w:r>
        <w:r w:rsidR="001C3958">
          <w:rPr>
            <w:noProof/>
            <w:webHidden/>
          </w:rPr>
          <w:t>6</w:t>
        </w:r>
        <w:r w:rsidR="001C3958">
          <w:rPr>
            <w:noProof/>
            <w:webHidden/>
          </w:rPr>
          <w:fldChar w:fldCharType="end"/>
        </w:r>
      </w:hyperlink>
    </w:p>
    <w:p w14:paraId="74734E9E" w14:textId="49BECEB4" w:rsidR="001C3958" w:rsidRDefault="00E16FCE">
      <w:pPr>
        <w:pStyle w:val="TOC2"/>
        <w:rPr>
          <w:rFonts w:asciiTheme="minorHAnsi" w:eastAsiaTheme="minorEastAsia" w:hAnsiTheme="minorHAnsi" w:cstheme="minorBidi"/>
          <w:noProof/>
          <w:sz w:val="22"/>
          <w:szCs w:val="22"/>
          <w:lang w:eastAsia="en-NZ"/>
        </w:rPr>
      </w:pPr>
      <w:hyperlink w:anchor="_Toc111131387" w:history="1">
        <w:r w:rsidR="001C3958" w:rsidRPr="00C45826">
          <w:rPr>
            <w:rStyle w:val="Hyperlink"/>
            <w:noProof/>
          </w:rPr>
          <w:t>Equity and the urban environment</w:t>
        </w:r>
        <w:r w:rsidR="001C3958">
          <w:rPr>
            <w:noProof/>
            <w:webHidden/>
          </w:rPr>
          <w:tab/>
        </w:r>
        <w:r w:rsidR="001C3958">
          <w:rPr>
            <w:noProof/>
            <w:webHidden/>
          </w:rPr>
          <w:fldChar w:fldCharType="begin"/>
        </w:r>
        <w:r w:rsidR="001C3958">
          <w:rPr>
            <w:noProof/>
            <w:webHidden/>
          </w:rPr>
          <w:instrText xml:space="preserve"> PAGEREF _Toc111131387 \h </w:instrText>
        </w:r>
        <w:r w:rsidR="001C3958">
          <w:rPr>
            <w:noProof/>
            <w:webHidden/>
          </w:rPr>
        </w:r>
        <w:r w:rsidR="001C3958">
          <w:rPr>
            <w:noProof/>
            <w:webHidden/>
          </w:rPr>
          <w:fldChar w:fldCharType="separate"/>
        </w:r>
        <w:r w:rsidR="001C3958">
          <w:rPr>
            <w:noProof/>
            <w:webHidden/>
          </w:rPr>
          <w:t>6</w:t>
        </w:r>
        <w:r w:rsidR="001C3958">
          <w:rPr>
            <w:noProof/>
            <w:webHidden/>
          </w:rPr>
          <w:fldChar w:fldCharType="end"/>
        </w:r>
      </w:hyperlink>
    </w:p>
    <w:p w14:paraId="069C0BFF" w14:textId="7C37246A" w:rsidR="001C3958" w:rsidRDefault="00E16FCE">
      <w:pPr>
        <w:pStyle w:val="TOC1"/>
        <w:rPr>
          <w:rFonts w:asciiTheme="minorHAnsi" w:eastAsiaTheme="minorEastAsia" w:hAnsiTheme="minorHAnsi" w:cstheme="minorBidi"/>
          <w:noProof/>
          <w:sz w:val="22"/>
          <w:szCs w:val="22"/>
          <w:lang w:eastAsia="en-NZ"/>
        </w:rPr>
      </w:pPr>
      <w:hyperlink w:anchor="_Toc111131388" w:history="1">
        <w:r w:rsidR="001C3958" w:rsidRPr="00C45826">
          <w:rPr>
            <w:rStyle w:val="Hyperlink"/>
            <w:noProof/>
          </w:rPr>
          <w:t>Mitigating and adapting to climate change</w:t>
        </w:r>
        <w:r w:rsidR="001C3958">
          <w:rPr>
            <w:noProof/>
            <w:webHidden/>
          </w:rPr>
          <w:tab/>
        </w:r>
        <w:r w:rsidR="001C3958">
          <w:rPr>
            <w:noProof/>
            <w:webHidden/>
          </w:rPr>
          <w:fldChar w:fldCharType="begin"/>
        </w:r>
        <w:r w:rsidR="001C3958">
          <w:rPr>
            <w:noProof/>
            <w:webHidden/>
          </w:rPr>
          <w:instrText xml:space="preserve"> PAGEREF _Toc111131388 \h </w:instrText>
        </w:r>
        <w:r w:rsidR="001C3958">
          <w:rPr>
            <w:noProof/>
            <w:webHidden/>
          </w:rPr>
        </w:r>
        <w:r w:rsidR="001C3958">
          <w:rPr>
            <w:noProof/>
            <w:webHidden/>
          </w:rPr>
          <w:fldChar w:fldCharType="separate"/>
        </w:r>
        <w:r w:rsidR="001C3958">
          <w:rPr>
            <w:noProof/>
            <w:webHidden/>
          </w:rPr>
          <w:t>8</w:t>
        </w:r>
        <w:r w:rsidR="001C3958">
          <w:rPr>
            <w:noProof/>
            <w:webHidden/>
          </w:rPr>
          <w:fldChar w:fldCharType="end"/>
        </w:r>
      </w:hyperlink>
    </w:p>
    <w:p w14:paraId="2B84EE36" w14:textId="6E903648" w:rsidR="001C3958" w:rsidRDefault="00E16FCE">
      <w:pPr>
        <w:pStyle w:val="TOC2"/>
        <w:rPr>
          <w:rFonts w:asciiTheme="minorHAnsi" w:eastAsiaTheme="minorEastAsia" w:hAnsiTheme="minorHAnsi" w:cstheme="minorBidi"/>
          <w:noProof/>
          <w:sz w:val="22"/>
          <w:szCs w:val="22"/>
          <w:lang w:eastAsia="en-NZ"/>
        </w:rPr>
      </w:pPr>
      <w:hyperlink w:anchor="_Toc111131389" w:history="1">
        <w:r w:rsidR="001C3958" w:rsidRPr="00C45826">
          <w:rPr>
            <w:rStyle w:val="Hyperlink"/>
            <w:noProof/>
          </w:rPr>
          <w:t>Climate change and the urban environment</w:t>
        </w:r>
        <w:r w:rsidR="001C3958">
          <w:rPr>
            <w:noProof/>
            <w:webHidden/>
          </w:rPr>
          <w:tab/>
        </w:r>
        <w:r w:rsidR="001C3958">
          <w:rPr>
            <w:noProof/>
            <w:webHidden/>
          </w:rPr>
          <w:fldChar w:fldCharType="begin"/>
        </w:r>
        <w:r w:rsidR="001C3958">
          <w:rPr>
            <w:noProof/>
            <w:webHidden/>
          </w:rPr>
          <w:instrText xml:space="preserve"> PAGEREF _Toc111131389 \h </w:instrText>
        </w:r>
        <w:r w:rsidR="001C3958">
          <w:rPr>
            <w:noProof/>
            <w:webHidden/>
          </w:rPr>
        </w:r>
        <w:r w:rsidR="001C3958">
          <w:rPr>
            <w:noProof/>
            <w:webHidden/>
          </w:rPr>
          <w:fldChar w:fldCharType="separate"/>
        </w:r>
        <w:r w:rsidR="001C3958">
          <w:rPr>
            <w:noProof/>
            <w:webHidden/>
          </w:rPr>
          <w:t>8</w:t>
        </w:r>
        <w:r w:rsidR="001C3958">
          <w:rPr>
            <w:noProof/>
            <w:webHidden/>
          </w:rPr>
          <w:fldChar w:fldCharType="end"/>
        </w:r>
      </w:hyperlink>
    </w:p>
    <w:p w14:paraId="25B3466A" w14:textId="0015FEF8" w:rsidR="001C3958" w:rsidRDefault="00E16FCE">
      <w:pPr>
        <w:pStyle w:val="TOC1"/>
        <w:rPr>
          <w:rFonts w:asciiTheme="minorHAnsi" w:eastAsiaTheme="minorEastAsia" w:hAnsiTheme="minorHAnsi" w:cstheme="minorBidi"/>
          <w:noProof/>
          <w:sz w:val="22"/>
          <w:szCs w:val="22"/>
          <w:lang w:eastAsia="en-NZ"/>
        </w:rPr>
      </w:pPr>
      <w:hyperlink w:anchor="_Toc111131390" w:history="1">
        <w:r w:rsidR="001C3958" w:rsidRPr="00C45826">
          <w:rPr>
            <w:rStyle w:val="Hyperlink"/>
            <w:noProof/>
          </w:rPr>
          <w:t>Conclusion</w:t>
        </w:r>
        <w:r w:rsidR="001C3958">
          <w:rPr>
            <w:noProof/>
            <w:webHidden/>
          </w:rPr>
          <w:tab/>
        </w:r>
        <w:r w:rsidR="001C3958">
          <w:rPr>
            <w:noProof/>
            <w:webHidden/>
          </w:rPr>
          <w:fldChar w:fldCharType="begin"/>
        </w:r>
        <w:r w:rsidR="001C3958">
          <w:rPr>
            <w:noProof/>
            <w:webHidden/>
          </w:rPr>
          <w:instrText xml:space="preserve"> PAGEREF _Toc111131390 \h </w:instrText>
        </w:r>
        <w:r w:rsidR="001C3958">
          <w:rPr>
            <w:noProof/>
            <w:webHidden/>
          </w:rPr>
        </w:r>
        <w:r w:rsidR="001C3958">
          <w:rPr>
            <w:noProof/>
            <w:webHidden/>
          </w:rPr>
          <w:fldChar w:fldCharType="separate"/>
        </w:r>
        <w:r w:rsidR="001C3958">
          <w:rPr>
            <w:noProof/>
            <w:webHidden/>
          </w:rPr>
          <w:t>10</w:t>
        </w:r>
        <w:r w:rsidR="001C3958">
          <w:rPr>
            <w:noProof/>
            <w:webHidden/>
          </w:rPr>
          <w:fldChar w:fldCharType="end"/>
        </w:r>
      </w:hyperlink>
    </w:p>
    <w:p w14:paraId="69A11E35" w14:textId="3E4CDFF4" w:rsidR="001C3958" w:rsidRDefault="00E16FCE">
      <w:pPr>
        <w:pStyle w:val="TOC1"/>
        <w:rPr>
          <w:rFonts w:asciiTheme="minorHAnsi" w:eastAsiaTheme="minorEastAsia" w:hAnsiTheme="minorHAnsi" w:cstheme="minorBidi"/>
          <w:noProof/>
          <w:sz w:val="22"/>
          <w:szCs w:val="22"/>
          <w:lang w:eastAsia="en-NZ"/>
        </w:rPr>
      </w:pPr>
      <w:hyperlink w:anchor="_Toc111131391" w:history="1">
        <w:r w:rsidR="001C3958" w:rsidRPr="00C45826">
          <w:rPr>
            <w:rStyle w:val="Hyperlink"/>
            <w:noProof/>
          </w:rPr>
          <w:t>Appendix 1 : Determinants of health and wellbeing in our environments</w:t>
        </w:r>
        <w:r w:rsidR="001C3958">
          <w:rPr>
            <w:noProof/>
            <w:webHidden/>
          </w:rPr>
          <w:tab/>
        </w:r>
        <w:r w:rsidR="001C3958">
          <w:rPr>
            <w:noProof/>
            <w:webHidden/>
          </w:rPr>
          <w:fldChar w:fldCharType="begin"/>
        </w:r>
        <w:r w:rsidR="001C3958">
          <w:rPr>
            <w:noProof/>
            <w:webHidden/>
          </w:rPr>
          <w:instrText xml:space="preserve"> PAGEREF _Toc111131391 \h </w:instrText>
        </w:r>
        <w:r w:rsidR="001C3958">
          <w:rPr>
            <w:noProof/>
            <w:webHidden/>
          </w:rPr>
        </w:r>
        <w:r w:rsidR="001C3958">
          <w:rPr>
            <w:noProof/>
            <w:webHidden/>
          </w:rPr>
          <w:fldChar w:fldCharType="separate"/>
        </w:r>
        <w:r w:rsidR="001C3958">
          <w:rPr>
            <w:noProof/>
            <w:webHidden/>
          </w:rPr>
          <w:t>11</w:t>
        </w:r>
        <w:r w:rsidR="001C3958">
          <w:rPr>
            <w:noProof/>
            <w:webHidden/>
          </w:rPr>
          <w:fldChar w:fldCharType="end"/>
        </w:r>
      </w:hyperlink>
    </w:p>
    <w:p w14:paraId="6510BEF4" w14:textId="19E58E95" w:rsidR="001C3958" w:rsidRDefault="00E16FCE">
      <w:pPr>
        <w:pStyle w:val="TOC1"/>
        <w:rPr>
          <w:rFonts w:asciiTheme="minorHAnsi" w:eastAsiaTheme="minorEastAsia" w:hAnsiTheme="minorHAnsi" w:cstheme="minorBidi"/>
          <w:noProof/>
          <w:sz w:val="22"/>
          <w:szCs w:val="22"/>
          <w:lang w:eastAsia="en-NZ"/>
        </w:rPr>
      </w:pPr>
      <w:hyperlink w:anchor="_Toc111131392" w:history="1">
        <w:r w:rsidR="001C3958" w:rsidRPr="00C45826">
          <w:rPr>
            <w:rStyle w:val="Hyperlink"/>
            <w:noProof/>
          </w:rPr>
          <w:t>Glossary</w:t>
        </w:r>
        <w:r w:rsidR="001C3958">
          <w:rPr>
            <w:noProof/>
            <w:webHidden/>
          </w:rPr>
          <w:tab/>
        </w:r>
        <w:r w:rsidR="001C3958">
          <w:rPr>
            <w:noProof/>
            <w:webHidden/>
          </w:rPr>
          <w:fldChar w:fldCharType="begin"/>
        </w:r>
        <w:r w:rsidR="001C3958">
          <w:rPr>
            <w:noProof/>
            <w:webHidden/>
          </w:rPr>
          <w:instrText xml:space="preserve"> PAGEREF _Toc111131392 \h </w:instrText>
        </w:r>
        <w:r w:rsidR="001C3958">
          <w:rPr>
            <w:noProof/>
            <w:webHidden/>
          </w:rPr>
        </w:r>
        <w:r w:rsidR="001C3958">
          <w:rPr>
            <w:noProof/>
            <w:webHidden/>
          </w:rPr>
          <w:fldChar w:fldCharType="separate"/>
        </w:r>
        <w:r w:rsidR="001C3958">
          <w:rPr>
            <w:noProof/>
            <w:webHidden/>
          </w:rPr>
          <w:t>13</w:t>
        </w:r>
        <w:r w:rsidR="001C3958">
          <w:rPr>
            <w:noProof/>
            <w:webHidden/>
          </w:rPr>
          <w:fldChar w:fldCharType="end"/>
        </w:r>
      </w:hyperlink>
    </w:p>
    <w:p w14:paraId="4E7A7F77" w14:textId="7257B68C" w:rsidR="001C3958" w:rsidRDefault="00E16FCE">
      <w:pPr>
        <w:pStyle w:val="TOC1"/>
        <w:rPr>
          <w:rFonts w:asciiTheme="minorHAnsi" w:eastAsiaTheme="minorEastAsia" w:hAnsiTheme="minorHAnsi" w:cstheme="minorBidi"/>
          <w:noProof/>
          <w:sz w:val="22"/>
          <w:szCs w:val="22"/>
          <w:lang w:eastAsia="en-NZ"/>
        </w:rPr>
      </w:pPr>
      <w:hyperlink w:anchor="_Toc111131393" w:history="1">
        <w:r w:rsidR="001C3958" w:rsidRPr="00C45826">
          <w:rPr>
            <w:rStyle w:val="Hyperlink"/>
            <w:noProof/>
          </w:rPr>
          <w:t>References</w:t>
        </w:r>
        <w:r w:rsidR="001C3958">
          <w:rPr>
            <w:noProof/>
            <w:webHidden/>
          </w:rPr>
          <w:tab/>
        </w:r>
        <w:r w:rsidR="001C3958">
          <w:rPr>
            <w:noProof/>
            <w:webHidden/>
          </w:rPr>
          <w:fldChar w:fldCharType="begin"/>
        </w:r>
        <w:r w:rsidR="001C3958">
          <w:rPr>
            <w:noProof/>
            <w:webHidden/>
          </w:rPr>
          <w:instrText xml:space="preserve"> PAGEREF _Toc111131393 \h </w:instrText>
        </w:r>
        <w:r w:rsidR="001C3958">
          <w:rPr>
            <w:noProof/>
            <w:webHidden/>
          </w:rPr>
        </w:r>
        <w:r w:rsidR="001C3958">
          <w:rPr>
            <w:noProof/>
            <w:webHidden/>
          </w:rPr>
          <w:fldChar w:fldCharType="separate"/>
        </w:r>
        <w:r w:rsidR="001C3958">
          <w:rPr>
            <w:noProof/>
            <w:webHidden/>
          </w:rPr>
          <w:t>15</w:t>
        </w:r>
        <w:r w:rsidR="001C3958">
          <w:rPr>
            <w:noProof/>
            <w:webHidden/>
          </w:rPr>
          <w:fldChar w:fldCharType="end"/>
        </w:r>
      </w:hyperlink>
    </w:p>
    <w:p w14:paraId="631AB9EE" w14:textId="4C78D67D" w:rsidR="00C86248" w:rsidRPr="00B47C82" w:rsidRDefault="001C3958">
      <w:r>
        <w:rPr>
          <w:rFonts w:ascii="Segoe UI Semibold" w:hAnsi="Segoe UI Semibold"/>
          <w:b/>
          <w:sz w:val="24"/>
        </w:rPr>
        <w:fldChar w:fldCharType="end"/>
      </w:r>
    </w:p>
    <w:p w14:paraId="135BBBC7" w14:textId="77777777" w:rsidR="0033448B" w:rsidRPr="00B47C82" w:rsidRDefault="0033448B" w:rsidP="0033448B">
      <w:pPr>
        <w:pStyle w:val="TOC1"/>
        <w:keepNext/>
      </w:pPr>
      <w:r w:rsidRPr="00B47C82">
        <w:t>List of Figures</w:t>
      </w:r>
    </w:p>
    <w:p w14:paraId="413F6C61" w14:textId="77777777" w:rsidR="00F503A0" w:rsidRDefault="0033448B" w:rsidP="00F503A0">
      <w:pPr>
        <w:pStyle w:val="TOC3"/>
        <w:ind w:left="992" w:hanging="992"/>
        <w:rPr>
          <w:rFonts w:asciiTheme="minorHAnsi" w:eastAsiaTheme="minorEastAsia" w:hAnsiTheme="minorHAnsi" w:cstheme="minorBidi"/>
          <w:noProof/>
          <w:sz w:val="22"/>
          <w:szCs w:val="22"/>
          <w:lang w:eastAsia="en-NZ"/>
        </w:rPr>
      </w:pPr>
      <w:r w:rsidRPr="00B47C82">
        <w:fldChar w:fldCharType="begin"/>
      </w:r>
      <w:r w:rsidRPr="00B47C82">
        <w:instrText xml:space="preserve"> TOC \t "Figure,3" </w:instrText>
      </w:r>
      <w:r w:rsidRPr="00B47C82">
        <w:fldChar w:fldCharType="separate"/>
      </w:r>
      <w:r w:rsidR="00F503A0">
        <w:rPr>
          <w:noProof/>
        </w:rPr>
        <w:t>Figure 1:</w:t>
      </w:r>
      <w:r w:rsidR="00F503A0">
        <w:rPr>
          <w:noProof/>
        </w:rPr>
        <w:tab/>
        <w:t>He Korowai Oranga framework</w:t>
      </w:r>
      <w:r w:rsidR="00F503A0">
        <w:rPr>
          <w:noProof/>
        </w:rPr>
        <w:tab/>
      </w:r>
      <w:r w:rsidR="00F503A0">
        <w:rPr>
          <w:noProof/>
        </w:rPr>
        <w:fldChar w:fldCharType="begin"/>
      </w:r>
      <w:r w:rsidR="00F503A0">
        <w:rPr>
          <w:noProof/>
        </w:rPr>
        <w:instrText xml:space="preserve"> PAGEREF _Toc110578586 \h </w:instrText>
      </w:r>
      <w:r w:rsidR="00F503A0">
        <w:rPr>
          <w:noProof/>
        </w:rPr>
      </w:r>
      <w:r w:rsidR="00F503A0">
        <w:rPr>
          <w:noProof/>
        </w:rPr>
        <w:fldChar w:fldCharType="separate"/>
      </w:r>
      <w:r w:rsidR="00231CCF">
        <w:rPr>
          <w:noProof/>
        </w:rPr>
        <w:t>2</w:t>
      </w:r>
      <w:r w:rsidR="00F503A0">
        <w:rPr>
          <w:noProof/>
        </w:rPr>
        <w:fldChar w:fldCharType="end"/>
      </w:r>
    </w:p>
    <w:p w14:paraId="392D89B9" w14:textId="77777777" w:rsidR="00F503A0" w:rsidRDefault="00F503A0" w:rsidP="00F503A0">
      <w:pPr>
        <w:pStyle w:val="TOC3"/>
        <w:ind w:left="992" w:hanging="992"/>
        <w:rPr>
          <w:rFonts w:asciiTheme="minorHAnsi" w:eastAsiaTheme="minorEastAsia" w:hAnsiTheme="minorHAnsi" w:cstheme="minorBidi"/>
          <w:noProof/>
          <w:sz w:val="22"/>
          <w:szCs w:val="22"/>
          <w:lang w:eastAsia="en-NZ"/>
        </w:rPr>
      </w:pPr>
      <w:r>
        <w:rPr>
          <w:noProof/>
        </w:rPr>
        <w:t>Figure 2:</w:t>
      </w:r>
      <w:r>
        <w:rPr>
          <w:noProof/>
        </w:rPr>
        <w:tab/>
        <w:t>Determinants of health and wellbeing in our neighbourhoods</w:t>
      </w:r>
      <w:r>
        <w:rPr>
          <w:noProof/>
        </w:rPr>
        <w:tab/>
      </w:r>
      <w:r>
        <w:rPr>
          <w:noProof/>
        </w:rPr>
        <w:fldChar w:fldCharType="begin"/>
      </w:r>
      <w:r>
        <w:rPr>
          <w:noProof/>
        </w:rPr>
        <w:instrText xml:space="preserve"> PAGEREF _Toc110578587 \h </w:instrText>
      </w:r>
      <w:r>
        <w:rPr>
          <w:noProof/>
        </w:rPr>
      </w:r>
      <w:r>
        <w:rPr>
          <w:noProof/>
        </w:rPr>
        <w:fldChar w:fldCharType="separate"/>
      </w:r>
      <w:r w:rsidR="00231CCF">
        <w:rPr>
          <w:noProof/>
        </w:rPr>
        <w:t>12</w:t>
      </w:r>
      <w:r>
        <w:rPr>
          <w:noProof/>
        </w:rPr>
        <w:fldChar w:fldCharType="end"/>
      </w:r>
    </w:p>
    <w:p w14:paraId="230958CC" w14:textId="77777777" w:rsidR="0033448B" w:rsidRPr="00B47C82" w:rsidRDefault="0033448B" w:rsidP="0033448B">
      <w:r w:rsidRPr="00B47C82">
        <w:fldChar w:fldCharType="end"/>
      </w:r>
    </w:p>
    <w:p w14:paraId="38A054BD" w14:textId="77777777" w:rsidR="00852C5D" w:rsidRPr="00B47C82" w:rsidRDefault="00852C5D" w:rsidP="009220F3"/>
    <w:p w14:paraId="79DFAD33" w14:textId="77777777" w:rsidR="001D3E4E" w:rsidRPr="00B47C82" w:rsidRDefault="001D3E4E" w:rsidP="003A5FEA">
      <w:pPr>
        <w:sectPr w:rsidR="001D3E4E" w:rsidRPr="00B47C82" w:rsidSect="00925892">
          <w:headerReference w:type="even" r:id="rId16"/>
          <w:headerReference w:type="default" r:id="rId17"/>
          <w:footerReference w:type="even" r:id="rId18"/>
          <w:footerReference w:type="default" r:id="rId19"/>
          <w:pgSz w:w="11907" w:h="16840" w:code="9"/>
          <w:pgMar w:top="1418" w:right="1701" w:bottom="1134" w:left="1843" w:header="284" w:footer="425" w:gutter="284"/>
          <w:pgNumType w:fmt="lowerRoman"/>
          <w:cols w:space="720"/>
        </w:sectPr>
      </w:pPr>
    </w:p>
    <w:p w14:paraId="150475DD" w14:textId="77777777" w:rsidR="00F503A0" w:rsidRPr="00B47C82" w:rsidRDefault="00F503A0" w:rsidP="00F503A0">
      <w:pPr>
        <w:pStyle w:val="Heading1"/>
      </w:pPr>
      <w:bookmarkStart w:id="2" w:name="_Toc110341217"/>
      <w:bookmarkStart w:id="3" w:name="_Toc111131381"/>
      <w:r>
        <w:lastRenderedPageBreak/>
        <w:t>Principles for Healthy Urban Development</w:t>
      </w:r>
      <w:bookmarkEnd w:id="2"/>
      <w:bookmarkEnd w:id="3"/>
    </w:p>
    <w:p w14:paraId="672A6E55" w14:textId="77777777" w:rsidR="00F503A0" w:rsidRPr="005C0433" w:rsidRDefault="00F503A0" w:rsidP="00F503A0">
      <w:pPr>
        <w:rPr>
          <w:rFonts w:eastAsiaTheme="majorEastAsia"/>
        </w:rPr>
      </w:pPr>
      <w:r w:rsidRPr="005C0433">
        <w:rPr>
          <w:rFonts w:eastAsiaTheme="majorEastAsia"/>
        </w:rPr>
        <w:t xml:space="preserve">The urban environment is a determinant of health and wellbeing (see </w:t>
      </w:r>
      <w:r>
        <w:rPr>
          <w:rFonts w:eastAsiaTheme="majorEastAsia"/>
        </w:rPr>
        <w:fldChar w:fldCharType="begin"/>
      </w:r>
      <w:r>
        <w:rPr>
          <w:rFonts w:eastAsiaTheme="majorEastAsia"/>
        </w:rPr>
        <w:instrText xml:space="preserve"> REF _Ref110340750 \r \h </w:instrText>
      </w:r>
      <w:r>
        <w:rPr>
          <w:rFonts w:eastAsiaTheme="majorEastAsia"/>
        </w:rPr>
      </w:r>
      <w:r>
        <w:rPr>
          <w:rFonts w:eastAsiaTheme="majorEastAsia"/>
        </w:rPr>
        <w:fldChar w:fldCharType="separate"/>
      </w:r>
      <w:r w:rsidR="00231CCF">
        <w:rPr>
          <w:rFonts w:eastAsiaTheme="majorEastAsia"/>
        </w:rPr>
        <w:t>Appendix 1</w:t>
      </w:r>
      <w:r>
        <w:rPr>
          <w:rFonts w:eastAsiaTheme="majorEastAsia"/>
        </w:rPr>
        <w:fldChar w:fldCharType="end"/>
      </w:r>
      <w:r w:rsidRPr="005C0433">
        <w:rPr>
          <w:rFonts w:eastAsiaTheme="majorEastAsia"/>
        </w:rPr>
        <w:t xml:space="preserve">). </w:t>
      </w:r>
      <w:r w:rsidRPr="005C0433">
        <w:t xml:space="preserve">Our vision for healthy urban development is </w:t>
      </w:r>
      <w:proofErr w:type="spellStart"/>
      <w:r>
        <w:t>p</w:t>
      </w:r>
      <w:r w:rsidRPr="005C0433">
        <w:t>ae</w:t>
      </w:r>
      <w:proofErr w:type="spellEnd"/>
      <w:r w:rsidRPr="005C0433">
        <w:t xml:space="preserve"> </w:t>
      </w:r>
      <w:proofErr w:type="spellStart"/>
      <w:r>
        <w:t>o</w:t>
      </w:r>
      <w:r w:rsidRPr="005C0433">
        <w:t>ra</w:t>
      </w:r>
      <w:proofErr w:type="spellEnd"/>
      <w:r w:rsidRPr="005C0433">
        <w:t xml:space="preserve"> – healthy futures for all. </w:t>
      </w:r>
      <w:r w:rsidRPr="005C0433">
        <w:rPr>
          <w:rFonts w:eastAsiaTheme="majorEastAsia"/>
        </w:rPr>
        <w:t>We have identified four inter</w:t>
      </w:r>
      <w:r>
        <w:rPr>
          <w:rFonts w:eastAsiaTheme="majorEastAsia"/>
        </w:rPr>
        <w:t>-</w:t>
      </w:r>
      <w:r w:rsidRPr="005C0433">
        <w:rPr>
          <w:rFonts w:eastAsiaTheme="majorEastAsia"/>
        </w:rPr>
        <w:t xml:space="preserve">related principles to consider in urban development processes to achieve </w:t>
      </w:r>
      <w:proofErr w:type="spellStart"/>
      <w:r>
        <w:rPr>
          <w:rFonts w:eastAsiaTheme="majorEastAsia"/>
        </w:rPr>
        <w:t>p</w:t>
      </w:r>
      <w:r w:rsidRPr="005C0433">
        <w:rPr>
          <w:rFonts w:eastAsiaTheme="majorEastAsia"/>
        </w:rPr>
        <w:t>ae</w:t>
      </w:r>
      <w:proofErr w:type="spellEnd"/>
      <w:r w:rsidRPr="005C0433">
        <w:rPr>
          <w:rFonts w:eastAsiaTheme="majorEastAsia"/>
        </w:rPr>
        <w:t xml:space="preserve"> </w:t>
      </w:r>
      <w:proofErr w:type="spellStart"/>
      <w:r>
        <w:rPr>
          <w:rFonts w:eastAsiaTheme="majorEastAsia"/>
        </w:rPr>
        <w:t>o</w:t>
      </w:r>
      <w:r w:rsidRPr="005C0433">
        <w:rPr>
          <w:rFonts w:eastAsiaTheme="majorEastAsia"/>
        </w:rPr>
        <w:t>ra</w:t>
      </w:r>
      <w:proofErr w:type="spellEnd"/>
      <w:r w:rsidRPr="005C0433">
        <w:rPr>
          <w:rFonts w:eastAsiaTheme="majorEastAsia"/>
        </w:rPr>
        <w:t xml:space="preserve"> and </w:t>
      </w:r>
      <w:r>
        <w:rPr>
          <w:rFonts w:eastAsiaTheme="majorEastAsia"/>
        </w:rPr>
        <w:t>achieve</w:t>
      </w:r>
      <w:r w:rsidRPr="005C0433">
        <w:rPr>
          <w:rFonts w:eastAsiaTheme="majorEastAsia"/>
        </w:rPr>
        <w:t xml:space="preserve"> thriving outcomes for our communities</w:t>
      </w:r>
      <w:r>
        <w:rPr>
          <w:rFonts w:eastAsiaTheme="majorEastAsia"/>
        </w:rPr>
        <w:t>.</w:t>
      </w:r>
      <w:r w:rsidRPr="00734EC7">
        <w:rPr>
          <w:rStyle w:val="FootnoteReference"/>
          <w:rFonts w:eastAsiaTheme="majorEastAsia"/>
        </w:rPr>
        <w:footnoteReference w:id="1"/>
      </w:r>
      <w:r>
        <w:rPr>
          <w:rFonts w:eastAsiaTheme="majorEastAsia"/>
        </w:rPr>
        <w:t xml:space="preserve"> The principles are:</w:t>
      </w:r>
    </w:p>
    <w:p w14:paraId="61D7A4EB" w14:textId="77777777" w:rsidR="00F503A0" w:rsidRPr="005C0433" w:rsidRDefault="00F503A0" w:rsidP="00F503A0">
      <w:pPr>
        <w:pStyle w:val="Bullet"/>
      </w:pPr>
      <w:r w:rsidRPr="005C0433">
        <w:t>healthy, safe and resilient communities</w:t>
      </w:r>
    </w:p>
    <w:p w14:paraId="28DEB6BF" w14:textId="77777777" w:rsidR="00F503A0" w:rsidRPr="005C0433" w:rsidRDefault="00F503A0" w:rsidP="00F503A0">
      <w:pPr>
        <w:pStyle w:val="Bullet"/>
      </w:pPr>
      <w:proofErr w:type="spellStart"/>
      <w:r w:rsidRPr="005C0433">
        <w:t>wai</w:t>
      </w:r>
      <w:proofErr w:type="spellEnd"/>
      <w:r w:rsidRPr="005C0433">
        <w:t xml:space="preserve"> </w:t>
      </w:r>
      <w:proofErr w:type="spellStart"/>
      <w:r w:rsidRPr="005C0433">
        <w:t>ora</w:t>
      </w:r>
      <w:proofErr w:type="spellEnd"/>
      <w:r w:rsidRPr="005C0433">
        <w:t xml:space="preserve"> – healthy environments</w:t>
      </w:r>
    </w:p>
    <w:p w14:paraId="03157C08" w14:textId="77777777" w:rsidR="00F503A0" w:rsidRPr="005C0433" w:rsidRDefault="00F503A0" w:rsidP="00F503A0">
      <w:pPr>
        <w:pStyle w:val="Bullet"/>
      </w:pPr>
      <w:r w:rsidRPr="005C0433">
        <w:t>equity</w:t>
      </w:r>
    </w:p>
    <w:p w14:paraId="6A43ECAF" w14:textId="0B462814" w:rsidR="00F503A0" w:rsidRPr="005C0433" w:rsidRDefault="003F374A" w:rsidP="00F503A0">
      <w:pPr>
        <w:pStyle w:val="Bullet"/>
      </w:pPr>
      <w:r>
        <w:t xml:space="preserve">mitigating and adapting to </w:t>
      </w:r>
      <w:r w:rsidR="00F503A0" w:rsidRPr="005C0433">
        <w:t>climate change</w:t>
      </w:r>
      <w:r>
        <w:t>.</w:t>
      </w:r>
    </w:p>
    <w:p w14:paraId="4ADBF51B" w14:textId="77777777" w:rsidR="00F503A0" w:rsidRPr="005C0433" w:rsidRDefault="00F503A0" w:rsidP="00F503A0">
      <w:pPr>
        <w:rPr>
          <w:rFonts w:eastAsiaTheme="majorEastAsia"/>
          <w:shd w:val="clear" w:color="auto" w:fill="FFFFFF"/>
        </w:rPr>
      </w:pPr>
    </w:p>
    <w:p w14:paraId="7356DD21" w14:textId="77777777" w:rsidR="00F503A0" w:rsidRPr="008B206E" w:rsidRDefault="00F503A0" w:rsidP="00F503A0">
      <w:r>
        <w:rPr>
          <w:rFonts w:eastAsiaTheme="majorEastAsia" w:cs="Segoe UI"/>
          <w:color w:val="000000"/>
          <w:shd w:val="clear" w:color="auto" w:fill="FFFFFF"/>
        </w:rPr>
        <w:t>In t</w:t>
      </w:r>
      <w:r w:rsidRPr="008B206E">
        <w:rPr>
          <w:rFonts w:eastAsiaTheme="majorEastAsia" w:cs="Segoe UI"/>
          <w:color w:val="000000"/>
          <w:shd w:val="clear" w:color="auto" w:fill="FFFFFF"/>
        </w:rPr>
        <w:t>his paper</w:t>
      </w:r>
      <w:r>
        <w:rPr>
          <w:rFonts w:eastAsiaTheme="majorEastAsia" w:cs="Segoe UI"/>
          <w:color w:val="000000"/>
          <w:shd w:val="clear" w:color="auto" w:fill="FFFFFF"/>
        </w:rPr>
        <w:t>, we</w:t>
      </w:r>
      <w:r w:rsidRPr="008B206E">
        <w:rPr>
          <w:rFonts w:eastAsiaTheme="majorEastAsia" w:cs="Segoe UI"/>
          <w:color w:val="000000"/>
          <w:shd w:val="clear" w:color="auto" w:fill="FFFFFF"/>
        </w:rPr>
        <w:t xml:space="preserve"> discuss the principles for healthy urban development and </w:t>
      </w:r>
      <w:r>
        <w:t>its</w:t>
      </w:r>
      <w:r w:rsidRPr="008B206E">
        <w:t xml:space="preserve"> connection</w:t>
      </w:r>
      <w:r>
        <w:t>s</w:t>
      </w:r>
      <w:r w:rsidRPr="008B206E">
        <w:t xml:space="preserve"> </w:t>
      </w:r>
      <w:r>
        <w:t>with</w:t>
      </w:r>
      <w:r w:rsidRPr="008B206E">
        <w:t xml:space="preserve"> health, wellbeing</w:t>
      </w:r>
      <w:r>
        <w:t xml:space="preserve"> and</w:t>
      </w:r>
      <w:r w:rsidRPr="008B206E">
        <w:t xml:space="preserve"> equity. </w:t>
      </w:r>
      <w:r>
        <w:t>We also</w:t>
      </w:r>
      <w:r w:rsidRPr="008B206E">
        <w:t xml:space="preserve"> describe how good urban design can protect </w:t>
      </w:r>
      <w:r>
        <w:t xml:space="preserve">and promote </w:t>
      </w:r>
      <w:r w:rsidRPr="008B206E">
        <w:t>health</w:t>
      </w:r>
      <w:r>
        <w:t>,</w:t>
      </w:r>
      <w:r w:rsidRPr="008B206E">
        <w:t xml:space="preserve"> and </w:t>
      </w:r>
      <w:r>
        <w:t>improve health, equity and disability outcomes</w:t>
      </w:r>
      <w:r w:rsidRPr="008B206E">
        <w:t>.</w:t>
      </w:r>
    </w:p>
    <w:p w14:paraId="666E3066" w14:textId="77777777" w:rsidR="00F503A0" w:rsidRPr="008B206E" w:rsidRDefault="00F503A0" w:rsidP="00F503A0"/>
    <w:p w14:paraId="2C43AB2C" w14:textId="77777777" w:rsidR="00F503A0" w:rsidRDefault="00F503A0" w:rsidP="00F503A0">
      <w:r w:rsidRPr="008B206E">
        <w:t>With</w:t>
      </w:r>
      <w:r>
        <w:t xml:space="preserve"> </w:t>
      </w:r>
      <w:r w:rsidRPr="008B206E">
        <w:t>around 84</w:t>
      </w:r>
      <w:r>
        <w:t xml:space="preserve"> </w:t>
      </w:r>
      <w:r w:rsidRPr="008B206E">
        <w:t>percent of New Zealanders living in urban areas, our urban environments are where most</w:t>
      </w:r>
      <w:r>
        <w:t xml:space="preserve"> </w:t>
      </w:r>
      <w:r w:rsidRPr="008B206E">
        <w:t xml:space="preserve">of us </w:t>
      </w:r>
      <w:r>
        <w:t xml:space="preserve">also </w:t>
      </w:r>
      <w:r w:rsidRPr="008B206E">
        <w:t>work, learn</w:t>
      </w:r>
      <w:r>
        <w:t xml:space="preserve"> </w:t>
      </w:r>
      <w:r w:rsidRPr="008B206E">
        <w:t xml:space="preserve">and play </w:t>
      </w:r>
      <w:r w:rsidRPr="00A86482">
        <w:rPr>
          <w:noProof/>
        </w:rPr>
        <w:t>(EHINZ 2021</w:t>
      </w:r>
      <w:r>
        <w:rPr>
          <w:noProof/>
        </w:rPr>
        <w:t>;</w:t>
      </w:r>
      <w:r w:rsidRPr="00A86482">
        <w:rPr>
          <w:noProof/>
        </w:rPr>
        <w:t xml:space="preserve"> W</w:t>
      </w:r>
      <w:r>
        <w:rPr>
          <w:noProof/>
        </w:rPr>
        <w:t>HO</w:t>
      </w:r>
      <w:r w:rsidRPr="00A86482">
        <w:rPr>
          <w:noProof/>
        </w:rPr>
        <w:t xml:space="preserve"> 2021</w:t>
      </w:r>
      <w:r>
        <w:rPr>
          <w:noProof/>
        </w:rPr>
        <w:t>b</w:t>
      </w:r>
      <w:r w:rsidRPr="00A86482">
        <w:rPr>
          <w:noProof/>
        </w:rPr>
        <w:t>)</w:t>
      </w:r>
      <w:r w:rsidRPr="008B206E">
        <w:rPr>
          <w:rFonts w:eastAsiaTheme="majorEastAsia" w:cs="Segoe UI"/>
          <w:color w:val="000000"/>
          <w:bdr w:val="none" w:sz="0" w:space="0" w:color="auto" w:frame="1"/>
        </w:rPr>
        <w:t xml:space="preserve">. </w:t>
      </w:r>
      <w:r w:rsidRPr="008B206E">
        <w:t>We thrive when these environments support our health, safety</w:t>
      </w:r>
      <w:r>
        <w:t xml:space="preserve"> </w:t>
      </w:r>
      <w:r w:rsidRPr="008B206E">
        <w:t>and wellbeing.</w:t>
      </w:r>
      <w:r>
        <w:t xml:space="preserve"> </w:t>
      </w:r>
      <w:r w:rsidRPr="008B206E">
        <w:t xml:space="preserve">The recent COVID-19 pandemic has highlighted </w:t>
      </w:r>
      <w:r>
        <w:t>how</w:t>
      </w:r>
      <w:r w:rsidRPr="008B206E">
        <w:t xml:space="preserve"> the environment </w:t>
      </w:r>
      <w:r>
        <w:t>is connected to</w:t>
      </w:r>
      <w:r w:rsidRPr="008B206E">
        <w:t xml:space="preserve"> </w:t>
      </w:r>
      <w:r>
        <w:t>human health and wellbeing.</w:t>
      </w:r>
    </w:p>
    <w:p w14:paraId="3B0A82F6" w14:textId="77777777" w:rsidR="00F503A0" w:rsidRDefault="00F503A0" w:rsidP="00F503A0"/>
    <w:p w14:paraId="1D4EF840" w14:textId="77777777" w:rsidR="00F503A0" w:rsidRPr="008B206E" w:rsidRDefault="00F503A0" w:rsidP="00F503A0">
      <w:r>
        <w:t xml:space="preserve">Urban development that supports health, wellbeing and equity gives people </w:t>
      </w:r>
      <w:r w:rsidRPr="008B206E">
        <w:t>equitable</w:t>
      </w:r>
      <w:r>
        <w:t xml:space="preserve"> </w:t>
      </w:r>
      <w:r w:rsidRPr="008B206E">
        <w:t>access to</w:t>
      </w:r>
      <w:r>
        <w:t xml:space="preserve"> </w:t>
      </w:r>
      <w:r w:rsidRPr="008B206E">
        <w:t>healthy</w:t>
      </w:r>
      <w:r>
        <w:t xml:space="preserve"> </w:t>
      </w:r>
      <w:r w:rsidRPr="008B206E">
        <w:t>housing,</w:t>
      </w:r>
      <w:r>
        <w:t xml:space="preserve"> </w:t>
      </w:r>
      <w:r w:rsidRPr="008B206E">
        <w:t>safe and active transport choices,</w:t>
      </w:r>
      <w:r>
        <w:t xml:space="preserve"> good-quality</w:t>
      </w:r>
      <w:r w:rsidRPr="008B206E">
        <w:t xml:space="preserve"> air and water, natural environments and essential services like education,</w:t>
      </w:r>
      <w:r>
        <w:t xml:space="preserve"> </w:t>
      </w:r>
      <w:r w:rsidRPr="008B206E">
        <w:t>health</w:t>
      </w:r>
      <w:r>
        <w:t xml:space="preserve"> </w:t>
      </w:r>
      <w:r w:rsidRPr="008B206E">
        <w:t>care,</w:t>
      </w:r>
      <w:r>
        <w:t xml:space="preserve"> </w:t>
      </w:r>
      <w:r w:rsidRPr="008B206E">
        <w:t xml:space="preserve">food </w:t>
      </w:r>
      <w:r>
        <w:t>security</w:t>
      </w:r>
      <w:r w:rsidRPr="008B206E">
        <w:t>, retail, employment</w:t>
      </w:r>
      <w:r>
        <w:t xml:space="preserve"> </w:t>
      </w:r>
      <w:r w:rsidRPr="008B206E">
        <w:t xml:space="preserve">opportunities and recreational facilities. Māori communities thrive when they are supported to continue </w:t>
      </w:r>
      <w:r>
        <w:t xml:space="preserve">their </w:t>
      </w:r>
      <w:r w:rsidRPr="008B206E">
        <w:t>tradition</w:t>
      </w:r>
      <w:r>
        <w:t>s</w:t>
      </w:r>
      <w:r w:rsidRPr="008B206E">
        <w:t xml:space="preserve"> and culture, including</w:t>
      </w:r>
      <w:r>
        <w:t xml:space="preserve"> through their</w:t>
      </w:r>
      <w:r w:rsidRPr="008B206E">
        <w:t xml:space="preserve"> access to </w:t>
      </w:r>
      <w:proofErr w:type="spellStart"/>
      <w:r w:rsidRPr="008B206E">
        <w:t>mahinga</w:t>
      </w:r>
      <w:proofErr w:type="spellEnd"/>
      <w:r w:rsidRPr="008B206E">
        <w:t xml:space="preserve"> kai, </w:t>
      </w:r>
      <w:proofErr w:type="spellStart"/>
      <w:r w:rsidRPr="008B206E">
        <w:t>māra</w:t>
      </w:r>
      <w:proofErr w:type="spellEnd"/>
      <w:r w:rsidRPr="008B206E">
        <w:t xml:space="preserve"> and </w:t>
      </w:r>
      <w:proofErr w:type="spellStart"/>
      <w:r w:rsidRPr="008B206E">
        <w:t>maramataka</w:t>
      </w:r>
      <w:proofErr w:type="spellEnd"/>
      <w:r>
        <w:t>,</w:t>
      </w:r>
      <w:r w:rsidRPr="008B206E">
        <w:t xml:space="preserve"> and </w:t>
      </w:r>
      <w:proofErr w:type="spellStart"/>
      <w:r w:rsidRPr="008B206E">
        <w:t>mātauranga</w:t>
      </w:r>
      <w:proofErr w:type="spellEnd"/>
      <w:r w:rsidRPr="008B206E">
        <w:t xml:space="preserve"> Māori approach</w:t>
      </w:r>
      <w:r>
        <w:t>es to planning and design.</w:t>
      </w:r>
    </w:p>
    <w:p w14:paraId="799683C4" w14:textId="77777777" w:rsidR="00F503A0" w:rsidRPr="008B206E" w:rsidRDefault="00F503A0" w:rsidP="00F503A0"/>
    <w:p w14:paraId="1E49F236" w14:textId="77777777" w:rsidR="00F503A0" w:rsidRPr="008B206E" w:rsidRDefault="00F503A0" w:rsidP="00F503A0">
      <w:pPr>
        <w:pStyle w:val="Heading1"/>
      </w:pPr>
      <w:bookmarkStart w:id="4" w:name="_Toc110341218"/>
      <w:bookmarkStart w:id="5" w:name="_Toc111131382"/>
      <w:proofErr w:type="spellStart"/>
      <w:r w:rsidRPr="008B206E">
        <w:lastRenderedPageBreak/>
        <w:t>Pae</w:t>
      </w:r>
      <w:proofErr w:type="spellEnd"/>
      <w:r w:rsidRPr="008B206E">
        <w:t xml:space="preserve"> </w:t>
      </w:r>
      <w:proofErr w:type="spellStart"/>
      <w:r>
        <w:t>o</w:t>
      </w:r>
      <w:r w:rsidRPr="008B206E">
        <w:t>ra</w:t>
      </w:r>
      <w:proofErr w:type="spellEnd"/>
      <w:r w:rsidRPr="008B206E">
        <w:t xml:space="preserve"> </w:t>
      </w:r>
      <w:r>
        <w:t xml:space="preserve">– </w:t>
      </w:r>
      <w:r w:rsidRPr="008B206E">
        <w:t>healthy futures for all</w:t>
      </w:r>
      <w:bookmarkEnd w:id="4"/>
      <w:bookmarkEnd w:id="5"/>
    </w:p>
    <w:p w14:paraId="15DDCCC6" w14:textId="77777777" w:rsidR="00F503A0" w:rsidRDefault="00F503A0" w:rsidP="00F503A0">
      <w:r>
        <w:t>Our</w:t>
      </w:r>
      <w:r w:rsidRPr="008B206E">
        <w:t xml:space="preserve"> vision for healthy urban development </w:t>
      </w:r>
      <w:r>
        <w:t xml:space="preserve">is </w:t>
      </w:r>
      <w:proofErr w:type="spellStart"/>
      <w:r>
        <w:t>p</w:t>
      </w:r>
      <w:r w:rsidRPr="008B206E">
        <w:t>ae</w:t>
      </w:r>
      <w:proofErr w:type="spellEnd"/>
      <w:r w:rsidRPr="008B206E">
        <w:t xml:space="preserve"> </w:t>
      </w:r>
      <w:proofErr w:type="spellStart"/>
      <w:r>
        <w:t>o</w:t>
      </w:r>
      <w:r w:rsidRPr="008B206E">
        <w:t>ra</w:t>
      </w:r>
      <w:proofErr w:type="spellEnd"/>
      <w:r w:rsidRPr="007E5CDF">
        <w:rPr>
          <w:rStyle w:val="FootnoteReference"/>
        </w:rPr>
        <w:footnoteReference w:id="2"/>
      </w:r>
      <w:r w:rsidRPr="007E5CDF">
        <w:t xml:space="preserve"> – healthy futures for all. </w:t>
      </w:r>
      <w:proofErr w:type="spellStart"/>
      <w:r w:rsidRPr="007E5CDF">
        <w:t>Pae</w:t>
      </w:r>
      <w:proofErr w:type="spellEnd"/>
      <w:r w:rsidRPr="008B206E">
        <w:t xml:space="preserve"> </w:t>
      </w:r>
      <w:proofErr w:type="spellStart"/>
      <w:r>
        <w:t>o</w:t>
      </w:r>
      <w:r w:rsidRPr="008B206E">
        <w:t>ra</w:t>
      </w:r>
      <w:proofErr w:type="spellEnd"/>
      <w:r>
        <w:t xml:space="preserve"> </w:t>
      </w:r>
      <w:r w:rsidRPr="008B206E">
        <w:t xml:space="preserve">is a holistic concept that includes three interconnected elements: </w:t>
      </w:r>
      <w:r>
        <w:t>m</w:t>
      </w:r>
      <w:r w:rsidRPr="008B206E">
        <w:t xml:space="preserve">auri </w:t>
      </w:r>
      <w:proofErr w:type="spellStart"/>
      <w:r>
        <w:t>o</w:t>
      </w:r>
      <w:r w:rsidRPr="008B206E">
        <w:t>ra</w:t>
      </w:r>
      <w:proofErr w:type="spellEnd"/>
      <w:r w:rsidRPr="008B206E">
        <w:t xml:space="preserve"> (healthy individuals), </w:t>
      </w:r>
      <w:proofErr w:type="spellStart"/>
      <w:r>
        <w:t>w</w:t>
      </w:r>
      <w:r w:rsidRPr="008B206E">
        <w:t>hānau</w:t>
      </w:r>
      <w:proofErr w:type="spellEnd"/>
      <w:r w:rsidRPr="008B206E">
        <w:t xml:space="preserve"> </w:t>
      </w:r>
      <w:proofErr w:type="spellStart"/>
      <w:r>
        <w:t>o</w:t>
      </w:r>
      <w:r w:rsidRPr="008B206E">
        <w:t>ra</w:t>
      </w:r>
      <w:proofErr w:type="spellEnd"/>
      <w:r w:rsidRPr="008B206E">
        <w:t xml:space="preserve"> (healthy families) and </w:t>
      </w:r>
      <w:proofErr w:type="spellStart"/>
      <w:r>
        <w:t>w</w:t>
      </w:r>
      <w:r w:rsidRPr="008B206E">
        <w:t>ai</w:t>
      </w:r>
      <w:proofErr w:type="spellEnd"/>
      <w:r w:rsidRPr="008B206E">
        <w:t xml:space="preserve"> </w:t>
      </w:r>
      <w:proofErr w:type="spellStart"/>
      <w:r>
        <w:t>o</w:t>
      </w:r>
      <w:r w:rsidRPr="008B206E">
        <w:t>ra</w:t>
      </w:r>
      <w:proofErr w:type="spellEnd"/>
      <w:r w:rsidRPr="008B206E">
        <w:t xml:space="preserve"> (healthy environments)</w:t>
      </w:r>
      <w:r>
        <w:t xml:space="preserve"> (</w:t>
      </w:r>
      <w:r>
        <w:fldChar w:fldCharType="begin"/>
      </w:r>
      <w:r>
        <w:instrText xml:space="preserve"> REF _Ref110340099 \h </w:instrText>
      </w:r>
      <w:r>
        <w:fldChar w:fldCharType="separate"/>
      </w:r>
      <w:r w:rsidR="00231CCF">
        <w:t>Figure </w:t>
      </w:r>
      <w:r w:rsidR="00231CCF">
        <w:rPr>
          <w:noProof/>
        </w:rPr>
        <w:t>1</w:t>
      </w:r>
      <w:r>
        <w:fldChar w:fldCharType="end"/>
      </w:r>
      <w:r>
        <w:t>)</w:t>
      </w:r>
      <w:r w:rsidRPr="008B206E">
        <w:t>. These three elements are mutually reinforcing and strengthen</w:t>
      </w:r>
      <w:r>
        <w:t xml:space="preserve"> improvements in health outcomes over time.</w:t>
      </w:r>
    </w:p>
    <w:p w14:paraId="79058285" w14:textId="77777777" w:rsidR="00F503A0" w:rsidRDefault="00F503A0" w:rsidP="00F503A0"/>
    <w:p w14:paraId="636D2A2A" w14:textId="77777777" w:rsidR="00F503A0" w:rsidRPr="008B206E" w:rsidRDefault="00F503A0" w:rsidP="00F503A0">
      <w:pPr>
        <w:pStyle w:val="Figure"/>
      </w:pPr>
      <w:bookmarkStart w:id="6" w:name="_Ref110340099"/>
      <w:bookmarkStart w:id="7" w:name="_Toc110341230"/>
      <w:bookmarkStart w:id="8" w:name="_Toc110578586"/>
      <w:r>
        <w:t>Figure </w:t>
      </w:r>
      <w:r w:rsidR="00E16FCE">
        <w:fldChar w:fldCharType="begin"/>
      </w:r>
      <w:r w:rsidR="00E16FCE">
        <w:instrText xml:space="preserve"> SEQ Figure \* ARABIC </w:instrText>
      </w:r>
      <w:r w:rsidR="00E16FCE">
        <w:fldChar w:fldCharType="separate"/>
      </w:r>
      <w:r w:rsidR="00231CCF">
        <w:rPr>
          <w:noProof/>
        </w:rPr>
        <w:t>1</w:t>
      </w:r>
      <w:r w:rsidR="00E16FCE">
        <w:rPr>
          <w:noProof/>
        </w:rPr>
        <w:fldChar w:fldCharType="end"/>
      </w:r>
      <w:bookmarkEnd w:id="6"/>
      <w:r>
        <w:rPr>
          <w:noProof/>
        </w:rPr>
        <w:t>:</w:t>
      </w:r>
      <w:r w:rsidRPr="008B206E">
        <w:t xml:space="preserve"> He Korowai </w:t>
      </w:r>
      <w:proofErr w:type="spellStart"/>
      <w:r w:rsidRPr="008B206E">
        <w:t>Oranga</w:t>
      </w:r>
      <w:proofErr w:type="spellEnd"/>
      <w:r w:rsidRPr="008B206E">
        <w:t xml:space="preserve"> </w:t>
      </w:r>
      <w:r>
        <w:t>f</w:t>
      </w:r>
      <w:r w:rsidRPr="008B206E">
        <w:t>ramework</w:t>
      </w:r>
      <w:bookmarkEnd w:id="7"/>
      <w:bookmarkEnd w:id="8"/>
    </w:p>
    <w:p w14:paraId="6DF78537" w14:textId="77777777" w:rsidR="00F503A0" w:rsidRDefault="00F503A0" w:rsidP="00F503A0">
      <w:r w:rsidRPr="008B206E">
        <w:rPr>
          <w:noProof/>
          <w:lang w:eastAsia="en-NZ"/>
        </w:rPr>
        <w:drawing>
          <wp:inline distT="0" distB="0" distL="0" distR="0" wp14:anchorId="62B81E2D" wp14:editId="7C805212">
            <wp:extent cx="2564395" cy="2026920"/>
            <wp:effectExtent l="0" t="0" r="7620" b="0"/>
            <wp:docPr id="2" name="Picture 2" descr="Diagram of a triangle with Pae Ora Healthy futures for Māori at the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 of a triangle with Pae Ora Healthy futures for Māori at the top"/>
                    <pic:cNvPicPr/>
                  </pic:nvPicPr>
                  <pic:blipFill>
                    <a:blip r:embed="rId20">
                      <a:extLst>
                        <a:ext uri="{28A0092B-C50C-407E-A947-70E740481C1C}">
                          <a14:useLocalDpi xmlns:a14="http://schemas.microsoft.com/office/drawing/2010/main" val="0"/>
                        </a:ext>
                      </a:extLst>
                    </a:blip>
                    <a:stretch>
                      <a:fillRect/>
                    </a:stretch>
                  </pic:blipFill>
                  <pic:spPr>
                    <a:xfrm>
                      <a:off x="0" y="0"/>
                      <a:ext cx="2603502" cy="2057831"/>
                    </a:xfrm>
                    <a:prstGeom prst="rect">
                      <a:avLst/>
                    </a:prstGeom>
                  </pic:spPr>
                </pic:pic>
              </a:graphicData>
            </a:graphic>
          </wp:inline>
        </w:drawing>
      </w:r>
    </w:p>
    <w:p w14:paraId="4BBE87C4" w14:textId="77777777" w:rsidR="00F503A0" w:rsidRPr="008B206E" w:rsidRDefault="00F503A0" w:rsidP="00F503A0">
      <w:pPr>
        <w:pStyle w:val="Source"/>
      </w:pPr>
      <w:bookmarkStart w:id="9" w:name="_Toc48310516"/>
      <w:r>
        <w:t xml:space="preserve">Source: </w:t>
      </w:r>
      <w:bookmarkEnd w:id="9"/>
      <w:r w:rsidRPr="00A86482">
        <w:rPr>
          <w:noProof/>
        </w:rPr>
        <w:t xml:space="preserve">Ministry of Health </w:t>
      </w:r>
      <w:r>
        <w:rPr>
          <w:noProof/>
        </w:rPr>
        <w:t>(</w:t>
      </w:r>
      <w:r w:rsidRPr="00A86482">
        <w:rPr>
          <w:noProof/>
        </w:rPr>
        <w:t>2019</w:t>
      </w:r>
      <w:r>
        <w:rPr>
          <w:noProof/>
        </w:rPr>
        <w:t>b</w:t>
      </w:r>
      <w:r w:rsidRPr="00A86482">
        <w:rPr>
          <w:noProof/>
        </w:rPr>
        <w:t>)</w:t>
      </w:r>
    </w:p>
    <w:p w14:paraId="676B3C8C" w14:textId="77777777" w:rsidR="00F503A0" w:rsidRPr="008B206E" w:rsidRDefault="00F503A0" w:rsidP="00F503A0"/>
    <w:p w14:paraId="17FEB89A" w14:textId="77777777" w:rsidR="00F503A0" w:rsidRPr="008B206E" w:rsidRDefault="00F503A0" w:rsidP="00F503A0">
      <w:r w:rsidRPr="008B206E">
        <w:t xml:space="preserve">Achieving </w:t>
      </w:r>
      <w:proofErr w:type="spellStart"/>
      <w:r>
        <w:t>p</w:t>
      </w:r>
      <w:r w:rsidRPr="008B206E">
        <w:t>ae</w:t>
      </w:r>
      <w:proofErr w:type="spellEnd"/>
      <w:r w:rsidRPr="008B206E">
        <w:t xml:space="preserve"> </w:t>
      </w:r>
      <w:proofErr w:type="spellStart"/>
      <w:r>
        <w:t>o</w:t>
      </w:r>
      <w:r w:rsidRPr="008B206E">
        <w:t>ra</w:t>
      </w:r>
      <w:proofErr w:type="spellEnd"/>
      <w:r w:rsidRPr="008B206E">
        <w:t xml:space="preserve"> in the urban context requires a multi-agency approach</w:t>
      </w:r>
      <w:r>
        <w:t xml:space="preserve"> so that</w:t>
      </w:r>
      <w:r w:rsidRPr="008B206E">
        <w:t xml:space="preserve"> all urban development policies and processes support communities to thrive</w:t>
      </w:r>
      <w:r>
        <w:t>,</w:t>
      </w:r>
      <w:r w:rsidRPr="008B206E">
        <w:t xml:space="preserve"> and </w:t>
      </w:r>
      <w:r>
        <w:t>provide</w:t>
      </w:r>
      <w:r w:rsidRPr="008B206E">
        <w:t xml:space="preserve"> people </w:t>
      </w:r>
      <w:r>
        <w:t>with</w:t>
      </w:r>
      <w:r w:rsidRPr="008B206E">
        <w:t xml:space="preserve"> equitable access to environments that protect and improve their health and wellbeing</w:t>
      </w:r>
      <w:r>
        <w:t>.</w:t>
      </w:r>
    </w:p>
    <w:p w14:paraId="21FCBB72" w14:textId="77777777" w:rsidR="00F503A0" w:rsidRPr="008B206E" w:rsidRDefault="00F503A0" w:rsidP="00F503A0"/>
    <w:p w14:paraId="77AFD389" w14:textId="77777777" w:rsidR="00F503A0" w:rsidRPr="008B206E" w:rsidRDefault="00F503A0" w:rsidP="00F503A0">
      <w:r>
        <w:t xml:space="preserve">To achieve </w:t>
      </w:r>
      <w:proofErr w:type="spellStart"/>
      <w:r>
        <w:t>pae</w:t>
      </w:r>
      <w:proofErr w:type="spellEnd"/>
      <w:r>
        <w:t xml:space="preserve"> </w:t>
      </w:r>
      <w:proofErr w:type="spellStart"/>
      <w:r>
        <w:t>ora</w:t>
      </w:r>
      <w:proofErr w:type="spellEnd"/>
      <w:r>
        <w:t>, we also need to take into account potential</w:t>
      </w:r>
      <w:r w:rsidRPr="008B206E">
        <w:t xml:space="preserve"> changes in our communities </w:t>
      </w:r>
      <w:r>
        <w:t xml:space="preserve">that </w:t>
      </w:r>
      <w:r w:rsidRPr="008B206E">
        <w:t>will impact our urban environments and demand</w:t>
      </w:r>
      <w:r>
        <w:t>s</w:t>
      </w:r>
      <w:r w:rsidRPr="008B206E">
        <w:t xml:space="preserve"> on services. For example, demographic changes, such as </w:t>
      </w:r>
      <w:r>
        <w:t xml:space="preserve">an </w:t>
      </w:r>
      <w:r w:rsidRPr="008B206E">
        <w:t xml:space="preserve">ageing population or </w:t>
      </w:r>
      <w:r>
        <w:t xml:space="preserve">a </w:t>
      </w:r>
      <w:r w:rsidRPr="008B206E">
        <w:t>population shift</w:t>
      </w:r>
      <w:r>
        <w:t xml:space="preserve"> to a different geographic area</w:t>
      </w:r>
      <w:r w:rsidRPr="008B206E">
        <w:t>, will impact health services and other social and commercial services, including</w:t>
      </w:r>
      <w:r>
        <w:t xml:space="preserve"> in terms of people’s access to and the accessibility of</w:t>
      </w:r>
      <w:r w:rsidRPr="008B206E">
        <w:t xml:space="preserve"> housing, transport, education and retail services. </w:t>
      </w:r>
      <w:r>
        <w:t>Part of adapting to climate change may be to manage retreat from areas that will be impacted by sea-level rise or extreme weather events. By r</w:t>
      </w:r>
      <w:r w:rsidRPr="008B206E">
        <w:t xml:space="preserve">ecognising likely patterns and requirements of future communities, </w:t>
      </w:r>
      <w:r>
        <w:t xml:space="preserve">we can use </w:t>
      </w:r>
      <w:r w:rsidRPr="008B206E">
        <w:t xml:space="preserve">planning and development </w:t>
      </w:r>
      <w:proofErr w:type="gramStart"/>
      <w:r w:rsidRPr="008B206E">
        <w:t xml:space="preserve">can </w:t>
      </w:r>
      <w:r>
        <w:t>to</w:t>
      </w:r>
      <w:proofErr w:type="gramEnd"/>
      <w:r w:rsidRPr="008B206E">
        <w:t xml:space="preserve"> anticipate and respond to the health, wellbeing and equity</w:t>
      </w:r>
      <w:r>
        <w:t xml:space="preserve"> needs</w:t>
      </w:r>
      <w:r w:rsidRPr="008B206E">
        <w:t xml:space="preserve"> of </w:t>
      </w:r>
      <w:r>
        <w:t>Aotearoa</w:t>
      </w:r>
      <w:r w:rsidRPr="008B206E">
        <w:t xml:space="preserve"> populations</w:t>
      </w:r>
      <w:r>
        <w:t xml:space="preserve"> in the most effective way</w:t>
      </w:r>
      <w:r w:rsidRPr="008B206E">
        <w:t>.</w:t>
      </w:r>
    </w:p>
    <w:p w14:paraId="2F5327C8" w14:textId="77777777" w:rsidR="00F503A0" w:rsidRPr="008B206E" w:rsidRDefault="00F503A0" w:rsidP="00F503A0"/>
    <w:p w14:paraId="2429E49F" w14:textId="77777777" w:rsidR="00F503A0" w:rsidRPr="008B206E" w:rsidRDefault="00F503A0" w:rsidP="00F503A0">
      <w:pPr>
        <w:pStyle w:val="Heading1"/>
      </w:pPr>
      <w:bookmarkStart w:id="10" w:name="_Toc110341219"/>
      <w:bookmarkStart w:id="11" w:name="_Toc111131383"/>
      <w:proofErr w:type="spellStart"/>
      <w:r w:rsidRPr="008B206E">
        <w:lastRenderedPageBreak/>
        <w:t>Te</w:t>
      </w:r>
      <w:proofErr w:type="spellEnd"/>
      <w:r w:rsidRPr="008B206E">
        <w:t xml:space="preserve"> </w:t>
      </w:r>
      <w:proofErr w:type="spellStart"/>
      <w:r w:rsidRPr="008B206E">
        <w:t>Tiriti</w:t>
      </w:r>
      <w:proofErr w:type="spellEnd"/>
      <w:r w:rsidRPr="008B206E">
        <w:t xml:space="preserve"> o Waitangi</w:t>
      </w:r>
      <w:bookmarkEnd w:id="10"/>
      <w:bookmarkEnd w:id="11"/>
    </w:p>
    <w:p w14:paraId="76346DBE" w14:textId="77777777" w:rsidR="00F503A0" w:rsidRPr="008B206E" w:rsidRDefault="00F503A0" w:rsidP="00F503A0">
      <w:proofErr w:type="spellStart"/>
      <w:r w:rsidRPr="008B206E">
        <w:t>Te</w:t>
      </w:r>
      <w:proofErr w:type="spellEnd"/>
      <w:r w:rsidRPr="008B206E">
        <w:t xml:space="preserve"> </w:t>
      </w:r>
      <w:proofErr w:type="spellStart"/>
      <w:r w:rsidRPr="008B206E">
        <w:t>Tiriti</w:t>
      </w:r>
      <w:proofErr w:type="spellEnd"/>
      <w:r w:rsidRPr="008B206E">
        <w:t xml:space="preserve"> o Waitangi </w:t>
      </w:r>
      <w:r>
        <w:t>(</w:t>
      </w:r>
      <w:proofErr w:type="spellStart"/>
      <w:r>
        <w:t>Te</w:t>
      </w:r>
      <w:proofErr w:type="spellEnd"/>
      <w:r>
        <w:t xml:space="preserve"> </w:t>
      </w:r>
      <w:proofErr w:type="spellStart"/>
      <w:r>
        <w:t>Tiriti</w:t>
      </w:r>
      <w:proofErr w:type="spellEnd"/>
      <w:r>
        <w:t xml:space="preserve">) </w:t>
      </w:r>
      <w:r w:rsidRPr="008B206E">
        <w:t xml:space="preserve">provides a framework to </w:t>
      </w:r>
      <w:r>
        <w:t>protect</w:t>
      </w:r>
      <w:r w:rsidRPr="008B206E">
        <w:t xml:space="preserve"> Māori health and wellbeing and </w:t>
      </w:r>
      <w:r>
        <w:t xml:space="preserve">uphold </w:t>
      </w:r>
      <w:r w:rsidRPr="008B206E">
        <w:t xml:space="preserve">Māori aspirations. </w:t>
      </w:r>
      <w:r>
        <w:t>Work to achieve these outcomes</w:t>
      </w:r>
      <w:r w:rsidRPr="008B206E">
        <w:t xml:space="preserve"> include</w:t>
      </w:r>
      <w:r>
        <w:t>s</w:t>
      </w:r>
      <w:r w:rsidRPr="008B206E">
        <w:t xml:space="preserve"> contributing to good urban development practices.</w:t>
      </w:r>
    </w:p>
    <w:p w14:paraId="546304E3" w14:textId="77777777" w:rsidR="00F503A0" w:rsidRPr="008B206E" w:rsidRDefault="00F503A0" w:rsidP="00F503A0"/>
    <w:p w14:paraId="75BF63D6" w14:textId="77777777" w:rsidR="00F503A0" w:rsidRPr="008B206E" w:rsidRDefault="00F503A0" w:rsidP="00F503A0">
      <w:r w:rsidRPr="008B206E">
        <w:t xml:space="preserve">The Ministry </w:t>
      </w:r>
      <w:r w:rsidRPr="009F055D">
        <w:t xml:space="preserve">of Health’s </w:t>
      </w:r>
      <w:hyperlink r:id="rId21" w:history="1">
        <w:proofErr w:type="spellStart"/>
        <w:r w:rsidRPr="009F055D">
          <w:rPr>
            <w:rStyle w:val="Hyperlink"/>
            <w:rFonts w:cs="Segoe UI"/>
          </w:rPr>
          <w:t>Te</w:t>
        </w:r>
        <w:proofErr w:type="spellEnd"/>
        <w:r w:rsidRPr="009F055D">
          <w:rPr>
            <w:rStyle w:val="Hyperlink"/>
            <w:rFonts w:cs="Segoe UI"/>
          </w:rPr>
          <w:t xml:space="preserve"> </w:t>
        </w:r>
        <w:proofErr w:type="spellStart"/>
        <w:r w:rsidRPr="009F055D">
          <w:rPr>
            <w:rStyle w:val="Hyperlink"/>
            <w:rFonts w:cs="Segoe UI"/>
          </w:rPr>
          <w:t>Tiriti</w:t>
        </w:r>
        <w:proofErr w:type="spellEnd"/>
        <w:r w:rsidRPr="009F055D">
          <w:rPr>
            <w:rStyle w:val="Hyperlink"/>
            <w:rFonts w:cs="Segoe UI"/>
          </w:rPr>
          <w:t xml:space="preserve"> o Waitangi Framework</w:t>
        </w:r>
      </w:hyperlink>
      <w:r w:rsidRPr="001A47D4">
        <w:rPr>
          <w:rStyle w:val="FootnoteReference"/>
        </w:rPr>
        <w:footnoteReference w:id="3"/>
      </w:r>
      <w:r w:rsidRPr="009F055D">
        <w:t xml:space="preserve"> acknowledges </w:t>
      </w:r>
      <w:r>
        <w:t>that</w:t>
      </w:r>
      <w:r w:rsidRPr="008B206E">
        <w:t xml:space="preserve"> the Crown </w:t>
      </w:r>
      <w:r>
        <w:t>must</w:t>
      </w:r>
      <w:r w:rsidRPr="008B206E">
        <w:t xml:space="preserve"> meet its obligations under </w:t>
      </w:r>
      <w:proofErr w:type="spellStart"/>
      <w:r w:rsidRPr="008B206E">
        <w:t>Te</w:t>
      </w:r>
      <w:proofErr w:type="spellEnd"/>
      <w:r w:rsidRPr="008B206E">
        <w:t xml:space="preserve"> </w:t>
      </w:r>
      <w:proofErr w:type="spellStart"/>
      <w:r w:rsidRPr="008B206E">
        <w:t>Tiriti</w:t>
      </w:r>
      <w:proofErr w:type="spellEnd"/>
      <w:r w:rsidRPr="008B206E">
        <w:t xml:space="preserve"> in order to achieve equitable outcomes for Māori. The principles of </w:t>
      </w:r>
      <w:proofErr w:type="spellStart"/>
      <w:r w:rsidRPr="008B206E">
        <w:t>Te</w:t>
      </w:r>
      <w:proofErr w:type="spellEnd"/>
      <w:r w:rsidRPr="008B206E">
        <w:t xml:space="preserve"> </w:t>
      </w:r>
      <w:proofErr w:type="spellStart"/>
      <w:r w:rsidRPr="008B206E">
        <w:t>Tiriti</w:t>
      </w:r>
      <w:proofErr w:type="spellEnd"/>
      <w:r w:rsidRPr="008B206E">
        <w:t xml:space="preserve"> provide a framework for how we will meet our obligations under </w:t>
      </w:r>
      <w:proofErr w:type="spellStart"/>
      <w:r w:rsidRPr="008B206E">
        <w:t>Te</w:t>
      </w:r>
      <w:proofErr w:type="spellEnd"/>
      <w:r w:rsidRPr="008B206E">
        <w:t xml:space="preserve"> </w:t>
      </w:r>
      <w:proofErr w:type="spellStart"/>
      <w:r w:rsidRPr="008B206E">
        <w:t>Tiriti</w:t>
      </w:r>
      <w:proofErr w:type="spellEnd"/>
      <w:r w:rsidRPr="008B206E">
        <w:t xml:space="preserve"> in our day-to-day work. These principles include </w:t>
      </w:r>
      <w:proofErr w:type="spellStart"/>
      <w:r w:rsidRPr="008B206E">
        <w:t>tino</w:t>
      </w:r>
      <w:proofErr w:type="spellEnd"/>
      <w:r w:rsidRPr="008B206E">
        <w:t xml:space="preserve"> rangatiratanga, equity, active prote</w:t>
      </w:r>
      <w:r>
        <w:t>ction, options and partnership.</w:t>
      </w:r>
    </w:p>
    <w:p w14:paraId="4A65EDBF" w14:textId="77777777" w:rsidR="00F503A0" w:rsidRPr="008B206E" w:rsidRDefault="00F503A0" w:rsidP="00F503A0"/>
    <w:p w14:paraId="435E8C88" w14:textId="77777777" w:rsidR="00F503A0" w:rsidRPr="008B206E" w:rsidRDefault="00F503A0" w:rsidP="00F503A0">
      <w:r w:rsidRPr="008B206E">
        <w:rPr>
          <w:color w:val="1D1D1B"/>
        </w:rPr>
        <w:t>The Ministry of Health is the kaitiaki of the health and disability system in Aotearoa</w:t>
      </w:r>
      <w:r>
        <w:rPr>
          <w:color w:val="1D1D1B"/>
        </w:rPr>
        <w:t>.</w:t>
      </w:r>
      <w:r w:rsidRPr="008B206E">
        <w:rPr>
          <w:color w:val="1D1D1B"/>
        </w:rPr>
        <w:t xml:space="preserve"> </w:t>
      </w:r>
      <w:r>
        <w:rPr>
          <w:color w:val="1D1D1B"/>
        </w:rPr>
        <w:t>I</w:t>
      </w:r>
      <w:r w:rsidRPr="008B206E">
        <w:rPr>
          <w:color w:val="1D1D1B"/>
        </w:rPr>
        <w:t xml:space="preserve">n this </w:t>
      </w:r>
      <w:r>
        <w:rPr>
          <w:color w:val="1D1D1B"/>
        </w:rPr>
        <w:t>role</w:t>
      </w:r>
      <w:r w:rsidRPr="008B206E">
        <w:rPr>
          <w:color w:val="1D1D1B"/>
        </w:rPr>
        <w:t>,</w:t>
      </w:r>
      <w:r>
        <w:rPr>
          <w:color w:val="1D1D1B"/>
        </w:rPr>
        <w:t xml:space="preserve"> it</w:t>
      </w:r>
      <w:r w:rsidRPr="008B206E">
        <w:rPr>
          <w:color w:val="1D1D1B"/>
        </w:rPr>
        <w:t xml:space="preserve"> provides advice on </w:t>
      </w:r>
      <w:r w:rsidRPr="008B206E">
        <w:t xml:space="preserve">the implications </w:t>
      </w:r>
      <w:r>
        <w:t>of</w:t>
      </w:r>
      <w:r w:rsidRPr="008B206E">
        <w:t xml:space="preserve"> urban development for Māori health, wellbeing and equity. </w:t>
      </w:r>
      <w:r>
        <w:t xml:space="preserve">Recognising and applying the principles for healthy urban development (particularly </w:t>
      </w:r>
      <w:proofErr w:type="spellStart"/>
      <w:r>
        <w:t>wai</w:t>
      </w:r>
      <w:proofErr w:type="spellEnd"/>
      <w:r>
        <w:t xml:space="preserve"> </w:t>
      </w:r>
      <w:proofErr w:type="spellStart"/>
      <w:r>
        <w:t>ora</w:t>
      </w:r>
      <w:proofErr w:type="spellEnd"/>
      <w:r>
        <w:t xml:space="preserve"> and equity) can help us to meet our obligations under </w:t>
      </w:r>
      <w:proofErr w:type="spellStart"/>
      <w:r>
        <w:t>Te</w:t>
      </w:r>
      <w:proofErr w:type="spellEnd"/>
      <w:r>
        <w:t xml:space="preserve"> </w:t>
      </w:r>
      <w:proofErr w:type="spellStart"/>
      <w:r>
        <w:t>Tiriti</w:t>
      </w:r>
      <w:proofErr w:type="spellEnd"/>
      <w:r>
        <w:t>.</w:t>
      </w:r>
    </w:p>
    <w:p w14:paraId="1D421693" w14:textId="77777777" w:rsidR="00F503A0" w:rsidRPr="008B206E" w:rsidRDefault="00F503A0" w:rsidP="00F503A0"/>
    <w:p w14:paraId="0B68BEBA" w14:textId="77777777" w:rsidR="00F503A0" w:rsidRPr="008B206E" w:rsidRDefault="00F503A0" w:rsidP="00F503A0">
      <w:r w:rsidRPr="001A47D4">
        <w:t xml:space="preserve">He Korowai </w:t>
      </w:r>
      <w:proofErr w:type="spellStart"/>
      <w:r w:rsidRPr="001A47D4">
        <w:t>Oranga</w:t>
      </w:r>
      <w:proofErr w:type="spellEnd"/>
      <w:r w:rsidRPr="001A47D4">
        <w:t xml:space="preserve"> (the Māori Health Strategy) has set the overarching strategy that</w:t>
      </w:r>
      <w:r w:rsidRPr="008B206E">
        <w:rPr>
          <w:shd w:val="clear" w:color="auto" w:fill="FFFFFF"/>
        </w:rPr>
        <w:t xml:space="preserve"> guides the Government and the health and disability sector to achieve the best health outcomes for Māori</w:t>
      </w:r>
      <w:r>
        <w:rPr>
          <w:shd w:val="clear" w:color="auto" w:fill="FFFFFF"/>
        </w:rPr>
        <w:t xml:space="preserve"> (Ministry of Health 2019b).</w:t>
      </w:r>
      <w:r w:rsidRPr="008B206E">
        <w:t xml:space="preserve"> It </w:t>
      </w:r>
      <w:r>
        <w:t>provides</w:t>
      </w:r>
      <w:r w:rsidRPr="008B206E">
        <w:t xml:space="preserve"> the Government’s vision for Māori health, which</w:t>
      </w:r>
      <w:r>
        <w:t xml:space="preserve"> sees</w:t>
      </w:r>
      <w:r w:rsidRPr="008B206E">
        <w:t xml:space="preserve"> all Māori thriving and liv</w:t>
      </w:r>
      <w:r>
        <w:t>ing</w:t>
      </w:r>
      <w:r w:rsidRPr="008B206E">
        <w:t xml:space="preserve"> with good health and w</w:t>
      </w:r>
      <w:r>
        <w:t>ellbeing.</w:t>
      </w:r>
    </w:p>
    <w:p w14:paraId="4C699753" w14:textId="77777777" w:rsidR="00F503A0" w:rsidRPr="008B206E" w:rsidRDefault="00F503A0" w:rsidP="00F503A0"/>
    <w:p w14:paraId="09DF1602" w14:textId="77777777" w:rsidR="00F503A0" w:rsidRPr="008B206E" w:rsidRDefault="00F503A0" w:rsidP="00F503A0">
      <w:proofErr w:type="spellStart"/>
      <w:r w:rsidRPr="008B206E">
        <w:t>Whakamaua</w:t>
      </w:r>
      <w:proofErr w:type="spellEnd"/>
      <w:r>
        <w:t>:</w:t>
      </w:r>
      <w:r w:rsidRPr="008B206E">
        <w:t xml:space="preserve"> Māori Health Action Plan 2020</w:t>
      </w:r>
      <w:r>
        <w:t>–</w:t>
      </w:r>
      <w:r w:rsidRPr="008B206E">
        <w:t>2025</w:t>
      </w:r>
      <w:r>
        <w:t xml:space="preserve"> (Ministry of Health 2020) drives the</w:t>
      </w:r>
      <w:r w:rsidRPr="008B206E">
        <w:t xml:space="preserve"> journey toward </w:t>
      </w:r>
      <w:proofErr w:type="spellStart"/>
      <w:r>
        <w:t>p</w:t>
      </w:r>
      <w:r w:rsidRPr="008B206E">
        <w:t>ae</w:t>
      </w:r>
      <w:proofErr w:type="spellEnd"/>
      <w:r w:rsidRPr="008B206E">
        <w:t xml:space="preserve"> </w:t>
      </w:r>
      <w:proofErr w:type="spellStart"/>
      <w:r>
        <w:t>o</w:t>
      </w:r>
      <w:r w:rsidRPr="008B206E">
        <w:t>ra</w:t>
      </w:r>
      <w:proofErr w:type="spellEnd"/>
      <w:r w:rsidRPr="008B206E">
        <w:t xml:space="preserve">. </w:t>
      </w:r>
      <w:proofErr w:type="spellStart"/>
      <w:r>
        <w:t>Te</w:t>
      </w:r>
      <w:proofErr w:type="spellEnd"/>
      <w:r>
        <w:t xml:space="preserve"> </w:t>
      </w:r>
      <w:proofErr w:type="spellStart"/>
      <w:r w:rsidRPr="008B206E">
        <w:t>Tiriti</w:t>
      </w:r>
      <w:proofErr w:type="spellEnd"/>
      <w:r w:rsidRPr="008B206E">
        <w:t xml:space="preserve"> emphasises Māori health outcomes</w:t>
      </w:r>
      <w:r>
        <w:t xml:space="preserve"> are</w:t>
      </w:r>
      <w:r w:rsidRPr="00A37ADB">
        <w:t xml:space="preserve"> </w:t>
      </w:r>
      <w:r>
        <w:t xml:space="preserve">a </w:t>
      </w:r>
      <w:r w:rsidRPr="008B206E">
        <w:t xml:space="preserve">shared responsibility, </w:t>
      </w:r>
      <w:r>
        <w:t>in which</w:t>
      </w:r>
      <w:r w:rsidRPr="008B206E">
        <w:t xml:space="preserve"> all government strategies and plans hav</w:t>
      </w:r>
      <w:r>
        <w:t>e</w:t>
      </w:r>
      <w:r w:rsidRPr="008B206E">
        <w:t xml:space="preserve"> a role in contributing to the achievement of </w:t>
      </w:r>
      <w:proofErr w:type="spellStart"/>
      <w:r>
        <w:t>p</w:t>
      </w:r>
      <w:r w:rsidRPr="008B206E">
        <w:t>ae</w:t>
      </w:r>
      <w:proofErr w:type="spellEnd"/>
      <w:r w:rsidRPr="008B206E">
        <w:t xml:space="preserve"> </w:t>
      </w:r>
      <w:proofErr w:type="spellStart"/>
      <w:r>
        <w:t>o</w:t>
      </w:r>
      <w:r w:rsidRPr="008B206E">
        <w:t>ra</w:t>
      </w:r>
      <w:proofErr w:type="spellEnd"/>
      <w:r w:rsidRPr="008B206E">
        <w:t>.</w:t>
      </w:r>
    </w:p>
    <w:p w14:paraId="4E5C0FCF" w14:textId="77777777" w:rsidR="00F503A0" w:rsidRDefault="00F503A0" w:rsidP="00F503A0"/>
    <w:p w14:paraId="3CD7642C" w14:textId="77777777" w:rsidR="00F503A0" w:rsidRPr="008B206E" w:rsidRDefault="00F503A0" w:rsidP="00F503A0">
      <w:pPr>
        <w:pStyle w:val="Heading1"/>
      </w:pPr>
      <w:bookmarkStart w:id="12" w:name="_Toc110341220"/>
      <w:bookmarkStart w:id="13" w:name="_Toc111131384"/>
      <w:r w:rsidRPr="008B206E">
        <w:lastRenderedPageBreak/>
        <w:t>Healthy, safe and resilient communities</w:t>
      </w:r>
      <w:bookmarkEnd w:id="12"/>
      <w:bookmarkEnd w:id="13"/>
    </w:p>
    <w:p w14:paraId="2E2ABC02" w14:textId="77777777" w:rsidR="00F503A0" w:rsidRPr="008B206E" w:rsidRDefault="00F503A0" w:rsidP="00F503A0">
      <w:pPr>
        <w:rPr>
          <w:rFonts w:eastAsiaTheme="majorEastAsia"/>
        </w:rPr>
      </w:pPr>
      <w:r w:rsidRPr="008B206E">
        <w:rPr>
          <w:rFonts w:eastAsiaTheme="majorEastAsia"/>
        </w:rPr>
        <w:t xml:space="preserve">Communities can be healthy, safe and resilient </w:t>
      </w:r>
      <w:r>
        <w:rPr>
          <w:rFonts w:eastAsiaTheme="majorEastAsia"/>
        </w:rPr>
        <w:t>w</w:t>
      </w:r>
      <w:r w:rsidRPr="008B206E">
        <w:rPr>
          <w:rFonts w:eastAsiaTheme="majorEastAsia"/>
        </w:rPr>
        <w:t>hen</w:t>
      </w:r>
      <w:r>
        <w:rPr>
          <w:rFonts w:eastAsiaTheme="majorEastAsia"/>
        </w:rPr>
        <w:t xml:space="preserve"> all government plans adequately consider and address</w:t>
      </w:r>
      <w:r w:rsidRPr="008B206E">
        <w:rPr>
          <w:rFonts w:eastAsiaTheme="majorEastAsia"/>
        </w:rPr>
        <w:t xml:space="preserve"> the soci</w:t>
      </w:r>
      <w:r>
        <w:rPr>
          <w:rFonts w:eastAsiaTheme="majorEastAsia"/>
        </w:rPr>
        <w:t>o</w:t>
      </w:r>
      <w:r w:rsidRPr="008B206E">
        <w:rPr>
          <w:rFonts w:eastAsiaTheme="majorEastAsia"/>
        </w:rPr>
        <w:t xml:space="preserve">economic determinants of health </w:t>
      </w:r>
      <w:r>
        <w:rPr>
          <w:rFonts w:eastAsiaTheme="majorEastAsia"/>
        </w:rPr>
        <w:t>and wellbeing (</w:t>
      </w:r>
      <w:r>
        <w:rPr>
          <w:rFonts w:eastAsiaTheme="majorEastAsia"/>
        </w:rPr>
        <w:fldChar w:fldCharType="begin"/>
      </w:r>
      <w:r>
        <w:rPr>
          <w:rFonts w:eastAsiaTheme="majorEastAsia"/>
        </w:rPr>
        <w:instrText xml:space="preserve"> REF _Ref110340750 \r \h </w:instrText>
      </w:r>
      <w:r>
        <w:rPr>
          <w:rFonts w:eastAsiaTheme="majorEastAsia"/>
        </w:rPr>
      </w:r>
      <w:r>
        <w:rPr>
          <w:rFonts w:eastAsiaTheme="majorEastAsia"/>
        </w:rPr>
        <w:fldChar w:fldCharType="separate"/>
      </w:r>
      <w:r w:rsidR="00231CCF">
        <w:rPr>
          <w:rFonts w:eastAsiaTheme="majorEastAsia"/>
        </w:rPr>
        <w:t>Appendix 1</w:t>
      </w:r>
      <w:r>
        <w:rPr>
          <w:rFonts w:eastAsiaTheme="majorEastAsia"/>
        </w:rPr>
        <w:fldChar w:fldCharType="end"/>
      </w:r>
      <w:r w:rsidRPr="008B206E">
        <w:rPr>
          <w:rFonts w:eastAsiaTheme="majorEastAsia"/>
        </w:rPr>
        <w:t>).</w:t>
      </w:r>
      <w:r>
        <w:rPr>
          <w:lang w:val="en-US"/>
        </w:rPr>
        <w:t xml:space="preserve"> </w:t>
      </w:r>
      <w:r w:rsidRPr="008B206E">
        <w:rPr>
          <w:lang w:val="en-US"/>
        </w:rPr>
        <w:t>Healthy</w:t>
      </w:r>
      <w:r>
        <w:rPr>
          <w:lang w:val="en-US"/>
        </w:rPr>
        <w:t xml:space="preserve"> </w:t>
      </w:r>
      <w:r w:rsidRPr="008B206E">
        <w:rPr>
          <w:lang w:val="en-US"/>
        </w:rPr>
        <w:t xml:space="preserve">and resilient communities </w:t>
      </w:r>
      <w:r w:rsidRPr="008B206E">
        <w:rPr>
          <w:rFonts w:eastAsiaTheme="majorEastAsia"/>
        </w:rPr>
        <w:t>rely on built</w:t>
      </w:r>
      <w:r>
        <w:rPr>
          <w:rFonts w:eastAsiaTheme="majorEastAsia"/>
        </w:rPr>
        <w:t xml:space="preserve"> </w:t>
      </w:r>
      <w:r w:rsidRPr="008B206E">
        <w:rPr>
          <w:rFonts w:eastAsiaTheme="majorEastAsia"/>
        </w:rPr>
        <w:t xml:space="preserve">environments that are accessible and safe for everyone. </w:t>
      </w:r>
      <w:r>
        <w:rPr>
          <w:rFonts w:eastAsiaTheme="majorEastAsia"/>
        </w:rPr>
        <w:t>‘Everyone’</w:t>
      </w:r>
      <w:r w:rsidRPr="008B206E">
        <w:rPr>
          <w:rFonts w:eastAsiaTheme="majorEastAsia"/>
        </w:rPr>
        <w:t xml:space="preserve"> includes Māori, Pacific </w:t>
      </w:r>
      <w:r>
        <w:rPr>
          <w:rFonts w:eastAsiaTheme="majorEastAsia"/>
        </w:rPr>
        <w:t xml:space="preserve">peoples </w:t>
      </w:r>
      <w:r w:rsidRPr="008B206E">
        <w:rPr>
          <w:rFonts w:eastAsiaTheme="majorEastAsia"/>
        </w:rPr>
        <w:t xml:space="preserve">and all other ethnicities, women, children, </w:t>
      </w:r>
      <w:r>
        <w:rPr>
          <w:rFonts w:eastAsiaTheme="majorEastAsia"/>
        </w:rPr>
        <w:t>parents and caregivers</w:t>
      </w:r>
      <w:r w:rsidRPr="008B206E">
        <w:rPr>
          <w:rFonts w:eastAsiaTheme="majorEastAsia"/>
        </w:rPr>
        <w:t>, older people</w:t>
      </w:r>
      <w:r>
        <w:rPr>
          <w:rFonts w:eastAsiaTheme="majorEastAsia"/>
        </w:rPr>
        <w:t xml:space="preserve"> and people with disabilities.</w:t>
      </w:r>
    </w:p>
    <w:p w14:paraId="387B7244" w14:textId="77777777" w:rsidR="00F503A0" w:rsidRPr="008B206E" w:rsidRDefault="00F503A0" w:rsidP="00F503A0">
      <w:pPr>
        <w:rPr>
          <w:rFonts w:eastAsiaTheme="majorEastAsia"/>
        </w:rPr>
      </w:pPr>
    </w:p>
    <w:p w14:paraId="72DB76DD" w14:textId="77777777" w:rsidR="00F503A0" w:rsidRPr="008B206E" w:rsidRDefault="00F503A0" w:rsidP="00F503A0">
      <w:pPr>
        <w:rPr>
          <w:rFonts w:eastAsiaTheme="majorEastAsia"/>
        </w:rPr>
      </w:pPr>
      <w:r w:rsidRPr="008B206E">
        <w:rPr>
          <w:rFonts w:eastAsiaTheme="majorEastAsia"/>
        </w:rPr>
        <w:t xml:space="preserve">Healthy, safe and resilient communities enable and provide healthy housing, </w:t>
      </w:r>
      <w:r>
        <w:rPr>
          <w:rFonts w:eastAsiaTheme="majorEastAsia"/>
        </w:rPr>
        <w:t>accessible</w:t>
      </w:r>
      <w:r w:rsidRPr="008B206E">
        <w:rPr>
          <w:rFonts w:eastAsiaTheme="majorEastAsia"/>
        </w:rPr>
        <w:t xml:space="preserve"> connectivity and services</w:t>
      </w:r>
      <w:r>
        <w:rPr>
          <w:rFonts w:eastAsiaTheme="majorEastAsia"/>
        </w:rPr>
        <w:t xml:space="preserve"> that everyone has</w:t>
      </w:r>
      <w:r w:rsidRPr="00F670F5">
        <w:rPr>
          <w:rFonts w:eastAsiaTheme="majorEastAsia"/>
        </w:rPr>
        <w:t xml:space="preserve"> </w:t>
      </w:r>
      <w:r w:rsidRPr="008B206E">
        <w:rPr>
          <w:rFonts w:eastAsiaTheme="majorEastAsia"/>
        </w:rPr>
        <w:t>equal access</w:t>
      </w:r>
      <w:r>
        <w:rPr>
          <w:rFonts w:eastAsiaTheme="majorEastAsia"/>
        </w:rPr>
        <w:t xml:space="preserve"> to</w:t>
      </w:r>
      <w:r w:rsidRPr="008B206E">
        <w:rPr>
          <w:rFonts w:eastAsiaTheme="majorEastAsia"/>
        </w:rPr>
        <w:t>, safe surroundings, economic opportunities and opportunities for leisure. Health</w:t>
      </w:r>
      <w:r>
        <w:rPr>
          <w:rFonts w:eastAsiaTheme="majorEastAsia"/>
        </w:rPr>
        <w:t>-</w:t>
      </w:r>
      <w:r w:rsidRPr="008B206E">
        <w:rPr>
          <w:rFonts w:eastAsiaTheme="majorEastAsia"/>
        </w:rPr>
        <w:t xml:space="preserve">promoting urban environments encourage positive social interaction, especially for people who are socially vulnerable. They provide access to education, employment, recreation, healthy housing, </w:t>
      </w:r>
      <w:r>
        <w:rPr>
          <w:rFonts w:eastAsiaTheme="majorEastAsia"/>
        </w:rPr>
        <w:t>food security</w:t>
      </w:r>
      <w:r w:rsidRPr="008B206E">
        <w:rPr>
          <w:rFonts w:eastAsiaTheme="majorEastAsia"/>
        </w:rPr>
        <w:t xml:space="preserve"> and health</w:t>
      </w:r>
      <w:r>
        <w:rPr>
          <w:rFonts w:eastAsiaTheme="majorEastAsia"/>
        </w:rPr>
        <w:t xml:space="preserve"> </w:t>
      </w:r>
      <w:r w:rsidRPr="008B206E">
        <w:rPr>
          <w:rFonts w:eastAsiaTheme="majorEastAsia"/>
        </w:rPr>
        <w:t xml:space="preserve">care. </w:t>
      </w:r>
      <w:r>
        <w:rPr>
          <w:rFonts w:eastAsiaTheme="majorEastAsia"/>
        </w:rPr>
        <w:t>They also</w:t>
      </w:r>
      <w:r w:rsidRPr="008B206E">
        <w:rPr>
          <w:rFonts w:eastAsiaTheme="majorEastAsia"/>
        </w:rPr>
        <w:t xml:space="preserve"> support people to be physically active and move between the places they live, work and play by using active and public transport modes. People can access locations of community</w:t>
      </w:r>
      <w:r>
        <w:rPr>
          <w:rFonts w:eastAsiaTheme="majorEastAsia"/>
        </w:rPr>
        <w:t>,</w:t>
      </w:r>
      <w:r w:rsidRPr="008B206E">
        <w:rPr>
          <w:rFonts w:eastAsiaTheme="majorEastAsia"/>
        </w:rPr>
        <w:t xml:space="preserve"> cultural </w:t>
      </w:r>
      <w:r>
        <w:rPr>
          <w:rFonts w:eastAsiaTheme="majorEastAsia"/>
        </w:rPr>
        <w:t xml:space="preserve">and environmental </w:t>
      </w:r>
      <w:r w:rsidRPr="008B206E">
        <w:rPr>
          <w:rFonts w:eastAsiaTheme="majorEastAsia"/>
        </w:rPr>
        <w:t>significance. Health</w:t>
      </w:r>
      <w:r>
        <w:rPr>
          <w:rFonts w:eastAsiaTheme="majorEastAsia"/>
        </w:rPr>
        <w:t>-</w:t>
      </w:r>
      <w:r w:rsidRPr="008B206E">
        <w:rPr>
          <w:rFonts w:eastAsiaTheme="majorEastAsia"/>
        </w:rPr>
        <w:t>promoting urban environments</w:t>
      </w:r>
      <w:r>
        <w:rPr>
          <w:rFonts w:eastAsiaTheme="majorEastAsia"/>
        </w:rPr>
        <w:t xml:space="preserve"> minimise harmful impacts of noise and air pollution.</w:t>
      </w:r>
    </w:p>
    <w:p w14:paraId="686BE628" w14:textId="77777777" w:rsidR="00F503A0" w:rsidRPr="008B206E" w:rsidRDefault="00F503A0" w:rsidP="00F503A0">
      <w:pPr>
        <w:rPr>
          <w:rFonts w:eastAsiaTheme="majorEastAsia"/>
        </w:rPr>
      </w:pPr>
    </w:p>
    <w:p w14:paraId="0E697FB3" w14:textId="77777777" w:rsidR="00F503A0" w:rsidRPr="008B206E" w:rsidRDefault="00F503A0" w:rsidP="00F503A0">
      <w:pPr>
        <w:rPr>
          <w:rFonts w:eastAsiaTheme="majorEastAsia"/>
        </w:rPr>
      </w:pPr>
      <w:r w:rsidRPr="008B206E">
        <w:rPr>
          <w:rFonts w:eastAsiaTheme="majorEastAsia"/>
        </w:rPr>
        <w:t>Resilient communities are flexible and able to adapt and change to meet the needs of the community over time, including during challenging events</w:t>
      </w:r>
      <w:r>
        <w:rPr>
          <w:rFonts w:eastAsiaTheme="majorEastAsia"/>
        </w:rPr>
        <w:t xml:space="preserve"> such as </w:t>
      </w:r>
      <w:r w:rsidRPr="008B206E">
        <w:rPr>
          <w:rFonts w:eastAsiaTheme="majorEastAsia"/>
        </w:rPr>
        <w:t xml:space="preserve">climate change. </w:t>
      </w:r>
    </w:p>
    <w:p w14:paraId="0054B07A" w14:textId="77777777" w:rsidR="00F503A0" w:rsidRPr="008B206E" w:rsidRDefault="00F503A0" w:rsidP="00F503A0">
      <w:bookmarkStart w:id="14" w:name="_Toc59453199"/>
    </w:p>
    <w:p w14:paraId="4C02DF82" w14:textId="77777777" w:rsidR="00F503A0" w:rsidRPr="008B206E" w:rsidRDefault="00F503A0" w:rsidP="00F503A0">
      <w:pPr>
        <w:pStyle w:val="Heading1"/>
      </w:pPr>
      <w:bookmarkStart w:id="15" w:name="_Toc110341221"/>
      <w:bookmarkStart w:id="16" w:name="_Toc111131385"/>
      <w:r w:rsidRPr="008B206E">
        <w:lastRenderedPageBreak/>
        <w:t xml:space="preserve">Wai </w:t>
      </w:r>
      <w:proofErr w:type="spellStart"/>
      <w:r>
        <w:t>o</w:t>
      </w:r>
      <w:r w:rsidRPr="008B206E">
        <w:t>ra</w:t>
      </w:r>
      <w:bookmarkEnd w:id="14"/>
      <w:proofErr w:type="spellEnd"/>
      <w:r w:rsidRPr="008B206E">
        <w:t xml:space="preserve"> </w:t>
      </w:r>
      <w:r>
        <w:t xml:space="preserve">– </w:t>
      </w:r>
      <w:r w:rsidRPr="008B206E">
        <w:t>healthy environments</w:t>
      </w:r>
      <w:bookmarkEnd w:id="15"/>
      <w:bookmarkEnd w:id="16"/>
    </w:p>
    <w:p w14:paraId="254557FE" w14:textId="77777777" w:rsidR="00F503A0" w:rsidRPr="008B206E" w:rsidRDefault="00F503A0" w:rsidP="00F503A0">
      <w:r w:rsidRPr="008B206E">
        <w:t xml:space="preserve">The concept of </w:t>
      </w:r>
      <w:proofErr w:type="spellStart"/>
      <w:r>
        <w:t>w</w:t>
      </w:r>
      <w:r w:rsidRPr="008B206E">
        <w:t>ai</w:t>
      </w:r>
      <w:proofErr w:type="spellEnd"/>
      <w:r w:rsidRPr="008B206E">
        <w:t xml:space="preserve"> </w:t>
      </w:r>
      <w:proofErr w:type="spellStart"/>
      <w:r>
        <w:t>o</w:t>
      </w:r>
      <w:r w:rsidRPr="008B206E">
        <w:t>ra</w:t>
      </w:r>
      <w:proofErr w:type="spellEnd"/>
      <w:r w:rsidRPr="008B206E">
        <w:t xml:space="preserve"> (healthy environments) provides a useful </w:t>
      </w:r>
      <w:r>
        <w:t>way of</w:t>
      </w:r>
      <w:r w:rsidRPr="008B206E">
        <w:t xml:space="preserve"> understanding how environments interact with individuals and </w:t>
      </w:r>
      <w:r>
        <w:t>how this interaction</w:t>
      </w:r>
      <w:r w:rsidRPr="008B206E">
        <w:t xml:space="preserve"> impact</w:t>
      </w:r>
      <w:r>
        <w:t>s</w:t>
      </w:r>
      <w:r w:rsidRPr="008B206E">
        <w:t xml:space="preserve"> on health and wellbeing outcomes </w:t>
      </w:r>
      <w:r w:rsidRPr="00A86482">
        <w:rPr>
          <w:noProof/>
        </w:rPr>
        <w:t>(Ministry of Health 2020)</w:t>
      </w:r>
      <w:r w:rsidRPr="008B206E">
        <w:t xml:space="preserve">. Wai </w:t>
      </w:r>
      <w:proofErr w:type="spellStart"/>
      <w:r>
        <w:t>o</w:t>
      </w:r>
      <w:r w:rsidRPr="008B206E">
        <w:t>ra</w:t>
      </w:r>
      <w:proofErr w:type="spellEnd"/>
      <w:r w:rsidRPr="008B206E">
        <w:t xml:space="preserve"> brings together the natural</w:t>
      </w:r>
      <w:r>
        <w:t xml:space="preserve"> environment</w:t>
      </w:r>
      <w:r w:rsidRPr="008B206E">
        <w:t xml:space="preserve"> (</w:t>
      </w:r>
      <w:proofErr w:type="spellStart"/>
      <w:r w:rsidRPr="008B206E">
        <w:t>te</w:t>
      </w:r>
      <w:proofErr w:type="spellEnd"/>
      <w:r w:rsidRPr="008B206E">
        <w:t xml:space="preserve"> </w:t>
      </w:r>
      <w:proofErr w:type="spellStart"/>
      <w:r w:rsidRPr="008B206E">
        <w:t>ao</w:t>
      </w:r>
      <w:proofErr w:type="spellEnd"/>
      <w:r w:rsidRPr="008B206E">
        <w:t xml:space="preserve"> </w:t>
      </w:r>
      <w:proofErr w:type="spellStart"/>
      <w:r w:rsidRPr="008B206E">
        <w:t>hurihuri</w:t>
      </w:r>
      <w:proofErr w:type="spellEnd"/>
      <w:r w:rsidRPr="008B206E">
        <w:t>) and built environment (</w:t>
      </w:r>
      <w:proofErr w:type="spellStart"/>
      <w:r w:rsidRPr="008B206E">
        <w:t>te</w:t>
      </w:r>
      <w:proofErr w:type="spellEnd"/>
      <w:r w:rsidRPr="008B206E">
        <w:t xml:space="preserve"> ao </w:t>
      </w:r>
      <w:proofErr w:type="spellStart"/>
      <w:r w:rsidRPr="008B206E">
        <w:t>tūroa</w:t>
      </w:r>
      <w:proofErr w:type="spellEnd"/>
      <w:r w:rsidRPr="008B206E">
        <w:t xml:space="preserve">), framed by </w:t>
      </w:r>
      <w:proofErr w:type="spellStart"/>
      <w:r w:rsidRPr="008B206E">
        <w:t>te</w:t>
      </w:r>
      <w:proofErr w:type="spellEnd"/>
      <w:r>
        <w:t xml:space="preserve"> </w:t>
      </w:r>
      <w:proofErr w:type="spellStart"/>
      <w:r>
        <w:t>ao</w:t>
      </w:r>
      <w:proofErr w:type="spellEnd"/>
      <w:r>
        <w:t xml:space="preserve"> Māori and </w:t>
      </w:r>
      <w:proofErr w:type="spellStart"/>
      <w:r>
        <w:t>mātauranga</w:t>
      </w:r>
      <w:proofErr w:type="spellEnd"/>
      <w:r>
        <w:t xml:space="preserve"> Māori.</w:t>
      </w:r>
    </w:p>
    <w:p w14:paraId="704D845C" w14:textId="77777777" w:rsidR="00F503A0" w:rsidRPr="008B206E" w:rsidRDefault="00F503A0" w:rsidP="00F503A0"/>
    <w:p w14:paraId="68DBBC80" w14:textId="77777777" w:rsidR="00F503A0" w:rsidRDefault="00F503A0" w:rsidP="00F503A0">
      <w:r w:rsidRPr="008B206E">
        <w:t xml:space="preserve">Wai </w:t>
      </w:r>
      <w:proofErr w:type="spellStart"/>
      <w:r>
        <w:t>o</w:t>
      </w:r>
      <w:r w:rsidRPr="008B206E">
        <w:t>ra</w:t>
      </w:r>
      <w:proofErr w:type="spellEnd"/>
      <w:r w:rsidRPr="008B206E">
        <w:t xml:space="preserve"> encompasses different components and intersections of urban development and environmental health, including </w:t>
      </w:r>
      <w:r>
        <w:t xml:space="preserve">the </w:t>
      </w:r>
      <w:r w:rsidRPr="008B206E">
        <w:t>sustainable management</w:t>
      </w:r>
      <w:r>
        <w:t xml:space="preserve"> of air, land and water</w:t>
      </w:r>
      <w:r w:rsidRPr="008B206E">
        <w:t xml:space="preserve">, food security and cultural identity. </w:t>
      </w:r>
      <w:r>
        <w:t>In particular, it:</w:t>
      </w:r>
    </w:p>
    <w:p w14:paraId="50DB56BC" w14:textId="77777777" w:rsidR="00F503A0" w:rsidRPr="00BB4F49" w:rsidRDefault="00F503A0" w:rsidP="00F503A0">
      <w:pPr>
        <w:pStyle w:val="Bullet"/>
      </w:pPr>
      <w:r>
        <w:t>supports the quality of air and water</w:t>
      </w:r>
    </w:p>
    <w:p w14:paraId="099B5B24" w14:textId="77777777" w:rsidR="00F503A0" w:rsidRDefault="00F503A0" w:rsidP="00F503A0">
      <w:pPr>
        <w:pStyle w:val="Bullet"/>
      </w:pPr>
      <w:r>
        <w:t xml:space="preserve">maintains the value of </w:t>
      </w:r>
      <w:r w:rsidRPr="00B366C3">
        <w:t>amenit</w:t>
      </w:r>
      <w:r>
        <w:t>ies</w:t>
      </w:r>
      <w:r w:rsidRPr="00B366C3">
        <w:t xml:space="preserve"> </w:t>
      </w:r>
      <w:r>
        <w:t xml:space="preserve">such as </w:t>
      </w:r>
      <w:r w:rsidRPr="00B366C3">
        <w:t>cultural and natural environments</w:t>
      </w:r>
      <w:r>
        <w:t xml:space="preserve">, </w:t>
      </w:r>
      <w:r w:rsidRPr="00B366C3">
        <w:t>public spaces and recreation</w:t>
      </w:r>
      <w:r>
        <w:t>al spaces</w:t>
      </w:r>
    </w:p>
    <w:p w14:paraId="28043CAF" w14:textId="77777777" w:rsidR="00F503A0" w:rsidRDefault="00F503A0" w:rsidP="00F503A0">
      <w:pPr>
        <w:pStyle w:val="Bullet"/>
      </w:pPr>
      <w:r>
        <w:t xml:space="preserve">provides for </w:t>
      </w:r>
      <w:r w:rsidRPr="00B366C3">
        <w:t>appropriate land use, zoning and urban form</w:t>
      </w:r>
    </w:p>
    <w:p w14:paraId="4598DFCA" w14:textId="77777777" w:rsidR="00F503A0" w:rsidRDefault="00F503A0" w:rsidP="00F503A0">
      <w:pPr>
        <w:pStyle w:val="Bullet"/>
      </w:pPr>
      <w:r>
        <w:t>manages risks from environmental hazards such as environmental noise and contaminated land</w:t>
      </w:r>
    </w:p>
    <w:p w14:paraId="14CE1689" w14:textId="77777777" w:rsidR="00F503A0" w:rsidRPr="00B366C3" w:rsidRDefault="00F503A0" w:rsidP="00F503A0">
      <w:pPr>
        <w:pStyle w:val="Bullet"/>
      </w:pPr>
      <w:r>
        <w:t xml:space="preserve">provides </w:t>
      </w:r>
      <w:r w:rsidRPr="00B366C3">
        <w:t xml:space="preserve">essential infrastructure </w:t>
      </w:r>
      <w:r>
        <w:t xml:space="preserve">and </w:t>
      </w:r>
      <w:r w:rsidRPr="00B366C3">
        <w:t xml:space="preserve">sanitary works such as drinking-water supplies, sewage disposal </w:t>
      </w:r>
      <w:r>
        <w:t xml:space="preserve">and </w:t>
      </w:r>
      <w:r w:rsidRPr="00B366C3">
        <w:t>waste management</w:t>
      </w:r>
      <w:r>
        <w:t>.</w:t>
      </w:r>
    </w:p>
    <w:p w14:paraId="41434A8E" w14:textId="77777777" w:rsidR="00F503A0" w:rsidRPr="00B366C3" w:rsidRDefault="00F503A0" w:rsidP="00F503A0"/>
    <w:p w14:paraId="4D8FF9AF" w14:textId="77777777" w:rsidR="00F503A0" w:rsidRPr="008B206E" w:rsidRDefault="00F503A0" w:rsidP="00F503A0">
      <w:r w:rsidRPr="008B206E">
        <w:t xml:space="preserve">Wai </w:t>
      </w:r>
      <w:proofErr w:type="spellStart"/>
      <w:r>
        <w:t>o</w:t>
      </w:r>
      <w:r w:rsidRPr="008B206E">
        <w:t>ra</w:t>
      </w:r>
      <w:proofErr w:type="spellEnd"/>
      <w:r w:rsidRPr="008B206E">
        <w:t xml:space="preserve"> </w:t>
      </w:r>
      <w:r>
        <w:t xml:space="preserve">also </w:t>
      </w:r>
      <w:r w:rsidRPr="008B206E">
        <w:t>provides an opportunity for the urban environment to reflect cultural references and practices and</w:t>
      </w:r>
      <w:r>
        <w:t>,</w:t>
      </w:r>
      <w:r w:rsidRPr="008B206E">
        <w:t xml:space="preserve"> through that</w:t>
      </w:r>
      <w:r>
        <w:t>, to</w:t>
      </w:r>
      <w:r w:rsidRPr="008B206E">
        <w:t xml:space="preserve"> improve the mental, social and cultural wellbeing of indigenous and other ethnic populations. For example, appl</w:t>
      </w:r>
      <w:r>
        <w:t>ying</w:t>
      </w:r>
      <w:r w:rsidRPr="008B206E">
        <w:t xml:space="preserve"> </w:t>
      </w:r>
      <w:proofErr w:type="spellStart"/>
      <w:r>
        <w:t>w</w:t>
      </w:r>
      <w:r w:rsidRPr="008B206E">
        <w:t>ai</w:t>
      </w:r>
      <w:proofErr w:type="spellEnd"/>
      <w:r w:rsidRPr="008B206E">
        <w:t xml:space="preserve"> </w:t>
      </w:r>
      <w:proofErr w:type="spellStart"/>
      <w:r>
        <w:t>o</w:t>
      </w:r>
      <w:r w:rsidRPr="008B206E">
        <w:t>ra</w:t>
      </w:r>
      <w:proofErr w:type="spellEnd"/>
      <w:r w:rsidRPr="008B206E">
        <w:t xml:space="preserve"> can enhance </w:t>
      </w:r>
      <w:r>
        <w:t xml:space="preserve">a </w:t>
      </w:r>
      <w:r w:rsidRPr="008B206E">
        <w:t xml:space="preserve">sense of place and </w:t>
      </w:r>
      <w:proofErr w:type="spellStart"/>
      <w:r w:rsidRPr="008B206E">
        <w:t>tūrangawaewae</w:t>
      </w:r>
      <w:proofErr w:type="spellEnd"/>
      <w:r w:rsidRPr="008B206E">
        <w:t xml:space="preserve"> and enable people to understand and experience c</w:t>
      </w:r>
      <w:r>
        <w:t>onnectedness through whakapapa.</w:t>
      </w:r>
    </w:p>
    <w:p w14:paraId="276A8F15" w14:textId="77777777" w:rsidR="00F503A0" w:rsidRPr="008B206E" w:rsidRDefault="00F503A0" w:rsidP="00F503A0"/>
    <w:p w14:paraId="3DFFF0AC" w14:textId="77777777" w:rsidR="00F503A0" w:rsidRPr="008B206E" w:rsidRDefault="00F503A0" w:rsidP="00F503A0">
      <w:pPr>
        <w:pStyle w:val="Heading1"/>
      </w:pPr>
      <w:bookmarkStart w:id="17" w:name="_Toc59453200"/>
      <w:bookmarkStart w:id="18" w:name="_Toc110341222"/>
      <w:bookmarkStart w:id="19" w:name="_Toc111131386"/>
      <w:r w:rsidRPr="008B206E">
        <w:lastRenderedPageBreak/>
        <w:t>Equity</w:t>
      </w:r>
      <w:bookmarkEnd w:id="17"/>
      <w:bookmarkEnd w:id="18"/>
      <w:bookmarkEnd w:id="19"/>
    </w:p>
    <w:p w14:paraId="1EC0BA5F" w14:textId="77777777" w:rsidR="00F503A0" w:rsidRPr="008B206E" w:rsidRDefault="00F503A0" w:rsidP="00F503A0">
      <w:r w:rsidRPr="008B206E">
        <w:t xml:space="preserve">Our urban environments influence how the </w:t>
      </w:r>
      <w:r>
        <w:t xml:space="preserve">socioeconomic </w:t>
      </w:r>
      <w:r w:rsidRPr="008B206E">
        <w:t xml:space="preserve">determinants of health and wellbeing are distributed across population groups. </w:t>
      </w:r>
      <w:r>
        <w:t>Good u</w:t>
      </w:r>
      <w:r w:rsidRPr="008B206E">
        <w:t>rban development can promote equity</w:t>
      </w:r>
      <w:r>
        <w:t xml:space="preserve"> and prevent inequity. As a result, </w:t>
      </w:r>
      <w:r w:rsidRPr="008B206E">
        <w:t xml:space="preserve">environments </w:t>
      </w:r>
      <w:r>
        <w:t xml:space="preserve">do not disadvantage particular </w:t>
      </w:r>
      <w:r w:rsidRPr="008B206E">
        <w:t xml:space="preserve">groups and </w:t>
      </w:r>
      <w:r>
        <w:t xml:space="preserve">so those groups do not in turn experience an </w:t>
      </w:r>
      <w:r w:rsidRPr="008B206E">
        <w:t>unfair burden</w:t>
      </w:r>
      <w:r>
        <w:t xml:space="preserve"> of the</w:t>
      </w:r>
      <w:r w:rsidRPr="008B206E">
        <w:t xml:space="preserve"> determinants </w:t>
      </w:r>
      <w:r>
        <w:t>that contribute to poor</w:t>
      </w:r>
      <w:r w:rsidRPr="008B206E">
        <w:t xml:space="preserve"> </w:t>
      </w:r>
      <w:r>
        <w:t>health.</w:t>
      </w:r>
    </w:p>
    <w:p w14:paraId="62BA97B7" w14:textId="77777777" w:rsidR="00F503A0" w:rsidRPr="008B206E" w:rsidRDefault="00F503A0" w:rsidP="00F503A0"/>
    <w:p w14:paraId="2B5B3314" w14:textId="77777777" w:rsidR="00F503A0" w:rsidRPr="008B206E" w:rsidRDefault="00F503A0" w:rsidP="00F503A0">
      <w:r w:rsidRPr="008B206E">
        <w:t>Equity</w:t>
      </w:r>
      <w:r>
        <w:t>, as</w:t>
      </w:r>
      <w:r w:rsidRPr="008B206E">
        <w:t xml:space="preserve"> one of the principles of </w:t>
      </w:r>
      <w:proofErr w:type="spellStart"/>
      <w:r w:rsidRPr="008B206E">
        <w:t>Te</w:t>
      </w:r>
      <w:proofErr w:type="spellEnd"/>
      <w:r w:rsidRPr="008B206E">
        <w:t xml:space="preserve"> </w:t>
      </w:r>
      <w:proofErr w:type="spellStart"/>
      <w:r w:rsidRPr="008B206E">
        <w:t>Tiriti</w:t>
      </w:r>
      <w:proofErr w:type="spellEnd"/>
      <w:r w:rsidRPr="008B206E">
        <w:t xml:space="preserve"> o Waitangi</w:t>
      </w:r>
      <w:r>
        <w:t>,</w:t>
      </w:r>
      <w:r w:rsidRPr="001A47D4">
        <w:rPr>
          <w:rStyle w:val="FootnoteReference"/>
        </w:rPr>
        <w:footnoteReference w:id="4"/>
      </w:r>
      <w:r w:rsidRPr="008B206E">
        <w:t xml:space="preserve"> requires the Crown to commit to achieving equitable outcomes for Māori. </w:t>
      </w:r>
      <w:r>
        <w:t>To honour this commitment, the Crown must</w:t>
      </w:r>
      <w:r w:rsidRPr="008B206E">
        <w:t xml:space="preserve"> address and eliminat</w:t>
      </w:r>
      <w:r>
        <w:t xml:space="preserve">e </w:t>
      </w:r>
      <w:r w:rsidRPr="008B206E">
        <w:t xml:space="preserve">the </w:t>
      </w:r>
      <w:r>
        <w:t xml:space="preserve">inequities in the </w:t>
      </w:r>
      <w:r w:rsidRPr="008B206E">
        <w:t>determinants of health</w:t>
      </w:r>
      <w:r>
        <w:t xml:space="preserve"> and wellbeing</w:t>
      </w:r>
      <w:r w:rsidRPr="008B206E">
        <w:t xml:space="preserve"> </w:t>
      </w:r>
      <w:r>
        <w:t>for</w:t>
      </w:r>
      <w:r w:rsidRPr="008B206E">
        <w:t xml:space="preserve"> iwi, </w:t>
      </w:r>
      <w:proofErr w:type="spellStart"/>
      <w:r w:rsidRPr="008B206E">
        <w:t>hapū</w:t>
      </w:r>
      <w:proofErr w:type="spellEnd"/>
      <w:r w:rsidRPr="008B206E">
        <w:t xml:space="preserve">, </w:t>
      </w:r>
      <w:proofErr w:type="spellStart"/>
      <w:r w:rsidRPr="008B206E">
        <w:t>whānau</w:t>
      </w:r>
      <w:proofErr w:type="spellEnd"/>
      <w:r w:rsidRPr="008B206E">
        <w:t xml:space="preserve"> and Māori communities.</w:t>
      </w:r>
    </w:p>
    <w:p w14:paraId="64C359CF" w14:textId="77777777" w:rsidR="00F503A0" w:rsidRPr="008B206E" w:rsidRDefault="00F503A0" w:rsidP="00F503A0"/>
    <w:p w14:paraId="35594858" w14:textId="77777777" w:rsidR="00F503A0" w:rsidRPr="008B206E" w:rsidRDefault="00F503A0" w:rsidP="00F503A0">
      <w:r w:rsidRPr="008B206E">
        <w:t xml:space="preserve">In the New Zealand context, </w:t>
      </w:r>
      <w:r>
        <w:t xml:space="preserve">the </w:t>
      </w:r>
      <w:r w:rsidRPr="008B206E">
        <w:t>population groups more likely to experience inequitable health outcomes include Māori, Pacifi</w:t>
      </w:r>
      <w:r>
        <w:t>c peoples</w:t>
      </w:r>
      <w:r w:rsidRPr="008B206E">
        <w:t>,</w:t>
      </w:r>
      <w:r w:rsidRPr="00CD76E7">
        <w:t xml:space="preserve"> </w:t>
      </w:r>
      <w:r w:rsidRPr="008B206E">
        <w:t>communities</w:t>
      </w:r>
      <w:r>
        <w:t xml:space="preserve"> with</w:t>
      </w:r>
      <w:r w:rsidRPr="008B206E">
        <w:t xml:space="preserve"> lower socioeconomic</w:t>
      </w:r>
      <w:r>
        <w:t xml:space="preserve"> status</w:t>
      </w:r>
      <w:r w:rsidRPr="008B206E">
        <w:t xml:space="preserve"> and marginalised groups</w:t>
      </w:r>
      <w:bookmarkStart w:id="20" w:name="_Hlk88830583"/>
      <w:r>
        <w:t xml:space="preserve">. </w:t>
      </w:r>
      <w:bookmarkEnd w:id="20"/>
      <w:r>
        <w:t>Other groups to experience i</w:t>
      </w:r>
      <w:r w:rsidRPr="008B206E">
        <w:t xml:space="preserve">nequities </w:t>
      </w:r>
      <w:r>
        <w:t xml:space="preserve">are </w:t>
      </w:r>
      <w:r w:rsidRPr="008B206E">
        <w:t xml:space="preserve">people with disabilities and </w:t>
      </w:r>
      <w:r>
        <w:t xml:space="preserve">people </w:t>
      </w:r>
      <w:r w:rsidRPr="008B206E">
        <w:t>across certain age groups, geographic locations, gender identities and sexual orientation</w:t>
      </w:r>
      <w:r>
        <w:t>s</w:t>
      </w:r>
      <w:r w:rsidRPr="008B206E">
        <w:t xml:space="preserve"> (LGBTQIA+). </w:t>
      </w:r>
      <w:r>
        <w:t>Each of these groups contains people with their own unique circumstances and all of them can</w:t>
      </w:r>
      <w:r w:rsidRPr="008B206E">
        <w:t xml:space="preserve"> experience layers of disadvantage. </w:t>
      </w:r>
      <w:r>
        <w:t>For this reason, we need to</w:t>
      </w:r>
      <w:r w:rsidRPr="008B206E">
        <w:t xml:space="preserve"> use </w:t>
      </w:r>
      <w:r>
        <w:t xml:space="preserve">an </w:t>
      </w:r>
      <w:r w:rsidRPr="008B206E">
        <w:t>intersectional lens when attempting to understand and promote health equity in the urban context.</w:t>
      </w:r>
    </w:p>
    <w:p w14:paraId="3D393242" w14:textId="77777777" w:rsidR="00F503A0" w:rsidRPr="008B206E" w:rsidRDefault="00F503A0" w:rsidP="00F503A0"/>
    <w:p w14:paraId="5649E318" w14:textId="77777777" w:rsidR="00F503A0" w:rsidRPr="009F055D" w:rsidRDefault="00F503A0" w:rsidP="00F503A0">
      <w:pPr>
        <w:pStyle w:val="Heading2"/>
      </w:pPr>
      <w:bookmarkStart w:id="21" w:name="_Toc110341223"/>
      <w:bookmarkStart w:id="22" w:name="_Toc111131387"/>
      <w:r w:rsidRPr="009F055D">
        <w:t>Equity and the urban environment</w:t>
      </w:r>
      <w:bookmarkEnd w:id="21"/>
      <w:bookmarkEnd w:id="22"/>
    </w:p>
    <w:p w14:paraId="6B99F6BE" w14:textId="77777777" w:rsidR="00F503A0" w:rsidRDefault="00F503A0" w:rsidP="00F503A0">
      <w:r w:rsidRPr="008B206E">
        <w:t>The spatial aspect of equity is linked across all the principles for healthy urban development. Spatial equity</w:t>
      </w:r>
      <w:r>
        <w:t xml:space="preserve"> </w:t>
      </w:r>
      <w:r w:rsidRPr="001A47D4">
        <w:t>– which considers accessibility, needs, fairness and justice in the way we distribute public service facilities in communities – is fundamental</w:t>
      </w:r>
      <w:r w:rsidRPr="008B206E">
        <w:t xml:space="preserve"> </w:t>
      </w:r>
      <w:r>
        <w:t>to</w:t>
      </w:r>
      <w:r w:rsidRPr="008B206E">
        <w:t xml:space="preserve"> creating thriving communities.</w:t>
      </w:r>
    </w:p>
    <w:p w14:paraId="0C9BCDDD" w14:textId="77777777" w:rsidR="00F503A0" w:rsidRDefault="00F503A0" w:rsidP="00F503A0"/>
    <w:p w14:paraId="50354E0F" w14:textId="77777777" w:rsidR="00F503A0" w:rsidRPr="008B206E" w:rsidRDefault="00F503A0" w:rsidP="00F503A0">
      <w:r w:rsidRPr="008B206E">
        <w:t xml:space="preserve">The healthiest, safest and most resilient communities tend to be the wealthiest </w:t>
      </w:r>
      <w:r>
        <w:t>ones</w:t>
      </w:r>
      <w:r w:rsidRPr="008B206E">
        <w:t xml:space="preserve">. For example, the wealthiest communities tend to have lower crime rates than low-income communities. </w:t>
      </w:r>
      <w:r>
        <w:t>Conversely, l</w:t>
      </w:r>
      <w:r w:rsidRPr="008B206E">
        <w:t xml:space="preserve">ow-income communities are more likely to experience health risks due to their immediate environments. </w:t>
      </w:r>
      <w:r>
        <w:t>As just one</w:t>
      </w:r>
      <w:r w:rsidRPr="008B206E">
        <w:t xml:space="preserve"> example, </w:t>
      </w:r>
      <w:r>
        <w:t xml:space="preserve">residents in </w:t>
      </w:r>
      <w:r w:rsidRPr="008B206E">
        <w:t>area</w:t>
      </w:r>
      <w:r>
        <w:t>s</w:t>
      </w:r>
      <w:r w:rsidRPr="008B206E">
        <w:t xml:space="preserve"> </w:t>
      </w:r>
      <w:r>
        <w:t>near</w:t>
      </w:r>
      <w:r w:rsidRPr="008B206E">
        <w:t xml:space="preserve"> motorway</w:t>
      </w:r>
      <w:r>
        <w:t>s are</w:t>
      </w:r>
      <w:r w:rsidRPr="008B206E">
        <w:t xml:space="preserve"> more likely to</w:t>
      </w:r>
      <w:r>
        <w:t xml:space="preserve"> be of lower socioeconomic status and living in these areas increases their exposure to adverse health effects from vehicle emissions and transport noise</w:t>
      </w:r>
      <w:r w:rsidRPr="008B206E">
        <w:t xml:space="preserve">. Similarly, </w:t>
      </w:r>
      <w:r>
        <w:t xml:space="preserve">people on low incomes are more likely to buy </w:t>
      </w:r>
      <w:r w:rsidRPr="008B206E">
        <w:t>low</w:t>
      </w:r>
      <w:r>
        <w:t>-</w:t>
      </w:r>
      <w:r w:rsidRPr="008B206E">
        <w:t>quality housing</w:t>
      </w:r>
      <w:r>
        <w:t xml:space="preserve"> – which is linked with poorer health outcomes –</w:t>
      </w:r>
      <w:r w:rsidRPr="008B206E">
        <w:t xml:space="preserve"> </w:t>
      </w:r>
      <w:r>
        <w:t xml:space="preserve">because it </w:t>
      </w:r>
      <w:r w:rsidRPr="008B206E">
        <w:t xml:space="preserve">is more affordable than housing </w:t>
      </w:r>
      <w:r>
        <w:t>that exceeds minimum standards.</w:t>
      </w:r>
    </w:p>
    <w:p w14:paraId="280066D3" w14:textId="77777777" w:rsidR="00F503A0" w:rsidRPr="008B206E" w:rsidRDefault="00F503A0" w:rsidP="00F503A0"/>
    <w:p w14:paraId="32756A2B" w14:textId="77777777" w:rsidR="00F503A0" w:rsidRPr="008B206E" w:rsidRDefault="00F503A0" w:rsidP="00F503A0">
      <w:pPr>
        <w:keepNext/>
        <w:keepLines/>
      </w:pPr>
      <w:r w:rsidRPr="008B206E">
        <w:lastRenderedPageBreak/>
        <w:t>Healthy</w:t>
      </w:r>
      <w:r w:rsidRPr="001A47D4">
        <w:t xml:space="preserve"> </w:t>
      </w:r>
      <w:r w:rsidRPr="008B206E">
        <w:t xml:space="preserve">urban development practices provide opportunities to improve equity for Māori communities. The migration of Māori from rural </w:t>
      </w:r>
      <w:r>
        <w:t xml:space="preserve">to urban </w:t>
      </w:r>
      <w:r w:rsidRPr="008B206E">
        <w:t xml:space="preserve">areas </w:t>
      </w:r>
      <w:r>
        <w:t xml:space="preserve">in the </w:t>
      </w:r>
      <w:r w:rsidRPr="00817E10">
        <w:t>20</w:t>
      </w:r>
      <w:r w:rsidRPr="006B605B">
        <w:t>th</w:t>
      </w:r>
      <w:r>
        <w:t xml:space="preserve"> century</w:t>
      </w:r>
      <w:r w:rsidRPr="008B206E">
        <w:t xml:space="preserve"> has resulted in significant disadvantages for </w:t>
      </w:r>
      <w:r>
        <w:t>them</w:t>
      </w:r>
      <w:r w:rsidRPr="008B206E">
        <w:t xml:space="preserve">, including lack of employment, inadequate housing, and discrimination </w:t>
      </w:r>
      <w:r w:rsidRPr="00A86482">
        <w:rPr>
          <w:noProof/>
        </w:rPr>
        <w:t>(Ryks</w:t>
      </w:r>
      <w:r>
        <w:rPr>
          <w:noProof/>
        </w:rPr>
        <w:t xml:space="preserve"> et al</w:t>
      </w:r>
      <w:r w:rsidRPr="00A86482">
        <w:rPr>
          <w:noProof/>
        </w:rPr>
        <w:t xml:space="preserve"> 2014)</w:t>
      </w:r>
      <w:r w:rsidRPr="008B206E">
        <w:t xml:space="preserve">. These processes continue to have negative intergenerational impacts </w:t>
      </w:r>
      <w:r>
        <w:t>on Māori equity and wellbeing.</w:t>
      </w:r>
    </w:p>
    <w:p w14:paraId="5D76D254" w14:textId="77777777" w:rsidR="00F503A0" w:rsidRPr="008B206E" w:rsidRDefault="00F503A0" w:rsidP="00F503A0"/>
    <w:p w14:paraId="326FD122" w14:textId="77777777" w:rsidR="00F503A0" w:rsidRPr="008B206E" w:rsidRDefault="00F503A0" w:rsidP="00F503A0">
      <w:r>
        <w:t>However, we can use u</w:t>
      </w:r>
      <w:r w:rsidRPr="008B206E">
        <w:t>rban development to offer a new vision of urban environments</w:t>
      </w:r>
      <w:r>
        <w:t xml:space="preserve">. If that process </w:t>
      </w:r>
      <w:r w:rsidRPr="008B206E">
        <w:t>includes the participation of Māori communities in urban planning and decision-making, that development can better me</w:t>
      </w:r>
      <w:r>
        <w:t>et their needs and aspirations.</w:t>
      </w:r>
    </w:p>
    <w:p w14:paraId="06B6DF6B" w14:textId="77777777" w:rsidR="00F503A0" w:rsidRPr="008B206E" w:rsidRDefault="00F503A0" w:rsidP="00F503A0"/>
    <w:p w14:paraId="30A5CC16" w14:textId="77777777" w:rsidR="00F503A0" w:rsidRPr="008B206E" w:rsidRDefault="00F503A0" w:rsidP="00F503A0">
      <w:pPr>
        <w:rPr>
          <w:rFonts w:eastAsiaTheme="majorEastAsia"/>
        </w:rPr>
      </w:pPr>
      <w:r w:rsidRPr="008B206E">
        <w:t xml:space="preserve">Urban development also provides opportunities for improving equity among other population groups, such as people with disabilities. For example, </w:t>
      </w:r>
      <w:r>
        <w:t xml:space="preserve">Article 9 of the 2016 </w:t>
      </w:r>
      <w:r w:rsidRPr="008B206E">
        <w:t>U</w:t>
      </w:r>
      <w:r>
        <w:t>nited Nations</w:t>
      </w:r>
      <w:r w:rsidRPr="008B206E">
        <w:t xml:space="preserve"> Convention on the Rights of Persons with Disabilities</w:t>
      </w:r>
      <w:r w:rsidRPr="001A47D4">
        <w:rPr>
          <w:rStyle w:val="FootnoteReference"/>
        </w:rPr>
        <w:footnoteReference w:id="5"/>
      </w:r>
      <w:r w:rsidRPr="008B206E">
        <w:t xml:space="preserve"> identifies that the physical environment should respond to a variety of disability access needs, including transportation, buildings, information and communications systems and technologies, and other facilities open to the public. Addressing the physical needs of the disability community is also likely to enhance the wellbeing and equity of other population groups, such as women, parents</w:t>
      </w:r>
      <w:r>
        <w:t xml:space="preserve"> and caregivers,</w:t>
      </w:r>
      <w:r w:rsidRPr="008B206E">
        <w:t xml:space="preserve"> and older people.</w:t>
      </w:r>
    </w:p>
    <w:p w14:paraId="63933504" w14:textId="77777777" w:rsidR="00F503A0" w:rsidRPr="008B206E" w:rsidRDefault="00F503A0" w:rsidP="00F503A0">
      <w:pPr>
        <w:rPr>
          <w:rFonts w:eastAsiaTheme="majorEastAsia"/>
        </w:rPr>
      </w:pPr>
    </w:p>
    <w:p w14:paraId="2165D02B" w14:textId="77777777" w:rsidR="00F503A0" w:rsidRPr="008B206E" w:rsidRDefault="00F503A0" w:rsidP="00F503A0">
      <w:pPr>
        <w:rPr>
          <w:rFonts w:eastAsiaTheme="majorEastAsia"/>
        </w:rPr>
      </w:pPr>
      <w:r>
        <w:rPr>
          <w:rFonts w:eastAsiaTheme="majorEastAsia"/>
        </w:rPr>
        <w:t>By a</w:t>
      </w:r>
      <w:r w:rsidRPr="008B206E">
        <w:rPr>
          <w:rFonts w:eastAsiaTheme="majorEastAsia"/>
        </w:rPr>
        <w:t>ddressing spatial equity across the full spectrum of the urban environment</w:t>
      </w:r>
      <w:r>
        <w:rPr>
          <w:rFonts w:eastAsiaTheme="majorEastAsia"/>
        </w:rPr>
        <w:t>, we</w:t>
      </w:r>
      <w:r w:rsidRPr="008B206E">
        <w:rPr>
          <w:rFonts w:eastAsiaTheme="majorEastAsia"/>
        </w:rPr>
        <w:t xml:space="preserve"> will </w:t>
      </w:r>
      <w:r>
        <w:rPr>
          <w:rFonts w:eastAsiaTheme="majorEastAsia"/>
        </w:rPr>
        <w:t>put into practice</w:t>
      </w:r>
      <w:r w:rsidRPr="008B206E" w:rsidDel="002C6223">
        <w:rPr>
          <w:rFonts w:eastAsiaTheme="majorEastAsia"/>
        </w:rPr>
        <w:t xml:space="preserve"> </w:t>
      </w:r>
      <w:r w:rsidRPr="008B206E">
        <w:rPr>
          <w:rFonts w:eastAsiaTheme="majorEastAsia"/>
        </w:rPr>
        <w:t xml:space="preserve">the equity </w:t>
      </w:r>
      <w:r>
        <w:rPr>
          <w:rFonts w:eastAsiaTheme="majorEastAsia"/>
        </w:rPr>
        <w:t>principle of urban development.</w:t>
      </w:r>
    </w:p>
    <w:p w14:paraId="59EFC2CF" w14:textId="77777777" w:rsidR="00F503A0" w:rsidRPr="008B206E" w:rsidRDefault="00F503A0" w:rsidP="00F503A0">
      <w:pPr>
        <w:rPr>
          <w:rFonts w:eastAsiaTheme="majorEastAsia"/>
        </w:rPr>
      </w:pPr>
    </w:p>
    <w:p w14:paraId="5E115A16" w14:textId="77777777" w:rsidR="00F503A0" w:rsidRPr="008B206E" w:rsidRDefault="00F503A0" w:rsidP="00F503A0">
      <w:pPr>
        <w:pStyle w:val="Heading1"/>
      </w:pPr>
      <w:bookmarkStart w:id="23" w:name="_Toc110341224"/>
      <w:bookmarkStart w:id="24" w:name="_Toc111131388"/>
      <w:r>
        <w:lastRenderedPageBreak/>
        <w:t>Mitigating and adapting to c</w:t>
      </w:r>
      <w:r w:rsidRPr="008B206E">
        <w:t>limate change</w:t>
      </w:r>
      <w:bookmarkEnd w:id="23"/>
      <w:bookmarkEnd w:id="24"/>
    </w:p>
    <w:p w14:paraId="5AB9E47E" w14:textId="77777777" w:rsidR="00F503A0" w:rsidRDefault="00F503A0" w:rsidP="00F503A0">
      <w:r w:rsidRPr="008B206E">
        <w:t xml:space="preserve">Climate change is the biggest health threat facing humanity </w:t>
      </w:r>
      <w:r w:rsidRPr="00A86482">
        <w:rPr>
          <w:noProof/>
        </w:rPr>
        <w:t>(W</w:t>
      </w:r>
      <w:r>
        <w:rPr>
          <w:noProof/>
        </w:rPr>
        <w:t>HO</w:t>
      </w:r>
      <w:r w:rsidRPr="00A86482">
        <w:rPr>
          <w:noProof/>
        </w:rPr>
        <w:t xml:space="preserve"> 2021</w:t>
      </w:r>
      <w:r>
        <w:rPr>
          <w:noProof/>
        </w:rPr>
        <w:t>b</w:t>
      </w:r>
      <w:r w:rsidRPr="00A86482">
        <w:rPr>
          <w:noProof/>
        </w:rPr>
        <w:t>)</w:t>
      </w:r>
      <w:r w:rsidRPr="008B206E">
        <w:t xml:space="preserve">. It will affect the health, equity and livelihoods of our communities and change the environment we live in. </w:t>
      </w:r>
      <w:r w:rsidRPr="008B206E">
        <w:rPr>
          <w:rFonts w:eastAsiaTheme="majorEastAsia"/>
        </w:rPr>
        <w:t xml:space="preserve">The 2021 report </w:t>
      </w:r>
      <w:r>
        <w:rPr>
          <w:rFonts w:eastAsiaTheme="majorEastAsia"/>
        </w:rPr>
        <w:t xml:space="preserve">of the </w:t>
      </w:r>
      <w:r w:rsidRPr="008B206E">
        <w:rPr>
          <w:rFonts w:eastAsiaTheme="majorEastAsia"/>
        </w:rPr>
        <w:t>Intergovernmental Panel on Climate Change</w:t>
      </w:r>
      <w:r>
        <w:rPr>
          <w:rFonts w:eastAsiaTheme="majorEastAsia"/>
        </w:rPr>
        <w:t xml:space="preserve"> (IPCC)</w:t>
      </w:r>
      <w:r w:rsidRPr="008B206E">
        <w:rPr>
          <w:rFonts w:eastAsiaTheme="majorEastAsia"/>
        </w:rPr>
        <w:t xml:space="preserve"> predicts the global surface temperature will continue to increase until at least the mid</w:t>
      </w:r>
      <w:r>
        <w:rPr>
          <w:rFonts w:eastAsiaTheme="majorEastAsia"/>
        </w:rPr>
        <w:t xml:space="preserve">dle of this </w:t>
      </w:r>
      <w:r w:rsidRPr="008B206E">
        <w:rPr>
          <w:rFonts w:eastAsiaTheme="majorEastAsia"/>
        </w:rPr>
        <w:t>century,</w:t>
      </w:r>
      <w:r>
        <w:rPr>
          <w:rFonts w:eastAsiaTheme="majorEastAsia"/>
        </w:rPr>
        <w:t xml:space="preserve"> </w:t>
      </w:r>
      <w:r w:rsidRPr="008B206E">
        <w:rPr>
          <w:rFonts w:eastAsiaTheme="majorEastAsia"/>
        </w:rPr>
        <w:t>which will inevitably lead to</w:t>
      </w:r>
      <w:r>
        <w:rPr>
          <w:rFonts w:eastAsiaTheme="majorEastAsia"/>
        </w:rPr>
        <w:t xml:space="preserve"> </w:t>
      </w:r>
      <w:r w:rsidRPr="008B206E">
        <w:rPr>
          <w:rFonts w:eastAsiaTheme="majorEastAsia"/>
        </w:rPr>
        <w:t>an</w:t>
      </w:r>
      <w:r>
        <w:rPr>
          <w:rFonts w:eastAsiaTheme="majorEastAsia"/>
        </w:rPr>
        <w:t xml:space="preserve"> </w:t>
      </w:r>
      <w:r w:rsidRPr="008B206E">
        <w:rPr>
          <w:rFonts w:eastAsiaTheme="majorEastAsia"/>
        </w:rPr>
        <w:t>increase in the frequency and intensity of heat extremes, marine heatwaves, heavy rainfall,</w:t>
      </w:r>
      <w:r>
        <w:rPr>
          <w:rFonts w:eastAsiaTheme="majorEastAsia"/>
        </w:rPr>
        <w:t xml:space="preserve"> </w:t>
      </w:r>
      <w:r w:rsidRPr="008B206E">
        <w:rPr>
          <w:rFonts w:eastAsiaTheme="majorEastAsia"/>
        </w:rPr>
        <w:t>air pollution,</w:t>
      </w:r>
      <w:r>
        <w:rPr>
          <w:rFonts w:eastAsiaTheme="majorEastAsia"/>
        </w:rPr>
        <w:t xml:space="preserve"> </w:t>
      </w:r>
      <w:r w:rsidRPr="008B206E">
        <w:rPr>
          <w:rFonts w:eastAsiaTheme="majorEastAsia"/>
        </w:rPr>
        <w:t xml:space="preserve">droughts, </w:t>
      </w:r>
      <w:r>
        <w:rPr>
          <w:rFonts w:eastAsiaTheme="majorEastAsia"/>
        </w:rPr>
        <w:t>sea-level rise</w:t>
      </w:r>
      <w:r w:rsidRPr="008B206E">
        <w:rPr>
          <w:rFonts w:eastAsiaTheme="majorEastAsia"/>
        </w:rPr>
        <w:t xml:space="preserve"> and tropical cyclones </w:t>
      </w:r>
      <w:r w:rsidRPr="00A86482">
        <w:rPr>
          <w:rFonts w:eastAsiaTheme="majorEastAsia"/>
          <w:noProof/>
        </w:rPr>
        <w:t>(IPCC 2021)</w:t>
      </w:r>
      <w:r w:rsidRPr="008B206E">
        <w:t>.</w:t>
      </w:r>
    </w:p>
    <w:p w14:paraId="287FA232" w14:textId="77777777" w:rsidR="00F503A0" w:rsidRPr="008B206E" w:rsidRDefault="00F503A0" w:rsidP="00F503A0"/>
    <w:p w14:paraId="437E2BA2" w14:textId="77777777" w:rsidR="00F503A0" w:rsidRPr="008B206E" w:rsidRDefault="00F503A0" w:rsidP="00F503A0">
      <w:r>
        <w:t>In New Zealand, direct</w:t>
      </w:r>
      <w:r w:rsidRPr="008B206E">
        <w:rPr>
          <w:lang w:val="en"/>
        </w:rPr>
        <w:t xml:space="preserve"> health impacts </w:t>
      </w:r>
      <w:r w:rsidRPr="008B206E">
        <w:t>may arise from injuries, illness and deaths associated with extreme weather events</w:t>
      </w:r>
      <w:r w:rsidRPr="008B206E">
        <w:rPr>
          <w:lang w:val="en"/>
        </w:rPr>
        <w:t xml:space="preserve"> such as flooding and storms, fires, extreme temperatures, sea</w:t>
      </w:r>
      <w:r>
        <w:rPr>
          <w:lang w:val="en"/>
        </w:rPr>
        <w:t>-</w:t>
      </w:r>
      <w:r w:rsidRPr="008B206E">
        <w:rPr>
          <w:lang w:val="en"/>
        </w:rPr>
        <w:t xml:space="preserve">level rise and exposure to ultraviolet radiation. Indirect health impacts associated with climate change include increased risk related to water quality, air pollution, land use changes and ecological changes </w:t>
      </w:r>
      <w:r w:rsidRPr="00A86482">
        <w:rPr>
          <w:noProof/>
        </w:rPr>
        <w:t>(Bolton 2018;</w:t>
      </w:r>
      <w:r w:rsidRPr="00A02950">
        <w:rPr>
          <w:noProof/>
        </w:rPr>
        <w:t xml:space="preserve"> </w:t>
      </w:r>
      <w:r w:rsidRPr="00A86482">
        <w:rPr>
          <w:noProof/>
        </w:rPr>
        <w:t>Royal Society of New Zealand 2017</w:t>
      </w:r>
      <w:r>
        <w:rPr>
          <w:noProof/>
        </w:rPr>
        <w:t xml:space="preserve">; </w:t>
      </w:r>
      <w:r w:rsidRPr="00A86482">
        <w:rPr>
          <w:noProof/>
        </w:rPr>
        <w:t>Watts et al 2015)</w:t>
      </w:r>
      <w:r w:rsidRPr="008B206E">
        <w:t>.</w:t>
      </w:r>
    </w:p>
    <w:p w14:paraId="5A5CCD07" w14:textId="77777777" w:rsidR="00F503A0" w:rsidRDefault="00F503A0" w:rsidP="00F503A0"/>
    <w:p w14:paraId="353263F4" w14:textId="77777777" w:rsidR="00F503A0" w:rsidRPr="009F055D" w:rsidRDefault="00F503A0" w:rsidP="00F503A0">
      <w:pPr>
        <w:pStyle w:val="Heading2"/>
      </w:pPr>
      <w:bookmarkStart w:id="25" w:name="_Toc110341225"/>
      <w:bookmarkStart w:id="26" w:name="_Toc111131389"/>
      <w:r w:rsidRPr="009F055D">
        <w:t>Climate change and the urban environment</w:t>
      </w:r>
      <w:bookmarkEnd w:id="25"/>
      <w:bookmarkEnd w:id="26"/>
    </w:p>
    <w:p w14:paraId="69315C62" w14:textId="77777777" w:rsidR="00F503A0" w:rsidRPr="008B206E" w:rsidRDefault="00F503A0" w:rsidP="00F503A0">
      <w:r w:rsidRPr="008B206E">
        <w:t xml:space="preserve">Climate change, health and urban development intersect in many ways. The design of our communities </w:t>
      </w:r>
      <w:r>
        <w:t xml:space="preserve">can </w:t>
      </w:r>
      <w:r w:rsidRPr="008B206E">
        <w:t xml:space="preserve">play an important role </w:t>
      </w:r>
      <w:r>
        <w:t>in</w:t>
      </w:r>
      <w:r w:rsidRPr="008B206E">
        <w:t xml:space="preserve"> both mitigat</w:t>
      </w:r>
      <w:r>
        <w:t>ing</w:t>
      </w:r>
      <w:r w:rsidRPr="008B206E">
        <w:t xml:space="preserve"> the effects of climate change and help</w:t>
      </w:r>
      <w:r>
        <w:t>ing</w:t>
      </w:r>
      <w:r w:rsidRPr="008B206E">
        <w:t xml:space="preserve"> us adapt to its </w:t>
      </w:r>
      <w:r>
        <w:t>effects.</w:t>
      </w:r>
    </w:p>
    <w:p w14:paraId="25B20627" w14:textId="77777777" w:rsidR="00F503A0" w:rsidRPr="008B206E" w:rsidRDefault="00F503A0" w:rsidP="00F503A0"/>
    <w:p w14:paraId="39A2C4E2" w14:textId="77777777" w:rsidR="00F503A0" w:rsidRDefault="00F503A0" w:rsidP="00F503A0">
      <w:r w:rsidRPr="008B206E">
        <w:rPr>
          <w:rFonts w:eastAsiaTheme="majorEastAsia"/>
        </w:rPr>
        <w:t xml:space="preserve">While climate change </w:t>
      </w:r>
      <w:r>
        <w:rPr>
          <w:rFonts w:eastAsiaTheme="majorEastAsia"/>
        </w:rPr>
        <w:t>places</w:t>
      </w:r>
      <w:r w:rsidRPr="008B206E">
        <w:rPr>
          <w:rFonts w:eastAsiaTheme="majorEastAsia"/>
        </w:rPr>
        <w:t xml:space="preserve"> time-sensitive pressures on healthy urban development, it also </w:t>
      </w:r>
      <w:r>
        <w:rPr>
          <w:rFonts w:eastAsiaTheme="majorEastAsia"/>
        </w:rPr>
        <w:t xml:space="preserve">presents </w:t>
      </w:r>
      <w:r w:rsidRPr="008B206E">
        <w:rPr>
          <w:rFonts w:eastAsiaTheme="majorEastAsia"/>
        </w:rPr>
        <w:t>an opportunity to leverage</w:t>
      </w:r>
      <w:r>
        <w:rPr>
          <w:rFonts w:eastAsiaTheme="majorEastAsia"/>
        </w:rPr>
        <w:t xml:space="preserve"> </w:t>
      </w:r>
      <w:r w:rsidRPr="008B206E">
        <w:rPr>
          <w:rFonts w:eastAsiaTheme="majorEastAsia"/>
        </w:rPr>
        <w:t>the</w:t>
      </w:r>
      <w:r>
        <w:rPr>
          <w:rFonts w:eastAsiaTheme="majorEastAsia"/>
        </w:rPr>
        <w:t xml:space="preserve"> </w:t>
      </w:r>
      <w:r w:rsidRPr="008B206E">
        <w:rPr>
          <w:rFonts w:eastAsiaTheme="majorEastAsia"/>
        </w:rPr>
        <w:t>co-benefits of urban development.</w:t>
      </w:r>
      <w:r>
        <w:rPr>
          <w:rFonts w:eastAsiaTheme="majorEastAsia"/>
        </w:rPr>
        <w:t xml:space="preserve"> </w:t>
      </w:r>
      <w:r w:rsidRPr="008B206E">
        <w:t xml:space="preserve">Many </w:t>
      </w:r>
      <w:r>
        <w:t xml:space="preserve">climate change </w:t>
      </w:r>
      <w:r w:rsidRPr="002E746F">
        <w:t xml:space="preserve">mitigation </w:t>
      </w:r>
      <w:r>
        <w:t xml:space="preserve">and adaptation </w:t>
      </w:r>
      <w:r w:rsidRPr="002E746F">
        <w:t>actions</w:t>
      </w:r>
      <w:r w:rsidRPr="008B206E">
        <w:t xml:space="preserve"> </w:t>
      </w:r>
      <w:r>
        <w:t>also lead to</w:t>
      </w:r>
      <w:r w:rsidRPr="008B206E">
        <w:t xml:space="preserve"> health benefits </w:t>
      </w:r>
      <w:r>
        <w:t>for</w:t>
      </w:r>
      <w:r w:rsidRPr="008B206E">
        <w:t xml:space="preserve"> our communities and </w:t>
      </w:r>
      <w:r>
        <w:t>so</w:t>
      </w:r>
      <w:r w:rsidRPr="008B206E">
        <w:t xml:space="preserve"> have the potential to improve equity and health outcomes. For example, improving walking and cycling infrastructure increases physical activity within our communities while also reducing greenhouse gas emissions, improving air quality and increasing opportunities for alternative tran</w:t>
      </w:r>
      <w:r>
        <w:t>sport modes (equitable access).</w:t>
      </w:r>
    </w:p>
    <w:p w14:paraId="3467ED37" w14:textId="77777777" w:rsidR="00F503A0" w:rsidRDefault="00F503A0" w:rsidP="00F503A0"/>
    <w:p w14:paraId="12042C07" w14:textId="77777777" w:rsidR="00F503A0" w:rsidRPr="00F5014B" w:rsidRDefault="00F503A0" w:rsidP="00F503A0">
      <w:pPr>
        <w:keepNext/>
        <w:keepLines/>
      </w:pPr>
      <w:r>
        <w:lastRenderedPageBreak/>
        <w:t xml:space="preserve">Design initiatives that reduce the impacts of heatwaves in urban settings (the heat island effect) have other health benefits. For example, adding shading to streetscapes and playgrounds also reduces the risk of getting sunburned in these areas. Further, increasing green spaces around the city improves mental wellbeing for urban dwellers by providing opportunities for recreation, reducing stress and increasing their contact with nature. Green spaces also have the potential to act as carbon sinks and buffers against city noise (which again reduces stress) </w:t>
      </w:r>
      <w:r w:rsidRPr="00A86482">
        <w:rPr>
          <w:noProof/>
        </w:rPr>
        <w:t>(Jorgensen</w:t>
      </w:r>
      <w:r>
        <w:rPr>
          <w:noProof/>
        </w:rPr>
        <w:t xml:space="preserve"> and Gobster</w:t>
      </w:r>
      <w:r w:rsidRPr="00A86482">
        <w:rPr>
          <w:noProof/>
        </w:rPr>
        <w:t xml:space="preserve"> 2010</w:t>
      </w:r>
      <w:r>
        <w:rPr>
          <w:noProof/>
        </w:rPr>
        <w:t xml:space="preserve">; </w:t>
      </w:r>
      <w:r w:rsidRPr="00A86482">
        <w:rPr>
          <w:noProof/>
        </w:rPr>
        <w:t>Keniger</w:t>
      </w:r>
      <w:r>
        <w:rPr>
          <w:noProof/>
        </w:rPr>
        <w:t xml:space="preserve"> et al</w:t>
      </w:r>
      <w:r w:rsidRPr="00A86482">
        <w:rPr>
          <w:noProof/>
        </w:rPr>
        <w:t xml:space="preserve"> 2013; Konijnendijk</w:t>
      </w:r>
      <w:r>
        <w:rPr>
          <w:noProof/>
        </w:rPr>
        <w:t xml:space="preserve"> van den Bosch et al</w:t>
      </w:r>
      <w:r w:rsidRPr="00A86482">
        <w:rPr>
          <w:noProof/>
        </w:rPr>
        <w:t xml:space="preserve"> 2013;</w:t>
      </w:r>
      <w:r w:rsidRPr="00E57459">
        <w:rPr>
          <w:noProof/>
        </w:rPr>
        <w:t xml:space="preserve"> </w:t>
      </w:r>
      <w:r w:rsidRPr="00A86482">
        <w:rPr>
          <w:noProof/>
        </w:rPr>
        <w:t>Lee</w:t>
      </w:r>
      <w:r>
        <w:rPr>
          <w:noProof/>
        </w:rPr>
        <w:t xml:space="preserve"> and Maheswaran</w:t>
      </w:r>
      <w:r w:rsidRPr="00A86482">
        <w:rPr>
          <w:noProof/>
        </w:rPr>
        <w:t xml:space="preserve"> 2011)</w:t>
      </w:r>
      <w:r>
        <w:t>.</w:t>
      </w:r>
    </w:p>
    <w:p w14:paraId="4519C23D" w14:textId="77777777" w:rsidR="00F503A0" w:rsidRDefault="00F503A0" w:rsidP="00F503A0">
      <w:pPr>
        <w:keepNext/>
        <w:keepLines/>
      </w:pPr>
    </w:p>
    <w:p w14:paraId="083D72C2" w14:textId="77777777" w:rsidR="00F503A0" w:rsidRDefault="00F503A0" w:rsidP="00F503A0">
      <w:r w:rsidRPr="00DD4AF0">
        <w:t xml:space="preserve">Another example of co-benefits </w:t>
      </w:r>
      <w:r>
        <w:t>is where</w:t>
      </w:r>
      <w:r w:rsidRPr="00DD4AF0">
        <w:t xml:space="preserve"> flood management and weather resilience projects reconnect health and climate change thinking. </w:t>
      </w:r>
      <w:r>
        <w:t>Some of these projects use</w:t>
      </w:r>
      <w:r w:rsidRPr="00DD4AF0">
        <w:t xml:space="preserve"> urban wetlands </w:t>
      </w:r>
      <w:r>
        <w:t>to</w:t>
      </w:r>
      <w:r w:rsidRPr="00DD4AF0">
        <w:t xml:space="preserve"> mitigate damage from heavy rains and floods. Similar projects increase access to natural spaces in the city, improve air filtration, improve liveability and may rehabilitate ancestral land through native plants. Managed retreat will support the movement of people and buildings</w:t>
      </w:r>
      <w:r>
        <w:t xml:space="preserve"> away</w:t>
      </w:r>
      <w:r w:rsidRPr="00DD4AF0">
        <w:t xml:space="preserve"> from risks such as coastal erosion, rising sea levels and storm surges that come with deve</w:t>
      </w:r>
      <w:r>
        <w:t>lopment close to the oceanside.</w:t>
      </w:r>
    </w:p>
    <w:p w14:paraId="386832BA" w14:textId="77777777" w:rsidR="00F503A0" w:rsidRPr="00DD4AF0" w:rsidRDefault="00F503A0" w:rsidP="00F503A0"/>
    <w:p w14:paraId="106ED088" w14:textId="77777777" w:rsidR="00F503A0" w:rsidRPr="009F055D" w:rsidRDefault="00F503A0" w:rsidP="00F503A0">
      <w:pPr>
        <w:pStyle w:val="Heading1"/>
      </w:pPr>
      <w:bookmarkStart w:id="27" w:name="_Toc110341226"/>
      <w:bookmarkStart w:id="28" w:name="_Toc111131390"/>
      <w:r w:rsidRPr="009F055D">
        <w:lastRenderedPageBreak/>
        <w:t>Conclusion</w:t>
      </w:r>
      <w:bookmarkEnd w:id="27"/>
      <w:bookmarkEnd w:id="28"/>
    </w:p>
    <w:p w14:paraId="0642A569" w14:textId="77777777" w:rsidR="00F503A0" w:rsidRPr="008B206E" w:rsidRDefault="00F503A0" w:rsidP="00F503A0">
      <w:r w:rsidRPr="008B206E">
        <w:t xml:space="preserve">The principles for healthy urban development highlight </w:t>
      </w:r>
      <w:r>
        <w:t>how</w:t>
      </w:r>
      <w:r w:rsidRPr="008B206E">
        <w:t xml:space="preserve"> </w:t>
      </w:r>
      <w:r>
        <w:t xml:space="preserve">much </w:t>
      </w:r>
      <w:r w:rsidRPr="008B206E">
        <w:t xml:space="preserve">our urban environments </w:t>
      </w:r>
      <w:r>
        <w:t xml:space="preserve">are </w:t>
      </w:r>
      <w:r w:rsidRPr="008B206E">
        <w:t>interconnected</w:t>
      </w:r>
      <w:r>
        <w:t xml:space="preserve"> with</w:t>
      </w:r>
      <w:r w:rsidRPr="008B206E">
        <w:t xml:space="preserve"> population health, wellbeing and equity. Good urban development, planning and design may positively influence public health outcomes and provide opportunitie</w:t>
      </w:r>
      <w:r>
        <w:t>s for public health protection.</w:t>
      </w:r>
    </w:p>
    <w:p w14:paraId="45D062DE" w14:textId="77777777" w:rsidR="00F503A0" w:rsidRDefault="00F503A0" w:rsidP="00F503A0">
      <w:pPr>
        <w:rPr>
          <w:rFonts w:eastAsiaTheme="majorEastAsia"/>
        </w:rPr>
      </w:pPr>
    </w:p>
    <w:p w14:paraId="666DC18D" w14:textId="77777777" w:rsidR="00F503A0" w:rsidRPr="009F055D" w:rsidRDefault="00F503A0" w:rsidP="00F503A0">
      <w:pPr>
        <w:pStyle w:val="AppendixHeading1"/>
        <w:numPr>
          <w:ilvl w:val="0"/>
          <w:numId w:val="45"/>
        </w:numPr>
      </w:pPr>
      <w:bookmarkStart w:id="29" w:name="_Ref110340750"/>
      <w:bookmarkStart w:id="30" w:name="_Toc110341227"/>
      <w:bookmarkStart w:id="31" w:name="_Toc111131391"/>
      <w:r>
        <w:lastRenderedPageBreak/>
        <w:t>:</w:t>
      </w:r>
      <w:r w:rsidRPr="009F055D">
        <w:t xml:space="preserve"> Determinants of health and wellbeing in our environments</w:t>
      </w:r>
      <w:bookmarkEnd w:id="29"/>
      <w:bookmarkEnd w:id="30"/>
      <w:bookmarkEnd w:id="31"/>
    </w:p>
    <w:p w14:paraId="1BA73570" w14:textId="77777777" w:rsidR="00F503A0" w:rsidRPr="00A86482" w:rsidRDefault="00F503A0" w:rsidP="00F503A0">
      <w:r w:rsidRPr="00F5014B">
        <w:t>The determinants of health are a range of personal, social, economic and environmental factors</w:t>
      </w:r>
      <w:r w:rsidRPr="005379C3">
        <w:t xml:space="preserve"> </w:t>
      </w:r>
      <w:r>
        <w:t>at</w:t>
      </w:r>
      <w:r w:rsidRPr="00F5014B">
        <w:t xml:space="preserve"> </w:t>
      </w:r>
      <w:r>
        <w:t>different</w:t>
      </w:r>
      <w:r w:rsidRPr="00A86482">
        <w:t xml:space="preserve"> levels</w:t>
      </w:r>
      <w:r>
        <w:t xml:space="preserve"> </w:t>
      </w:r>
      <w:r w:rsidRPr="00F5014B">
        <w:t xml:space="preserve">that influence health and wellbeing </w:t>
      </w:r>
      <w:r w:rsidRPr="00A86482">
        <w:rPr>
          <w:noProof/>
        </w:rPr>
        <w:t xml:space="preserve">(Dahlgren </w:t>
      </w:r>
      <w:r>
        <w:rPr>
          <w:noProof/>
        </w:rPr>
        <w:t>and</w:t>
      </w:r>
      <w:r w:rsidRPr="00A86482">
        <w:rPr>
          <w:noProof/>
        </w:rPr>
        <w:t xml:space="preserve"> Whitehead 1991)</w:t>
      </w:r>
      <w:r>
        <w:rPr>
          <w:noProof/>
        </w:rPr>
        <w:t>.</w:t>
      </w:r>
      <w:r>
        <w:t xml:space="preserve"> They demonstrate that many different factors outside the health sector and the health system influence health and wellbeing outcomes.</w:t>
      </w:r>
    </w:p>
    <w:p w14:paraId="78B9BCC9" w14:textId="77777777" w:rsidR="00F503A0" w:rsidRDefault="00F503A0" w:rsidP="00F503A0">
      <w:pPr>
        <w:rPr>
          <w:rFonts w:eastAsia="Calibri"/>
        </w:rPr>
      </w:pPr>
    </w:p>
    <w:p w14:paraId="088C6694" w14:textId="77777777" w:rsidR="00F503A0" w:rsidRDefault="00F503A0" w:rsidP="00F503A0">
      <w:r>
        <w:rPr>
          <w:rFonts w:eastAsia="Calibri"/>
        </w:rPr>
        <w:t xml:space="preserve">The socioeconomic determinants of health and wellbeing also highlight how these factors are </w:t>
      </w:r>
      <w:r w:rsidRPr="00F5014B">
        <w:t>interrelat</w:t>
      </w:r>
      <w:r>
        <w:t>ed</w:t>
      </w:r>
      <w:r w:rsidRPr="00F5014B">
        <w:t xml:space="preserve"> </w:t>
      </w:r>
      <w:r>
        <w:t xml:space="preserve">and how we can use them to address </w:t>
      </w:r>
      <w:r w:rsidRPr="00F5014B">
        <w:t>inequities</w:t>
      </w:r>
      <w:r>
        <w:t xml:space="preserve"> in health. For example, improvements in</w:t>
      </w:r>
      <w:r w:rsidRPr="00F5014B">
        <w:t xml:space="preserve"> education, housing and transport are most likely to be effective in improving health and wellbeing and reducing health inequities </w:t>
      </w:r>
      <w:r w:rsidRPr="00A86482">
        <w:rPr>
          <w:noProof/>
        </w:rPr>
        <w:t>(Ministry of Health 2009)</w:t>
      </w:r>
      <w:r w:rsidRPr="00F5014B">
        <w:t>.</w:t>
      </w:r>
      <w:r>
        <w:t xml:space="preserve"> </w:t>
      </w:r>
      <w:r w:rsidRPr="00A86482">
        <w:rPr>
          <w:noProof/>
        </w:rPr>
        <w:t xml:space="preserve">Barton </w:t>
      </w:r>
      <w:r>
        <w:rPr>
          <w:noProof/>
        </w:rPr>
        <w:t>and</w:t>
      </w:r>
      <w:r w:rsidRPr="00A86482">
        <w:rPr>
          <w:noProof/>
        </w:rPr>
        <w:t xml:space="preserve"> Grant </w:t>
      </w:r>
      <w:r>
        <w:rPr>
          <w:noProof/>
        </w:rPr>
        <w:t>(</w:t>
      </w:r>
      <w:r w:rsidRPr="00A86482">
        <w:rPr>
          <w:noProof/>
        </w:rPr>
        <w:t>2006</w:t>
      </w:r>
      <w:r>
        <w:rPr>
          <w:noProof/>
        </w:rPr>
        <w:t>) have also applied t</w:t>
      </w:r>
      <w:r>
        <w:t>he determinants of health and wellbeing framework to an environmental context (</w:t>
      </w:r>
      <w:r>
        <w:fldChar w:fldCharType="begin"/>
      </w:r>
      <w:r>
        <w:instrText xml:space="preserve"> REF _Ref110340801 \h </w:instrText>
      </w:r>
      <w:r>
        <w:fldChar w:fldCharType="separate"/>
      </w:r>
      <w:r w:rsidR="00231CCF">
        <w:t>Figure </w:t>
      </w:r>
      <w:r w:rsidR="00231CCF">
        <w:rPr>
          <w:noProof/>
        </w:rPr>
        <w:t>2</w:t>
      </w:r>
      <w:r>
        <w:fldChar w:fldCharType="end"/>
      </w:r>
      <w:r w:rsidRPr="00A86482">
        <w:rPr>
          <w:noProof/>
        </w:rPr>
        <w:t>)</w:t>
      </w:r>
      <w:r>
        <w:t>.</w:t>
      </w:r>
    </w:p>
    <w:p w14:paraId="0D48037A" w14:textId="77777777" w:rsidR="00F503A0" w:rsidRDefault="00F503A0" w:rsidP="00F503A0"/>
    <w:p w14:paraId="1EBA0C48" w14:textId="77777777" w:rsidR="00F503A0" w:rsidRPr="002F4B2D" w:rsidRDefault="00F503A0" w:rsidP="00F503A0">
      <w:pPr>
        <w:pStyle w:val="Figure"/>
      </w:pPr>
      <w:bookmarkStart w:id="32" w:name="_Ref110340801"/>
      <w:bookmarkStart w:id="33" w:name="_Toc110341231"/>
      <w:bookmarkStart w:id="34" w:name="_Toc110578587"/>
      <w:r>
        <w:lastRenderedPageBreak/>
        <w:t>Figure </w:t>
      </w:r>
      <w:r w:rsidR="00E16FCE">
        <w:fldChar w:fldCharType="begin"/>
      </w:r>
      <w:r w:rsidR="00E16FCE">
        <w:instrText xml:space="preserve"> SEQ Figure \* ARABIC </w:instrText>
      </w:r>
      <w:r w:rsidR="00E16FCE">
        <w:fldChar w:fldCharType="separate"/>
      </w:r>
      <w:r w:rsidR="00231CCF">
        <w:rPr>
          <w:noProof/>
        </w:rPr>
        <w:t>2</w:t>
      </w:r>
      <w:r w:rsidR="00E16FCE">
        <w:rPr>
          <w:noProof/>
        </w:rPr>
        <w:fldChar w:fldCharType="end"/>
      </w:r>
      <w:bookmarkEnd w:id="32"/>
      <w:r>
        <w:t>: Determinants of health and wellbeing in our neighbourhoods</w:t>
      </w:r>
      <w:bookmarkEnd w:id="33"/>
      <w:bookmarkEnd w:id="34"/>
    </w:p>
    <w:p w14:paraId="6275D908" w14:textId="77777777" w:rsidR="00F503A0" w:rsidRDefault="00F503A0" w:rsidP="00F503A0">
      <w:r w:rsidRPr="002F4B2D">
        <w:rPr>
          <w:noProof/>
          <w:lang w:eastAsia="en-NZ"/>
        </w:rPr>
        <w:drawing>
          <wp:inline distT="0" distB="0" distL="0" distR="0" wp14:anchorId="2D2CF7F7" wp14:editId="51C1BB16">
            <wp:extent cx="4047214" cy="4018570"/>
            <wp:effectExtent l="0" t="0" r="0" b="1270"/>
            <wp:docPr id="5" name="Picture 3" descr="Circle diagram with people at the centre and the natural environment and global ecosystem around the perimeter.">
              <a:extLst xmlns:a="http://schemas.openxmlformats.org/drawingml/2006/main">
                <a:ext uri="{FF2B5EF4-FFF2-40B4-BE49-F238E27FC236}">
                  <a16:creationId xmlns:a16="http://schemas.microsoft.com/office/drawing/2014/main" id="{69893179-6713-4FF4-8985-94A9110C14E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descr="Circle diagram with people at the centre and the natural environment and global ecosystem around the perimeter.">
                      <a:extLst>
                        <a:ext uri="{FF2B5EF4-FFF2-40B4-BE49-F238E27FC236}">
                          <a16:creationId xmlns:a16="http://schemas.microsoft.com/office/drawing/2014/main" id="{69893179-6713-4FF4-8985-94A9110C14E8}"/>
                        </a:ext>
                      </a:extLst>
                    </pic:cNvPr>
                    <pic:cNvPicPr>
                      <a:picLocks noChangeAspect="1"/>
                    </pic:cNvPicPr>
                  </pic:nvPicPr>
                  <pic:blipFill rotWithShape="1">
                    <a:blip r:embed="rId22">
                      <a:extLst>
                        <a:ext uri="{28A0092B-C50C-407E-A947-70E740481C1C}">
                          <a14:useLocalDpi xmlns:a14="http://schemas.microsoft.com/office/drawing/2010/main" val="0"/>
                        </a:ext>
                      </a:extLst>
                    </a:blip>
                    <a:srcRect l="10858"/>
                    <a:stretch/>
                  </pic:blipFill>
                  <pic:spPr bwMode="auto">
                    <a:xfrm>
                      <a:off x="0" y="0"/>
                      <a:ext cx="4055321" cy="4026620"/>
                    </a:xfrm>
                    <a:prstGeom prst="rect">
                      <a:avLst/>
                    </a:prstGeom>
                    <a:ln>
                      <a:noFill/>
                    </a:ln>
                    <a:extLst>
                      <a:ext uri="{53640926-AAD7-44D8-BBD7-CCE9431645EC}">
                        <a14:shadowObscured xmlns:a14="http://schemas.microsoft.com/office/drawing/2010/main"/>
                      </a:ext>
                    </a:extLst>
                  </pic:spPr>
                </pic:pic>
              </a:graphicData>
            </a:graphic>
          </wp:inline>
        </w:drawing>
      </w:r>
    </w:p>
    <w:p w14:paraId="5E13EE8E" w14:textId="77777777" w:rsidR="00F503A0" w:rsidRDefault="00F503A0" w:rsidP="00F503A0">
      <w:pPr>
        <w:pStyle w:val="Source"/>
      </w:pPr>
      <w:r>
        <w:t>Source: Barton and Grant (2006)</w:t>
      </w:r>
    </w:p>
    <w:p w14:paraId="3DB3B7F2" w14:textId="77777777" w:rsidR="00F503A0" w:rsidRDefault="00F503A0" w:rsidP="00F503A0"/>
    <w:p w14:paraId="32A48A25" w14:textId="77777777" w:rsidR="00F503A0" w:rsidRPr="009F055D" w:rsidRDefault="00F503A0" w:rsidP="00F503A0">
      <w:pPr>
        <w:pStyle w:val="Heading1"/>
      </w:pPr>
      <w:bookmarkStart w:id="35" w:name="_Toc110341228"/>
      <w:bookmarkStart w:id="36" w:name="_Toc111131392"/>
      <w:r w:rsidRPr="009F055D">
        <w:lastRenderedPageBreak/>
        <w:t>Glossary</w:t>
      </w:r>
      <w:bookmarkEnd w:id="35"/>
      <w:bookmarkEnd w:id="36"/>
    </w:p>
    <w:p w14:paraId="6D546F00" w14:textId="77777777" w:rsidR="00F503A0" w:rsidRPr="00255643" w:rsidRDefault="00F503A0" w:rsidP="00F503A0">
      <w:pPr>
        <w:spacing w:before="180"/>
      </w:pPr>
      <w:r>
        <w:rPr>
          <w:rFonts w:cs="Segoe UI"/>
          <w:b/>
          <w:bCs/>
        </w:rPr>
        <w:t>Disability-adjusted life-years (DALY).</w:t>
      </w:r>
      <w:r w:rsidRPr="00255643">
        <w:t xml:space="preserve"> </w:t>
      </w:r>
      <w:r w:rsidRPr="00F3435F">
        <w:t>One DALY</w:t>
      </w:r>
      <w:r>
        <w:t xml:space="preserve"> </w:t>
      </w:r>
      <w:r w:rsidRPr="00F3435F">
        <w:t>represents the loss of the equivalent of one year of full health. DALYs for a disease or health condition are the sum of the years of life lost to due to premature mortality (YLLs) and the years lived with a disability (YLDs) due to prevalent cases of the disease or health condition in a population</w:t>
      </w:r>
      <w:r>
        <w:t xml:space="preserve"> </w:t>
      </w:r>
      <w:r>
        <w:rPr>
          <w:noProof/>
        </w:rPr>
        <w:t>(WHO 2021a)</w:t>
      </w:r>
      <w:r>
        <w:t>.</w:t>
      </w:r>
    </w:p>
    <w:p w14:paraId="5B3350BA" w14:textId="77777777" w:rsidR="00F503A0" w:rsidRPr="001B0822" w:rsidRDefault="00F503A0" w:rsidP="00F503A0">
      <w:pPr>
        <w:spacing w:before="180"/>
        <w:rPr>
          <w:rFonts w:cs="Segoe UI"/>
          <w:iCs/>
        </w:rPr>
      </w:pPr>
      <w:r w:rsidRPr="000814F3">
        <w:rPr>
          <w:rFonts w:cs="Segoe UI"/>
          <w:b/>
          <w:bCs/>
        </w:rPr>
        <w:t>Equity.</w:t>
      </w:r>
      <w:r w:rsidRPr="000814F3">
        <w:rPr>
          <w:rFonts w:cs="Segoe UI"/>
        </w:rPr>
        <w:t xml:space="preserve"> The </w:t>
      </w:r>
      <w:r w:rsidRPr="001B0822">
        <w:rPr>
          <w:rFonts w:cs="Segoe UI"/>
        </w:rPr>
        <w:t xml:space="preserve">Ministry of Health </w:t>
      </w:r>
      <w:r>
        <w:rPr>
          <w:rFonts w:cs="Segoe UI"/>
        </w:rPr>
        <w:t>(2009, p 7)</w:t>
      </w:r>
      <w:r w:rsidRPr="001B0822">
        <w:rPr>
          <w:rFonts w:cs="Segoe UI"/>
        </w:rPr>
        <w:t xml:space="preserve"> defin</w:t>
      </w:r>
      <w:r>
        <w:rPr>
          <w:rFonts w:cs="Segoe UI"/>
        </w:rPr>
        <w:t xml:space="preserve">es </w:t>
      </w:r>
      <w:r w:rsidRPr="001B0822">
        <w:rPr>
          <w:rFonts w:cs="Segoe UI"/>
        </w:rPr>
        <w:t>equity i</w:t>
      </w:r>
      <w:r>
        <w:rPr>
          <w:rFonts w:cs="Segoe UI"/>
        </w:rPr>
        <w:t>n this way</w:t>
      </w:r>
      <w:r w:rsidRPr="001B0822">
        <w:rPr>
          <w:rFonts w:cs="Segoe UI"/>
        </w:rPr>
        <w:t xml:space="preserve">: </w:t>
      </w:r>
      <w:r>
        <w:rPr>
          <w:rFonts w:cs="Segoe UI"/>
        </w:rPr>
        <w:t>‘</w:t>
      </w:r>
      <w:r w:rsidRPr="001B0822" w:rsidDel="008A10D1">
        <w:rPr>
          <w:rFonts w:cs="Segoe UI"/>
          <w:iCs/>
        </w:rPr>
        <w:t>In Aotearoa New Zealand, people have differences in health that are not only avoidable but unfair and unjust. Equity recognises different people with different levels of advantage require different approaches and resources to get equitable health outcomes.</w:t>
      </w:r>
      <w:r>
        <w:rPr>
          <w:rFonts w:cs="Segoe UI"/>
          <w:iCs/>
        </w:rPr>
        <w:t>’</w:t>
      </w:r>
      <w:r w:rsidRPr="001B0822">
        <w:rPr>
          <w:rFonts w:cs="Segoe UI"/>
          <w:iCs/>
        </w:rPr>
        <w:t xml:space="preserve"> </w:t>
      </w:r>
      <w:r w:rsidRPr="001B0822">
        <w:rPr>
          <w:rFonts w:cs="Segoe UI"/>
          <w:szCs w:val="22"/>
          <w:shd w:val="clear" w:color="auto" w:fill="FFFFFF"/>
        </w:rPr>
        <w:t>The World Health Organization defines equity as the absence of avoidable or remediable differences among groups of people. The concept acknowledges that not only are differences in health status unfair and unjust, but they are also the result of differential access to the resources necessary for people to lead healthy lives</w:t>
      </w:r>
      <w:r w:rsidRPr="001B0822">
        <w:rPr>
          <w:rFonts w:cs="Segoe UI"/>
          <w:shd w:val="clear" w:color="auto" w:fill="FFFFFF"/>
        </w:rPr>
        <w:t>.</w:t>
      </w:r>
      <w:r w:rsidRPr="00255643">
        <w:rPr>
          <w:rStyle w:val="FootnoteReference"/>
        </w:rPr>
        <w:footnoteReference w:id="6"/>
      </w:r>
    </w:p>
    <w:p w14:paraId="5AACE7FB" w14:textId="77777777" w:rsidR="00F503A0" w:rsidRPr="00255643" w:rsidRDefault="00F503A0" w:rsidP="00F503A0">
      <w:pPr>
        <w:spacing w:before="180"/>
      </w:pPr>
      <w:r w:rsidRPr="001B0822">
        <w:rPr>
          <w:rFonts w:cs="Segoe UI"/>
          <w:b/>
          <w:bCs/>
        </w:rPr>
        <w:t>Environmental health</w:t>
      </w:r>
      <w:r w:rsidRPr="001B0822">
        <w:rPr>
          <w:rFonts w:cs="Segoe UI"/>
          <w:shd w:val="clear" w:color="auto" w:fill="FFFFFF"/>
        </w:rPr>
        <w:t xml:space="preserve"> </w:t>
      </w:r>
      <w:r w:rsidRPr="009571CC">
        <w:rPr>
          <w:rFonts w:cs="Segoe UI"/>
          <w:shd w:val="clear" w:color="auto" w:fill="FFFFFF"/>
        </w:rPr>
        <w:t>examines the interaction between the environment and our health</w:t>
      </w:r>
      <w:r>
        <w:rPr>
          <w:rFonts w:cs="Segoe UI"/>
          <w:shd w:val="clear" w:color="auto" w:fill="FFFFFF"/>
        </w:rPr>
        <w:t xml:space="preserve"> and wellbeing.</w:t>
      </w:r>
      <w:r w:rsidRPr="001B0822">
        <w:rPr>
          <w:rFonts w:cs="Segoe UI"/>
        </w:rPr>
        <w:t xml:space="preserve"> </w:t>
      </w:r>
      <w:r w:rsidRPr="001B0822">
        <w:rPr>
          <w:rFonts w:cs="Segoe UI"/>
          <w:shd w:val="clear" w:color="auto" w:fill="FFFFFF"/>
        </w:rPr>
        <w:t>The environment can impact on our health and wellbeing</w:t>
      </w:r>
      <w:r>
        <w:rPr>
          <w:rFonts w:cs="Segoe UI"/>
          <w:shd w:val="clear" w:color="auto" w:fill="FFFFFF"/>
        </w:rPr>
        <w:t xml:space="preserve"> both</w:t>
      </w:r>
      <w:r w:rsidRPr="001B0822">
        <w:rPr>
          <w:rFonts w:cs="Segoe UI"/>
          <w:shd w:val="clear" w:color="auto" w:fill="FFFFFF"/>
        </w:rPr>
        <w:t xml:space="preserve"> directly and indirectly.</w:t>
      </w:r>
    </w:p>
    <w:p w14:paraId="364C5E0D" w14:textId="77777777" w:rsidR="00F503A0" w:rsidRPr="000814F3" w:rsidRDefault="00F503A0" w:rsidP="00F503A0">
      <w:pPr>
        <w:spacing w:before="180"/>
      </w:pPr>
      <w:r w:rsidRPr="000814F3">
        <w:rPr>
          <w:b/>
          <w:bCs/>
        </w:rPr>
        <w:t>Infectious disease</w:t>
      </w:r>
      <w:r>
        <w:rPr>
          <w:b/>
          <w:bCs/>
        </w:rPr>
        <w:t>s</w:t>
      </w:r>
      <w:r w:rsidRPr="000814F3">
        <w:t xml:space="preserve"> (also known as communicable diseases</w:t>
      </w:r>
      <w:r>
        <w:t>)</w:t>
      </w:r>
      <w:r w:rsidRPr="000814F3">
        <w:t xml:space="preserve"> are disease</w:t>
      </w:r>
      <w:r>
        <w:t>s</w:t>
      </w:r>
      <w:r w:rsidRPr="000814F3">
        <w:t xml:space="preserve"> that can spread from one person to another</w:t>
      </w:r>
      <w:r>
        <w:t>,</w:t>
      </w:r>
      <w:r w:rsidRPr="000814F3">
        <w:t xml:space="preserve"> such as the common flu </w:t>
      </w:r>
      <w:r>
        <w:t>and</w:t>
      </w:r>
      <w:r w:rsidRPr="000814F3">
        <w:t xml:space="preserve"> the more recent COVID</w:t>
      </w:r>
      <w:r>
        <w:noBreakHyphen/>
      </w:r>
      <w:r w:rsidRPr="000814F3">
        <w:t>19. They are caused by micro</w:t>
      </w:r>
      <w:r>
        <w:t>-</w:t>
      </w:r>
      <w:r w:rsidRPr="000814F3">
        <w:t xml:space="preserve">organisms such as bacteria, viruses, parasites and fungi. Some are transmitted through bites from insects while others are caused by ingesting contaminated water or food </w:t>
      </w:r>
      <w:r w:rsidRPr="00A86482">
        <w:rPr>
          <w:noProof/>
        </w:rPr>
        <w:t>(WHO 2020)</w:t>
      </w:r>
      <w:r w:rsidRPr="000814F3">
        <w:t>.</w:t>
      </w:r>
    </w:p>
    <w:p w14:paraId="2AC0F8B5" w14:textId="77777777" w:rsidR="00F503A0" w:rsidRPr="00255643" w:rsidRDefault="00F503A0" w:rsidP="00F503A0">
      <w:pPr>
        <w:spacing w:before="180"/>
      </w:pPr>
      <w:r w:rsidRPr="003E1416">
        <w:rPr>
          <w:rFonts w:cs="Segoe UI"/>
          <w:b/>
          <w:bCs/>
          <w:szCs w:val="18"/>
        </w:rPr>
        <w:t>Intersectionality</w:t>
      </w:r>
      <w:r w:rsidRPr="00797DDA">
        <w:rPr>
          <w:rFonts w:cs="Segoe UI"/>
          <w:szCs w:val="18"/>
        </w:rPr>
        <w:t xml:space="preserve"> refers to the interconnected nature of social characteristics, </w:t>
      </w:r>
      <w:proofErr w:type="spellStart"/>
      <w:r w:rsidRPr="00797DDA">
        <w:rPr>
          <w:rFonts w:cs="Segoe UI"/>
          <w:szCs w:val="18"/>
        </w:rPr>
        <w:t>eg</w:t>
      </w:r>
      <w:proofErr w:type="spellEnd"/>
      <w:r w:rsidRPr="00797DDA">
        <w:rPr>
          <w:rFonts w:cs="Segoe UI"/>
          <w:szCs w:val="18"/>
        </w:rPr>
        <w:t xml:space="preserve">, gender, race, sexual orientation, income </w:t>
      </w:r>
      <w:r>
        <w:rPr>
          <w:rFonts w:cs="Segoe UI"/>
          <w:szCs w:val="18"/>
        </w:rPr>
        <w:t>and</w:t>
      </w:r>
      <w:r w:rsidRPr="00797DDA">
        <w:rPr>
          <w:rFonts w:cs="Segoe UI"/>
          <w:szCs w:val="18"/>
        </w:rPr>
        <w:t xml:space="preserve"> education, and how these characteristics apply to a certain population group or individual.</w:t>
      </w:r>
    </w:p>
    <w:p w14:paraId="48120561" w14:textId="77777777" w:rsidR="00F503A0" w:rsidRDefault="00F503A0" w:rsidP="00F503A0">
      <w:pPr>
        <w:spacing w:before="180"/>
        <w:rPr>
          <w:rFonts w:cs="Segoe UI"/>
        </w:rPr>
      </w:pPr>
      <w:r>
        <w:rPr>
          <w:rFonts w:cs="Segoe UI"/>
          <w:b/>
          <w:bCs/>
        </w:rPr>
        <w:t>Kaupapa Māori</w:t>
      </w:r>
      <w:r>
        <w:t xml:space="preserve"> guarantees the validity and legitimacy of Māori ways of knowing, being and doing. </w:t>
      </w:r>
      <w:r w:rsidRPr="003030D3">
        <w:rPr>
          <w:rFonts w:cs="Segoe UI"/>
        </w:rPr>
        <w:t>Kaupapa Māori approaches to research is both a theory and method of contextual analysis of research which involves Māori, and of the approaches to research with, by and/or for Māori.</w:t>
      </w:r>
    </w:p>
    <w:p w14:paraId="76653AF8" w14:textId="77777777" w:rsidR="00F503A0" w:rsidRDefault="00F503A0" w:rsidP="00F503A0">
      <w:pPr>
        <w:spacing w:before="180"/>
        <w:rPr>
          <w:rFonts w:cs="Segoe UI"/>
          <w:b/>
          <w:bCs/>
        </w:rPr>
      </w:pPr>
      <w:r w:rsidRPr="003E1416">
        <w:rPr>
          <w:rFonts w:cs="Segoe UI"/>
          <w:b/>
          <w:bCs/>
        </w:rPr>
        <w:t>LGBTQIA+</w:t>
      </w:r>
      <w:r w:rsidRPr="003E1416">
        <w:rPr>
          <w:rFonts w:cs="Segoe UI"/>
          <w:szCs w:val="18"/>
        </w:rPr>
        <w:t xml:space="preserve"> </w:t>
      </w:r>
      <w:r w:rsidRPr="00797DDA">
        <w:rPr>
          <w:rFonts w:cs="Segoe UI"/>
          <w:szCs w:val="18"/>
        </w:rPr>
        <w:t>describe</w:t>
      </w:r>
      <w:r>
        <w:rPr>
          <w:rFonts w:cs="Segoe UI"/>
          <w:szCs w:val="18"/>
        </w:rPr>
        <w:t>s</w:t>
      </w:r>
      <w:r w:rsidRPr="00797DDA">
        <w:rPr>
          <w:rFonts w:cs="Segoe UI"/>
          <w:szCs w:val="18"/>
        </w:rPr>
        <w:t xml:space="preserve"> people who identify as lesbian, gay, bisexual, transgender and intersex etc.</w:t>
      </w:r>
    </w:p>
    <w:p w14:paraId="2494290B" w14:textId="77777777" w:rsidR="00F503A0" w:rsidRPr="000814F3" w:rsidRDefault="00F503A0" w:rsidP="00F503A0">
      <w:pPr>
        <w:spacing w:before="180"/>
        <w:rPr>
          <w:rFonts w:cs="Segoe UI"/>
        </w:rPr>
      </w:pPr>
      <w:r>
        <w:rPr>
          <w:rFonts w:cs="Segoe UI"/>
          <w:b/>
          <w:bCs/>
        </w:rPr>
        <w:t>Long-term conditions</w:t>
      </w:r>
      <w:r w:rsidRPr="000814F3">
        <w:rPr>
          <w:rFonts w:cs="Segoe UI"/>
        </w:rPr>
        <w:t xml:space="preserve">, also known as </w:t>
      </w:r>
      <w:r>
        <w:rPr>
          <w:rFonts w:cs="Segoe UI"/>
        </w:rPr>
        <w:t xml:space="preserve">non-communicable diseases or </w:t>
      </w:r>
      <w:r w:rsidRPr="000814F3">
        <w:rPr>
          <w:rFonts w:cs="Segoe UI"/>
        </w:rPr>
        <w:t xml:space="preserve">chronic diseases, are not contagious and cannot be </w:t>
      </w:r>
      <w:r>
        <w:rPr>
          <w:rFonts w:cs="Segoe UI"/>
        </w:rPr>
        <w:t xml:space="preserve">transmitted </w:t>
      </w:r>
      <w:r w:rsidRPr="000814F3">
        <w:rPr>
          <w:rFonts w:cs="Segoe UI"/>
        </w:rPr>
        <w:t xml:space="preserve">from one person to another. Major groups of </w:t>
      </w:r>
      <w:r>
        <w:rPr>
          <w:rFonts w:cs="Segoe UI"/>
        </w:rPr>
        <w:t>long-term conditions</w:t>
      </w:r>
      <w:r w:rsidRPr="000814F3">
        <w:rPr>
          <w:rFonts w:cs="Segoe UI"/>
        </w:rPr>
        <w:t xml:space="preserve"> include: cardiovascular diseases, such as heart attacks and strokes; cancers; chronic respiratory diseases, such as chronic obstructive pulmonary disease and asthma</w:t>
      </w:r>
      <w:r>
        <w:rPr>
          <w:rFonts w:cs="Segoe UI"/>
        </w:rPr>
        <w:t>;</w:t>
      </w:r>
      <w:r w:rsidRPr="000814F3">
        <w:rPr>
          <w:rFonts w:cs="Segoe UI"/>
        </w:rPr>
        <w:t xml:space="preserve"> and diabetes.</w:t>
      </w:r>
    </w:p>
    <w:p w14:paraId="62F742AA" w14:textId="77777777" w:rsidR="00F503A0" w:rsidRDefault="00F503A0" w:rsidP="00F503A0">
      <w:pPr>
        <w:keepNext/>
        <w:keepLines/>
        <w:spacing w:before="180"/>
        <w:rPr>
          <w:rFonts w:cs="Segoe UI"/>
        </w:rPr>
      </w:pPr>
      <w:proofErr w:type="spellStart"/>
      <w:r w:rsidRPr="004B5795">
        <w:rPr>
          <w:rFonts w:cs="Segoe UI"/>
          <w:b/>
          <w:bCs/>
        </w:rPr>
        <w:lastRenderedPageBreak/>
        <w:t>Mātauranga</w:t>
      </w:r>
      <w:proofErr w:type="spellEnd"/>
      <w:r w:rsidRPr="004B5795">
        <w:rPr>
          <w:rFonts w:cs="Segoe UI"/>
          <w:b/>
          <w:bCs/>
        </w:rPr>
        <w:t xml:space="preserve"> Māori</w:t>
      </w:r>
      <w:r w:rsidRPr="008B206E">
        <w:rPr>
          <w:rFonts w:cs="Segoe UI"/>
        </w:rPr>
        <w:t xml:space="preserve"> refers to the ancestral knowledge of the indigenous culture in a continuously changing world.</w:t>
      </w:r>
    </w:p>
    <w:p w14:paraId="42C57263" w14:textId="77777777" w:rsidR="00F503A0" w:rsidRPr="0015527D" w:rsidRDefault="00F503A0" w:rsidP="00F503A0">
      <w:pPr>
        <w:spacing w:before="180"/>
        <w:rPr>
          <w:rFonts w:cs="Segoe UI"/>
        </w:rPr>
      </w:pPr>
      <w:r w:rsidRPr="000814F3">
        <w:rPr>
          <w:rFonts w:cs="Segoe UI"/>
          <w:b/>
          <w:bCs/>
        </w:rPr>
        <w:t>Mental wellbeing</w:t>
      </w:r>
      <w:r w:rsidRPr="0034220A">
        <w:t xml:space="preserve"> means being able to adapt and cope with life and life’s challenges and feeling that your life has meaning, as well as experiencing feelings of contentment or general happiness</w:t>
      </w:r>
      <w:r>
        <w:t>.</w:t>
      </w:r>
    </w:p>
    <w:p w14:paraId="2BC218C2" w14:textId="77777777" w:rsidR="00F503A0" w:rsidRPr="00950F6C" w:rsidRDefault="00F503A0" w:rsidP="00F503A0">
      <w:pPr>
        <w:spacing w:before="180"/>
        <w:rPr>
          <w:rFonts w:cs="Segoe UI"/>
        </w:rPr>
      </w:pPr>
      <w:proofErr w:type="spellStart"/>
      <w:r w:rsidRPr="000814F3">
        <w:rPr>
          <w:rFonts w:cs="Segoe UI"/>
          <w:b/>
          <w:bCs/>
        </w:rPr>
        <w:t>Pae</w:t>
      </w:r>
      <w:proofErr w:type="spellEnd"/>
      <w:r w:rsidRPr="000814F3">
        <w:rPr>
          <w:rFonts w:cs="Segoe UI"/>
          <w:b/>
          <w:bCs/>
        </w:rPr>
        <w:t xml:space="preserve"> </w:t>
      </w:r>
      <w:proofErr w:type="spellStart"/>
      <w:r w:rsidRPr="000814F3">
        <w:rPr>
          <w:rFonts w:cs="Segoe UI"/>
          <w:b/>
          <w:bCs/>
        </w:rPr>
        <w:t>ora</w:t>
      </w:r>
      <w:proofErr w:type="spellEnd"/>
      <w:r w:rsidRPr="000814F3">
        <w:rPr>
          <w:rFonts w:cs="Segoe UI"/>
        </w:rPr>
        <w:t xml:space="preserve"> (healthy futures for Māori) is the overall aim of He Korowai </w:t>
      </w:r>
      <w:proofErr w:type="spellStart"/>
      <w:r w:rsidRPr="000814F3">
        <w:rPr>
          <w:rFonts w:cs="Segoe UI"/>
        </w:rPr>
        <w:t>Oranga</w:t>
      </w:r>
      <w:proofErr w:type="spellEnd"/>
      <w:r>
        <w:rPr>
          <w:rFonts w:cs="Segoe UI"/>
        </w:rPr>
        <w:t>,</w:t>
      </w:r>
      <w:r w:rsidRPr="000814F3">
        <w:rPr>
          <w:rFonts w:cs="Segoe UI"/>
        </w:rPr>
        <w:t xml:space="preserve"> New Zealand’s Māori Health Strategy, </w:t>
      </w:r>
      <w:r w:rsidRPr="00950F6C">
        <w:rPr>
          <w:rFonts w:cs="Segoe UI"/>
        </w:rPr>
        <w:t>which is the framework that guides the Government and the health and disability system to achieve the best health outcomes for Māori.</w:t>
      </w:r>
    </w:p>
    <w:p w14:paraId="503C8751" w14:textId="77777777" w:rsidR="00F503A0" w:rsidRPr="00950F6C" w:rsidRDefault="00F503A0" w:rsidP="00F503A0">
      <w:pPr>
        <w:spacing w:before="180"/>
        <w:rPr>
          <w:rFonts w:cs="Segoe UI"/>
        </w:rPr>
      </w:pPr>
      <w:r w:rsidRPr="00950F6C">
        <w:rPr>
          <w:rFonts w:cs="Segoe UI"/>
          <w:b/>
          <w:bCs/>
        </w:rPr>
        <w:t>Public health</w:t>
      </w:r>
      <w:r w:rsidRPr="00950F6C">
        <w:rPr>
          <w:rFonts w:cs="Segoe UI"/>
          <w:shd w:val="clear" w:color="auto" w:fill="FFFFFF"/>
        </w:rPr>
        <w:t xml:space="preserve"> protects the community from health risks and threats, prevents illness and promotes health and wellbeing across the whole population or population groups. Public health focuses on groups of people rather than individuals</w:t>
      </w:r>
      <w:r>
        <w:rPr>
          <w:rFonts w:cs="Segoe UI"/>
          <w:shd w:val="clear" w:color="auto" w:fill="FFFFFF"/>
        </w:rPr>
        <w:t>.</w:t>
      </w:r>
    </w:p>
    <w:p w14:paraId="3D201B26" w14:textId="77777777" w:rsidR="00F503A0" w:rsidRPr="00255643" w:rsidRDefault="00F503A0" w:rsidP="00F503A0">
      <w:pPr>
        <w:spacing w:before="180"/>
      </w:pPr>
      <w:r w:rsidRPr="00950F6C">
        <w:rPr>
          <w:b/>
          <w:bCs/>
        </w:rPr>
        <w:t>Spatial equity</w:t>
      </w:r>
      <w:r w:rsidRPr="00950F6C">
        <w:rPr>
          <w:b/>
          <w:bCs/>
          <w:i/>
          <w:iCs/>
        </w:rPr>
        <w:t xml:space="preserve"> </w:t>
      </w:r>
      <w:r w:rsidRPr="00950F6C">
        <w:rPr>
          <w:shd w:val="clear" w:color="auto" w:fill="FFFFFF"/>
        </w:rPr>
        <w:t>considers accessibility, needs, fairness and justice in the geographic distribution of public service facilities in communities. For example</w:t>
      </w:r>
      <w:r w:rsidRPr="00255643">
        <w:t>, reserves, recreational facilities, public transport, schools and health care facilities should be allocated in an equitable manner with special consideration for the needs of population groups that have been systematically under-served.</w:t>
      </w:r>
    </w:p>
    <w:p w14:paraId="13BE49CA" w14:textId="77777777" w:rsidR="00F503A0" w:rsidRDefault="00F503A0" w:rsidP="00F503A0">
      <w:pPr>
        <w:spacing w:before="180"/>
        <w:rPr>
          <w:rFonts w:cs="Segoe UI"/>
        </w:rPr>
      </w:pPr>
      <w:proofErr w:type="spellStart"/>
      <w:r>
        <w:rPr>
          <w:rFonts w:cs="Segoe UI"/>
          <w:b/>
          <w:bCs/>
        </w:rPr>
        <w:t>Te</w:t>
      </w:r>
      <w:proofErr w:type="spellEnd"/>
      <w:r>
        <w:rPr>
          <w:rFonts w:cs="Segoe UI"/>
          <w:b/>
          <w:bCs/>
        </w:rPr>
        <w:t xml:space="preserve"> </w:t>
      </w:r>
      <w:proofErr w:type="spellStart"/>
      <w:r>
        <w:rPr>
          <w:rFonts w:cs="Segoe UI"/>
          <w:b/>
          <w:bCs/>
        </w:rPr>
        <w:t>ao</w:t>
      </w:r>
      <w:proofErr w:type="spellEnd"/>
      <w:r>
        <w:rPr>
          <w:rFonts w:cs="Segoe UI"/>
          <w:b/>
          <w:bCs/>
        </w:rPr>
        <w:t xml:space="preserve"> </w:t>
      </w:r>
      <w:proofErr w:type="spellStart"/>
      <w:r>
        <w:rPr>
          <w:rFonts w:cs="Segoe UI"/>
          <w:b/>
          <w:bCs/>
        </w:rPr>
        <w:t>hurihuri</w:t>
      </w:r>
      <w:proofErr w:type="spellEnd"/>
      <w:r>
        <w:rPr>
          <w:rFonts w:cs="Segoe UI"/>
          <w:b/>
          <w:bCs/>
        </w:rPr>
        <w:t xml:space="preserve"> </w:t>
      </w:r>
      <w:r>
        <w:rPr>
          <w:rFonts w:cs="Segoe UI"/>
        </w:rPr>
        <w:t>is the</w:t>
      </w:r>
      <w:r w:rsidRPr="008F2913">
        <w:rPr>
          <w:rFonts w:cs="Segoe UI"/>
        </w:rPr>
        <w:t xml:space="preserve"> changing or evolving environment</w:t>
      </w:r>
      <w:r>
        <w:rPr>
          <w:rFonts w:cs="Segoe UI"/>
        </w:rPr>
        <w:t>,</w:t>
      </w:r>
      <w:r w:rsidRPr="008F2913">
        <w:rPr>
          <w:rFonts w:cs="Segoe UI"/>
        </w:rPr>
        <w:t xml:space="preserve"> including social development, climate change and built environments.</w:t>
      </w:r>
    </w:p>
    <w:p w14:paraId="06217AB7" w14:textId="77777777" w:rsidR="00F503A0" w:rsidRPr="008F2913" w:rsidRDefault="00F503A0" w:rsidP="00F503A0">
      <w:pPr>
        <w:spacing w:before="180"/>
        <w:rPr>
          <w:rFonts w:cs="Segoe UI"/>
        </w:rPr>
      </w:pPr>
      <w:proofErr w:type="spellStart"/>
      <w:r w:rsidRPr="004B5795">
        <w:rPr>
          <w:rFonts w:cs="Segoe UI"/>
          <w:b/>
          <w:bCs/>
        </w:rPr>
        <w:t>Te</w:t>
      </w:r>
      <w:proofErr w:type="spellEnd"/>
      <w:r w:rsidRPr="004B5795">
        <w:rPr>
          <w:rFonts w:cs="Segoe UI"/>
          <w:b/>
          <w:bCs/>
        </w:rPr>
        <w:t xml:space="preserve"> </w:t>
      </w:r>
      <w:proofErr w:type="spellStart"/>
      <w:r w:rsidRPr="004B5795">
        <w:rPr>
          <w:rFonts w:cs="Segoe UI"/>
          <w:b/>
          <w:bCs/>
        </w:rPr>
        <w:t>ao</w:t>
      </w:r>
      <w:proofErr w:type="spellEnd"/>
      <w:r w:rsidRPr="004B5795">
        <w:rPr>
          <w:rFonts w:cs="Segoe UI"/>
          <w:b/>
          <w:bCs/>
        </w:rPr>
        <w:t xml:space="preserve"> Māori</w:t>
      </w:r>
      <w:r w:rsidRPr="008B206E">
        <w:rPr>
          <w:rFonts w:cs="Segoe UI"/>
        </w:rPr>
        <w:t xml:space="preserve"> recognises the interconnectedness of all living and non-living things. It understands our environment as a holistic </w:t>
      </w:r>
      <w:r>
        <w:rPr>
          <w:rFonts w:cs="Segoe UI"/>
        </w:rPr>
        <w:t>ecosystem.</w:t>
      </w:r>
    </w:p>
    <w:p w14:paraId="4D6D7806" w14:textId="77777777" w:rsidR="00F503A0" w:rsidRPr="00A2077B" w:rsidRDefault="00F503A0" w:rsidP="00F503A0">
      <w:pPr>
        <w:spacing w:before="180"/>
        <w:rPr>
          <w:rFonts w:cs="Segoe UI"/>
        </w:rPr>
      </w:pPr>
      <w:proofErr w:type="spellStart"/>
      <w:r>
        <w:rPr>
          <w:rFonts w:cs="Segoe UI"/>
          <w:b/>
          <w:bCs/>
        </w:rPr>
        <w:t>Te</w:t>
      </w:r>
      <w:proofErr w:type="spellEnd"/>
      <w:r>
        <w:rPr>
          <w:rFonts w:cs="Segoe UI"/>
          <w:b/>
          <w:bCs/>
        </w:rPr>
        <w:t xml:space="preserve"> </w:t>
      </w:r>
      <w:proofErr w:type="spellStart"/>
      <w:r>
        <w:rPr>
          <w:rFonts w:cs="Segoe UI"/>
          <w:b/>
          <w:bCs/>
        </w:rPr>
        <w:t>ao</w:t>
      </w:r>
      <w:proofErr w:type="spellEnd"/>
      <w:r>
        <w:rPr>
          <w:rFonts w:cs="Segoe UI"/>
          <w:b/>
          <w:bCs/>
        </w:rPr>
        <w:t xml:space="preserve"> </w:t>
      </w:r>
      <w:proofErr w:type="spellStart"/>
      <w:r>
        <w:rPr>
          <w:rFonts w:cs="Segoe UI"/>
          <w:b/>
          <w:bCs/>
        </w:rPr>
        <w:t>tūroa</w:t>
      </w:r>
      <w:proofErr w:type="spellEnd"/>
      <w:r>
        <w:rPr>
          <w:rFonts w:cs="Segoe UI"/>
          <w:b/>
          <w:bCs/>
        </w:rPr>
        <w:t xml:space="preserve"> </w:t>
      </w:r>
      <w:r>
        <w:rPr>
          <w:rFonts w:cs="Segoe UI"/>
        </w:rPr>
        <w:t>is the</w:t>
      </w:r>
      <w:r w:rsidRPr="004832AE">
        <w:rPr>
          <w:rFonts w:cs="Segoe UI"/>
        </w:rPr>
        <w:t xml:space="preserve"> enduring natural environment that was established after the separation of </w:t>
      </w:r>
      <w:proofErr w:type="spellStart"/>
      <w:r w:rsidRPr="004832AE">
        <w:rPr>
          <w:rFonts w:cs="Segoe UI"/>
        </w:rPr>
        <w:t>Ranginui</w:t>
      </w:r>
      <w:proofErr w:type="spellEnd"/>
      <w:r w:rsidRPr="004832AE">
        <w:rPr>
          <w:rFonts w:cs="Segoe UI"/>
        </w:rPr>
        <w:t xml:space="preserve"> and </w:t>
      </w:r>
      <w:proofErr w:type="spellStart"/>
      <w:r w:rsidRPr="004832AE">
        <w:rPr>
          <w:rFonts w:cs="Segoe UI"/>
        </w:rPr>
        <w:t>Papatūānuku</w:t>
      </w:r>
      <w:proofErr w:type="spellEnd"/>
      <w:r w:rsidRPr="004832AE">
        <w:rPr>
          <w:rFonts w:cs="Segoe UI"/>
        </w:rPr>
        <w:t>.</w:t>
      </w:r>
    </w:p>
    <w:p w14:paraId="7BA26B32" w14:textId="77777777" w:rsidR="00F503A0" w:rsidRPr="000609EC" w:rsidRDefault="00F503A0" w:rsidP="00F503A0">
      <w:pPr>
        <w:spacing w:before="180"/>
        <w:rPr>
          <w:rFonts w:cs="Segoe UI"/>
        </w:rPr>
      </w:pPr>
      <w:proofErr w:type="spellStart"/>
      <w:r>
        <w:rPr>
          <w:rFonts w:cs="Segoe UI"/>
          <w:b/>
          <w:bCs/>
        </w:rPr>
        <w:t>Tūrangawaewae</w:t>
      </w:r>
      <w:proofErr w:type="spellEnd"/>
      <w:r>
        <w:rPr>
          <w:rFonts w:cs="Segoe UI"/>
          <w:b/>
          <w:bCs/>
        </w:rPr>
        <w:t xml:space="preserve"> </w:t>
      </w:r>
      <w:r>
        <w:rPr>
          <w:rFonts w:cs="Segoe UI"/>
        </w:rPr>
        <w:t>is a place where one has the right to stand. It is a place of belonging through kinship and whakapapa.</w:t>
      </w:r>
    </w:p>
    <w:p w14:paraId="20F76862" w14:textId="77777777" w:rsidR="00F503A0" w:rsidRDefault="00F503A0" w:rsidP="00F503A0">
      <w:pPr>
        <w:spacing w:before="180"/>
        <w:rPr>
          <w:rFonts w:cs="Segoe UI"/>
        </w:rPr>
      </w:pPr>
      <w:r w:rsidRPr="000814F3">
        <w:rPr>
          <w:rFonts w:cs="Segoe UI"/>
          <w:b/>
          <w:bCs/>
        </w:rPr>
        <w:t xml:space="preserve">Wai </w:t>
      </w:r>
      <w:proofErr w:type="spellStart"/>
      <w:r w:rsidRPr="000814F3">
        <w:rPr>
          <w:rFonts w:cs="Segoe UI"/>
          <w:b/>
          <w:bCs/>
        </w:rPr>
        <w:t>ora</w:t>
      </w:r>
      <w:proofErr w:type="spellEnd"/>
      <w:r>
        <w:rPr>
          <w:rFonts w:cs="Segoe UI"/>
          <w:b/>
          <w:bCs/>
        </w:rPr>
        <w:t xml:space="preserve"> (healthy environments)</w:t>
      </w:r>
      <w:r>
        <w:rPr>
          <w:rFonts w:cs="Segoe UI"/>
        </w:rPr>
        <w:t xml:space="preserve"> is part of </w:t>
      </w:r>
      <w:proofErr w:type="spellStart"/>
      <w:r>
        <w:rPr>
          <w:rFonts w:cs="Segoe UI"/>
        </w:rPr>
        <w:t>pae</w:t>
      </w:r>
      <w:proofErr w:type="spellEnd"/>
      <w:r>
        <w:rPr>
          <w:rFonts w:cs="Segoe UI"/>
        </w:rPr>
        <w:t xml:space="preserve"> </w:t>
      </w:r>
      <w:proofErr w:type="spellStart"/>
      <w:r>
        <w:rPr>
          <w:rFonts w:cs="Segoe UI"/>
        </w:rPr>
        <w:t>ora</w:t>
      </w:r>
      <w:proofErr w:type="spellEnd"/>
      <w:r>
        <w:rPr>
          <w:rFonts w:cs="Segoe UI"/>
        </w:rPr>
        <w:t xml:space="preserve"> and provides a useful lens for understanding how environments interact with individuals and the impact this has on health and wellbeing outcomes. Wai </w:t>
      </w:r>
      <w:proofErr w:type="spellStart"/>
      <w:r>
        <w:rPr>
          <w:rFonts w:cs="Segoe UI"/>
        </w:rPr>
        <w:t>ora</w:t>
      </w:r>
      <w:proofErr w:type="spellEnd"/>
      <w:r>
        <w:rPr>
          <w:rFonts w:cs="Segoe UI"/>
        </w:rPr>
        <w:t xml:space="preserve"> reflects t</w:t>
      </w:r>
      <w:r w:rsidRPr="005C0843">
        <w:rPr>
          <w:rFonts w:cs="Segoe UI"/>
        </w:rPr>
        <w:t xml:space="preserve">he significance of the lived environment and its impact on the health and wellbeing of </w:t>
      </w:r>
      <w:proofErr w:type="spellStart"/>
      <w:r w:rsidRPr="005C0843">
        <w:rPr>
          <w:rFonts w:cs="Segoe UI"/>
        </w:rPr>
        <w:t>whānau</w:t>
      </w:r>
      <w:proofErr w:type="spellEnd"/>
      <w:r w:rsidRPr="005C0843">
        <w:rPr>
          <w:rFonts w:cs="Segoe UI"/>
        </w:rPr>
        <w:t xml:space="preserve">, </w:t>
      </w:r>
      <w:proofErr w:type="spellStart"/>
      <w:r w:rsidRPr="005C0843">
        <w:rPr>
          <w:rFonts w:cs="Segoe UI"/>
        </w:rPr>
        <w:t>hapū</w:t>
      </w:r>
      <w:proofErr w:type="spellEnd"/>
      <w:r w:rsidRPr="005C0843">
        <w:rPr>
          <w:rFonts w:cs="Segoe UI"/>
        </w:rPr>
        <w:t xml:space="preserve">, iwi </w:t>
      </w:r>
      <w:r w:rsidRPr="00517A85">
        <w:rPr>
          <w:rFonts w:cs="Segoe UI"/>
        </w:rPr>
        <w:t>and communities</w:t>
      </w:r>
      <w:r>
        <w:rPr>
          <w:rFonts w:cs="Segoe UI"/>
        </w:rPr>
        <w:t xml:space="preserve"> (Ministry of Health 2020).</w:t>
      </w:r>
    </w:p>
    <w:p w14:paraId="4E6C3DF5" w14:textId="77777777" w:rsidR="00F503A0" w:rsidRDefault="00F503A0" w:rsidP="00F503A0">
      <w:pPr>
        <w:spacing w:before="180"/>
        <w:rPr>
          <w:rFonts w:cs="Segoe UI"/>
        </w:rPr>
      </w:pPr>
      <w:r>
        <w:rPr>
          <w:rFonts w:cs="Segoe UI"/>
          <w:b/>
          <w:bCs/>
        </w:rPr>
        <w:t xml:space="preserve">Whakapapa </w:t>
      </w:r>
      <w:r>
        <w:rPr>
          <w:rFonts w:cs="Segoe UI"/>
        </w:rPr>
        <w:t>is c</w:t>
      </w:r>
      <w:r w:rsidRPr="009E4DC9">
        <w:rPr>
          <w:rFonts w:cs="Segoe UI"/>
        </w:rPr>
        <w:t xml:space="preserve">ommonly referred to as genealogy but </w:t>
      </w:r>
      <w:r>
        <w:rPr>
          <w:rFonts w:cs="Segoe UI"/>
        </w:rPr>
        <w:t xml:space="preserve">the concept </w:t>
      </w:r>
      <w:r w:rsidRPr="009E4DC9">
        <w:rPr>
          <w:rFonts w:cs="Segoe UI"/>
        </w:rPr>
        <w:t>also includes the contemporary, historical</w:t>
      </w:r>
      <w:r>
        <w:rPr>
          <w:rFonts w:cs="Segoe UI"/>
        </w:rPr>
        <w:t>, spiritual</w:t>
      </w:r>
      <w:r w:rsidRPr="009E4DC9">
        <w:rPr>
          <w:rFonts w:cs="Segoe UI"/>
        </w:rPr>
        <w:t xml:space="preserve"> and mythological aspects of heritage.</w:t>
      </w:r>
    </w:p>
    <w:p w14:paraId="2991CF59" w14:textId="77777777" w:rsidR="00F503A0" w:rsidRDefault="00F503A0" w:rsidP="00F503A0"/>
    <w:p w14:paraId="59CC6006" w14:textId="77777777" w:rsidR="00F503A0" w:rsidRDefault="00F503A0" w:rsidP="00F503A0">
      <w:pPr>
        <w:pStyle w:val="Heading1"/>
      </w:pPr>
      <w:bookmarkStart w:id="37" w:name="_Toc110341229"/>
      <w:bookmarkStart w:id="38" w:name="_Toc111131393"/>
      <w:r>
        <w:lastRenderedPageBreak/>
        <w:t>References</w:t>
      </w:r>
      <w:bookmarkEnd w:id="37"/>
      <w:bookmarkEnd w:id="38"/>
    </w:p>
    <w:p w14:paraId="108CA617" w14:textId="77777777" w:rsidR="00F503A0" w:rsidRDefault="00F503A0" w:rsidP="00F503A0">
      <w:pPr>
        <w:pStyle w:val="References"/>
      </w:pPr>
      <w:r>
        <w:t xml:space="preserve">Barton H, Grant M. 2006. A health map for the local human habitat. </w:t>
      </w:r>
      <w:r w:rsidRPr="001576A3">
        <w:rPr>
          <w:i/>
        </w:rPr>
        <w:t>Journal of the Royal Society for the Promotion of Health</w:t>
      </w:r>
      <w:r>
        <w:t xml:space="preserve"> 252–3.</w:t>
      </w:r>
    </w:p>
    <w:p w14:paraId="7ECC8702" w14:textId="77777777" w:rsidR="00F503A0" w:rsidRDefault="00F503A0" w:rsidP="00F503A0">
      <w:pPr>
        <w:pStyle w:val="References"/>
      </w:pPr>
      <w:r>
        <w:t xml:space="preserve">Blakely T, Simmers D. 2011. </w:t>
      </w:r>
      <w:r w:rsidRPr="001576A3">
        <w:rPr>
          <w:i/>
        </w:rPr>
        <w:t>Fact and Action Sheets on Health Inequities</w:t>
      </w:r>
      <w:r>
        <w:t>. New Zealand Medical Association.</w:t>
      </w:r>
    </w:p>
    <w:p w14:paraId="076462F2" w14:textId="77777777" w:rsidR="00F503A0" w:rsidRDefault="00F503A0" w:rsidP="00F503A0">
      <w:pPr>
        <w:pStyle w:val="References"/>
      </w:pPr>
      <w:r>
        <w:t xml:space="preserve">Bolton A. 2018. </w:t>
      </w:r>
      <w:r w:rsidRPr="001576A3">
        <w:rPr>
          <w:i/>
        </w:rPr>
        <w:t>Climate Change and Environmental Health</w:t>
      </w:r>
      <w:r>
        <w:t>. Christchurch: ESR.</w:t>
      </w:r>
    </w:p>
    <w:p w14:paraId="3134A446" w14:textId="77777777" w:rsidR="00F503A0" w:rsidRDefault="00F503A0" w:rsidP="00F503A0">
      <w:pPr>
        <w:pStyle w:val="References"/>
      </w:pPr>
      <w:r>
        <w:t xml:space="preserve">Dahlgren G, Whitehead M. 1991. What can be done about inequalities in health? </w:t>
      </w:r>
      <w:r w:rsidRPr="001576A3">
        <w:rPr>
          <w:i/>
        </w:rPr>
        <w:t>Lancet</w:t>
      </w:r>
      <w:r>
        <w:t xml:space="preserve"> 338(8774): 1059–63.</w:t>
      </w:r>
    </w:p>
    <w:p w14:paraId="4B8EDA69" w14:textId="77777777" w:rsidR="00F503A0" w:rsidRDefault="00F503A0" w:rsidP="00F503A0">
      <w:pPr>
        <w:pStyle w:val="References"/>
      </w:pPr>
      <w:r>
        <w:t xml:space="preserve">EHINZ. 2021a. </w:t>
      </w:r>
      <w:r w:rsidRPr="001576A3">
        <w:rPr>
          <w:i/>
        </w:rPr>
        <w:t>Environmental Health Indicators: Urban-rural profile</w:t>
      </w:r>
      <w:r>
        <w:t xml:space="preserve">. URL: </w:t>
      </w:r>
      <w:hyperlink r:id="rId23" w:anchor="most-people-live-in-main-urban-areas" w:history="1">
        <w:r w:rsidRPr="005136B9">
          <w:rPr>
            <w:rStyle w:val="Hyperlink"/>
          </w:rPr>
          <w:t>www.ehinz.ac.nz/indicators/population-vulnerability/urbanrural-profile/#most-people-live-in-main-urban-areas</w:t>
        </w:r>
      </w:hyperlink>
      <w:r>
        <w:t xml:space="preserve"> (accessed 18 July 2022).</w:t>
      </w:r>
    </w:p>
    <w:p w14:paraId="425DC4D6" w14:textId="77777777" w:rsidR="00F503A0" w:rsidRDefault="00F503A0" w:rsidP="00F503A0">
      <w:pPr>
        <w:pStyle w:val="References"/>
      </w:pPr>
      <w:r>
        <w:t xml:space="preserve">IPCC. 2021. </w:t>
      </w:r>
      <w:r w:rsidRPr="001576A3">
        <w:rPr>
          <w:i/>
        </w:rPr>
        <w:t>Climate Change 2021: The physical science basis</w:t>
      </w:r>
      <w:r>
        <w:t xml:space="preserve">. Cambridge and New York: Cambridge University Press. URL: </w:t>
      </w:r>
      <w:hyperlink r:id="rId24" w:anchor="FullReport" w:history="1">
        <w:r w:rsidRPr="005136B9">
          <w:rPr>
            <w:rStyle w:val="Hyperlink"/>
          </w:rPr>
          <w:t>www.ipcc.ch/report/ar6/wg1/#FullReport</w:t>
        </w:r>
      </w:hyperlink>
      <w:r>
        <w:t xml:space="preserve"> (accessed 18 July 2022).</w:t>
      </w:r>
    </w:p>
    <w:p w14:paraId="225525A7" w14:textId="77777777" w:rsidR="00F503A0" w:rsidRDefault="00F503A0" w:rsidP="00F503A0">
      <w:pPr>
        <w:pStyle w:val="References"/>
      </w:pPr>
      <w:r>
        <w:t xml:space="preserve">Jorgensen A, </w:t>
      </w:r>
      <w:proofErr w:type="spellStart"/>
      <w:r>
        <w:t>Gobster</w:t>
      </w:r>
      <w:proofErr w:type="spellEnd"/>
      <w:r>
        <w:t xml:space="preserve"> PH. 2010. Shades of green: measuring the ecology of urban green space in the context of human health and well-being. </w:t>
      </w:r>
      <w:r w:rsidRPr="001576A3">
        <w:rPr>
          <w:i/>
        </w:rPr>
        <w:t>Nature + Culture</w:t>
      </w:r>
      <w:r>
        <w:t xml:space="preserve"> 5(3): 338–63.</w:t>
      </w:r>
    </w:p>
    <w:p w14:paraId="37923E54" w14:textId="77777777" w:rsidR="00F503A0" w:rsidRDefault="00F503A0" w:rsidP="00F503A0">
      <w:pPr>
        <w:pStyle w:val="References"/>
      </w:pPr>
      <w:proofErr w:type="spellStart"/>
      <w:r>
        <w:t>Keniger</w:t>
      </w:r>
      <w:proofErr w:type="spellEnd"/>
      <w:r>
        <w:t xml:space="preserve"> LG, Gaston KJ, Irvine KN, et al. 2013. What are the benefits of interacting with nature? </w:t>
      </w:r>
      <w:r w:rsidRPr="001576A3">
        <w:rPr>
          <w:i/>
        </w:rPr>
        <w:t>International Journal of Environmental Research and Public Health</w:t>
      </w:r>
      <w:r>
        <w:t xml:space="preserve"> 10(3):</w:t>
      </w:r>
      <w:r>
        <w:br/>
        <w:t>913–35.</w:t>
      </w:r>
    </w:p>
    <w:p w14:paraId="006DDB03" w14:textId="77777777" w:rsidR="00F503A0" w:rsidRDefault="00F503A0" w:rsidP="00F503A0">
      <w:pPr>
        <w:pStyle w:val="References"/>
      </w:pPr>
      <w:proofErr w:type="spellStart"/>
      <w:r>
        <w:t>Konijnendijk</w:t>
      </w:r>
      <w:proofErr w:type="spellEnd"/>
      <w:r>
        <w:t xml:space="preserve"> van den Bosch C, van den Bosch M, Nielsen A, et al. 2013. </w:t>
      </w:r>
      <w:r w:rsidRPr="001576A3">
        <w:rPr>
          <w:i/>
        </w:rPr>
        <w:t>Benefits of Urban Parks: A systematic review. A review for IFPRA</w:t>
      </w:r>
      <w:r>
        <w:t xml:space="preserve">. Copenhagen and </w:t>
      </w:r>
      <w:proofErr w:type="spellStart"/>
      <w:r>
        <w:t>Alnarp</w:t>
      </w:r>
      <w:proofErr w:type="spellEnd"/>
      <w:r>
        <w:t>: International Federation of Parks and Recreation Administration.</w:t>
      </w:r>
    </w:p>
    <w:p w14:paraId="1177A1F0" w14:textId="77777777" w:rsidR="00F503A0" w:rsidRDefault="00F503A0" w:rsidP="00F503A0">
      <w:pPr>
        <w:pStyle w:val="References"/>
      </w:pPr>
      <w:r>
        <w:t xml:space="preserve">Lee AC, Maheswaran R. 2011. The health benefits of urban green spaces: a review of the evidence. </w:t>
      </w:r>
      <w:r w:rsidRPr="001576A3">
        <w:rPr>
          <w:i/>
        </w:rPr>
        <w:t>Journal of Public Health</w:t>
      </w:r>
      <w:r>
        <w:t xml:space="preserve"> 33(2): 212–22.</w:t>
      </w:r>
    </w:p>
    <w:p w14:paraId="358C2F3C" w14:textId="77777777" w:rsidR="00F503A0" w:rsidRDefault="00F503A0" w:rsidP="00F503A0">
      <w:pPr>
        <w:pStyle w:val="References"/>
      </w:pPr>
      <w:r>
        <w:t xml:space="preserve">Ministry of Health. 2009. </w:t>
      </w:r>
      <w:r w:rsidRPr="001576A3">
        <w:rPr>
          <w:i/>
        </w:rPr>
        <w:t>Public Health in New Zealand: Local government's contribution to wellbeing</w:t>
      </w:r>
      <w:r>
        <w:t>. Wellington: Ministry of Health.</w:t>
      </w:r>
    </w:p>
    <w:p w14:paraId="5DFCD4DE" w14:textId="77777777" w:rsidR="00F503A0" w:rsidRDefault="00F503A0" w:rsidP="00F503A0">
      <w:pPr>
        <w:pStyle w:val="References"/>
      </w:pPr>
      <w:r>
        <w:t xml:space="preserve">Ministry of Health. 2019a. </w:t>
      </w:r>
      <w:r w:rsidRPr="001576A3">
        <w:rPr>
          <w:i/>
        </w:rPr>
        <w:t>Achieving Equity in Health Outcomes: Summary of discovery process</w:t>
      </w:r>
      <w:r>
        <w:t>. Wellington: Ministry of Health.</w:t>
      </w:r>
    </w:p>
    <w:p w14:paraId="477F367E" w14:textId="77777777" w:rsidR="00F503A0" w:rsidRDefault="00F503A0" w:rsidP="00F503A0">
      <w:pPr>
        <w:pStyle w:val="References"/>
      </w:pPr>
      <w:r>
        <w:t xml:space="preserve">Ministry of Health. 2019b. </w:t>
      </w:r>
      <w:r w:rsidRPr="001576A3">
        <w:rPr>
          <w:i/>
        </w:rPr>
        <w:t xml:space="preserve">He Korowai </w:t>
      </w:r>
      <w:proofErr w:type="spellStart"/>
      <w:r w:rsidRPr="001576A3">
        <w:rPr>
          <w:i/>
        </w:rPr>
        <w:t>Oranga</w:t>
      </w:r>
      <w:proofErr w:type="spellEnd"/>
      <w:r>
        <w:t xml:space="preserve">. URL: </w:t>
      </w:r>
      <w:hyperlink r:id="rId25" w:history="1">
        <w:r w:rsidRPr="005136B9">
          <w:rPr>
            <w:rStyle w:val="Hyperlink"/>
          </w:rPr>
          <w:t>www.health.govt.nz/our-work/populations/maori-health/he-korowai-oranga</w:t>
        </w:r>
      </w:hyperlink>
      <w:r>
        <w:t xml:space="preserve"> (accessed 19 July 2022).</w:t>
      </w:r>
    </w:p>
    <w:p w14:paraId="765A648D" w14:textId="77777777" w:rsidR="00F503A0" w:rsidRDefault="00F503A0" w:rsidP="00F503A0">
      <w:pPr>
        <w:pStyle w:val="References"/>
      </w:pPr>
      <w:r>
        <w:t xml:space="preserve">Ministry of Health. 2020. </w:t>
      </w:r>
      <w:proofErr w:type="spellStart"/>
      <w:r w:rsidRPr="001576A3">
        <w:rPr>
          <w:i/>
        </w:rPr>
        <w:t>Whakamaua</w:t>
      </w:r>
      <w:proofErr w:type="spellEnd"/>
      <w:r w:rsidRPr="001576A3">
        <w:rPr>
          <w:i/>
        </w:rPr>
        <w:t>: Māori Health Action Plan 2020–2025</w:t>
      </w:r>
      <w:r>
        <w:t>. Wellington: Ministry of Health.</w:t>
      </w:r>
    </w:p>
    <w:p w14:paraId="04D05AD4" w14:textId="77777777" w:rsidR="00F503A0" w:rsidRDefault="00F503A0" w:rsidP="00F503A0">
      <w:pPr>
        <w:pStyle w:val="References"/>
      </w:pPr>
      <w:r>
        <w:t xml:space="preserve">Royal Society of New Zealand. 2017. </w:t>
      </w:r>
      <w:r w:rsidRPr="001576A3">
        <w:rPr>
          <w:i/>
        </w:rPr>
        <w:t>Human Health Impacts of Climate Change for New Zealand</w:t>
      </w:r>
      <w:r>
        <w:t>. Wellington: Royal Society of New Zealand.</w:t>
      </w:r>
    </w:p>
    <w:p w14:paraId="4839362E" w14:textId="77777777" w:rsidR="00F503A0" w:rsidRDefault="00F503A0" w:rsidP="00F503A0">
      <w:pPr>
        <w:pStyle w:val="References"/>
        <w:keepNext/>
        <w:keepLines/>
      </w:pPr>
      <w:proofErr w:type="spellStart"/>
      <w:r>
        <w:lastRenderedPageBreak/>
        <w:t>Ryks</w:t>
      </w:r>
      <w:proofErr w:type="spellEnd"/>
      <w:r>
        <w:t xml:space="preserve"> J H-C, Howden-Chapman P, Robson B, et al. 2014. Maori participation in urban development: challenges and opportunities for indigenous people in Aotearoa New Zealand. </w:t>
      </w:r>
      <w:r w:rsidRPr="001576A3">
        <w:rPr>
          <w:i/>
        </w:rPr>
        <w:t>Lincoln Planning Review</w:t>
      </w:r>
      <w:r>
        <w:t xml:space="preserve"> 6(1–2): 4–17. DOI: 10.34900/lpr.v6i1-2.832 (accessed 17 July 2022).</w:t>
      </w:r>
    </w:p>
    <w:p w14:paraId="55E06145" w14:textId="4483E25E" w:rsidR="00F503A0" w:rsidRDefault="00F503A0" w:rsidP="00F503A0">
      <w:pPr>
        <w:pStyle w:val="References"/>
      </w:pPr>
      <w:r>
        <w:t xml:space="preserve">Watts N, </w:t>
      </w:r>
      <w:proofErr w:type="spellStart"/>
      <w:r>
        <w:t>Adger</w:t>
      </w:r>
      <w:proofErr w:type="spellEnd"/>
      <w:r>
        <w:t xml:space="preserve"> N, </w:t>
      </w:r>
      <w:proofErr w:type="spellStart"/>
      <w:r>
        <w:t>Agnolucci</w:t>
      </w:r>
      <w:proofErr w:type="spellEnd"/>
      <w:r>
        <w:t xml:space="preserve"> P, et al. 2015. Health and climate change: policy responses to protect public health. </w:t>
      </w:r>
      <w:r w:rsidRPr="001576A3">
        <w:rPr>
          <w:i/>
        </w:rPr>
        <w:t xml:space="preserve">The Lancet </w:t>
      </w:r>
      <w:r w:rsidRPr="009102AC">
        <w:rPr>
          <w:i/>
        </w:rPr>
        <w:t>Com</w:t>
      </w:r>
      <w:r w:rsidR="0025188B">
        <w:rPr>
          <w:i/>
        </w:rPr>
        <w:t>m</w:t>
      </w:r>
      <w:r w:rsidRPr="009102AC">
        <w:rPr>
          <w:i/>
        </w:rPr>
        <w:t>issions</w:t>
      </w:r>
      <w:r>
        <w:t xml:space="preserve"> 386(10006): 1861–914.</w:t>
      </w:r>
    </w:p>
    <w:p w14:paraId="1C0076C0" w14:textId="308B82F2" w:rsidR="00F503A0" w:rsidRDefault="00F503A0" w:rsidP="00F503A0">
      <w:pPr>
        <w:pStyle w:val="References"/>
      </w:pPr>
      <w:r>
        <w:t xml:space="preserve">WHO. 2020. </w:t>
      </w:r>
      <w:r w:rsidRPr="001576A3">
        <w:rPr>
          <w:i/>
        </w:rPr>
        <w:t xml:space="preserve">Communicable </w:t>
      </w:r>
      <w:r w:rsidR="0025188B">
        <w:rPr>
          <w:i/>
        </w:rPr>
        <w:t>D</w:t>
      </w:r>
      <w:r w:rsidRPr="001576A3">
        <w:rPr>
          <w:i/>
        </w:rPr>
        <w:t>iseases</w:t>
      </w:r>
      <w:r>
        <w:t xml:space="preserve">. URL: </w:t>
      </w:r>
      <w:hyperlink r:id="rId26" w:history="1">
        <w:r w:rsidRPr="005136B9">
          <w:rPr>
            <w:rStyle w:val="Hyperlink"/>
          </w:rPr>
          <w:t>www.afro.who.int/health-topics/communicable-diseases</w:t>
        </w:r>
      </w:hyperlink>
      <w:r>
        <w:t xml:space="preserve"> (accessed 19 July 2022).</w:t>
      </w:r>
    </w:p>
    <w:p w14:paraId="58D85FB1" w14:textId="5A39E3E1" w:rsidR="00F503A0" w:rsidRDefault="00F503A0" w:rsidP="00F503A0">
      <w:pPr>
        <w:pStyle w:val="References"/>
      </w:pPr>
      <w:r>
        <w:t xml:space="preserve">WHO. 2021a. </w:t>
      </w:r>
      <w:r w:rsidRPr="001576A3">
        <w:rPr>
          <w:i/>
        </w:rPr>
        <w:t xml:space="preserve">Disability-adjusted </w:t>
      </w:r>
      <w:r w:rsidR="0025188B">
        <w:rPr>
          <w:i/>
        </w:rPr>
        <w:t>L</w:t>
      </w:r>
      <w:r w:rsidRPr="001576A3">
        <w:rPr>
          <w:i/>
        </w:rPr>
        <w:t xml:space="preserve">ife </w:t>
      </w:r>
      <w:r w:rsidR="0025188B">
        <w:rPr>
          <w:i/>
        </w:rPr>
        <w:t>Y</w:t>
      </w:r>
      <w:r w:rsidRPr="001576A3">
        <w:rPr>
          <w:i/>
        </w:rPr>
        <w:t>ears (DALYs)</w:t>
      </w:r>
      <w:r>
        <w:t xml:space="preserve">. URL: </w:t>
      </w:r>
      <w:hyperlink r:id="rId27" w:history="1">
        <w:r w:rsidRPr="005136B9">
          <w:rPr>
            <w:rStyle w:val="Hyperlink"/>
          </w:rPr>
          <w:t>www.who.int/data/gho/indicator-metadata-registry/imr-details/158</w:t>
        </w:r>
      </w:hyperlink>
      <w:r>
        <w:t xml:space="preserve"> (accessed 19 July 2022).</w:t>
      </w:r>
    </w:p>
    <w:p w14:paraId="7FDBEF20" w14:textId="77777777" w:rsidR="00F503A0" w:rsidRPr="00B47C82" w:rsidRDefault="00F503A0" w:rsidP="00F503A0">
      <w:pPr>
        <w:pStyle w:val="References"/>
      </w:pPr>
      <w:r>
        <w:t xml:space="preserve">WHO. 2021b. </w:t>
      </w:r>
      <w:r w:rsidRPr="001576A3">
        <w:rPr>
          <w:i/>
        </w:rPr>
        <w:t>Fast Facts: On climate and health</w:t>
      </w:r>
      <w:r>
        <w:t xml:space="preserve">. URL: </w:t>
      </w:r>
      <w:hyperlink r:id="rId28" w:history="1">
        <w:r w:rsidRPr="005136B9">
          <w:rPr>
            <w:rStyle w:val="Hyperlink"/>
          </w:rPr>
          <w:t>https://cdn.who.int/media/docs/default-source/climate-change/fast-facts-on-climate-and-health.pdf?sfvrsn=157ecd81_5&amp;download=true</w:t>
        </w:r>
      </w:hyperlink>
      <w:r>
        <w:t xml:space="preserve"> (accessed 19 July 2022).</w:t>
      </w:r>
    </w:p>
    <w:p w14:paraId="3371990F" w14:textId="77777777" w:rsidR="00D05DF1" w:rsidRPr="009220F3" w:rsidRDefault="00D05DF1" w:rsidP="00E620CE"/>
    <w:sectPr w:rsidR="00D05DF1" w:rsidRPr="009220F3" w:rsidSect="002B7BEC">
      <w:footerReference w:type="even" r:id="rId29"/>
      <w:footerReference w:type="default" r:id="rId30"/>
      <w:pgSz w:w="11907" w:h="16834" w:code="9"/>
      <w:pgMar w:top="1418" w:right="1701" w:bottom="1134" w:left="1843" w:header="284" w:footer="425" w:gutter="284"/>
      <w:pgNumType w:start="1"/>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876271" w14:textId="77777777" w:rsidR="00E16FCE" w:rsidRDefault="00E16FCE">
      <w:r>
        <w:separator/>
      </w:r>
    </w:p>
    <w:p w14:paraId="07D8843D" w14:textId="77777777" w:rsidR="00E16FCE" w:rsidRDefault="00E16FCE"/>
  </w:endnote>
  <w:endnote w:type="continuationSeparator" w:id="0">
    <w:p w14:paraId="2C3E973C" w14:textId="77777777" w:rsidR="00E16FCE" w:rsidRDefault="00E16FCE">
      <w:r>
        <w:continuationSeparator/>
      </w:r>
    </w:p>
    <w:p w14:paraId="783CB448" w14:textId="77777777" w:rsidR="00E16FCE" w:rsidRDefault="00E16F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äori">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Fira Sans">
    <w:charset w:val="00"/>
    <w:family w:val="swiss"/>
    <w:pitch w:val="variable"/>
    <w:sig w:usb0="600002FF" w:usb1="00000001"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Fira Sans SemiBold">
    <w:charset w:val="00"/>
    <w:family w:val="swiss"/>
    <w:pitch w:val="variable"/>
    <w:sig w:usb0="600002FF" w:usb1="00000001" w:usb2="00000000" w:usb3="00000000" w:csb0="0000019F" w:csb1="00000000"/>
  </w:font>
  <w:font w:name="Segoe UI Semibold">
    <w:panose1 w:val="020B07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E6DA87" w14:textId="77777777" w:rsidR="00105770" w:rsidRPr="005A79E5" w:rsidRDefault="00105770" w:rsidP="00CC6EA4">
    <w:pPr>
      <w:pStyle w:val="Footer"/>
      <w:pBdr>
        <w:bottom w:val="single" w:sz="4" w:space="1" w:color="auto"/>
      </w:pBdr>
      <w:tabs>
        <w:tab w:val="right" w:pos="9639"/>
      </w:tabs>
      <w:rPr>
        <w:sz w:val="2"/>
        <w:szCs w:val="2"/>
      </w:rPr>
    </w:pPr>
    <w:r w:rsidRPr="005718A6">
      <w:t>Released 20</w:t>
    </w:r>
    <w:r w:rsidR="00CC6EA4">
      <w:t>2</w:t>
    </w:r>
    <w:r w:rsidR="00E064D9">
      <w:t>2</w:t>
    </w:r>
    <w:r w:rsidRPr="005718A6">
      <w:tab/>
    </w:r>
    <w:hyperlink r:id="rId1" w:history="1">
      <w:r w:rsidR="00E064D9" w:rsidRPr="00F76CB4">
        <w:rPr>
          <w:rStyle w:val="Hyperlink"/>
        </w:rPr>
        <w:t>health.govt.nz</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CC06E6" w14:textId="77777777" w:rsidR="00105770" w:rsidRDefault="00105770" w:rsidP="003D59B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CB8D9C" w14:textId="77777777" w:rsidR="00105770" w:rsidRDefault="0010577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747" w:type="dxa"/>
      <w:tblInd w:w="-567" w:type="dxa"/>
      <w:tblLayout w:type="fixed"/>
      <w:tblLook w:val="04A0" w:firstRow="1" w:lastRow="0" w:firstColumn="1" w:lastColumn="0" w:noHBand="0" w:noVBand="1"/>
    </w:tblPr>
    <w:tblGrid>
      <w:gridCol w:w="675"/>
      <w:gridCol w:w="8080"/>
      <w:gridCol w:w="992"/>
    </w:tblGrid>
    <w:tr w:rsidR="00852C5D" w14:paraId="5B04635C" w14:textId="77777777" w:rsidTr="00852C5D">
      <w:trPr>
        <w:cantSplit/>
      </w:trPr>
      <w:tc>
        <w:tcPr>
          <w:tcW w:w="675" w:type="dxa"/>
          <w:vAlign w:val="center"/>
        </w:tcPr>
        <w:p w14:paraId="5BD83234" w14:textId="77777777" w:rsidR="00852C5D" w:rsidRPr="00931466" w:rsidRDefault="00852C5D" w:rsidP="00454B75">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E064D9">
            <w:rPr>
              <w:rStyle w:val="PageNumber"/>
              <w:noProof/>
            </w:rPr>
            <w:t>vi</w:t>
          </w:r>
          <w:r w:rsidRPr="00931466">
            <w:rPr>
              <w:rStyle w:val="PageNumber"/>
            </w:rPr>
            <w:fldChar w:fldCharType="end"/>
          </w:r>
        </w:p>
      </w:tc>
      <w:tc>
        <w:tcPr>
          <w:tcW w:w="8080" w:type="dxa"/>
          <w:vAlign w:val="center"/>
        </w:tcPr>
        <w:p w14:paraId="100AD7E0" w14:textId="77777777" w:rsidR="00852C5D" w:rsidRDefault="00852C5D" w:rsidP="00454B75">
          <w:pPr>
            <w:pStyle w:val="RectoFooter"/>
            <w:ind w:left="-108"/>
          </w:pPr>
          <w:r>
            <w:t>[title]: [subhead]</w:t>
          </w:r>
        </w:p>
      </w:tc>
      <w:tc>
        <w:tcPr>
          <w:tcW w:w="992" w:type="dxa"/>
          <w:vAlign w:val="center"/>
        </w:tcPr>
        <w:p w14:paraId="0B085DD5" w14:textId="77777777" w:rsidR="00852C5D" w:rsidRDefault="00852C5D" w:rsidP="00454B75">
          <w:pPr>
            <w:pStyle w:val="RectoFooter"/>
            <w:ind w:left="-108"/>
          </w:pPr>
          <w:r>
            <w:rPr>
              <w:noProof/>
              <w:lang w:eastAsia="en-NZ"/>
            </w:rPr>
            <w:drawing>
              <wp:inline distT="0" distB="0" distL="0" distR="0" wp14:anchorId="6D257F68" wp14:editId="7BAC99EA">
                <wp:extent cx="373711" cy="414082"/>
                <wp:effectExtent l="0" t="0" r="7620" b="5080"/>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l="8042" t="13487" r="56350" b="13489"/>
                        <a:stretch/>
                      </pic:blipFill>
                      <pic:spPr bwMode="auto">
                        <a:xfrm>
                          <a:off x="0" y="0"/>
                          <a:ext cx="374326" cy="414763"/>
                        </a:xfrm>
                        <a:prstGeom prst="rect">
                          <a:avLst/>
                        </a:prstGeom>
                        <a:ln>
                          <a:noFill/>
                        </a:ln>
                        <a:extLst>
                          <a:ext uri="{53640926-AAD7-44D8-BBD7-CCE9431645EC}">
                            <a14:shadowObscured xmlns:a14="http://schemas.microsoft.com/office/drawing/2010/main"/>
                          </a:ext>
                        </a:extLst>
                      </pic:spPr>
                    </pic:pic>
                  </a:graphicData>
                </a:graphic>
              </wp:inline>
            </w:drawing>
          </w:r>
        </w:p>
      </w:tc>
    </w:tr>
  </w:tbl>
  <w:p w14:paraId="526495FD" w14:textId="77777777" w:rsidR="00105770" w:rsidRPr="00571223" w:rsidRDefault="00105770" w:rsidP="00571223">
    <w:pPr>
      <w:pStyle w:val="VersoFooter"/>
      <w:rPr>
        <w:sz w:val="2"/>
        <w:szCs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789" w:type="dxa"/>
      <w:tblLayout w:type="fixed"/>
      <w:tblCellMar>
        <w:left w:w="0" w:type="dxa"/>
        <w:right w:w="0" w:type="dxa"/>
      </w:tblCellMar>
      <w:tblLook w:val="04A0" w:firstRow="1" w:lastRow="0" w:firstColumn="1" w:lastColumn="0" w:noHBand="0" w:noVBand="1"/>
    </w:tblPr>
    <w:tblGrid>
      <w:gridCol w:w="1134"/>
      <w:gridCol w:w="6946"/>
      <w:gridCol w:w="709"/>
    </w:tblGrid>
    <w:tr w:rsidR="003952F9" w14:paraId="438D135D" w14:textId="77777777" w:rsidTr="009732B2">
      <w:trPr>
        <w:cantSplit/>
      </w:trPr>
      <w:tc>
        <w:tcPr>
          <w:tcW w:w="1134" w:type="dxa"/>
          <w:vAlign w:val="center"/>
        </w:tcPr>
        <w:p w14:paraId="26048EB7" w14:textId="77777777" w:rsidR="003952F9" w:rsidRDefault="009732B2" w:rsidP="00120C4C">
          <w:pPr>
            <w:pStyle w:val="RectoFooter"/>
            <w:spacing w:before="120"/>
            <w:jc w:val="left"/>
          </w:pPr>
          <w:r>
            <w:rPr>
              <w:noProof/>
              <w:lang w:eastAsia="en-NZ"/>
            </w:rPr>
            <w:drawing>
              <wp:inline distT="0" distB="0" distL="0" distR="0" wp14:anchorId="5592E588" wp14:editId="15B27E86">
                <wp:extent cx="548640" cy="353145"/>
                <wp:effectExtent l="0" t="0" r="3810" b="8890"/>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pic:nvPicPr>
                      <pic:blipFill rotWithShape="1">
                        <a:blip r:embed="rId1">
                          <a:duotone>
                            <a:schemeClr val="accent6">
                              <a:shade val="45000"/>
                              <a:satMod val="135000"/>
                            </a:schemeClr>
                            <a:prstClr val="white"/>
                          </a:duotone>
                          <a:extLst>
                            <a:ext uri="{28A0092B-C50C-407E-A947-70E740481C1C}">
                              <a14:useLocalDpi xmlns:a14="http://schemas.microsoft.com/office/drawing/2010/main" val="0"/>
                            </a:ext>
                          </a:extLst>
                        </a:blip>
                        <a:srcRect r="90430"/>
                        <a:stretch/>
                      </pic:blipFill>
                      <pic:spPr bwMode="auto">
                        <a:xfrm>
                          <a:off x="0" y="0"/>
                          <a:ext cx="548508" cy="353060"/>
                        </a:xfrm>
                        <a:prstGeom prst="rect">
                          <a:avLst/>
                        </a:prstGeom>
                        <a:ln>
                          <a:noFill/>
                        </a:ln>
                        <a:extLst>
                          <a:ext uri="{53640926-AAD7-44D8-BBD7-CCE9431645EC}">
                            <a14:shadowObscured xmlns:a14="http://schemas.microsoft.com/office/drawing/2010/main"/>
                          </a:ext>
                        </a:extLst>
                      </pic:spPr>
                    </pic:pic>
                  </a:graphicData>
                </a:graphic>
              </wp:inline>
            </w:drawing>
          </w:r>
        </w:p>
      </w:tc>
      <w:tc>
        <w:tcPr>
          <w:tcW w:w="6946" w:type="dxa"/>
          <w:vAlign w:val="center"/>
        </w:tcPr>
        <w:p w14:paraId="17E3BB5B" w14:textId="77777777" w:rsidR="003952F9" w:rsidRDefault="00F503A0" w:rsidP="00F503A0">
          <w:pPr>
            <w:pStyle w:val="RectoFooter"/>
            <w:spacing w:before="120"/>
            <w:jc w:val="left"/>
          </w:pPr>
          <w:r>
            <w:t>Principles for healthy urban development</w:t>
          </w:r>
        </w:p>
      </w:tc>
      <w:tc>
        <w:tcPr>
          <w:tcW w:w="709" w:type="dxa"/>
          <w:vAlign w:val="center"/>
        </w:tcPr>
        <w:p w14:paraId="1697405E" w14:textId="77777777" w:rsidR="003952F9" w:rsidRPr="00931466" w:rsidRDefault="003952F9" w:rsidP="00120C4C">
          <w:pPr>
            <w:pStyle w:val="Footer"/>
            <w:spacing w:before="120"/>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231CCF">
            <w:rPr>
              <w:rStyle w:val="PageNumber"/>
              <w:noProof/>
            </w:rPr>
            <w:t>iii</w:t>
          </w:r>
          <w:r w:rsidRPr="00931466">
            <w:rPr>
              <w:rStyle w:val="PageNumber"/>
            </w:rPr>
            <w:fldChar w:fldCharType="end"/>
          </w:r>
        </w:p>
      </w:tc>
    </w:tr>
  </w:tbl>
  <w:p w14:paraId="162CBFFD" w14:textId="77777777" w:rsidR="00105770" w:rsidRPr="00581EB8" w:rsidRDefault="00105770" w:rsidP="00581EB8">
    <w:pPr>
      <w:pStyle w:val="Footer"/>
      <w:rPr>
        <w:sz w:val="2"/>
        <w:szCs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747" w:type="dxa"/>
      <w:tblInd w:w="-567" w:type="dxa"/>
      <w:tblLayout w:type="fixed"/>
      <w:tblLook w:val="04A0" w:firstRow="1" w:lastRow="0" w:firstColumn="1" w:lastColumn="0" w:noHBand="0" w:noVBand="1"/>
    </w:tblPr>
    <w:tblGrid>
      <w:gridCol w:w="675"/>
      <w:gridCol w:w="7938"/>
      <w:gridCol w:w="1134"/>
    </w:tblGrid>
    <w:tr w:rsidR="00552B1F" w14:paraId="5D176CD2" w14:textId="77777777" w:rsidTr="009732B2">
      <w:trPr>
        <w:cantSplit/>
      </w:trPr>
      <w:tc>
        <w:tcPr>
          <w:tcW w:w="675" w:type="dxa"/>
          <w:vAlign w:val="center"/>
        </w:tcPr>
        <w:p w14:paraId="73142615" w14:textId="77777777" w:rsidR="00552B1F" w:rsidRPr="00931466" w:rsidRDefault="00552B1F" w:rsidP="00120C4C">
          <w:pPr>
            <w:pStyle w:val="Footer"/>
            <w:spacing w:before="120"/>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231CCF">
            <w:rPr>
              <w:rStyle w:val="PageNumber"/>
              <w:noProof/>
            </w:rPr>
            <w:t>2</w:t>
          </w:r>
          <w:r w:rsidRPr="00931466">
            <w:rPr>
              <w:rStyle w:val="PageNumber"/>
            </w:rPr>
            <w:fldChar w:fldCharType="end"/>
          </w:r>
        </w:p>
      </w:tc>
      <w:tc>
        <w:tcPr>
          <w:tcW w:w="7938" w:type="dxa"/>
          <w:vAlign w:val="center"/>
        </w:tcPr>
        <w:p w14:paraId="6705E84A" w14:textId="77777777" w:rsidR="00552B1F" w:rsidRDefault="004F6BA4" w:rsidP="001A47D4">
          <w:pPr>
            <w:pStyle w:val="RectoFooter"/>
            <w:spacing w:before="120"/>
            <w:ind w:left="-108"/>
          </w:pPr>
          <w:r>
            <w:t>Principles for healthy urban development</w:t>
          </w:r>
        </w:p>
      </w:tc>
      <w:tc>
        <w:tcPr>
          <w:tcW w:w="1134" w:type="dxa"/>
          <w:vAlign w:val="center"/>
        </w:tcPr>
        <w:p w14:paraId="68AD580A" w14:textId="77777777" w:rsidR="00552B1F" w:rsidRDefault="009732B2" w:rsidP="00120C4C">
          <w:pPr>
            <w:pStyle w:val="RectoFooter"/>
            <w:spacing w:before="120"/>
            <w:ind w:left="-108"/>
          </w:pPr>
          <w:r>
            <w:rPr>
              <w:noProof/>
              <w:lang w:eastAsia="en-NZ"/>
            </w:rPr>
            <w:drawing>
              <wp:inline distT="0" distB="0" distL="0" distR="0" wp14:anchorId="677BEE94" wp14:editId="77AAEF65">
                <wp:extent cx="548640" cy="353145"/>
                <wp:effectExtent l="0" t="0" r="3810" b="8890"/>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rotWithShape="1">
                        <a:blip r:embed="rId1">
                          <a:duotone>
                            <a:schemeClr val="accent6">
                              <a:shade val="45000"/>
                              <a:satMod val="135000"/>
                            </a:schemeClr>
                            <a:prstClr val="white"/>
                          </a:duotone>
                          <a:extLst>
                            <a:ext uri="{28A0092B-C50C-407E-A947-70E740481C1C}">
                              <a14:useLocalDpi xmlns:a14="http://schemas.microsoft.com/office/drawing/2010/main" val="0"/>
                            </a:ext>
                          </a:extLst>
                        </a:blip>
                        <a:srcRect r="90430"/>
                        <a:stretch/>
                      </pic:blipFill>
                      <pic:spPr bwMode="auto">
                        <a:xfrm>
                          <a:off x="0" y="0"/>
                          <a:ext cx="548508" cy="353060"/>
                        </a:xfrm>
                        <a:prstGeom prst="rect">
                          <a:avLst/>
                        </a:prstGeom>
                        <a:ln>
                          <a:noFill/>
                        </a:ln>
                        <a:extLst>
                          <a:ext uri="{53640926-AAD7-44D8-BBD7-CCE9431645EC}">
                            <a14:shadowObscured xmlns:a14="http://schemas.microsoft.com/office/drawing/2010/main"/>
                          </a:ext>
                        </a:extLst>
                      </pic:spPr>
                    </pic:pic>
                  </a:graphicData>
                </a:graphic>
              </wp:inline>
            </w:drawing>
          </w:r>
        </w:p>
      </w:tc>
    </w:tr>
  </w:tbl>
  <w:p w14:paraId="66B6916C" w14:textId="77777777" w:rsidR="00105770" w:rsidRPr="00571223" w:rsidRDefault="00105770" w:rsidP="00571223">
    <w:pPr>
      <w:pStyle w:val="VersoFooter"/>
      <w:rPr>
        <w:sz w:val="2"/>
        <w:szCs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789" w:type="dxa"/>
      <w:tblLayout w:type="fixed"/>
      <w:tblCellMar>
        <w:left w:w="0" w:type="dxa"/>
        <w:right w:w="0" w:type="dxa"/>
      </w:tblCellMar>
      <w:tblLook w:val="04A0" w:firstRow="1" w:lastRow="0" w:firstColumn="1" w:lastColumn="0" w:noHBand="0" w:noVBand="1"/>
    </w:tblPr>
    <w:tblGrid>
      <w:gridCol w:w="1134"/>
      <w:gridCol w:w="6946"/>
      <w:gridCol w:w="709"/>
    </w:tblGrid>
    <w:tr w:rsidR="004374D1" w14:paraId="71BF4570" w14:textId="77777777" w:rsidTr="009732B2">
      <w:trPr>
        <w:cantSplit/>
      </w:trPr>
      <w:tc>
        <w:tcPr>
          <w:tcW w:w="1134" w:type="dxa"/>
          <w:vAlign w:val="center"/>
        </w:tcPr>
        <w:p w14:paraId="65D1B4F9" w14:textId="77777777" w:rsidR="004374D1" w:rsidRDefault="009732B2" w:rsidP="00120C4C">
          <w:pPr>
            <w:pStyle w:val="RectoFooter"/>
            <w:spacing w:before="120"/>
            <w:jc w:val="left"/>
          </w:pPr>
          <w:r>
            <w:rPr>
              <w:noProof/>
              <w:lang w:eastAsia="en-NZ"/>
            </w:rPr>
            <w:drawing>
              <wp:inline distT="0" distB="0" distL="0" distR="0" wp14:anchorId="7BB4ABED" wp14:editId="103328D7">
                <wp:extent cx="548640" cy="353145"/>
                <wp:effectExtent l="0" t="0" r="3810" b="8890"/>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rotWithShape="1">
                        <a:blip r:embed="rId1">
                          <a:duotone>
                            <a:schemeClr val="accent6">
                              <a:shade val="45000"/>
                              <a:satMod val="135000"/>
                            </a:schemeClr>
                            <a:prstClr val="white"/>
                          </a:duotone>
                          <a:extLst>
                            <a:ext uri="{28A0092B-C50C-407E-A947-70E740481C1C}">
                              <a14:useLocalDpi xmlns:a14="http://schemas.microsoft.com/office/drawing/2010/main" val="0"/>
                            </a:ext>
                          </a:extLst>
                        </a:blip>
                        <a:srcRect r="90430"/>
                        <a:stretch/>
                      </pic:blipFill>
                      <pic:spPr bwMode="auto">
                        <a:xfrm>
                          <a:off x="0" y="0"/>
                          <a:ext cx="548508" cy="353060"/>
                        </a:xfrm>
                        <a:prstGeom prst="rect">
                          <a:avLst/>
                        </a:prstGeom>
                        <a:ln>
                          <a:noFill/>
                        </a:ln>
                        <a:extLst>
                          <a:ext uri="{53640926-AAD7-44D8-BBD7-CCE9431645EC}">
                            <a14:shadowObscured xmlns:a14="http://schemas.microsoft.com/office/drawing/2010/main"/>
                          </a:ext>
                        </a:extLst>
                      </pic:spPr>
                    </pic:pic>
                  </a:graphicData>
                </a:graphic>
              </wp:inline>
            </w:drawing>
          </w:r>
        </w:p>
      </w:tc>
      <w:tc>
        <w:tcPr>
          <w:tcW w:w="6946" w:type="dxa"/>
          <w:vAlign w:val="center"/>
        </w:tcPr>
        <w:p w14:paraId="3918932B" w14:textId="77777777" w:rsidR="004374D1" w:rsidRDefault="004F6BA4" w:rsidP="00734EC7">
          <w:pPr>
            <w:pStyle w:val="RectoFooter"/>
            <w:spacing w:before="120"/>
            <w:jc w:val="left"/>
          </w:pPr>
          <w:r>
            <w:t>Principles for healthy urban development</w:t>
          </w:r>
        </w:p>
      </w:tc>
      <w:tc>
        <w:tcPr>
          <w:tcW w:w="709" w:type="dxa"/>
          <w:vAlign w:val="center"/>
        </w:tcPr>
        <w:p w14:paraId="7ED2A2DF" w14:textId="77777777" w:rsidR="004374D1" w:rsidRPr="00931466" w:rsidRDefault="004374D1" w:rsidP="00120C4C">
          <w:pPr>
            <w:pStyle w:val="Footer"/>
            <w:spacing w:before="120"/>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231CCF">
            <w:rPr>
              <w:rStyle w:val="PageNumber"/>
              <w:noProof/>
            </w:rPr>
            <w:t>1</w:t>
          </w:r>
          <w:r w:rsidRPr="00931466">
            <w:rPr>
              <w:rStyle w:val="PageNumber"/>
            </w:rPr>
            <w:fldChar w:fldCharType="end"/>
          </w:r>
        </w:p>
      </w:tc>
    </w:tr>
  </w:tbl>
  <w:p w14:paraId="51D7C06A" w14:textId="77777777" w:rsidR="00105770" w:rsidRPr="00581EB8" w:rsidRDefault="00105770" w:rsidP="00581EB8">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68E416" w14:textId="77777777" w:rsidR="00E16FCE" w:rsidRPr="00A26E6B" w:rsidRDefault="00E16FCE" w:rsidP="00A26E6B"/>
  </w:footnote>
  <w:footnote w:type="continuationSeparator" w:id="0">
    <w:p w14:paraId="09FB574D" w14:textId="77777777" w:rsidR="00E16FCE" w:rsidRDefault="00E16FCE">
      <w:r>
        <w:continuationSeparator/>
      </w:r>
    </w:p>
    <w:p w14:paraId="0A50D59B" w14:textId="77777777" w:rsidR="00E16FCE" w:rsidRDefault="00E16FCE"/>
  </w:footnote>
  <w:footnote w:id="1">
    <w:p w14:paraId="445BB5E5" w14:textId="77777777" w:rsidR="00F503A0" w:rsidRPr="00734EC7" w:rsidRDefault="00F503A0" w:rsidP="00F503A0">
      <w:pPr>
        <w:pStyle w:val="FootnoteText"/>
      </w:pPr>
      <w:r w:rsidRPr="00734EC7">
        <w:rPr>
          <w:rStyle w:val="FootnoteReference"/>
        </w:rPr>
        <w:footnoteRef/>
      </w:r>
      <w:r>
        <w:tab/>
      </w:r>
      <w:hyperlink r:id="rId1" w:history="1">
        <w:r w:rsidRPr="00345614">
          <w:rPr>
            <w:rStyle w:val="Hyperlink"/>
            <w:rFonts w:cs="Segoe UI"/>
            <w:sz w:val="16"/>
          </w:rPr>
          <w:t>https://www.health.govt.nz/our-work/environmental-health/built-environment/urban-development</w:t>
        </w:r>
      </w:hyperlink>
    </w:p>
  </w:footnote>
  <w:footnote w:id="2">
    <w:p w14:paraId="0D5DFAF2" w14:textId="77777777" w:rsidR="00F503A0" w:rsidRPr="008B206E" w:rsidRDefault="00F503A0" w:rsidP="00F503A0">
      <w:pPr>
        <w:pStyle w:val="FootnoteText"/>
        <w:rPr>
          <w:rFonts w:cs="Segoe UI"/>
          <w:sz w:val="16"/>
        </w:rPr>
      </w:pPr>
      <w:r w:rsidRPr="001A47D4">
        <w:rPr>
          <w:rStyle w:val="FootnoteReference"/>
        </w:rPr>
        <w:footnoteRef/>
      </w:r>
      <w:r>
        <w:tab/>
      </w:r>
      <w:hyperlink r:id="rId2" w:history="1">
        <w:r w:rsidRPr="008B206E">
          <w:rPr>
            <w:rStyle w:val="Hyperlink"/>
            <w:rFonts w:cs="Segoe UI"/>
            <w:sz w:val="16"/>
          </w:rPr>
          <w:t>https://www.health.govt.nz/our-work/populations/maori-health/he-korowai-oranga/pae-ora-healthy-futures</w:t>
        </w:r>
      </w:hyperlink>
    </w:p>
  </w:footnote>
  <w:footnote w:id="3">
    <w:p w14:paraId="6970C6D7" w14:textId="77777777" w:rsidR="00F503A0" w:rsidRPr="001A47D4" w:rsidRDefault="00F503A0" w:rsidP="00F503A0">
      <w:pPr>
        <w:pStyle w:val="FootnoteText"/>
      </w:pPr>
      <w:r w:rsidRPr="001A47D4">
        <w:rPr>
          <w:rStyle w:val="FootnoteReference"/>
        </w:rPr>
        <w:footnoteRef/>
      </w:r>
      <w:r>
        <w:tab/>
      </w:r>
      <w:hyperlink r:id="rId3" w:history="1">
        <w:r w:rsidRPr="00D02C3F">
          <w:rPr>
            <w:rStyle w:val="Hyperlink"/>
            <w:rFonts w:cs="Segoe UI"/>
            <w:sz w:val="16"/>
          </w:rPr>
          <w:t>https://www.health.govt.nz/our-work/populations/maori-health/te-tiriti-o-waitangi</w:t>
        </w:r>
      </w:hyperlink>
    </w:p>
  </w:footnote>
  <w:footnote w:id="4">
    <w:p w14:paraId="26891766" w14:textId="77777777" w:rsidR="00F503A0" w:rsidRDefault="00F503A0" w:rsidP="00F503A0">
      <w:pPr>
        <w:pStyle w:val="FootnoteText"/>
      </w:pPr>
      <w:r w:rsidRPr="001A47D4">
        <w:rPr>
          <w:rStyle w:val="FootnoteReference"/>
        </w:rPr>
        <w:footnoteRef/>
      </w:r>
      <w:r>
        <w:tab/>
      </w:r>
      <w:hyperlink r:id="rId4" w:history="1">
        <w:r w:rsidRPr="005136B9">
          <w:rPr>
            <w:rStyle w:val="Hyperlink"/>
          </w:rPr>
          <w:t>https://www.health.govt.nz/our-work/populations/maori-health/te-tiriti-o-waitangi</w:t>
        </w:r>
      </w:hyperlink>
    </w:p>
  </w:footnote>
  <w:footnote w:id="5">
    <w:p w14:paraId="7453701B" w14:textId="77777777" w:rsidR="00F503A0" w:rsidRPr="001406F5" w:rsidRDefault="00F503A0" w:rsidP="00F503A0">
      <w:pPr>
        <w:pStyle w:val="FootnoteText"/>
      </w:pPr>
      <w:r w:rsidRPr="001A47D4">
        <w:rPr>
          <w:rStyle w:val="FootnoteReference"/>
        </w:rPr>
        <w:footnoteRef/>
      </w:r>
      <w:r>
        <w:tab/>
      </w:r>
      <w:hyperlink r:id="rId5" w:history="1">
        <w:r w:rsidRPr="000F1390">
          <w:rPr>
            <w:rStyle w:val="Hyperlink"/>
          </w:rPr>
          <w:t>https://www.un.org/development/desa/disabilities/convention-on-the-rights-of-persons-with-disabilities/article-9-accessibility.html</w:t>
        </w:r>
      </w:hyperlink>
    </w:p>
  </w:footnote>
  <w:footnote w:id="6">
    <w:p w14:paraId="4000A3A9" w14:textId="77777777" w:rsidR="00F503A0" w:rsidRDefault="00F503A0" w:rsidP="00F503A0">
      <w:pPr>
        <w:pStyle w:val="FootnoteText"/>
      </w:pPr>
      <w:r w:rsidRPr="00255643">
        <w:rPr>
          <w:rStyle w:val="FootnoteReference"/>
        </w:rPr>
        <w:footnoteRef/>
      </w:r>
      <w:r>
        <w:tab/>
      </w:r>
      <w:hyperlink r:id="rId6" w:history="1">
        <w:r w:rsidRPr="003F4A42">
          <w:rPr>
            <w:rStyle w:val="Hyperlink"/>
            <w:rFonts w:cs="Segoe UI"/>
            <w:shd w:val="clear" w:color="auto" w:fill="FFFFFF"/>
          </w:rPr>
          <w:t>www.health.govt.nz/our-work/populations/maori-health/he-korowai-oranga/key-threads/equity</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210"/>
      <w:gridCol w:w="4429"/>
    </w:tblGrid>
    <w:tr w:rsidR="007327B0" w14:paraId="059204D2" w14:textId="77777777" w:rsidTr="00E9401A">
      <w:trPr>
        <w:cantSplit/>
      </w:trPr>
      <w:tc>
        <w:tcPr>
          <w:tcW w:w="5210" w:type="dxa"/>
          <w:vAlign w:val="center"/>
        </w:tcPr>
        <w:p w14:paraId="2860EA26" w14:textId="77777777" w:rsidR="007327B0" w:rsidRDefault="007327B0" w:rsidP="00E9401A">
          <w:pPr>
            <w:pStyle w:val="Header"/>
          </w:pPr>
          <w:r>
            <w:rPr>
              <w:noProof/>
              <w:lang w:eastAsia="en-NZ"/>
            </w:rPr>
            <w:drawing>
              <wp:inline distT="0" distB="0" distL="0" distR="0" wp14:anchorId="65768200" wp14:editId="7775CF8B">
                <wp:extent cx="2075290" cy="539919"/>
                <wp:effectExtent l="0" t="0" r="1270" b="0"/>
                <wp:docPr id="9" name="Picture 9" descr="New Zealand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New Zealand Government logo"/>
                        <pic:cNvPicPr/>
                      </pic:nvPicPr>
                      <pic:blipFill rotWithShape="1">
                        <a:blip r:embed="rId1" cstate="print">
                          <a:extLst>
                            <a:ext uri="{28A0092B-C50C-407E-A947-70E740481C1C}">
                              <a14:useLocalDpi xmlns:a14="http://schemas.microsoft.com/office/drawing/2010/main" val="0"/>
                            </a:ext>
                          </a:extLst>
                        </a:blip>
                        <a:srcRect l="11290" t="16015" r="62855" b="13256"/>
                        <a:stretch/>
                      </pic:blipFill>
                      <pic:spPr bwMode="auto">
                        <a:xfrm>
                          <a:off x="0" y="0"/>
                          <a:ext cx="2086844" cy="542925"/>
                        </a:xfrm>
                        <a:prstGeom prst="rect">
                          <a:avLst/>
                        </a:prstGeom>
                        <a:ln>
                          <a:noFill/>
                        </a:ln>
                        <a:extLst>
                          <a:ext uri="{53640926-AAD7-44D8-BBD7-CCE9431645EC}">
                            <a14:shadowObscured xmlns:a14="http://schemas.microsoft.com/office/drawing/2010/main"/>
                          </a:ext>
                        </a:extLst>
                      </pic:spPr>
                    </pic:pic>
                  </a:graphicData>
                </a:graphic>
              </wp:inline>
            </w:drawing>
          </w:r>
        </w:p>
      </w:tc>
      <w:tc>
        <w:tcPr>
          <w:tcW w:w="4429" w:type="dxa"/>
          <w:vAlign w:val="center"/>
        </w:tcPr>
        <w:p w14:paraId="29037AFD" w14:textId="77777777" w:rsidR="007327B0" w:rsidRDefault="007327B0" w:rsidP="00E9401A">
          <w:pPr>
            <w:pStyle w:val="Header"/>
            <w:jc w:val="right"/>
          </w:pPr>
          <w:r>
            <w:rPr>
              <w:noProof/>
              <w:lang w:eastAsia="en-NZ"/>
            </w:rPr>
            <w:drawing>
              <wp:anchor distT="0" distB="0" distL="114300" distR="114300" simplePos="0" relativeHeight="251659264" behindDoc="0" locked="0" layoutInCell="1" allowOverlap="1" wp14:anchorId="01FC1844" wp14:editId="53341CD6">
                <wp:simplePos x="0" y="0"/>
                <wp:positionH relativeFrom="column">
                  <wp:posOffset>1418590</wp:posOffset>
                </wp:positionH>
                <wp:positionV relativeFrom="paragraph">
                  <wp:posOffset>-14605</wp:posOffset>
                </wp:positionV>
                <wp:extent cx="1391285" cy="715010"/>
                <wp:effectExtent l="0" t="0" r="0" b="8890"/>
                <wp:wrapNone/>
                <wp:docPr id="10" name="Picture 10" descr="Ministry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Ministry of Health logo"/>
                        <pic:cNvPicPr>
                          <a:picLocks noChangeAspect="1" noChangeArrowheads="1"/>
                        </pic:cNvPicPr>
                      </pic:nvPicPr>
                      <pic:blipFill rotWithShape="1">
                        <a:blip r:embed="rId2">
                          <a:extLst>
                            <a:ext uri="{28A0092B-C50C-407E-A947-70E740481C1C}">
                              <a14:useLocalDpi xmlns:a14="http://schemas.microsoft.com/office/drawing/2010/main" val="0"/>
                            </a:ext>
                          </a:extLst>
                        </a:blip>
                        <a:srcRect l="3676" r="4424"/>
                        <a:stretch/>
                      </pic:blipFill>
                      <pic:spPr bwMode="auto">
                        <a:xfrm>
                          <a:off x="0" y="0"/>
                          <a:ext cx="1391285" cy="7150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bl>
  <w:p w14:paraId="4DCF95A6" w14:textId="77777777" w:rsidR="00105770" w:rsidRPr="005718A6" w:rsidRDefault="00105770">
    <w:pPr>
      <w:pStyle w:val="Heade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D8D9DF" w14:textId="77777777" w:rsidR="00105770" w:rsidRDefault="00105770" w:rsidP="00533B9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62A5A4" w14:textId="77777777" w:rsidR="00105770" w:rsidRDefault="00105770" w:rsidP="009001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50D64"/>
    <w:multiLevelType w:val="multilevel"/>
    <w:tmpl w:val="33B63C2A"/>
    <w:lvl w:ilvl="0">
      <w:start w:val="1"/>
      <w:numFmt w:val="bullet"/>
      <w:lvlText w:val=""/>
      <w:lvlJc w:val="left"/>
      <w:pPr>
        <w:ind w:left="357" w:hanging="357"/>
      </w:pPr>
      <w:rPr>
        <w:rFonts w:ascii="Symbol" w:hAnsi="Symbol" w:hint="default"/>
        <w:sz w:val="22"/>
        <w:szCs w:val="22"/>
        <w:vertAlign w:val="baseline"/>
      </w:rPr>
    </w:lvl>
    <w:lvl w:ilvl="1">
      <w:start w:val="1"/>
      <w:numFmt w:val="bullet"/>
      <w:lvlText w:val=""/>
      <w:lvlJc w:val="left"/>
      <w:pPr>
        <w:tabs>
          <w:tab w:val="num" w:pos="1424"/>
        </w:tabs>
        <w:ind w:left="1066" w:hanging="357"/>
      </w:pPr>
      <w:rPr>
        <w:rFonts w:ascii="Symbol" w:hAnsi="Symbol" w:hint="default"/>
        <w:sz w:val="22"/>
        <w:vertAlign w:val="superscript"/>
      </w:rPr>
    </w:lvl>
    <w:lvl w:ilvl="2">
      <w:start w:val="1"/>
      <w:numFmt w:val="bullet"/>
      <w:lvlText w:val=""/>
      <w:lvlJc w:val="left"/>
      <w:pPr>
        <w:tabs>
          <w:tab w:val="num" w:pos="1428"/>
        </w:tabs>
        <w:ind w:left="1071" w:hanging="357"/>
      </w:pPr>
      <w:rPr>
        <w:rFonts w:ascii="Wingdings" w:hAnsi="Wingdings" w:hint="default"/>
      </w:rPr>
    </w:lvl>
    <w:lvl w:ilvl="3">
      <w:start w:val="1"/>
      <w:numFmt w:val="bullet"/>
      <w:lvlText w:val=""/>
      <w:lvlJc w:val="left"/>
      <w:pPr>
        <w:tabs>
          <w:tab w:val="num" w:pos="1785"/>
        </w:tabs>
        <w:ind w:left="1428" w:hanging="357"/>
      </w:pPr>
      <w:rPr>
        <w:rFonts w:ascii="Symbol" w:hAnsi="Symbol" w:hint="default"/>
      </w:rPr>
    </w:lvl>
    <w:lvl w:ilvl="4">
      <w:start w:val="1"/>
      <w:numFmt w:val="bullet"/>
      <w:lvlText w:val="o"/>
      <w:lvlJc w:val="left"/>
      <w:pPr>
        <w:tabs>
          <w:tab w:val="num" w:pos="2142"/>
        </w:tabs>
        <w:ind w:left="1785" w:hanging="357"/>
      </w:pPr>
      <w:rPr>
        <w:rFonts w:ascii="Courier New" w:hAnsi="Courier New" w:cs="Courier New" w:hint="default"/>
      </w:rPr>
    </w:lvl>
    <w:lvl w:ilvl="5">
      <w:start w:val="1"/>
      <w:numFmt w:val="bullet"/>
      <w:lvlText w:val=""/>
      <w:lvlJc w:val="left"/>
      <w:pPr>
        <w:tabs>
          <w:tab w:val="num" w:pos="2499"/>
        </w:tabs>
        <w:ind w:left="2142" w:hanging="357"/>
      </w:pPr>
      <w:rPr>
        <w:rFonts w:ascii="Wingdings" w:hAnsi="Wingdings" w:hint="default"/>
      </w:rPr>
    </w:lvl>
    <w:lvl w:ilvl="6">
      <w:start w:val="1"/>
      <w:numFmt w:val="bullet"/>
      <w:lvlText w:val=""/>
      <w:lvlJc w:val="left"/>
      <w:pPr>
        <w:tabs>
          <w:tab w:val="num" w:pos="2856"/>
        </w:tabs>
        <w:ind w:left="2499" w:hanging="357"/>
      </w:pPr>
      <w:rPr>
        <w:rFonts w:ascii="Symbol" w:hAnsi="Symbol" w:hint="default"/>
      </w:rPr>
    </w:lvl>
    <w:lvl w:ilvl="7">
      <w:start w:val="1"/>
      <w:numFmt w:val="bullet"/>
      <w:lvlText w:val="o"/>
      <w:lvlJc w:val="left"/>
      <w:pPr>
        <w:tabs>
          <w:tab w:val="num" w:pos="3213"/>
        </w:tabs>
        <w:ind w:left="2856" w:hanging="357"/>
      </w:pPr>
      <w:rPr>
        <w:rFonts w:ascii="Courier New" w:hAnsi="Courier New" w:cs="Courier New" w:hint="default"/>
      </w:rPr>
    </w:lvl>
    <w:lvl w:ilvl="8">
      <w:start w:val="1"/>
      <w:numFmt w:val="bullet"/>
      <w:lvlText w:val=""/>
      <w:lvlJc w:val="left"/>
      <w:pPr>
        <w:tabs>
          <w:tab w:val="num" w:pos="3570"/>
        </w:tabs>
        <w:ind w:left="3213" w:hanging="357"/>
      </w:pPr>
      <w:rPr>
        <w:rFonts w:ascii="Wingdings" w:hAnsi="Wingdings" w:hint="default"/>
      </w:rPr>
    </w:lvl>
  </w:abstractNum>
  <w:abstractNum w:abstractNumId="1" w15:restartNumberingAfterBreak="0">
    <w:nsid w:val="00D817C7"/>
    <w:multiLevelType w:val="multilevel"/>
    <w:tmpl w:val="7A1E5B02"/>
    <w:lvl w:ilvl="0">
      <w:start w:val="1"/>
      <w:numFmt w:val="decimal"/>
      <w:lvlText w:val="%1"/>
      <w:lvlJc w:val="left"/>
      <w:pPr>
        <w:ind w:left="992" w:hanging="992"/>
      </w:pPr>
      <w:rPr>
        <w:rFonts w:hint="default"/>
      </w:rPr>
    </w:lvl>
    <w:lvl w:ilvl="1">
      <w:start w:val="1"/>
      <w:numFmt w:val="lowerLetter"/>
      <w:lvlText w:val="%2."/>
      <w:lvlJc w:val="left"/>
      <w:pPr>
        <w:ind w:left="992" w:hanging="992"/>
      </w:pPr>
      <w:rPr>
        <w:rFonts w:hint="default"/>
      </w:rPr>
    </w:lvl>
    <w:lvl w:ilvl="2">
      <w:start w:val="1"/>
      <w:numFmt w:val="none"/>
      <w:pStyle w:val="Heading3"/>
      <w:suff w:val="nothing"/>
      <w:lvlText w:val="%3"/>
      <w:lvlJc w:val="left"/>
      <w:pPr>
        <w:ind w:left="0" w:firstLine="0"/>
      </w:pPr>
      <w:rPr>
        <w:rFonts w:hint="default"/>
      </w:rPr>
    </w:lvl>
    <w:lvl w:ilvl="3">
      <w:start w:val="1"/>
      <w:numFmt w:val="decimal"/>
      <w:pStyle w:val="Number"/>
      <w:lvlText w:val="%4."/>
      <w:lvlJc w:val="left"/>
      <w:pPr>
        <w:ind w:left="567" w:hanging="567"/>
      </w:pPr>
      <w:rPr>
        <w:rFonts w:hint="default"/>
      </w:rPr>
    </w:lvl>
    <w:lvl w:ilvl="4">
      <w:start w:val="1"/>
      <w:numFmt w:val="lowerLetter"/>
      <w:pStyle w:val="Letter"/>
      <w:lvlText w:val="%5."/>
      <w:lvlJc w:val="left"/>
      <w:pPr>
        <w:ind w:left="1134" w:hanging="567"/>
      </w:pPr>
      <w:rPr>
        <w:rFonts w:hint="default"/>
      </w:rPr>
    </w:lvl>
    <w:lvl w:ilvl="5">
      <w:start w:val="1"/>
      <w:numFmt w:val="lowerRoman"/>
      <w:pStyle w:val="Roman"/>
      <w:lvlText w:val="%6."/>
      <w:lvlJc w:val="left"/>
      <w:pPr>
        <w:ind w:left="1701"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1623B1E"/>
    <w:multiLevelType w:val="hybridMultilevel"/>
    <w:tmpl w:val="4A3E85F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1B64AE7"/>
    <w:multiLevelType w:val="hybridMultilevel"/>
    <w:tmpl w:val="7AF45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2E1B55"/>
    <w:multiLevelType w:val="singleLevel"/>
    <w:tmpl w:val="1A46536C"/>
    <w:lvl w:ilvl="0">
      <w:start w:val="1"/>
      <w:numFmt w:val="bullet"/>
      <w:pStyle w:val="TableBullet"/>
      <w:lvlText w:val=""/>
      <w:lvlJc w:val="left"/>
      <w:pPr>
        <w:tabs>
          <w:tab w:val="num" w:pos="284"/>
        </w:tabs>
        <w:ind w:left="284" w:hanging="284"/>
      </w:pPr>
      <w:rPr>
        <w:rFonts w:ascii="Symbol" w:hAnsi="Symbol" w:hint="default"/>
        <w:sz w:val="16"/>
        <w:szCs w:val="16"/>
      </w:rPr>
    </w:lvl>
  </w:abstractNum>
  <w:abstractNum w:abstractNumId="5" w15:restartNumberingAfterBreak="0">
    <w:nsid w:val="05954F30"/>
    <w:multiLevelType w:val="hybridMultilevel"/>
    <w:tmpl w:val="40485CA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06FA6483"/>
    <w:multiLevelType w:val="hybridMultilevel"/>
    <w:tmpl w:val="8394396E"/>
    <w:lvl w:ilvl="0" w:tplc="14090001">
      <w:start w:val="1"/>
      <w:numFmt w:val="bullet"/>
      <w:lvlText w:val=""/>
      <w:lvlJc w:val="left"/>
      <w:pPr>
        <w:ind w:left="790" w:hanging="360"/>
      </w:pPr>
      <w:rPr>
        <w:rFonts w:ascii="Symbol" w:hAnsi="Symbol" w:hint="default"/>
      </w:rPr>
    </w:lvl>
    <w:lvl w:ilvl="1" w:tplc="14090003" w:tentative="1">
      <w:start w:val="1"/>
      <w:numFmt w:val="bullet"/>
      <w:lvlText w:val="o"/>
      <w:lvlJc w:val="left"/>
      <w:pPr>
        <w:ind w:left="1510" w:hanging="360"/>
      </w:pPr>
      <w:rPr>
        <w:rFonts w:ascii="Courier New" w:hAnsi="Courier New" w:cs="Courier New" w:hint="default"/>
      </w:rPr>
    </w:lvl>
    <w:lvl w:ilvl="2" w:tplc="14090005" w:tentative="1">
      <w:start w:val="1"/>
      <w:numFmt w:val="bullet"/>
      <w:lvlText w:val=""/>
      <w:lvlJc w:val="left"/>
      <w:pPr>
        <w:ind w:left="2230" w:hanging="360"/>
      </w:pPr>
      <w:rPr>
        <w:rFonts w:ascii="Wingdings" w:hAnsi="Wingdings" w:hint="default"/>
      </w:rPr>
    </w:lvl>
    <w:lvl w:ilvl="3" w:tplc="14090001" w:tentative="1">
      <w:start w:val="1"/>
      <w:numFmt w:val="bullet"/>
      <w:lvlText w:val=""/>
      <w:lvlJc w:val="left"/>
      <w:pPr>
        <w:ind w:left="2950" w:hanging="360"/>
      </w:pPr>
      <w:rPr>
        <w:rFonts w:ascii="Symbol" w:hAnsi="Symbol" w:hint="default"/>
      </w:rPr>
    </w:lvl>
    <w:lvl w:ilvl="4" w:tplc="14090003" w:tentative="1">
      <w:start w:val="1"/>
      <w:numFmt w:val="bullet"/>
      <w:lvlText w:val="o"/>
      <w:lvlJc w:val="left"/>
      <w:pPr>
        <w:ind w:left="3670" w:hanging="360"/>
      </w:pPr>
      <w:rPr>
        <w:rFonts w:ascii="Courier New" w:hAnsi="Courier New" w:cs="Courier New" w:hint="default"/>
      </w:rPr>
    </w:lvl>
    <w:lvl w:ilvl="5" w:tplc="14090005" w:tentative="1">
      <w:start w:val="1"/>
      <w:numFmt w:val="bullet"/>
      <w:lvlText w:val=""/>
      <w:lvlJc w:val="left"/>
      <w:pPr>
        <w:ind w:left="4390" w:hanging="360"/>
      </w:pPr>
      <w:rPr>
        <w:rFonts w:ascii="Wingdings" w:hAnsi="Wingdings" w:hint="default"/>
      </w:rPr>
    </w:lvl>
    <w:lvl w:ilvl="6" w:tplc="14090001" w:tentative="1">
      <w:start w:val="1"/>
      <w:numFmt w:val="bullet"/>
      <w:lvlText w:val=""/>
      <w:lvlJc w:val="left"/>
      <w:pPr>
        <w:ind w:left="5110" w:hanging="360"/>
      </w:pPr>
      <w:rPr>
        <w:rFonts w:ascii="Symbol" w:hAnsi="Symbol" w:hint="default"/>
      </w:rPr>
    </w:lvl>
    <w:lvl w:ilvl="7" w:tplc="14090003" w:tentative="1">
      <w:start w:val="1"/>
      <w:numFmt w:val="bullet"/>
      <w:lvlText w:val="o"/>
      <w:lvlJc w:val="left"/>
      <w:pPr>
        <w:ind w:left="5830" w:hanging="360"/>
      </w:pPr>
      <w:rPr>
        <w:rFonts w:ascii="Courier New" w:hAnsi="Courier New" w:cs="Courier New" w:hint="default"/>
      </w:rPr>
    </w:lvl>
    <w:lvl w:ilvl="8" w:tplc="14090005" w:tentative="1">
      <w:start w:val="1"/>
      <w:numFmt w:val="bullet"/>
      <w:lvlText w:val=""/>
      <w:lvlJc w:val="left"/>
      <w:pPr>
        <w:ind w:left="6550" w:hanging="360"/>
      </w:pPr>
      <w:rPr>
        <w:rFonts w:ascii="Wingdings" w:hAnsi="Wingdings" w:hint="default"/>
      </w:rPr>
    </w:lvl>
  </w:abstractNum>
  <w:abstractNum w:abstractNumId="7" w15:restartNumberingAfterBreak="0">
    <w:nsid w:val="076735CD"/>
    <w:multiLevelType w:val="hybridMultilevel"/>
    <w:tmpl w:val="8C50576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08142377"/>
    <w:multiLevelType w:val="hybridMultilevel"/>
    <w:tmpl w:val="C02C123E"/>
    <w:lvl w:ilvl="0" w:tplc="78E449E2">
      <w:start w:val="1"/>
      <w:numFmt w:val="lowerRoman"/>
      <w:lvlText w:val="%1."/>
      <w:lvlJc w:val="left"/>
      <w:pPr>
        <w:ind w:left="1440" w:hanging="720"/>
      </w:pPr>
      <w:rPr>
        <w:rFonts w:hint="default"/>
      </w:rPr>
    </w:lvl>
    <w:lvl w:ilvl="1" w:tplc="14090019">
      <w:start w:val="1"/>
      <w:numFmt w:val="lowerLetter"/>
      <w:lvlText w:val="%2."/>
      <w:lvlJc w:val="left"/>
      <w:pPr>
        <w:ind w:left="1800" w:hanging="360"/>
      </w:pPr>
    </w:lvl>
    <w:lvl w:ilvl="2" w:tplc="1409001B">
      <w:start w:val="1"/>
      <w:numFmt w:val="lowerRoman"/>
      <w:lvlText w:val="%3."/>
      <w:lvlJc w:val="right"/>
      <w:pPr>
        <w:ind w:left="2520" w:hanging="180"/>
      </w:pPr>
    </w:lvl>
    <w:lvl w:ilvl="3" w:tplc="1409000F">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9" w15:restartNumberingAfterBreak="0">
    <w:nsid w:val="0C8C07BC"/>
    <w:multiLevelType w:val="hybridMultilevel"/>
    <w:tmpl w:val="ABA8FA9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0D8C5D5A"/>
    <w:multiLevelType w:val="multilevel"/>
    <w:tmpl w:val="2CD092E4"/>
    <w:lvl w:ilvl="0">
      <w:start w:val="1"/>
      <w:numFmt w:val="bullet"/>
      <w:lvlText w:val="o"/>
      <w:lvlJc w:val="left"/>
      <w:pPr>
        <w:ind w:left="357" w:hanging="357"/>
      </w:pPr>
      <w:rPr>
        <w:rFonts w:ascii="Courier New" w:hAnsi="Courier New" w:cs="Courier New" w:hint="default"/>
        <w:sz w:val="22"/>
      </w:rPr>
    </w:lvl>
    <w:lvl w:ilvl="1">
      <w:start w:val="1"/>
      <w:numFmt w:val="bullet"/>
      <w:lvlText w:val="o"/>
      <w:lvlJc w:val="left"/>
      <w:pPr>
        <w:tabs>
          <w:tab w:val="num" w:pos="1072"/>
        </w:tabs>
        <w:ind w:left="714" w:hanging="357"/>
      </w:pPr>
      <w:rPr>
        <w:rFonts w:ascii="Courier New" w:hAnsi="Courier New" w:cs="Courier New" w:hint="default"/>
        <w:sz w:val="22"/>
      </w:rPr>
    </w:lvl>
    <w:lvl w:ilvl="2">
      <w:start w:val="1"/>
      <w:numFmt w:val="bullet"/>
      <w:lvlText w:val=""/>
      <w:lvlJc w:val="left"/>
      <w:pPr>
        <w:tabs>
          <w:tab w:val="num" w:pos="1428"/>
        </w:tabs>
        <w:ind w:left="1071" w:hanging="357"/>
      </w:pPr>
      <w:rPr>
        <w:rFonts w:ascii="Wingdings" w:hAnsi="Wingdings" w:hint="default"/>
      </w:rPr>
    </w:lvl>
    <w:lvl w:ilvl="3">
      <w:start w:val="1"/>
      <w:numFmt w:val="bullet"/>
      <w:lvlText w:val=""/>
      <w:lvlJc w:val="left"/>
      <w:pPr>
        <w:tabs>
          <w:tab w:val="num" w:pos="1785"/>
        </w:tabs>
        <w:ind w:left="1428" w:hanging="357"/>
      </w:pPr>
      <w:rPr>
        <w:rFonts w:ascii="Symbol" w:hAnsi="Symbol" w:hint="default"/>
      </w:rPr>
    </w:lvl>
    <w:lvl w:ilvl="4">
      <w:start w:val="1"/>
      <w:numFmt w:val="bullet"/>
      <w:lvlText w:val="o"/>
      <w:lvlJc w:val="left"/>
      <w:pPr>
        <w:tabs>
          <w:tab w:val="num" w:pos="2142"/>
        </w:tabs>
        <w:ind w:left="1785" w:hanging="357"/>
      </w:pPr>
      <w:rPr>
        <w:rFonts w:ascii="Courier New" w:hAnsi="Courier New" w:cs="Courier New" w:hint="default"/>
      </w:rPr>
    </w:lvl>
    <w:lvl w:ilvl="5">
      <w:start w:val="1"/>
      <w:numFmt w:val="bullet"/>
      <w:lvlText w:val=""/>
      <w:lvlJc w:val="left"/>
      <w:pPr>
        <w:tabs>
          <w:tab w:val="num" w:pos="2499"/>
        </w:tabs>
        <w:ind w:left="2142" w:hanging="357"/>
      </w:pPr>
      <w:rPr>
        <w:rFonts w:ascii="Wingdings" w:hAnsi="Wingdings" w:hint="default"/>
      </w:rPr>
    </w:lvl>
    <w:lvl w:ilvl="6">
      <w:start w:val="1"/>
      <w:numFmt w:val="bullet"/>
      <w:lvlText w:val=""/>
      <w:lvlJc w:val="left"/>
      <w:pPr>
        <w:tabs>
          <w:tab w:val="num" w:pos="2856"/>
        </w:tabs>
        <w:ind w:left="2499" w:hanging="357"/>
      </w:pPr>
      <w:rPr>
        <w:rFonts w:ascii="Symbol" w:hAnsi="Symbol" w:hint="default"/>
      </w:rPr>
    </w:lvl>
    <w:lvl w:ilvl="7">
      <w:start w:val="1"/>
      <w:numFmt w:val="bullet"/>
      <w:lvlText w:val="o"/>
      <w:lvlJc w:val="left"/>
      <w:pPr>
        <w:tabs>
          <w:tab w:val="num" w:pos="3213"/>
        </w:tabs>
        <w:ind w:left="2856" w:hanging="357"/>
      </w:pPr>
      <w:rPr>
        <w:rFonts w:ascii="Courier New" w:hAnsi="Courier New" w:cs="Courier New" w:hint="default"/>
      </w:rPr>
    </w:lvl>
    <w:lvl w:ilvl="8">
      <w:start w:val="1"/>
      <w:numFmt w:val="bullet"/>
      <w:lvlText w:val=""/>
      <w:lvlJc w:val="left"/>
      <w:pPr>
        <w:tabs>
          <w:tab w:val="num" w:pos="3570"/>
        </w:tabs>
        <w:ind w:left="3213" w:hanging="357"/>
      </w:pPr>
      <w:rPr>
        <w:rFonts w:ascii="Wingdings" w:hAnsi="Wingdings" w:hint="default"/>
      </w:rPr>
    </w:lvl>
  </w:abstractNum>
  <w:abstractNum w:abstractNumId="11" w15:restartNumberingAfterBreak="0">
    <w:nsid w:val="12370A65"/>
    <w:multiLevelType w:val="multilevel"/>
    <w:tmpl w:val="14090029"/>
    <w:lvl w:ilvl="0">
      <w:start w:val="1"/>
      <w:numFmt w:val="decimal"/>
      <w:suff w:val="space"/>
      <w:lvlText w:val="Chapter %1"/>
      <w:lvlJc w:val="left"/>
      <w:pPr>
        <w:ind w:left="397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1AD060F0"/>
    <w:multiLevelType w:val="multilevel"/>
    <w:tmpl w:val="8362BF2E"/>
    <w:lvl w:ilvl="0">
      <w:start w:val="1"/>
      <w:numFmt w:val="upperRoman"/>
      <w:lvlText w:val="%1."/>
      <w:lvlJc w:val="right"/>
      <w:pPr>
        <w:ind w:left="357" w:hanging="357"/>
      </w:pPr>
      <w:rPr>
        <w:rFonts w:hint="default"/>
        <w:sz w:val="22"/>
      </w:rPr>
    </w:lvl>
    <w:lvl w:ilvl="1">
      <w:start w:val="1"/>
      <w:numFmt w:val="bullet"/>
      <w:lvlText w:val="–"/>
      <w:lvlJc w:val="left"/>
      <w:pPr>
        <w:tabs>
          <w:tab w:val="num" w:pos="1072"/>
        </w:tabs>
        <w:ind w:left="714" w:hanging="357"/>
      </w:pPr>
      <w:rPr>
        <w:rFonts w:ascii="Arial" w:hAnsi="Arial" w:hint="default"/>
        <w:sz w:val="22"/>
      </w:rPr>
    </w:lvl>
    <w:lvl w:ilvl="2">
      <w:start w:val="1"/>
      <w:numFmt w:val="bullet"/>
      <w:lvlText w:val=""/>
      <w:lvlJc w:val="left"/>
      <w:pPr>
        <w:tabs>
          <w:tab w:val="num" w:pos="1428"/>
        </w:tabs>
        <w:ind w:left="1071" w:hanging="357"/>
      </w:pPr>
      <w:rPr>
        <w:rFonts w:ascii="Wingdings" w:hAnsi="Wingdings" w:hint="default"/>
      </w:rPr>
    </w:lvl>
    <w:lvl w:ilvl="3">
      <w:start w:val="1"/>
      <w:numFmt w:val="bullet"/>
      <w:lvlText w:val=""/>
      <w:lvlJc w:val="left"/>
      <w:pPr>
        <w:tabs>
          <w:tab w:val="num" w:pos="1785"/>
        </w:tabs>
        <w:ind w:left="1428" w:hanging="357"/>
      </w:pPr>
      <w:rPr>
        <w:rFonts w:ascii="Symbol" w:hAnsi="Symbol" w:hint="default"/>
      </w:rPr>
    </w:lvl>
    <w:lvl w:ilvl="4">
      <w:start w:val="1"/>
      <w:numFmt w:val="bullet"/>
      <w:lvlText w:val="o"/>
      <w:lvlJc w:val="left"/>
      <w:pPr>
        <w:tabs>
          <w:tab w:val="num" w:pos="2142"/>
        </w:tabs>
        <w:ind w:left="1785" w:hanging="357"/>
      </w:pPr>
      <w:rPr>
        <w:rFonts w:ascii="Courier New" w:hAnsi="Courier New" w:cs="Courier New" w:hint="default"/>
      </w:rPr>
    </w:lvl>
    <w:lvl w:ilvl="5">
      <w:start w:val="1"/>
      <w:numFmt w:val="bullet"/>
      <w:lvlText w:val=""/>
      <w:lvlJc w:val="left"/>
      <w:pPr>
        <w:tabs>
          <w:tab w:val="num" w:pos="2499"/>
        </w:tabs>
        <w:ind w:left="2142" w:hanging="357"/>
      </w:pPr>
      <w:rPr>
        <w:rFonts w:ascii="Wingdings" w:hAnsi="Wingdings" w:hint="default"/>
      </w:rPr>
    </w:lvl>
    <w:lvl w:ilvl="6">
      <w:start w:val="1"/>
      <w:numFmt w:val="bullet"/>
      <w:lvlText w:val=""/>
      <w:lvlJc w:val="left"/>
      <w:pPr>
        <w:tabs>
          <w:tab w:val="num" w:pos="2856"/>
        </w:tabs>
        <w:ind w:left="2499" w:hanging="357"/>
      </w:pPr>
      <w:rPr>
        <w:rFonts w:ascii="Symbol" w:hAnsi="Symbol" w:hint="default"/>
      </w:rPr>
    </w:lvl>
    <w:lvl w:ilvl="7">
      <w:start w:val="1"/>
      <w:numFmt w:val="bullet"/>
      <w:lvlText w:val="o"/>
      <w:lvlJc w:val="left"/>
      <w:pPr>
        <w:tabs>
          <w:tab w:val="num" w:pos="3213"/>
        </w:tabs>
        <w:ind w:left="2856" w:hanging="357"/>
      </w:pPr>
      <w:rPr>
        <w:rFonts w:ascii="Courier New" w:hAnsi="Courier New" w:cs="Courier New" w:hint="default"/>
      </w:rPr>
    </w:lvl>
    <w:lvl w:ilvl="8">
      <w:start w:val="1"/>
      <w:numFmt w:val="bullet"/>
      <w:lvlText w:val=""/>
      <w:lvlJc w:val="left"/>
      <w:pPr>
        <w:tabs>
          <w:tab w:val="num" w:pos="3570"/>
        </w:tabs>
        <w:ind w:left="3213" w:hanging="357"/>
      </w:pPr>
      <w:rPr>
        <w:rFonts w:ascii="Wingdings" w:hAnsi="Wingdings" w:hint="default"/>
      </w:rPr>
    </w:lvl>
  </w:abstractNum>
  <w:abstractNum w:abstractNumId="13" w15:restartNumberingAfterBreak="0">
    <w:nsid w:val="1C39728D"/>
    <w:multiLevelType w:val="hybridMultilevel"/>
    <w:tmpl w:val="FD2042B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1D905CD6"/>
    <w:multiLevelType w:val="hybridMultilevel"/>
    <w:tmpl w:val="B16E54E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2EA0626C"/>
    <w:multiLevelType w:val="multilevel"/>
    <w:tmpl w:val="1422C38A"/>
    <w:lvl w:ilvl="0">
      <w:start w:val="1"/>
      <w:numFmt w:val="upperRoman"/>
      <w:lvlText w:val="%1."/>
      <w:lvlJc w:val="right"/>
      <w:pPr>
        <w:ind w:left="357" w:hanging="357"/>
      </w:pPr>
      <w:rPr>
        <w:rFonts w:hint="default"/>
        <w:sz w:val="22"/>
      </w:rPr>
    </w:lvl>
    <w:lvl w:ilvl="1">
      <w:start w:val="1"/>
      <w:numFmt w:val="bullet"/>
      <w:lvlText w:val="–"/>
      <w:lvlJc w:val="left"/>
      <w:pPr>
        <w:tabs>
          <w:tab w:val="num" w:pos="1072"/>
        </w:tabs>
        <w:ind w:left="714" w:hanging="357"/>
      </w:pPr>
      <w:rPr>
        <w:rFonts w:ascii="Arial" w:hAnsi="Arial" w:hint="default"/>
        <w:sz w:val="22"/>
      </w:rPr>
    </w:lvl>
    <w:lvl w:ilvl="2">
      <w:start w:val="1"/>
      <w:numFmt w:val="bullet"/>
      <w:lvlText w:val=""/>
      <w:lvlJc w:val="left"/>
      <w:pPr>
        <w:tabs>
          <w:tab w:val="num" w:pos="1428"/>
        </w:tabs>
        <w:ind w:left="1071" w:hanging="357"/>
      </w:pPr>
      <w:rPr>
        <w:rFonts w:ascii="Wingdings" w:hAnsi="Wingdings" w:hint="default"/>
      </w:rPr>
    </w:lvl>
    <w:lvl w:ilvl="3">
      <w:start w:val="1"/>
      <w:numFmt w:val="bullet"/>
      <w:lvlText w:val=""/>
      <w:lvlJc w:val="left"/>
      <w:pPr>
        <w:tabs>
          <w:tab w:val="num" w:pos="1785"/>
        </w:tabs>
        <w:ind w:left="1428" w:hanging="357"/>
      </w:pPr>
      <w:rPr>
        <w:rFonts w:ascii="Symbol" w:hAnsi="Symbol" w:hint="default"/>
      </w:rPr>
    </w:lvl>
    <w:lvl w:ilvl="4">
      <w:start w:val="1"/>
      <w:numFmt w:val="bullet"/>
      <w:lvlText w:val="o"/>
      <w:lvlJc w:val="left"/>
      <w:pPr>
        <w:tabs>
          <w:tab w:val="num" w:pos="2142"/>
        </w:tabs>
        <w:ind w:left="1785" w:hanging="357"/>
      </w:pPr>
      <w:rPr>
        <w:rFonts w:ascii="Courier New" w:hAnsi="Courier New" w:cs="Courier New" w:hint="default"/>
      </w:rPr>
    </w:lvl>
    <w:lvl w:ilvl="5">
      <w:start w:val="1"/>
      <w:numFmt w:val="bullet"/>
      <w:lvlText w:val=""/>
      <w:lvlJc w:val="left"/>
      <w:pPr>
        <w:tabs>
          <w:tab w:val="num" w:pos="2499"/>
        </w:tabs>
        <w:ind w:left="2142" w:hanging="357"/>
      </w:pPr>
      <w:rPr>
        <w:rFonts w:ascii="Wingdings" w:hAnsi="Wingdings" w:hint="default"/>
      </w:rPr>
    </w:lvl>
    <w:lvl w:ilvl="6">
      <w:start w:val="1"/>
      <w:numFmt w:val="bullet"/>
      <w:lvlText w:val=""/>
      <w:lvlJc w:val="left"/>
      <w:pPr>
        <w:tabs>
          <w:tab w:val="num" w:pos="2856"/>
        </w:tabs>
        <w:ind w:left="2499" w:hanging="357"/>
      </w:pPr>
      <w:rPr>
        <w:rFonts w:ascii="Symbol" w:hAnsi="Symbol" w:hint="default"/>
      </w:rPr>
    </w:lvl>
    <w:lvl w:ilvl="7">
      <w:start w:val="1"/>
      <w:numFmt w:val="bullet"/>
      <w:lvlText w:val="o"/>
      <w:lvlJc w:val="left"/>
      <w:pPr>
        <w:tabs>
          <w:tab w:val="num" w:pos="3213"/>
        </w:tabs>
        <w:ind w:left="2856" w:hanging="357"/>
      </w:pPr>
      <w:rPr>
        <w:rFonts w:ascii="Courier New" w:hAnsi="Courier New" w:cs="Courier New" w:hint="default"/>
      </w:rPr>
    </w:lvl>
    <w:lvl w:ilvl="8">
      <w:start w:val="1"/>
      <w:numFmt w:val="bullet"/>
      <w:lvlText w:val=""/>
      <w:lvlJc w:val="left"/>
      <w:pPr>
        <w:tabs>
          <w:tab w:val="num" w:pos="3570"/>
        </w:tabs>
        <w:ind w:left="3213" w:hanging="357"/>
      </w:pPr>
      <w:rPr>
        <w:rFonts w:ascii="Wingdings" w:hAnsi="Wingdings" w:hint="default"/>
      </w:rPr>
    </w:lvl>
  </w:abstractNum>
  <w:abstractNum w:abstractNumId="16" w15:restartNumberingAfterBreak="0">
    <w:nsid w:val="2F3E22D3"/>
    <w:multiLevelType w:val="multilevel"/>
    <w:tmpl w:val="758E542E"/>
    <w:lvl w:ilvl="0">
      <w:start w:val="1"/>
      <w:numFmt w:val="bullet"/>
      <w:lvlText w:val="o"/>
      <w:lvlJc w:val="left"/>
      <w:pPr>
        <w:ind w:left="357" w:hanging="357"/>
      </w:pPr>
      <w:rPr>
        <w:rFonts w:ascii="Courier New" w:hAnsi="Courier New" w:cs="Courier New" w:hint="default"/>
        <w:sz w:val="22"/>
      </w:rPr>
    </w:lvl>
    <w:lvl w:ilvl="1">
      <w:start w:val="1"/>
      <w:numFmt w:val="bullet"/>
      <w:lvlText w:val="–"/>
      <w:lvlJc w:val="left"/>
      <w:pPr>
        <w:tabs>
          <w:tab w:val="num" w:pos="1072"/>
        </w:tabs>
        <w:ind w:left="714" w:hanging="357"/>
      </w:pPr>
      <w:rPr>
        <w:rFonts w:ascii="Arial" w:hAnsi="Arial" w:hint="default"/>
        <w:sz w:val="22"/>
      </w:rPr>
    </w:lvl>
    <w:lvl w:ilvl="2">
      <w:start w:val="1"/>
      <w:numFmt w:val="bullet"/>
      <w:lvlText w:val=""/>
      <w:lvlJc w:val="left"/>
      <w:pPr>
        <w:tabs>
          <w:tab w:val="num" w:pos="1428"/>
        </w:tabs>
        <w:ind w:left="1071" w:hanging="357"/>
      </w:pPr>
      <w:rPr>
        <w:rFonts w:ascii="Wingdings" w:hAnsi="Wingdings" w:hint="default"/>
      </w:rPr>
    </w:lvl>
    <w:lvl w:ilvl="3">
      <w:start w:val="1"/>
      <w:numFmt w:val="bullet"/>
      <w:lvlText w:val=""/>
      <w:lvlJc w:val="left"/>
      <w:pPr>
        <w:tabs>
          <w:tab w:val="num" w:pos="1785"/>
        </w:tabs>
        <w:ind w:left="1428" w:hanging="357"/>
      </w:pPr>
      <w:rPr>
        <w:rFonts w:ascii="Symbol" w:hAnsi="Symbol" w:hint="default"/>
      </w:rPr>
    </w:lvl>
    <w:lvl w:ilvl="4">
      <w:start w:val="1"/>
      <w:numFmt w:val="bullet"/>
      <w:lvlText w:val="o"/>
      <w:lvlJc w:val="left"/>
      <w:pPr>
        <w:tabs>
          <w:tab w:val="num" w:pos="2142"/>
        </w:tabs>
        <w:ind w:left="1785" w:hanging="357"/>
      </w:pPr>
      <w:rPr>
        <w:rFonts w:ascii="Courier New" w:hAnsi="Courier New" w:cs="Courier New" w:hint="default"/>
      </w:rPr>
    </w:lvl>
    <w:lvl w:ilvl="5">
      <w:start w:val="1"/>
      <w:numFmt w:val="bullet"/>
      <w:lvlText w:val=""/>
      <w:lvlJc w:val="left"/>
      <w:pPr>
        <w:tabs>
          <w:tab w:val="num" w:pos="2499"/>
        </w:tabs>
        <w:ind w:left="2142" w:hanging="357"/>
      </w:pPr>
      <w:rPr>
        <w:rFonts w:ascii="Wingdings" w:hAnsi="Wingdings" w:hint="default"/>
      </w:rPr>
    </w:lvl>
    <w:lvl w:ilvl="6">
      <w:start w:val="1"/>
      <w:numFmt w:val="bullet"/>
      <w:lvlText w:val=""/>
      <w:lvlJc w:val="left"/>
      <w:pPr>
        <w:tabs>
          <w:tab w:val="num" w:pos="2856"/>
        </w:tabs>
        <w:ind w:left="2499" w:hanging="357"/>
      </w:pPr>
      <w:rPr>
        <w:rFonts w:ascii="Symbol" w:hAnsi="Symbol" w:hint="default"/>
      </w:rPr>
    </w:lvl>
    <w:lvl w:ilvl="7">
      <w:start w:val="1"/>
      <w:numFmt w:val="bullet"/>
      <w:lvlText w:val="o"/>
      <w:lvlJc w:val="left"/>
      <w:pPr>
        <w:tabs>
          <w:tab w:val="num" w:pos="3213"/>
        </w:tabs>
        <w:ind w:left="2856" w:hanging="357"/>
      </w:pPr>
      <w:rPr>
        <w:rFonts w:ascii="Courier New" w:hAnsi="Courier New" w:cs="Courier New" w:hint="default"/>
      </w:rPr>
    </w:lvl>
    <w:lvl w:ilvl="8">
      <w:start w:val="1"/>
      <w:numFmt w:val="bullet"/>
      <w:lvlText w:val=""/>
      <w:lvlJc w:val="left"/>
      <w:pPr>
        <w:tabs>
          <w:tab w:val="num" w:pos="3570"/>
        </w:tabs>
        <w:ind w:left="3213" w:hanging="357"/>
      </w:pPr>
      <w:rPr>
        <w:rFonts w:ascii="Wingdings" w:hAnsi="Wingdings" w:hint="default"/>
      </w:rPr>
    </w:lvl>
  </w:abstractNum>
  <w:abstractNum w:abstractNumId="17" w15:restartNumberingAfterBreak="0">
    <w:nsid w:val="30A971E0"/>
    <w:multiLevelType w:val="multilevel"/>
    <w:tmpl w:val="451837C8"/>
    <w:lvl w:ilvl="0">
      <w:start w:val="1"/>
      <w:numFmt w:val="decimal"/>
      <w:suff w:val="nothing"/>
      <w:lvlText w:val="Appendix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4DB6753"/>
    <w:multiLevelType w:val="multilevel"/>
    <w:tmpl w:val="CFA0ECDC"/>
    <w:lvl w:ilvl="0">
      <w:start w:val="1"/>
      <w:numFmt w:val="decimal"/>
      <w:lvlText w:val="%1)"/>
      <w:lvlJc w:val="left"/>
      <w:pPr>
        <w:ind w:left="1494" w:hanging="360"/>
      </w:pPr>
      <w:rPr>
        <w:rFonts w:hint="default"/>
      </w:rPr>
    </w:lvl>
    <w:lvl w:ilvl="1" w:tentative="1">
      <w:start w:val="1"/>
      <w:numFmt w:val="lowerLetter"/>
      <w:lvlText w:val="%2."/>
      <w:lvlJc w:val="left"/>
      <w:pPr>
        <w:ind w:left="2214" w:hanging="360"/>
      </w:pPr>
    </w:lvl>
    <w:lvl w:ilvl="2" w:tentative="1">
      <w:start w:val="1"/>
      <w:numFmt w:val="lowerRoman"/>
      <w:lvlText w:val="%3."/>
      <w:lvlJc w:val="right"/>
      <w:pPr>
        <w:ind w:left="2934" w:hanging="180"/>
      </w:pPr>
    </w:lvl>
    <w:lvl w:ilvl="3" w:tentative="1">
      <w:start w:val="1"/>
      <w:numFmt w:val="decimal"/>
      <w:lvlText w:val="%4."/>
      <w:lvlJc w:val="left"/>
      <w:pPr>
        <w:ind w:left="3654" w:hanging="360"/>
      </w:pPr>
    </w:lvl>
    <w:lvl w:ilvl="4" w:tentative="1">
      <w:start w:val="1"/>
      <w:numFmt w:val="lowerLetter"/>
      <w:lvlText w:val="%5."/>
      <w:lvlJc w:val="left"/>
      <w:pPr>
        <w:ind w:left="4374" w:hanging="360"/>
      </w:pPr>
    </w:lvl>
    <w:lvl w:ilvl="5" w:tentative="1">
      <w:start w:val="1"/>
      <w:numFmt w:val="lowerRoman"/>
      <w:lvlText w:val="%6."/>
      <w:lvlJc w:val="right"/>
      <w:pPr>
        <w:ind w:left="5094" w:hanging="180"/>
      </w:pPr>
    </w:lvl>
    <w:lvl w:ilvl="6" w:tentative="1">
      <w:start w:val="1"/>
      <w:numFmt w:val="decimal"/>
      <w:lvlText w:val="%7."/>
      <w:lvlJc w:val="left"/>
      <w:pPr>
        <w:ind w:left="5814" w:hanging="360"/>
      </w:pPr>
    </w:lvl>
    <w:lvl w:ilvl="7" w:tentative="1">
      <w:start w:val="1"/>
      <w:numFmt w:val="lowerLetter"/>
      <w:lvlText w:val="%8."/>
      <w:lvlJc w:val="left"/>
      <w:pPr>
        <w:ind w:left="6534" w:hanging="360"/>
      </w:pPr>
    </w:lvl>
    <w:lvl w:ilvl="8" w:tentative="1">
      <w:start w:val="1"/>
      <w:numFmt w:val="lowerRoman"/>
      <w:lvlText w:val="%9."/>
      <w:lvlJc w:val="right"/>
      <w:pPr>
        <w:ind w:left="7254" w:hanging="180"/>
      </w:pPr>
    </w:lvl>
  </w:abstractNum>
  <w:abstractNum w:abstractNumId="19" w15:restartNumberingAfterBreak="0">
    <w:nsid w:val="35C46315"/>
    <w:multiLevelType w:val="hybridMultilevel"/>
    <w:tmpl w:val="98C66A74"/>
    <w:lvl w:ilvl="0" w:tplc="B4C469BA">
      <w:start w:val="1"/>
      <w:numFmt w:val="lowerRoman"/>
      <w:lvlText w:val="%1."/>
      <w:lvlJc w:val="left"/>
      <w:pPr>
        <w:ind w:left="1440" w:hanging="72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20" w15:restartNumberingAfterBreak="0">
    <w:nsid w:val="36F214BA"/>
    <w:multiLevelType w:val="multilevel"/>
    <w:tmpl w:val="9C9A3D3A"/>
    <w:lvl w:ilvl="0">
      <w:start w:val="1"/>
      <w:numFmt w:val="bullet"/>
      <w:lvlText w:val=""/>
      <w:lvlJc w:val="left"/>
      <w:pPr>
        <w:ind w:left="357" w:hanging="357"/>
      </w:pPr>
      <w:rPr>
        <w:rFonts w:ascii="Symbol" w:hAnsi="Symbol" w:hint="default"/>
        <w:sz w:val="22"/>
      </w:rPr>
    </w:lvl>
    <w:lvl w:ilvl="1">
      <w:start w:val="1"/>
      <w:numFmt w:val="bullet"/>
      <w:lvlText w:val="–"/>
      <w:lvlJc w:val="left"/>
      <w:pPr>
        <w:tabs>
          <w:tab w:val="num" w:pos="1072"/>
        </w:tabs>
        <w:ind w:left="714" w:hanging="357"/>
      </w:pPr>
      <w:rPr>
        <w:rFonts w:ascii="Arial" w:hAnsi="Arial" w:hint="default"/>
        <w:sz w:val="22"/>
      </w:rPr>
    </w:lvl>
    <w:lvl w:ilvl="2">
      <w:start w:val="1"/>
      <w:numFmt w:val="bullet"/>
      <w:lvlText w:val=""/>
      <w:lvlJc w:val="left"/>
      <w:pPr>
        <w:tabs>
          <w:tab w:val="num" w:pos="1428"/>
        </w:tabs>
        <w:ind w:left="1071" w:hanging="357"/>
      </w:pPr>
      <w:rPr>
        <w:rFonts w:ascii="Wingdings" w:hAnsi="Wingdings" w:hint="default"/>
      </w:rPr>
    </w:lvl>
    <w:lvl w:ilvl="3">
      <w:start w:val="1"/>
      <w:numFmt w:val="bullet"/>
      <w:lvlText w:val="o"/>
      <w:lvlJc w:val="left"/>
      <w:pPr>
        <w:tabs>
          <w:tab w:val="num" w:pos="1785"/>
        </w:tabs>
        <w:ind w:left="1428" w:hanging="357"/>
      </w:pPr>
      <w:rPr>
        <w:rFonts w:ascii="Courier New" w:hAnsi="Courier New" w:cs="Courier New" w:hint="default"/>
      </w:rPr>
    </w:lvl>
    <w:lvl w:ilvl="4">
      <w:start w:val="1"/>
      <w:numFmt w:val="bullet"/>
      <w:lvlText w:val="o"/>
      <w:lvlJc w:val="left"/>
      <w:pPr>
        <w:tabs>
          <w:tab w:val="num" w:pos="2142"/>
        </w:tabs>
        <w:ind w:left="1785" w:hanging="357"/>
      </w:pPr>
      <w:rPr>
        <w:rFonts w:ascii="Courier New" w:hAnsi="Courier New" w:cs="Courier New" w:hint="default"/>
      </w:rPr>
    </w:lvl>
    <w:lvl w:ilvl="5">
      <w:start w:val="1"/>
      <w:numFmt w:val="bullet"/>
      <w:lvlText w:val=""/>
      <w:lvlJc w:val="left"/>
      <w:pPr>
        <w:tabs>
          <w:tab w:val="num" w:pos="2499"/>
        </w:tabs>
        <w:ind w:left="2142" w:hanging="357"/>
      </w:pPr>
      <w:rPr>
        <w:rFonts w:ascii="Wingdings" w:hAnsi="Wingdings" w:hint="default"/>
      </w:rPr>
    </w:lvl>
    <w:lvl w:ilvl="6">
      <w:start w:val="1"/>
      <w:numFmt w:val="bullet"/>
      <w:lvlText w:val=""/>
      <w:lvlJc w:val="left"/>
      <w:pPr>
        <w:tabs>
          <w:tab w:val="num" w:pos="2856"/>
        </w:tabs>
        <w:ind w:left="2499" w:hanging="357"/>
      </w:pPr>
      <w:rPr>
        <w:rFonts w:ascii="Symbol" w:hAnsi="Symbol" w:hint="default"/>
      </w:rPr>
    </w:lvl>
    <w:lvl w:ilvl="7">
      <w:start w:val="1"/>
      <w:numFmt w:val="bullet"/>
      <w:lvlText w:val="o"/>
      <w:lvlJc w:val="left"/>
      <w:pPr>
        <w:tabs>
          <w:tab w:val="num" w:pos="3213"/>
        </w:tabs>
        <w:ind w:left="2856" w:hanging="357"/>
      </w:pPr>
      <w:rPr>
        <w:rFonts w:ascii="Courier New" w:hAnsi="Courier New" w:cs="Courier New" w:hint="default"/>
      </w:rPr>
    </w:lvl>
    <w:lvl w:ilvl="8">
      <w:start w:val="1"/>
      <w:numFmt w:val="bullet"/>
      <w:lvlText w:val=""/>
      <w:lvlJc w:val="left"/>
      <w:pPr>
        <w:tabs>
          <w:tab w:val="num" w:pos="3570"/>
        </w:tabs>
        <w:ind w:left="3213" w:hanging="357"/>
      </w:pPr>
      <w:rPr>
        <w:rFonts w:ascii="Wingdings" w:hAnsi="Wingdings" w:hint="default"/>
      </w:rPr>
    </w:lvl>
  </w:abstractNum>
  <w:abstractNum w:abstractNumId="21" w15:restartNumberingAfterBreak="0">
    <w:nsid w:val="3BBE233B"/>
    <w:multiLevelType w:val="multilevel"/>
    <w:tmpl w:val="050295EA"/>
    <w:lvl w:ilvl="0">
      <w:start w:val="1"/>
      <w:numFmt w:val="bullet"/>
      <w:lvlText w:val=""/>
      <w:lvlJc w:val="left"/>
      <w:pPr>
        <w:ind w:left="357" w:hanging="357"/>
      </w:pPr>
      <w:rPr>
        <w:rFonts w:ascii="Symbol" w:hAnsi="Symbol" w:hint="default"/>
        <w:sz w:val="22"/>
        <w:szCs w:val="22"/>
        <w:vertAlign w:val="baseline"/>
      </w:rPr>
    </w:lvl>
    <w:lvl w:ilvl="1">
      <w:start w:val="1"/>
      <w:numFmt w:val="bullet"/>
      <w:lvlText w:val="–"/>
      <w:lvlJc w:val="left"/>
      <w:pPr>
        <w:tabs>
          <w:tab w:val="num" w:pos="1072"/>
        </w:tabs>
        <w:ind w:left="714" w:hanging="357"/>
      </w:pPr>
      <w:rPr>
        <w:rFonts w:ascii="Arial" w:hAnsi="Arial" w:hint="default"/>
        <w:sz w:val="22"/>
      </w:rPr>
    </w:lvl>
    <w:lvl w:ilvl="2">
      <w:start w:val="1"/>
      <w:numFmt w:val="bullet"/>
      <w:lvlText w:val=""/>
      <w:lvlJc w:val="left"/>
      <w:pPr>
        <w:tabs>
          <w:tab w:val="num" w:pos="1428"/>
        </w:tabs>
        <w:ind w:left="1071" w:hanging="357"/>
      </w:pPr>
      <w:rPr>
        <w:rFonts w:ascii="Wingdings" w:hAnsi="Wingdings" w:hint="default"/>
      </w:rPr>
    </w:lvl>
    <w:lvl w:ilvl="3">
      <w:start w:val="1"/>
      <w:numFmt w:val="bullet"/>
      <w:lvlText w:val=""/>
      <w:lvlJc w:val="left"/>
      <w:pPr>
        <w:tabs>
          <w:tab w:val="num" w:pos="1785"/>
        </w:tabs>
        <w:ind w:left="1428" w:hanging="357"/>
      </w:pPr>
      <w:rPr>
        <w:rFonts w:ascii="Symbol" w:hAnsi="Symbol" w:hint="default"/>
      </w:rPr>
    </w:lvl>
    <w:lvl w:ilvl="4">
      <w:start w:val="1"/>
      <w:numFmt w:val="bullet"/>
      <w:lvlText w:val="o"/>
      <w:lvlJc w:val="left"/>
      <w:pPr>
        <w:tabs>
          <w:tab w:val="num" w:pos="2142"/>
        </w:tabs>
        <w:ind w:left="1785" w:hanging="357"/>
      </w:pPr>
      <w:rPr>
        <w:rFonts w:ascii="Courier New" w:hAnsi="Courier New" w:cs="Courier New" w:hint="default"/>
      </w:rPr>
    </w:lvl>
    <w:lvl w:ilvl="5">
      <w:start w:val="1"/>
      <w:numFmt w:val="bullet"/>
      <w:lvlText w:val=""/>
      <w:lvlJc w:val="left"/>
      <w:pPr>
        <w:tabs>
          <w:tab w:val="num" w:pos="2499"/>
        </w:tabs>
        <w:ind w:left="2142" w:hanging="357"/>
      </w:pPr>
      <w:rPr>
        <w:rFonts w:ascii="Wingdings" w:hAnsi="Wingdings" w:hint="default"/>
      </w:rPr>
    </w:lvl>
    <w:lvl w:ilvl="6">
      <w:start w:val="1"/>
      <w:numFmt w:val="bullet"/>
      <w:lvlText w:val=""/>
      <w:lvlJc w:val="left"/>
      <w:pPr>
        <w:tabs>
          <w:tab w:val="num" w:pos="2856"/>
        </w:tabs>
        <w:ind w:left="2499" w:hanging="357"/>
      </w:pPr>
      <w:rPr>
        <w:rFonts w:ascii="Symbol" w:hAnsi="Symbol" w:hint="default"/>
      </w:rPr>
    </w:lvl>
    <w:lvl w:ilvl="7">
      <w:start w:val="1"/>
      <w:numFmt w:val="bullet"/>
      <w:lvlText w:val="o"/>
      <w:lvlJc w:val="left"/>
      <w:pPr>
        <w:tabs>
          <w:tab w:val="num" w:pos="3213"/>
        </w:tabs>
        <w:ind w:left="2856" w:hanging="357"/>
      </w:pPr>
      <w:rPr>
        <w:rFonts w:ascii="Courier New" w:hAnsi="Courier New" w:cs="Courier New" w:hint="default"/>
      </w:rPr>
    </w:lvl>
    <w:lvl w:ilvl="8">
      <w:start w:val="1"/>
      <w:numFmt w:val="bullet"/>
      <w:lvlText w:val=""/>
      <w:lvlJc w:val="left"/>
      <w:pPr>
        <w:tabs>
          <w:tab w:val="num" w:pos="3570"/>
        </w:tabs>
        <w:ind w:left="3213" w:hanging="357"/>
      </w:pPr>
      <w:rPr>
        <w:rFonts w:ascii="Wingdings" w:hAnsi="Wingdings" w:hint="default"/>
      </w:rPr>
    </w:lvl>
  </w:abstractNum>
  <w:abstractNum w:abstractNumId="22" w15:restartNumberingAfterBreak="0">
    <w:nsid w:val="3CA71F78"/>
    <w:multiLevelType w:val="hybridMultilevel"/>
    <w:tmpl w:val="0D76E58A"/>
    <w:lvl w:ilvl="0" w:tplc="33A80CE8">
      <w:start w:val="1"/>
      <w:numFmt w:val="bullet"/>
      <w:pStyle w:val="Dash"/>
      <w:lvlText w:val="–"/>
      <w:lvlJc w:val="left"/>
      <w:pPr>
        <w:tabs>
          <w:tab w:val="num" w:pos="567"/>
        </w:tabs>
        <w:ind w:left="567" w:hanging="283"/>
      </w:pPr>
      <w:rPr>
        <w:rFonts w:ascii="Arial" w:hAnsi="Aria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00E20E8"/>
    <w:multiLevelType w:val="hybridMultilevel"/>
    <w:tmpl w:val="FD9CE56E"/>
    <w:lvl w:ilvl="0" w:tplc="84F4142A">
      <w:start w:val="1"/>
      <w:numFmt w:val="bullet"/>
      <w:pStyle w:val="TableDash"/>
      <w:lvlText w:val="–"/>
      <w:lvlJc w:val="left"/>
      <w:pPr>
        <w:tabs>
          <w:tab w:val="num" w:pos="567"/>
        </w:tabs>
        <w:ind w:left="567" w:hanging="283"/>
      </w:pPr>
      <w:rPr>
        <w:rFonts w:ascii="Arial Mäori" w:hAnsi="Arial Mäori"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27264AA"/>
    <w:multiLevelType w:val="multilevel"/>
    <w:tmpl w:val="48462F1A"/>
    <w:lvl w:ilvl="0">
      <w:start w:val="1"/>
      <w:numFmt w:val="bullet"/>
      <w:lvlText w:val=""/>
      <w:lvlJc w:val="left"/>
      <w:pPr>
        <w:ind w:left="357" w:hanging="357"/>
      </w:pPr>
      <w:rPr>
        <w:rFonts w:ascii="Symbol" w:hAnsi="Symbol" w:hint="default"/>
        <w:sz w:val="22"/>
      </w:rPr>
    </w:lvl>
    <w:lvl w:ilvl="1">
      <w:start w:val="1"/>
      <w:numFmt w:val="bullet"/>
      <w:lvlText w:val="o"/>
      <w:lvlJc w:val="left"/>
      <w:pPr>
        <w:tabs>
          <w:tab w:val="num" w:pos="1072"/>
        </w:tabs>
        <w:ind w:left="714" w:hanging="357"/>
      </w:pPr>
      <w:rPr>
        <w:rFonts w:ascii="Courier New" w:hAnsi="Courier New" w:cs="Courier New" w:hint="default"/>
        <w:sz w:val="22"/>
      </w:rPr>
    </w:lvl>
    <w:lvl w:ilvl="2">
      <w:start w:val="1"/>
      <w:numFmt w:val="bullet"/>
      <w:lvlText w:val=""/>
      <w:lvlJc w:val="left"/>
      <w:pPr>
        <w:tabs>
          <w:tab w:val="num" w:pos="1428"/>
        </w:tabs>
        <w:ind w:left="1071" w:hanging="357"/>
      </w:pPr>
      <w:rPr>
        <w:rFonts w:ascii="Wingdings" w:hAnsi="Wingdings" w:hint="default"/>
      </w:rPr>
    </w:lvl>
    <w:lvl w:ilvl="3">
      <w:start w:val="1"/>
      <w:numFmt w:val="bullet"/>
      <w:lvlText w:val=""/>
      <w:lvlJc w:val="left"/>
      <w:pPr>
        <w:tabs>
          <w:tab w:val="num" w:pos="1785"/>
        </w:tabs>
        <w:ind w:left="1428" w:hanging="357"/>
      </w:pPr>
      <w:rPr>
        <w:rFonts w:ascii="Symbol" w:hAnsi="Symbol" w:hint="default"/>
      </w:rPr>
    </w:lvl>
    <w:lvl w:ilvl="4">
      <w:start w:val="1"/>
      <w:numFmt w:val="bullet"/>
      <w:lvlText w:val="o"/>
      <w:lvlJc w:val="left"/>
      <w:pPr>
        <w:tabs>
          <w:tab w:val="num" w:pos="2142"/>
        </w:tabs>
        <w:ind w:left="1785" w:hanging="357"/>
      </w:pPr>
      <w:rPr>
        <w:rFonts w:ascii="Courier New" w:hAnsi="Courier New" w:cs="Courier New" w:hint="default"/>
      </w:rPr>
    </w:lvl>
    <w:lvl w:ilvl="5">
      <w:start w:val="1"/>
      <w:numFmt w:val="bullet"/>
      <w:lvlText w:val=""/>
      <w:lvlJc w:val="left"/>
      <w:pPr>
        <w:tabs>
          <w:tab w:val="num" w:pos="2499"/>
        </w:tabs>
        <w:ind w:left="2142" w:hanging="357"/>
      </w:pPr>
      <w:rPr>
        <w:rFonts w:ascii="Wingdings" w:hAnsi="Wingdings" w:hint="default"/>
      </w:rPr>
    </w:lvl>
    <w:lvl w:ilvl="6">
      <w:start w:val="1"/>
      <w:numFmt w:val="bullet"/>
      <w:lvlText w:val=""/>
      <w:lvlJc w:val="left"/>
      <w:pPr>
        <w:tabs>
          <w:tab w:val="num" w:pos="2856"/>
        </w:tabs>
        <w:ind w:left="2499" w:hanging="357"/>
      </w:pPr>
      <w:rPr>
        <w:rFonts w:ascii="Symbol" w:hAnsi="Symbol" w:hint="default"/>
      </w:rPr>
    </w:lvl>
    <w:lvl w:ilvl="7">
      <w:start w:val="1"/>
      <w:numFmt w:val="bullet"/>
      <w:lvlText w:val="o"/>
      <w:lvlJc w:val="left"/>
      <w:pPr>
        <w:tabs>
          <w:tab w:val="num" w:pos="3213"/>
        </w:tabs>
        <w:ind w:left="2856" w:hanging="357"/>
      </w:pPr>
      <w:rPr>
        <w:rFonts w:ascii="Courier New" w:hAnsi="Courier New" w:cs="Courier New" w:hint="default"/>
      </w:rPr>
    </w:lvl>
    <w:lvl w:ilvl="8">
      <w:start w:val="1"/>
      <w:numFmt w:val="bullet"/>
      <w:lvlText w:val=""/>
      <w:lvlJc w:val="left"/>
      <w:pPr>
        <w:tabs>
          <w:tab w:val="num" w:pos="3570"/>
        </w:tabs>
        <w:ind w:left="3213" w:hanging="357"/>
      </w:pPr>
      <w:rPr>
        <w:rFonts w:ascii="Wingdings" w:hAnsi="Wingdings" w:hint="default"/>
      </w:rPr>
    </w:lvl>
  </w:abstractNum>
  <w:abstractNum w:abstractNumId="25" w15:restartNumberingAfterBreak="0">
    <w:nsid w:val="46A02079"/>
    <w:multiLevelType w:val="multilevel"/>
    <w:tmpl w:val="F910959A"/>
    <w:lvl w:ilvl="0">
      <w:start w:val="1"/>
      <w:numFmt w:val="bullet"/>
      <w:lvlText w:val="o"/>
      <w:lvlJc w:val="left"/>
      <w:pPr>
        <w:ind w:left="357" w:hanging="357"/>
      </w:pPr>
      <w:rPr>
        <w:rFonts w:ascii="Courier New" w:hAnsi="Courier New" w:cs="Courier New" w:hint="default"/>
        <w:sz w:val="22"/>
      </w:rPr>
    </w:lvl>
    <w:lvl w:ilvl="1">
      <w:start w:val="1"/>
      <w:numFmt w:val="bullet"/>
      <w:lvlText w:val="o"/>
      <w:lvlJc w:val="left"/>
      <w:pPr>
        <w:tabs>
          <w:tab w:val="num" w:pos="1072"/>
        </w:tabs>
        <w:ind w:left="714" w:hanging="357"/>
      </w:pPr>
      <w:rPr>
        <w:rFonts w:ascii="Courier New" w:hAnsi="Courier New" w:cs="Courier New" w:hint="default"/>
        <w:sz w:val="22"/>
      </w:rPr>
    </w:lvl>
    <w:lvl w:ilvl="2">
      <w:start w:val="1"/>
      <w:numFmt w:val="bullet"/>
      <w:lvlText w:val=""/>
      <w:lvlJc w:val="left"/>
      <w:pPr>
        <w:tabs>
          <w:tab w:val="num" w:pos="1428"/>
        </w:tabs>
        <w:ind w:left="1071" w:hanging="357"/>
      </w:pPr>
      <w:rPr>
        <w:rFonts w:ascii="Wingdings" w:hAnsi="Wingdings" w:hint="default"/>
      </w:rPr>
    </w:lvl>
    <w:lvl w:ilvl="3">
      <w:start w:val="1"/>
      <w:numFmt w:val="bullet"/>
      <w:lvlText w:val=""/>
      <w:lvlJc w:val="left"/>
      <w:pPr>
        <w:tabs>
          <w:tab w:val="num" w:pos="1785"/>
        </w:tabs>
        <w:ind w:left="1428" w:hanging="357"/>
      </w:pPr>
      <w:rPr>
        <w:rFonts w:ascii="Symbol" w:hAnsi="Symbol" w:hint="default"/>
      </w:rPr>
    </w:lvl>
    <w:lvl w:ilvl="4">
      <w:start w:val="1"/>
      <w:numFmt w:val="bullet"/>
      <w:lvlText w:val="o"/>
      <w:lvlJc w:val="left"/>
      <w:pPr>
        <w:tabs>
          <w:tab w:val="num" w:pos="2142"/>
        </w:tabs>
        <w:ind w:left="1785" w:hanging="357"/>
      </w:pPr>
      <w:rPr>
        <w:rFonts w:ascii="Courier New" w:hAnsi="Courier New" w:cs="Courier New" w:hint="default"/>
      </w:rPr>
    </w:lvl>
    <w:lvl w:ilvl="5">
      <w:start w:val="1"/>
      <w:numFmt w:val="bullet"/>
      <w:lvlText w:val=""/>
      <w:lvlJc w:val="left"/>
      <w:pPr>
        <w:tabs>
          <w:tab w:val="num" w:pos="2499"/>
        </w:tabs>
        <w:ind w:left="2142" w:hanging="357"/>
      </w:pPr>
      <w:rPr>
        <w:rFonts w:ascii="Wingdings" w:hAnsi="Wingdings" w:hint="default"/>
      </w:rPr>
    </w:lvl>
    <w:lvl w:ilvl="6">
      <w:start w:val="1"/>
      <w:numFmt w:val="bullet"/>
      <w:lvlText w:val=""/>
      <w:lvlJc w:val="left"/>
      <w:pPr>
        <w:tabs>
          <w:tab w:val="num" w:pos="2856"/>
        </w:tabs>
        <w:ind w:left="2499" w:hanging="357"/>
      </w:pPr>
      <w:rPr>
        <w:rFonts w:ascii="Symbol" w:hAnsi="Symbol" w:hint="default"/>
      </w:rPr>
    </w:lvl>
    <w:lvl w:ilvl="7">
      <w:start w:val="1"/>
      <w:numFmt w:val="bullet"/>
      <w:lvlText w:val="o"/>
      <w:lvlJc w:val="left"/>
      <w:pPr>
        <w:tabs>
          <w:tab w:val="num" w:pos="3213"/>
        </w:tabs>
        <w:ind w:left="2856" w:hanging="357"/>
      </w:pPr>
      <w:rPr>
        <w:rFonts w:ascii="Courier New" w:hAnsi="Courier New" w:cs="Courier New" w:hint="default"/>
      </w:rPr>
    </w:lvl>
    <w:lvl w:ilvl="8">
      <w:start w:val="1"/>
      <w:numFmt w:val="bullet"/>
      <w:lvlText w:val=""/>
      <w:lvlJc w:val="left"/>
      <w:pPr>
        <w:tabs>
          <w:tab w:val="num" w:pos="3570"/>
        </w:tabs>
        <w:ind w:left="3213" w:hanging="357"/>
      </w:pPr>
      <w:rPr>
        <w:rFonts w:ascii="Wingdings" w:hAnsi="Wingdings" w:hint="default"/>
      </w:rPr>
    </w:lvl>
  </w:abstractNum>
  <w:abstractNum w:abstractNumId="26" w15:restartNumberingAfterBreak="0">
    <w:nsid w:val="4F843D9E"/>
    <w:multiLevelType w:val="multilevel"/>
    <w:tmpl w:val="68EA507E"/>
    <w:lvl w:ilvl="0">
      <w:start w:val="1"/>
      <w:numFmt w:val="decimal"/>
      <w:suff w:val="nothing"/>
      <w:lvlText w:val="Chapter %1: "/>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F8D26E9"/>
    <w:multiLevelType w:val="hybridMultilevel"/>
    <w:tmpl w:val="FB3CB93A"/>
    <w:lvl w:ilvl="0" w:tplc="39B8B2EC">
      <w:start w:val="1"/>
      <w:numFmt w:val="bullet"/>
      <w:lvlText w:val=""/>
      <w:lvlJc w:val="left"/>
      <w:pPr>
        <w:tabs>
          <w:tab w:val="num" w:pos="284"/>
        </w:tabs>
        <w:ind w:left="284" w:hanging="284"/>
      </w:pPr>
      <w:rPr>
        <w:rFonts w:ascii="Symbol" w:hAnsi="Symbol" w:hint="default"/>
        <w:sz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FB51688"/>
    <w:multiLevelType w:val="hybridMultilevel"/>
    <w:tmpl w:val="204EC29E"/>
    <w:lvl w:ilvl="0" w:tplc="14090001">
      <w:start w:val="1"/>
      <w:numFmt w:val="bullet"/>
      <w:lvlText w:val=""/>
      <w:lvlJc w:val="left"/>
      <w:pPr>
        <w:ind w:left="720" w:hanging="360"/>
      </w:pPr>
      <w:rPr>
        <w:rFonts w:ascii="Symbol" w:hAnsi="Symbol"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9" w15:restartNumberingAfterBreak="0">
    <w:nsid w:val="50FC17C7"/>
    <w:multiLevelType w:val="hybridMultilevel"/>
    <w:tmpl w:val="A13AAAF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0" w15:restartNumberingAfterBreak="0">
    <w:nsid w:val="55167D45"/>
    <w:multiLevelType w:val="hybridMultilevel"/>
    <w:tmpl w:val="3A80A0FC"/>
    <w:lvl w:ilvl="0" w:tplc="0E74F91C">
      <w:start w:val="1"/>
      <w:numFmt w:val="lowerRoman"/>
      <w:lvlText w:val="%1."/>
      <w:lvlJc w:val="left"/>
      <w:pPr>
        <w:ind w:left="1440" w:hanging="72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31" w15:restartNumberingAfterBreak="0">
    <w:nsid w:val="55E73FA0"/>
    <w:multiLevelType w:val="multilevel"/>
    <w:tmpl w:val="1AAA43B4"/>
    <w:lvl w:ilvl="0">
      <w:start w:val="1"/>
      <w:numFmt w:val="bullet"/>
      <w:lvlText w:val="o"/>
      <w:lvlJc w:val="left"/>
      <w:pPr>
        <w:ind w:left="357" w:hanging="357"/>
      </w:pPr>
      <w:rPr>
        <w:rFonts w:ascii="Courier New" w:hAnsi="Courier New" w:cs="Courier New" w:hint="default"/>
        <w:sz w:val="22"/>
      </w:rPr>
    </w:lvl>
    <w:lvl w:ilvl="1">
      <w:start w:val="1"/>
      <w:numFmt w:val="bullet"/>
      <w:lvlText w:val="–"/>
      <w:lvlJc w:val="left"/>
      <w:pPr>
        <w:tabs>
          <w:tab w:val="num" w:pos="1072"/>
        </w:tabs>
        <w:ind w:left="714" w:hanging="357"/>
      </w:pPr>
      <w:rPr>
        <w:rFonts w:ascii="Arial" w:hAnsi="Arial" w:hint="default"/>
        <w:sz w:val="22"/>
      </w:rPr>
    </w:lvl>
    <w:lvl w:ilvl="2">
      <w:start w:val="1"/>
      <w:numFmt w:val="bullet"/>
      <w:lvlText w:val=""/>
      <w:lvlJc w:val="left"/>
      <w:pPr>
        <w:tabs>
          <w:tab w:val="num" w:pos="1428"/>
        </w:tabs>
        <w:ind w:left="1071" w:hanging="357"/>
      </w:pPr>
      <w:rPr>
        <w:rFonts w:ascii="Wingdings" w:hAnsi="Wingdings" w:hint="default"/>
      </w:rPr>
    </w:lvl>
    <w:lvl w:ilvl="3">
      <w:start w:val="1"/>
      <w:numFmt w:val="bullet"/>
      <w:lvlText w:val=""/>
      <w:lvlJc w:val="left"/>
      <w:pPr>
        <w:tabs>
          <w:tab w:val="num" w:pos="1785"/>
        </w:tabs>
        <w:ind w:left="1428" w:hanging="357"/>
      </w:pPr>
      <w:rPr>
        <w:rFonts w:ascii="Symbol" w:hAnsi="Symbol" w:hint="default"/>
      </w:rPr>
    </w:lvl>
    <w:lvl w:ilvl="4">
      <w:start w:val="1"/>
      <w:numFmt w:val="bullet"/>
      <w:lvlText w:val="o"/>
      <w:lvlJc w:val="left"/>
      <w:pPr>
        <w:tabs>
          <w:tab w:val="num" w:pos="2142"/>
        </w:tabs>
        <w:ind w:left="1785" w:hanging="357"/>
      </w:pPr>
      <w:rPr>
        <w:rFonts w:ascii="Courier New" w:hAnsi="Courier New" w:cs="Courier New" w:hint="default"/>
      </w:rPr>
    </w:lvl>
    <w:lvl w:ilvl="5">
      <w:start w:val="1"/>
      <w:numFmt w:val="bullet"/>
      <w:lvlText w:val=""/>
      <w:lvlJc w:val="left"/>
      <w:pPr>
        <w:tabs>
          <w:tab w:val="num" w:pos="2499"/>
        </w:tabs>
        <w:ind w:left="2142" w:hanging="357"/>
      </w:pPr>
      <w:rPr>
        <w:rFonts w:ascii="Wingdings" w:hAnsi="Wingdings" w:hint="default"/>
      </w:rPr>
    </w:lvl>
    <w:lvl w:ilvl="6">
      <w:start w:val="1"/>
      <w:numFmt w:val="bullet"/>
      <w:lvlText w:val=""/>
      <w:lvlJc w:val="left"/>
      <w:pPr>
        <w:tabs>
          <w:tab w:val="num" w:pos="2856"/>
        </w:tabs>
        <w:ind w:left="2499" w:hanging="357"/>
      </w:pPr>
      <w:rPr>
        <w:rFonts w:ascii="Symbol" w:hAnsi="Symbol" w:hint="default"/>
      </w:rPr>
    </w:lvl>
    <w:lvl w:ilvl="7">
      <w:start w:val="1"/>
      <w:numFmt w:val="bullet"/>
      <w:lvlText w:val="o"/>
      <w:lvlJc w:val="left"/>
      <w:pPr>
        <w:tabs>
          <w:tab w:val="num" w:pos="3213"/>
        </w:tabs>
        <w:ind w:left="2856" w:hanging="357"/>
      </w:pPr>
      <w:rPr>
        <w:rFonts w:ascii="Courier New" w:hAnsi="Courier New" w:cs="Courier New" w:hint="default"/>
      </w:rPr>
    </w:lvl>
    <w:lvl w:ilvl="8">
      <w:start w:val="1"/>
      <w:numFmt w:val="bullet"/>
      <w:lvlText w:val=""/>
      <w:lvlJc w:val="left"/>
      <w:pPr>
        <w:tabs>
          <w:tab w:val="num" w:pos="3570"/>
        </w:tabs>
        <w:ind w:left="3213" w:hanging="357"/>
      </w:pPr>
      <w:rPr>
        <w:rFonts w:ascii="Wingdings" w:hAnsi="Wingdings" w:hint="default"/>
      </w:rPr>
    </w:lvl>
  </w:abstractNum>
  <w:abstractNum w:abstractNumId="32" w15:restartNumberingAfterBreak="0">
    <w:nsid w:val="59BE1EDB"/>
    <w:multiLevelType w:val="hybridMultilevel"/>
    <w:tmpl w:val="BBB6DCA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5B441916"/>
    <w:multiLevelType w:val="multilevel"/>
    <w:tmpl w:val="33189EF0"/>
    <w:lvl w:ilvl="0">
      <w:start w:val="1"/>
      <w:numFmt w:val="bullet"/>
      <w:lvlText w:val="o"/>
      <w:lvlJc w:val="left"/>
      <w:pPr>
        <w:ind w:left="357" w:hanging="357"/>
      </w:pPr>
      <w:rPr>
        <w:rFonts w:ascii="Courier New" w:hAnsi="Courier New" w:cs="Courier New" w:hint="default"/>
        <w:sz w:val="22"/>
      </w:rPr>
    </w:lvl>
    <w:lvl w:ilvl="1">
      <w:start w:val="1"/>
      <w:numFmt w:val="bullet"/>
      <w:lvlText w:val="o"/>
      <w:lvlJc w:val="left"/>
      <w:pPr>
        <w:tabs>
          <w:tab w:val="num" w:pos="1072"/>
        </w:tabs>
        <w:ind w:left="714" w:hanging="357"/>
      </w:pPr>
      <w:rPr>
        <w:rFonts w:ascii="Courier New" w:hAnsi="Courier New" w:cs="Courier New" w:hint="default"/>
        <w:sz w:val="22"/>
      </w:rPr>
    </w:lvl>
    <w:lvl w:ilvl="2">
      <w:start w:val="1"/>
      <w:numFmt w:val="bullet"/>
      <w:lvlText w:val=""/>
      <w:lvlJc w:val="left"/>
      <w:pPr>
        <w:tabs>
          <w:tab w:val="num" w:pos="1428"/>
        </w:tabs>
        <w:ind w:left="1071" w:hanging="357"/>
      </w:pPr>
      <w:rPr>
        <w:rFonts w:ascii="Wingdings" w:hAnsi="Wingdings" w:hint="default"/>
      </w:rPr>
    </w:lvl>
    <w:lvl w:ilvl="3">
      <w:start w:val="1"/>
      <w:numFmt w:val="bullet"/>
      <w:lvlText w:val=""/>
      <w:lvlJc w:val="left"/>
      <w:pPr>
        <w:tabs>
          <w:tab w:val="num" w:pos="1785"/>
        </w:tabs>
        <w:ind w:left="1428" w:hanging="357"/>
      </w:pPr>
      <w:rPr>
        <w:rFonts w:ascii="Symbol" w:hAnsi="Symbol" w:hint="default"/>
      </w:rPr>
    </w:lvl>
    <w:lvl w:ilvl="4">
      <w:start w:val="1"/>
      <w:numFmt w:val="bullet"/>
      <w:lvlText w:val="o"/>
      <w:lvlJc w:val="left"/>
      <w:pPr>
        <w:tabs>
          <w:tab w:val="num" w:pos="2142"/>
        </w:tabs>
        <w:ind w:left="1785" w:hanging="357"/>
      </w:pPr>
      <w:rPr>
        <w:rFonts w:ascii="Courier New" w:hAnsi="Courier New" w:cs="Courier New" w:hint="default"/>
      </w:rPr>
    </w:lvl>
    <w:lvl w:ilvl="5">
      <w:start w:val="1"/>
      <w:numFmt w:val="bullet"/>
      <w:lvlText w:val=""/>
      <w:lvlJc w:val="left"/>
      <w:pPr>
        <w:tabs>
          <w:tab w:val="num" w:pos="2499"/>
        </w:tabs>
        <w:ind w:left="2142" w:hanging="357"/>
      </w:pPr>
      <w:rPr>
        <w:rFonts w:ascii="Wingdings" w:hAnsi="Wingdings" w:hint="default"/>
      </w:rPr>
    </w:lvl>
    <w:lvl w:ilvl="6">
      <w:start w:val="1"/>
      <w:numFmt w:val="bullet"/>
      <w:lvlText w:val=""/>
      <w:lvlJc w:val="left"/>
      <w:pPr>
        <w:tabs>
          <w:tab w:val="num" w:pos="2856"/>
        </w:tabs>
        <w:ind w:left="2499" w:hanging="357"/>
      </w:pPr>
      <w:rPr>
        <w:rFonts w:ascii="Symbol" w:hAnsi="Symbol" w:hint="default"/>
      </w:rPr>
    </w:lvl>
    <w:lvl w:ilvl="7">
      <w:start w:val="1"/>
      <w:numFmt w:val="bullet"/>
      <w:lvlText w:val="o"/>
      <w:lvlJc w:val="left"/>
      <w:pPr>
        <w:tabs>
          <w:tab w:val="num" w:pos="3213"/>
        </w:tabs>
        <w:ind w:left="2856" w:hanging="357"/>
      </w:pPr>
      <w:rPr>
        <w:rFonts w:ascii="Courier New" w:hAnsi="Courier New" w:cs="Courier New" w:hint="default"/>
      </w:rPr>
    </w:lvl>
    <w:lvl w:ilvl="8">
      <w:start w:val="1"/>
      <w:numFmt w:val="bullet"/>
      <w:lvlText w:val=""/>
      <w:lvlJc w:val="left"/>
      <w:pPr>
        <w:tabs>
          <w:tab w:val="num" w:pos="3570"/>
        </w:tabs>
        <w:ind w:left="3213" w:hanging="357"/>
      </w:pPr>
      <w:rPr>
        <w:rFonts w:ascii="Wingdings" w:hAnsi="Wingdings" w:hint="default"/>
      </w:rPr>
    </w:lvl>
  </w:abstractNum>
  <w:abstractNum w:abstractNumId="34" w15:restartNumberingAfterBreak="0">
    <w:nsid w:val="5C44586F"/>
    <w:multiLevelType w:val="multilevel"/>
    <w:tmpl w:val="DE3893F2"/>
    <w:lvl w:ilvl="0">
      <w:start w:val="1"/>
      <w:numFmt w:val="bullet"/>
      <w:lvlText w:val="o"/>
      <w:lvlJc w:val="left"/>
      <w:pPr>
        <w:ind w:left="357" w:hanging="357"/>
      </w:pPr>
      <w:rPr>
        <w:rFonts w:ascii="Courier New" w:hAnsi="Courier New" w:cs="Courier New" w:hint="default"/>
        <w:sz w:val="22"/>
      </w:rPr>
    </w:lvl>
    <w:lvl w:ilvl="1">
      <w:start w:val="1"/>
      <w:numFmt w:val="bullet"/>
      <w:lvlText w:val="–"/>
      <w:lvlJc w:val="left"/>
      <w:pPr>
        <w:tabs>
          <w:tab w:val="num" w:pos="1072"/>
        </w:tabs>
        <w:ind w:left="714" w:hanging="357"/>
      </w:pPr>
      <w:rPr>
        <w:rFonts w:ascii="Arial" w:hAnsi="Arial" w:hint="default"/>
        <w:sz w:val="22"/>
      </w:rPr>
    </w:lvl>
    <w:lvl w:ilvl="2">
      <w:start w:val="1"/>
      <w:numFmt w:val="bullet"/>
      <w:lvlText w:val=""/>
      <w:lvlJc w:val="left"/>
      <w:pPr>
        <w:tabs>
          <w:tab w:val="num" w:pos="1428"/>
        </w:tabs>
        <w:ind w:left="1071" w:hanging="357"/>
      </w:pPr>
      <w:rPr>
        <w:rFonts w:ascii="Wingdings" w:hAnsi="Wingdings" w:hint="default"/>
      </w:rPr>
    </w:lvl>
    <w:lvl w:ilvl="3">
      <w:start w:val="1"/>
      <w:numFmt w:val="bullet"/>
      <w:lvlText w:val=""/>
      <w:lvlJc w:val="left"/>
      <w:pPr>
        <w:tabs>
          <w:tab w:val="num" w:pos="1785"/>
        </w:tabs>
        <w:ind w:left="1428" w:hanging="357"/>
      </w:pPr>
      <w:rPr>
        <w:rFonts w:ascii="Symbol" w:hAnsi="Symbol" w:hint="default"/>
      </w:rPr>
    </w:lvl>
    <w:lvl w:ilvl="4">
      <w:start w:val="1"/>
      <w:numFmt w:val="bullet"/>
      <w:lvlText w:val="o"/>
      <w:lvlJc w:val="left"/>
      <w:pPr>
        <w:tabs>
          <w:tab w:val="num" w:pos="2142"/>
        </w:tabs>
        <w:ind w:left="1785" w:hanging="357"/>
      </w:pPr>
      <w:rPr>
        <w:rFonts w:ascii="Courier New" w:hAnsi="Courier New" w:cs="Courier New" w:hint="default"/>
      </w:rPr>
    </w:lvl>
    <w:lvl w:ilvl="5">
      <w:start w:val="1"/>
      <w:numFmt w:val="bullet"/>
      <w:lvlText w:val=""/>
      <w:lvlJc w:val="left"/>
      <w:pPr>
        <w:tabs>
          <w:tab w:val="num" w:pos="2499"/>
        </w:tabs>
        <w:ind w:left="2142" w:hanging="357"/>
      </w:pPr>
      <w:rPr>
        <w:rFonts w:ascii="Wingdings" w:hAnsi="Wingdings" w:hint="default"/>
      </w:rPr>
    </w:lvl>
    <w:lvl w:ilvl="6">
      <w:start w:val="1"/>
      <w:numFmt w:val="bullet"/>
      <w:lvlText w:val=""/>
      <w:lvlJc w:val="left"/>
      <w:pPr>
        <w:tabs>
          <w:tab w:val="num" w:pos="2856"/>
        </w:tabs>
        <w:ind w:left="2499" w:hanging="357"/>
      </w:pPr>
      <w:rPr>
        <w:rFonts w:ascii="Symbol" w:hAnsi="Symbol" w:hint="default"/>
      </w:rPr>
    </w:lvl>
    <w:lvl w:ilvl="7">
      <w:start w:val="1"/>
      <w:numFmt w:val="bullet"/>
      <w:lvlText w:val="o"/>
      <w:lvlJc w:val="left"/>
      <w:pPr>
        <w:tabs>
          <w:tab w:val="num" w:pos="3213"/>
        </w:tabs>
        <w:ind w:left="2856" w:hanging="357"/>
      </w:pPr>
      <w:rPr>
        <w:rFonts w:ascii="Courier New" w:hAnsi="Courier New" w:cs="Courier New" w:hint="default"/>
      </w:rPr>
    </w:lvl>
    <w:lvl w:ilvl="8">
      <w:start w:val="1"/>
      <w:numFmt w:val="bullet"/>
      <w:lvlText w:val=""/>
      <w:lvlJc w:val="left"/>
      <w:pPr>
        <w:tabs>
          <w:tab w:val="num" w:pos="3570"/>
        </w:tabs>
        <w:ind w:left="3213" w:hanging="357"/>
      </w:pPr>
      <w:rPr>
        <w:rFonts w:ascii="Wingdings" w:hAnsi="Wingdings" w:hint="default"/>
      </w:rPr>
    </w:lvl>
  </w:abstractNum>
  <w:abstractNum w:abstractNumId="35" w15:restartNumberingAfterBreak="0">
    <w:nsid w:val="5D8323CD"/>
    <w:multiLevelType w:val="multilevel"/>
    <w:tmpl w:val="419A3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63834E8"/>
    <w:multiLevelType w:val="hybridMultilevel"/>
    <w:tmpl w:val="E8DCE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E82320D"/>
    <w:multiLevelType w:val="hybridMultilevel"/>
    <w:tmpl w:val="C0029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8" w15:restartNumberingAfterBreak="0">
    <w:nsid w:val="700F2C85"/>
    <w:multiLevelType w:val="hybridMultilevel"/>
    <w:tmpl w:val="6A54B99C"/>
    <w:lvl w:ilvl="0" w:tplc="14090001">
      <w:start w:val="1"/>
      <w:numFmt w:val="bullet"/>
      <w:lvlText w:val=""/>
      <w:lvlJc w:val="left"/>
      <w:pPr>
        <w:ind w:left="720" w:hanging="360"/>
      </w:pPr>
      <w:rPr>
        <w:rFonts w:ascii="Symbol" w:hAnsi="Symbol"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9" w15:restartNumberingAfterBreak="0">
    <w:nsid w:val="71272775"/>
    <w:multiLevelType w:val="hybridMultilevel"/>
    <w:tmpl w:val="FE12A63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0" w15:restartNumberingAfterBreak="0">
    <w:nsid w:val="78EA6977"/>
    <w:multiLevelType w:val="multilevel"/>
    <w:tmpl w:val="8848D1A2"/>
    <w:lvl w:ilvl="0">
      <w:start w:val="1"/>
      <w:numFmt w:val="bullet"/>
      <w:lvlText w:val="o"/>
      <w:lvlJc w:val="left"/>
      <w:pPr>
        <w:ind w:left="357" w:hanging="357"/>
      </w:pPr>
      <w:rPr>
        <w:rFonts w:ascii="Courier New" w:hAnsi="Courier New" w:cs="Courier New" w:hint="default"/>
        <w:sz w:val="22"/>
      </w:rPr>
    </w:lvl>
    <w:lvl w:ilvl="1">
      <w:start w:val="1"/>
      <w:numFmt w:val="bullet"/>
      <w:lvlText w:val="–"/>
      <w:lvlJc w:val="left"/>
      <w:pPr>
        <w:tabs>
          <w:tab w:val="num" w:pos="1072"/>
        </w:tabs>
        <w:ind w:left="714" w:hanging="357"/>
      </w:pPr>
      <w:rPr>
        <w:rFonts w:ascii="Arial" w:hAnsi="Arial" w:hint="default"/>
        <w:sz w:val="22"/>
      </w:rPr>
    </w:lvl>
    <w:lvl w:ilvl="2">
      <w:start w:val="1"/>
      <w:numFmt w:val="bullet"/>
      <w:lvlText w:val=""/>
      <w:lvlJc w:val="left"/>
      <w:pPr>
        <w:tabs>
          <w:tab w:val="num" w:pos="1428"/>
        </w:tabs>
        <w:ind w:left="1071" w:hanging="357"/>
      </w:pPr>
      <w:rPr>
        <w:rFonts w:ascii="Wingdings" w:hAnsi="Wingdings" w:hint="default"/>
      </w:rPr>
    </w:lvl>
    <w:lvl w:ilvl="3">
      <w:start w:val="1"/>
      <w:numFmt w:val="bullet"/>
      <w:lvlText w:val=""/>
      <w:lvlJc w:val="left"/>
      <w:pPr>
        <w:tabs>
          <w:tab w:val="num" w:pos="1785"/>
        </w:tabs>
        <w:ind w:left="1428" w:hanging="357"/>
      </w:pPr>
      <w:rPr>
        <w:rFonts w:ascii="Symbol" w:hAnsi="Symbol" w:hint="default"/>
      </w:rPr>
    </w:lvl>
    <w:lvl w:ilvl="4">
      <w:start w:val="1"/>
      <w:numFmt w:val="bullet"/>
      <w:lvlText w:val="o"/>
      <w:lvlJc w:val="left"/>
      <w:pPr>
        <w:tabs>
          <w:tab w:val="num" w:pos="2142"/>
        </w:tabs>
        <w:ind w:left="1785" w:hanging="357"/>
      </w:pPr>
      <w:rPr>
        <w:rFonts w:ascii="Courier New" w:hAnsi="Courier New" w:cs="Courier New" w:hint="default"/>
      </w:rPr>
    </w:lvl>
    <w:lvl w:ilvl="5">
      <w:start w:val="1"/>
      <w:numFmt w:val="bullet"/>
      <w:lvlText w:val=""/>
      <w:lvlJc w:val="left"/>
      <w:pPr>
        <w:tabs>
          <w:tab w:val="num" w:pos="2499"/>
        </w:tabs>
        <w:ind w:left="2142" w:hanging="357"/>
      </w:pPr>
      <w:rPr>
        <w:rFonts w:ascii="Wingdings" w:hAnsi="Wingdings" w:hint="default"/>
      </w:rPr>
    </w:lvl>
    <w:lvl w:ilvl="6">
      <w:start w:val="1"/>
      <w:numFmt w:val="bullet"/>
      <w:lvlText w:val=""/>
      <w:lvlJc w:val="left"/>
      <w:pPr>
        <w:tabs>
          <w:tab w:val="num" w:pos="2856"/>
        </w:tabs>
        <w:ind w:left="2499" w:hanging="357"/>
      </w:pPr>
      <w:rPr>
        <w:rFonts w:ascii="Symbol" w:hAnsi="Symbol" w:hint="default"/>
      </w:rPr>
    </w:lvl>
    <w:lvl w:ilvl="7">
      <w:start w:val="1"/>
      <w:numFmt w:val="bullet"/>
      <w:lvlText w:val="o"/>
      <w:lvlJc w:val="left"/>
      <w:pPr>
        <w:tabs>
          <w:tab w:val="num" w:pos="3213"/>
        </w:tabs>
        <w:ind w:left="2856" w:hanging="357"/>
      </w:pPr>
      <w:rPr>
        <w:rFonts w:ascii="Courier New" w:hAnsi="Courier New" w:cs="Courier New" w:hint="default"/>
      </w:rPr>
    </w:lvl>
    <w:lvl w:ilvl="8">
      <w:start w:val="1"/>
      <w:numFmt w:val="bullet"/>
      <w:lvlText w:val=""/>
      <w:lvlJc w:val="left"/>
      <w:pPr>
        <w:tabs>
          <w:tab w:val="num" w:pos="3570"/>
        </w:tabs>
        <w:ind w:left="3213" w:hanging="357"/>
      </w:pPr>
      <w:rPr>
        <w:rFonts w:ascii="Wingdings" w:hAnsi="Wingdings" w:hint="default"/>
      </w:rPr>
    </w:lvl>
  </w:abstractNum>
  <w:abstractNum w:abstractNumId="41" w15:restartNumberingAfterBreak="0">
    <w:nsid w:val="7C1218D3"/>
    <w:multiLevelType w:val="singleLevel"/>
    <w:tmpl w:val="F9C47940"/>
    <w:lvl w:ilvl="0">
      <w:start w:val="1"/>
      <w:numFmt w:val="bullet"/>
      <w:pStyle w:val="Bullet"/>
      <w:lvlText w:val=""/>
      <w:lvlJc w:val="left"/>
      <w:pPr>
        <w:tabs>
          <w:tab w:val="num" w:pos="284"/>
        </w:tabs>
        <w:ind w:left="284" w:hanging="284"/>
      </w:pPr>
      <w:rPr>
        <w:rFonts w:ascii="Symbol" w:hAnsi="Symbol" w:hint="default"/>
        <w:sz w:val="18"/>
      </w:rPr>
    </w:lvl>
  </w:abstractNum>
  <w:abstractNum w:abstractNumId="42" w15:restartNumberingAfterBreak="0">
    <w:nsid w:val="7D9874EF"/>
    <w:multiLevelType w:val="multilevel"/>
    <w:tmpl w:val="937A1FCA"/>
    <w:lvl w:ilvl="0">
      <w:start w:val="1"/>
      <w:numFmt w:val="decimal"/>
      <w:suff w:val="nothing"/>
      <w:lvlText w:val="Appendix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7EE56D14"/>
    <w:multiLevelType w:val="multilevel"/>
    <w:tmpl w:val="D98A295A"/>
    <w:lvl w:ilvl="0">
      <w:start w:val="1"/>
      <w:numFmt w:val="bullet"/>
      <w:lvlText w:val=""/>
      <w:lvlJc w:val="left"/>
      <w:pPr>
        <w:ind w:left="357" w:hanging="357"/>
      </w:pPr>
      <w:rPr>
        <w:rFonts w:ascii="Symbol" w:hAnsi="Symbol" w:hint="default"/>
        <w:sz w:val="22"/>
      </w:rPr>
    </w:lvl>
    <w:lvl w:ilvl="1">
      <w:start w:val="1"/>
      <w:numFmt w:val="bullet"/>
      <w:lvlText w:val="–"/>
      <w:lvlJc w:val="left"/>
      <w:pPr>
        <w:tabs>
          <w:tab w:val="num" w:pos="1072"/>
        </w:tabs>
        <w:ind w:left="714" w:hanging="357"/>
      </w:pPr>
      <w:rPr>
        <w:rFonts w:ascii="Arial" w:hAnsi="Arial" w:hint="default"/>
        <w:sz w:val="22"/>
      </w:rPr>
    </w:lvl>
    <w:lvl w:ilvl="2">
      <w:start w:val="1"/>
      <w:numFmt w:val="bullet"/>
      <w:lvlText w:val=""/>
      <w:lvlJc w:val="left"/>
      <w:pPr>
        <w:tabs>
          <w:tab w:val="num" w:pos="1428"/>
        </w:tabs>
        <w:ind w:left="1071" w:hanging="357"/>
      </w:pPr>
      <w:rPr>
        <w:rFonts w:ascii="Wingdings" w:hAnsi="Wingdings" w:hint="default"/>
      </w:rPr>
    </w:lvl>
    <w:lvl w:ilvl="3">
      <w:start w:val="1"/>
      <w:numFmt w:val="bullet"/>
      <w:lvlText w:val=""/>
      <w:lvlJc w:val="left"/>
      <w:pPr>
        <w:tabs>
          <w:tab w:val="num" w:pos="1785"/>
        </w:tabs>
        <w:ind w:left="1428" w:hanging="357"/>
      </w:pPr>
      <w:rPr>
        <w:rFonts w:ascii="Symbol" w:hAnsi="Symbol" w:hint="default"/>
      </w:rPr>
    </w:lvl>
    <w:lvl w:ilvl="4">
      <w:start w:val="1"/>
      <w:numFmt w:val="bullet"/>
      <w:lvlText w:val="o"/>
      <w:lvlJc w:val="left"/>
      <w:pPr>
        <w:tabs>
          <w:tab w:val="num" w:pos="2142"/>
        </w:tabs>
        <w:ind w:left="1785" w:hanging="357"/>
      </w:pPr>
      <w:rPr>
        <w:rFonts w:ascii="Courier New" w:hAnsi="Courier New" w:cs="Courier New" w:hint="default"/>
      </w:rPr>
    </w:lvl>
    <w:lvl w:ilvl="5">
      <w:start w:val="1"/>
      <w:numFmt w:val="bullet"/>
      <w:lvlText w:val=""/>
      <w:lvlJc w:val="left"/>
      <w:pPr>
        <w:tabs>
          <w:tab w:val="num" w:pos="2499"/>
        </w:tabs>
        <w:ind w:left="2142" w:hanging="357"/>
      </w:pPr>
      <w:rPr>
        <w:rFonts w:ascii="Wingdings" w:hAnsi="Wingdings" w:hint="default"/>
      </w:rPr>
    </w:lvl>
    <w:lvl w:ilvl="6">
      <w:start w:val="1"/>
      <w:numFmt w:val="bullet"/>
      <w:lvlText w:val=""/>
      <w:lvlJc w:val="left"/>
      <w:pPr>
        <w:tabs>
          <w:tab w:val="num" w:pos="2856"/>
        </w:tabs>
        <w:ind w:left="2499" w:hanging="357"/>
      </w:pPr>
      <w:rPr>
        <w:rFonts w:ascii="Symbol" w:hAnsi="Symbol" w:hint="default"/>
      </w:rPr>
    </w:lvl>
    <w:lvl w:ilvl="7">
      <w:start w:val="1"/>
      <w:numFmt w:val="bullet"/>
      <w:lvlText w:val="o"/>
      <w:lvlJc w:val="left"/>
      <w:pPr>
        <w:tabs>
          <w:tab w:val="num" w:pos="3213"/>
        </w:tabs>
        <w:ind w:left="2856" w:hanging="357"/>
      </w:pPr>
      <w:rPr>
        <w:rFonts w:ascii="Courier New" w:hAnsi="Courier New" w:cs="Courier New" w:hint="default"/>
      </w:rPr>
    </w:lvl>
    <w:lvl w:ilvl="8">
      <w:start w:val="1"/>
      <w:numFmt w:val="bullet"/>
      <w:lvlText w:val=""/>
      <w:lvlJc w:val="left"/>
      <w:pPr>
        <w:tabs>
          <w:tab w:val="num" w:pos="3570"/>
        </w:tabs>
        <w:ind w:left="3213" w:hanging="357"/>
      </w:pPr>
      <w:rPr>
        <w:rFonts w:ascii="Wingdings" w:hAnsi="Wingdings" w:hint="default"/>
      </w:rPr>
    </w:lvl>
  </w:abstractNum>
  <w:num w:numId="1">
    <w:abstractNumId w:val="41"/>
  </w:num>
  <w:num w:numId="2">
    <w:abstractNumId w:val="22"/>
  </w:num>
  <w:num w:numId="3">
    <w:abstractNumId w:val="23"/>
  </w:num>
  <w:num w:numId="4">
    <w:abstractNumId w:val="4"/>
  </w:num>
  <w:num w:numId="5">
    <w:abstractNumId w:val="1"/>
  </w:num>
  <w:num w:numId="6">
    <w:abstractNumId w:val="27"/>
  </w:num>
  <w:num w:numId="7">
    <w:abstractNumId w:val="35"/>
  </w:num>
  <w:num w:numId="8">
    <w:abstractNumId w:val="3"/>
  </w:num>
  <w:num w:numId="9">
    <w:abstractNumId w:val="36"/>
  </w:num>
  <w:num w:numId="10">
    <w:abstractNumId w:val="29"/>
  </w:num>
  <w:num w:numId="11">
    <w:abstractNumId w:val="15"/>
  </w:num>
  <w:num w:numId="12">
    <w:abstractNumId w:val="21"/>
  </w:num>
  <w:num w:numId="13">
    <w:abstractNumId w:val="0"/>
  </w:num>
  <w:num w:numId="14">
    <w:abstractNumId w:val="12"/>
  </w:num>
  <w:num w:numId="15">
    <w:abstractNumId w:val="19"/>
  </w:num>
  <w:num w:numId="16">
    <w:abstractNumId w:val="30"/>
  </w:num>
  <w:num w:numId="17">
    <w:abstractNumId w:val="8"/>
  </w:num>
  <w:num w:numId="18">
    <w:abstractNumId w:val="14"/>
  </w:num>
  <w:num w:numId="19">
    <w:abstractNumId w:val="9"/>
  </w:num>
  <w:num w:numId="20">
    <w:abstractNumId w:val="6"/>
  </w:num>
  <w:num w:numId="21">
    <w:abstractNumId w:val="39"/>
  </w:num>
  <w:num w:numId="22">
    <w:abstractNumId w:val="13"/>
  </w:num>
  <w:num w:numId="23">
    <w:abstractNumId w:val="37"/>
  </w:num>
  <w:num w:numId="24">
    <w:abstractNumId w:val="2"/>
  </w:num>
  <w:num w:numId="25">
    <w:abstractNumId w:val="7"/>
  </w:num>
  <w:num w:numId="26">
    <w:abstractNumId w:val="5"/>
  </w:num>
  <w:num w:numId="27">
    <w:abstractNumId w:val="32"/>
  </w:num>
  <w:num w:numId="28">
    <w:abstractNumId w:val="38"/>
  </w:num>
  <w:num w:numId="29">
    <w:abstractNumId w:val="18"/>
  </w:num>
  <w:num w:numId="30">
    <w:abstractNumId w:val="11"/>
  </w:num>
  <w:num w:numId="31">
    <w:abstractNumId w:val="28"/>
  </w:num>
  <w:num w:numId="32">
    <w:abstractNumId w:val="20"/>
  </w:num>
  <w:num w:numId="33">
    <w:abstractNumId w:val="43"/>
  </w:num>
  <w:num w:numId="34">
    <w:abstractNumId w:val="16"/>
  </w:num>
  <w:num w:numId="35">
    <w:abstractNumId w:val="34"/>
  </w:num>
  <w:num w:numId="36">
    <w:abstractNumId w:val="31"/>
  </w:num>
  <w:num w:numId="37">
    <w:abstractNumId w:val="40"/>
  </w:num>
  <w:num w:numId="38">
    <w:abstractNumId w:val="33"/>
  </w:num>
  <w:num w:numId="39">
    <w:abstractNumId w:val="24"/>
  </w:num>
  <w:num w:numId="40">
    <w:abstractNumId w:val="25"/>
  </w:num>
  <w:num w:numId="41">
    <w:abstractNumId w:val="10"/>
  </w:num>
  <w:num w:numId="42">
    <w:abstractNumId w:val="26"/>
  </w:num>
  <w:num w:numId="43">
    <w:abstractNumId w:val="17"/>
  </w:num>
  <w:num w:numId="4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2"/>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evenAndOddHeaders/>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78EB"/>
    <w:rsid w:val="000025B8"/>
    <w:rsid w:val="00005BB5"/>
    <w:rsid w:val="000144DE"/>
    <w:rsid w:val="00025A6F"/>
    <w:rsid w:val="0002618D"/>
    <w:rsid w:val="00030B26"/>
    <w:rsid w:val="00030E84"/>
    <w:rsid w:val="00032C0A"/>
    <w:rsid w:val="00035257"/>
    <w:rsid w:val="00035D68"/>
    <w:rsid w:val="00036027"/>
    <w:rsid w:val="000419A9"/>
    <w:rsid w:val="00045613"/>
    <w:rsid w:val="00047899"/>
    <w:rsid w:val="00053921"/>
    <w:rsid w:val="00054B44"/>
    <w:rsid w:val="0006006B"/>
    <w:rsid w:val="0006228D"/>
    <w:rsid w:val="00072BD6"/>
    <w:rsid w:val="00075B78"/>
    <w:rsid w:val="000763E9"/>
    <w:rsid w:val="00082CD6"/>
    <w:rsid w:val="0008437D"/>
    <w:rsid w:val="00085AFE"/>
    <w:rsid w:val="00094800"/>
    <w:rsid w:val="000A0158"/>
    <w:rsid w:val="000A373D"/>
    <w:rsid w:val="000A41ED"/>
    <w:rsid w:val="000B0730"/>
    <w:rsid w:val="000B2A61"/>
    <w:rsid w:val="000D19F4"/>
    <w:rsid w:val="000D58DD"/>
    <w:rsid w:val="000E0BD4"/>
    <w:rsid w:val="000F1305"/>
    <w:rsid w:val="000F1F42"/>
    <w:rsid w:val="000F2AE2"/>
    <w:rsid w:val="000F2BFF"/>
    <w:rsid w:val="00102063"/>
    <w:rsid w:val="0010541C"/>
    <w:rsid w:val="00105770"/>
    <w:rsid w:val="00106F93"/>
    <w:rsid w:val="00111D50"/>
    <w:rsid w:val="00113B8E"/>
    <w:rsid w:val="00117F59"/>
    <w:rsid w:val="0012053C"/>
    <w:rsid w:val="00120C4C"/>
    <w:rsid w:val="00122363"/>
    <w:rsid w:val="00125D45"/>
    <w:rsid w:val="001342C7"/>
    <w:rsid w:val="0013585C"/>
    <w:rsid w:val="00142261"/>
    <w:rsid w:val="00142954"/>
    <w:rsid w:val="001460E0"/>
    <w:rsid w:val="001472F0"/>
    <w:rsid w:val="00147F71"/>
    <w:rsid w:val="00150A6E"/>
    <w:rsid w:val="00160810"/>
    <w:rsid w:val="0016304B"/>
    <w:rsid w:val="0016318F"/>
    <w:rsid w:val="00163467"/>
    <w:rsid w:val="0016468A"/>
    <w:rsid w:val="0017070E"/>
    <w:rsid w:val="00174F02"/>
    <w:rsid w:val="0018376C"/>
    <w:rsid w:val="00184AC1"/>
    <w:rsid w:val="0018662D"/>
    <w:rsid w:val="00197427"/>
    <w:rsid w:val="001A21B4"/>
    <w:rsid w:val="001A5CF5"/>
    <w:rsid w:val="001B39D2"/>
    <w:rsid w:val="001B4BF8"/>
    <w:rsid w:val="001B7B14"/>
    <w:rsid w:val="001C3958"/>
    <w:rsid w:val="001C4326"/>
    <w:rsid w:val="001C665E"/>
    <w:rsid w:val="001D3541"/>
    <w:rsid w:val="001D3E4E"/>
    <w:rsid w:val="001E254A"/>
    <w:rsid w:val="001E7386"/>
    <w:rsid w:val="001F45A7"/>
    <w:rsid w:val="001F5E27"/>
    <w:rsid w:val="0020027C"/>
    <w:rsid w:val="00200906"/>
    <w:rsid w:val="00201A01"/>
    <w:rsid w:val="0020754B"/>
    <w:rsid w:val="002104D3"/>
    <w:rsid w:val="00213A33"/>
    <w:rsid w:val="0021763B"/>
    <w:rsid w:val="00231CCF"/>
    <w:rsid w:val="00232E9F"/>
    <w:rsid w:val="0024198F"/>
    <w:rsid w:val="00245748"/>
    <w:rsid w:val="00246DB1"/>
    <w:rsid w:val="002476B5"/>
    <w:rsid w:val="0025188B"/>
    <w:rsid w:val="002520CC"/>
    <w:rsid w:val="00253ECF"/>
    <w:rsid w:val="00254044"/>
    <w:rsid w:val="002546A1"/>
    <w:rsid w:val="002575E8"/>
    <w:rsid w:val="00257EF1"/>
    <w:rsid w:val="002628F4"/>
    <w:rsid w:val="00275D08"/>
    <w:rsid w:val="002839AF"/>
    <w:rsid w:val="00285080"/>
    <w:rsid w:val="002858E3"/>
    <w:rsid w:val="0029190A"/>
    <w:rsid w:val="00292C5A"/>
    <w:rsid w:val="00295241"/>
    <w:rsid w:val="002967E7"/>
    <w:rsid w:val="002A4DFC"/>
    <w:rsid w:val="002B047D"/>
    <w:rsid w:val="002B732B"/>
    <w:rsid w:val="002B76A7"/>
    <w:rsid w:val="002B7BEC"/>
    <w:rsid w:val="002C2219"/>
    <w:rsid w:val="002C2552"/>
    <w:rsid w:val="002C380A"/>
    <w:rsid w:val="002D0DF2"/>
    <w:rsid w:val="002D23BD"/>
    <w:rsid w:val="002E0B47"/>
    <w:rsid w:val="002F3A0D"/>
    <w:rsid w:val="002F4685"/>
    <w:rsid w:val="002F7213"/>
    <w:rsid w:val="0030382F"/>
    <w:rsid w:val="0030408D"/>
    <w:rsid w:val="003060E4"/>
    <w:rsid w:val="00306F44"/>
    <w:rsid w:val="003160E7"/>
    <w:rsid w:val="0031739E"/>
    <w:rsid w:val="00317DA3"/>
    <w:rsid w:val="00321381"/>
    <w:rsid w:val="003235C6"/>
    <w:rsid w:val="003309CA"/>
    <w:rsid w:val="003325AB"/>
    <w:rsid w:val="003332D1"/>
    <w:rsid w:val="0033412B"/>
    <w:rsid w:val="0033448B"/>
    <w:rsid w:val="00341161"/>
    <w:rsid w:val="00343365"/>
    <w:rsid w:val="00343C7C"/>
    <w:rsid w:val="003445F4"/>
    <w:rsid w:val="00347962"/>
    <w:rsid w:val="00353501"/>
    <w:rsid w:val="00353734"/>
    <w:rsid w:val="003538D4"/>
    <w:rsid w:val="003606F8"/>
    <w:rsid w:val="003648EF"/>
    <w:rsid w:val="003673E6"/>
    <w:rsid w:val="00377264"/>
    <w:rsid w:val="003779D2"/>
    <w:rsid w:val="00385E38"/>
    <w:rsid w:val="003952F9"/>
    <w:rsid w:val="003A26A5"/>
    <w:rsid w:val="003A3761"/>
    <w:rsid w:val="003A512D"/>
    <w:rsid w:val="003A5FEA"/>
    <w:rsid w:val="003A710B"/>
    <w:rsid w:val="003B1D10"/>
    <w:rsid w:val="003C310C"/>
    <w:rsid w:val="003C76D4"/>
    <w:rsid w:val="003D137D"/>
    <w:rsid w:val="003D2CC5"/>
    <w:rsid w:val="003D3E5C"/>
    <w:rsid w:val="003D59BB"/>
    <w:rsid w:val="003E04C1"/>
    <w:rsid w:val="003E0887"/>
    <w:rsid w:val="003E1098"/>
    <w:rsid w:val="003E74C8"/>
    <w:rsid w:val="003E74E2"/>
    <w:rsid w:val="003E7C46"/>
    <w:rsid w:val="003F1C75"/>
    <w:rsid w:val="003F2106"/>
    <w:rsid w:val="003F374A"/>
    <w:rsid w:val="003F52A7"/>
    <w:rsid w:val="003F7013"/>
    <w:rsid w:val="003F7F6A"/>
    <w:rsid w:val="0040240C"/>
    <w:rsid w:val="00413021"/>
    <w:rsid w:val="00414C35"/>
    <w:rsid w:val="004171B7"/>
    <w:rsid w:val="004301C6"/>
    <w:rsid w:val="0043478F"/>
    <w:rsid w:val="00435A0B"/>
    <w:rsid w:val="0043602B"/>
    <w:rsid w:val="004367D2"/>
    <w:rsid w:val="004374D1"/>
    <w:rsid w:val="00440BE0"/>
    <w:rsid w:val="00442A06"/>
    <w:rsid w:val="00442C1C"/>
    <w:rsid w:val="0044567B"/>
    <w:rsid w:val="0044584B"/>
    <w:rsid w:val="00447CB7"/>
    <w:rsid w:val="00455CC9"/>
    <w:rsid w:val="00460826"/>
    <w:rsid w:val="00460B1E"/>
    <w:rsid w:val="00460EA7"/>
    <w:rsid w:val="0046195B"/>
    <w:rsid w:val="0046362D"/>
    <w:rsid w:val="0046596D"/>
    <w:rsid w:val="004852AB"/>
    <w:rsid w:val="00487C04"/>
    <w:rsid w:val="004907E1"/>
    <w:rsid w:val="00494C8E"/>
    <w:rsid w:val="004A035B"/>
    <w:rsid w:val="004A1AD7"/>
    <w:rsid w:val="004A2108"/>
    <w:rsid w:val="004A38D7"/>
    <w:rsid w:val="004A469A"/>
    <w:rsid w:val="004A778C"/>
    <w:rsid w:val="004B14DD"/>
    <w:rsid w:val="004B48C7"/>
    <w:rsid w:val="004C2E6A"/>
    <w:rsid w:val="004C64B8"/>
    <w:rsid w:val="004D2A2D"/>
    <w:rsid w:val="004D479F"/>
    <w:rsid w:val="004D6689"/>
    <w:rsid w:val="004E1D1D"/>
    <w:rsid w:val="004E7AC8"/>
    <w:rsid w:val="004F05F4"/>
    <w:rsid w:val="004F0C94"/>
    <w:rsid w:val="004F6BA4"/>
    <w:rsid w:val="005019AE"/>
    <w:rsid w:val="00503749"/>
    <w:rsid w:val="00503D59"/>
    <w:rsid w:val="00504CF4"/>
    <w:rsid w:val="0050635B"/>
    <w:rsid w:val="005075B3"/>
    <w:rsid w:val="005151C2"/>
    <w:rsid w:val="005205B8"/>
    <w:rsid w:val="00524BB1"/>
    <w:rsid w:val="005275E8"/>
    <w:rsid w:val="005309FE"/>
    <w:rsid w:val="0053199F"/>
    <w:rsid w:val="00531E12"/>
    <w:rsid w:val="00533B90"/>
    <w:rsid w:val="005410F8"/>
    <w:rsid w:val="00542E37"/>
    <w:rsid w:val="005448EC"/>
    <w:rsid w:val="00545963"/>
    <w:rsid w:val="00550256"/>
    <w:rsid w:val="00552B1F"/>
    <w:rsid w:val="00553165"/>
    <w:rsid w:val="00553958"/>
    <w:rsid w:val="00556BB7"/>
    <w:rsid w:val="0055763D"/>
    <w:rsid w:val="00561516"/>
    <w:rsid w:val="00562018"/>
    <w:rsid w:val="005621F2"/>
    <w:rsid w:val="00567B58"/>
    <w:rsid w:val="00571223"/>
    <w:rsid w:val="005718A6"/>
    <w:rsid w:val="00573548"/>
    <w:rsid w:val="005763E0"/>
    <w:rsid w:val="00581136"/>
    <w:rsid w:val="00581EB8"/>
    <w:rsid w:val="005839E7"/>
    <w:rsid w:val="0058437F"/>
    <w:rsid w:val="005A27CA"/>
    <w:rsid w:val="005A43BD"/>
    <w:rsid w:val="005A79E5"/>
    <w:rsid w:val="005D034C"/>
    <w:rsid w:val="005D2AFD"/>
    <w:rsid w:val="005D41CC"/>
    <w:rsid w:val="005D50B6"/>
    <w:rsid w:val="005E226E"/>
    <w:rsid w:val="005E2636"/>
    <w:rsid w:val="005F376C"/>
    <w:rsid w:val="005F700F"/>
    <w:rsid w:val="00600DC6"/>
    <w:rsid w:val="006015D7"/>
    <w:rsid w:val="00601B21"/>
    <w:rsid w:val="006041F0"/>
    <w:rsid w:val="00605C6D"/>
    <w:rsid w:val="006120CA"/>
    <w:rsid w:val="0061443A"/>
    <w:rsid w:val="006200F0"/>
    <w:rsid w:val="00624174"/>
    <w:rsid w:val="00626CF8"/>
    <w:rsid w:val="00630E6F"/>
    <w:rsid w:val="006314AF"/>
    <w:rsid w:val="00634003"/>
    <w:rsid w:val="00634ED8"/>
    <w:rsid w:val="00636CC7"/>
    <w:rsid w:val="00636D7D"/>
    <w:rsid w:val="00637408"/>
    <w:rsid w:val="006427DD"/>
    <w:rsid w:val="00642868"/>
    <w:rsid w:val="00647AFE"/>
    <w:rsid w:val="00650417"/>
    <w:rsid w:val="006512BC"/>
    <w:rsid w:val="00653A5A"/>
    <w:rsid w:val="006554AC"/>
    <w:rsid w:val="00656F28"/>
    <w:rsid w:val="006575F4"/>
    <w:rsid w:val="006579E6"/>
    <w:rsid w:val="00660682"/>
    <w:rsid w:val="00660F74"/>
    <w:rsid w:val="00663EDC"/>
    <w:rsid w:val="00671078"/>
    <w:rsid w:val="006758CA"/>
    <w:rsid w:val="00680A04"/>
    <w:rsid w:val="00686D80"/>
    <w:rsid w:val="00694895"/>
    <w:rsid w:val="00697E2E"/>
    <w:rsid w:val="006A0C54"/>
    <w:rsid w:val="006A25A2"/>
    <w:rsid w:val="006A3B87"/>
    <w:rsid w:val="006B0A88"/>
    <w:rsid w:val="006B0E73"/>
    <w:rsid w:val="006B1E3D"/>
    <w:rsid w:val="006B4A4D"/>
    <w:rsid w:val="006B5695"/>
    <w:rsid w:val="006B62E6"/>
    <w:rsid w:val="006B7B2E"/>
    <w:rsid w:val="006C78EB"/>
    <w:rsid w:val="006D1660"/>
    <w:rsid w:val="006D63E5"/>
    <w:rsid w:val="006E1753"/>
    <w:rsid w:val="006E2886"/>
    <w:rsid w:val="006E3911"/>
    <w:rsid w:val="006E69F4"/>
    <w:rsid w:val="006F1B67"/>
    <w:rsid w:val="006F4D9C"/>
    <w:rsid w:val="0070091D"/>
    <w:rsid w:val="00702854"/>
    <w:rsid w:val="0071741C"/>
    <w:rsid w:val="007327B0"/>
    <w:rsid w:val="00742B90"/>
    <w:rsid w:val="0074434D"/>
    <w:rsid w:val="00752E53"/>
    <w:rsid w:val="00755A1D"/>
    <w:rsid w:val="007570C4"/>
    <w:rsid w:val="007605B8"/>
    <w:rsid w:val="00760AB8"/>
    <w:rsid w:val="00760D6B"/>
    <w:rsid w:val="00771B1E"/>
    <w:rsid w:val="00773C95"/>
    <w:rsid w:val="0078171E"/>
    <w:rsid w:val="0078658E"/>
    <w:rsid w:val="007920E2"/>
    <w:rsid w:val="0079566E"/>
    <w:rsid w:val="00795B34"/>
    <w:rsid w:val="007979D9"/>
    <w:rsid w:val="007A067F"/>
    <w:rsid w:val="007B1770"/>
    <w:rsid w:val="007B4D3E"/>
    <w:rsid w:val="007B6224"/>
    <w:rsid w:val="007B7C70"/>
    <w:rsid w:val="007B7DEB"/>
    <w:rsid w:val="007C0449"/>
    <w:rsid w:val="007C43B6"/>
    <w:rsid w:val="007C5F01"/>
    <w:rsid w:val="007D2151"/>
    <w:rsid w:val="007D3B90"/>
    <w:rsid w:val="007D42CC"/>
    <w:rsid w:val="007D5DE4"/>
    <w:rsid w:val="007D7C3A"/>
    <w:rsid w:val="007E0777"/>
    <w:rsid w:val="007E1341"/>
    <w:rsid w:val="007E1B41"/>
    <w:rsid w:val="007E1EC4"/>
    <w:rsid w:val="007E30B9"/>
    <w:rsid w:val="007E54F1"/>
    <w:rsid w:val="007E74F1"/>
    <w:rsid w:val="007F0F0C"/>
    <w:rsid w:val="007F1288"/>
    <w:rsid w:val="007F3E11"/>
    <w:rsid w:val="00800A8A"/>
    <w:rsid w:val="0080155C"/>
    <w:rsid w:val="008052E1"/>
    <w:rsid w:val="00811EEB"/>
    <w:rsid w:val="0082081A"/>
    <w:rsid w:val="00822F2C"/>
    <w:rsid w:val="00823DEE"/>
    <w:rsid w:val="008305E8"/>
    <w:rsid w:val="00836165"/>
    <w:rsid w:val="008365B2"/>
    <w:rsid w:val="0084640C"/>
    <w:rsid w:val="00852C5D"/>
    <w:rsid w:val="00856088"/>
    <w:rsid w:val="00860826"/>
    <w:rsid w:val="00860E21"/>
    <w:rsid w:val="00863117"/>
    <w:rsid w:val="0086388B"/>
    <w:rsid w:val="008642E5"/>
    <w:rsid w:val="00864488"/>
    <w:rsid w:val="00870A36"/>
    <w:rsid w:val="00872D93"/>
    <w:rsid w:val="00880470"/>
    <w:rsid w:val="00880BBF"/>
    <w:rsid w:val="00880D94"/>
    <w:rsid w:val="008814E8"/>
    <w:rsid w:val="00883BB0"/>
    <w:rsid w:val="00886F64"/>
    <w:rsid w:val="008924DE"/>
    <w:rsid w:val="008A3755"/>
    <w:rsid w:val="008B19DC"/>
    <w:rsid w:val="008B264F"/>
    <w:rsid w:val="008B6F83"/>
    <w:rsid w:val="008B7FD8"/>
    <w:rsid w:val="008C11AC"/>
    <w:rsid w:val="008C2973"/>
    <w:rsid w:val="008C6324"/>
    <w:rsid w:val="008C64C4"/>
    <w:rsid w:val="008D10F0"/>
    <w:rsid w:val="008D1D30"/>
    <w:rsid w:val="008D2CDD"/>
    <w:rsid w:val="008D74D5"/>
    <w:rsid w:val="008D7C9F"/>
    <w:rsid w:val="008E04BA"/>
    <w:rsid w:val="008E0ED1"/>
    <w:rsid w:val="008E2083"/>
    <w:rsid w:val="008E3A07"/>
    <w:rsid w:val="008E537B"/>
    <w:rsid w:val="008F29BE"/>
    <w:rsid w:val="008F4AE5"/>
    <w:rsid w:val="008F51EB"/>
    <w:rsid w:val="00900197"/>
    <w:rsid w:val="00902F55"/>
    <w:rsid w:val="00905251"/>
    <w:rsid w:val="0090582B"/>
    <w:rsid w:val="009060C0"/>
    <w:rsid w:val="009102AC"/>
    <w:rsid w:val="009133F5"/>
    <w:rsid w:val="0091756F"/>
    <w:rsid w:val="00920A27"/>
    <w:rsid w:val="00921216"/>
    <w:rsid w:val="009216CC"/>
    <w:rsid w:val="009220F3"/>
    <w:rsid w:val="00922E41"/>
    <w:rsid w:val="00925892"/>
    <w:rsid w:val="00926083"/>
    <w:rsid w:val="00926D08"/>
    <w:rsid w:val="00930D08"/>
    <w:rsid w:val="00931466"/>
    <w:rsid w:val="00932D69"/>
    <w:rsid w:val="009354FD"/>
    <w:rsid w:val="00935589"/>
    <w:rsid w:val="00937408"/>
    <w:rsid w:val="009427FA"/>
    <w:rsid w:val="00944647"/>
    <w:rsid w:val="009469E2"/>
    <w:rsid w:val="0095565C"/>
    <w:rsid w:val="00964AB6"/>
    <w:rsid w:val="00966F9A"/>
    <w:rsid w:val="009732B2"/>
    <w:rsid w:val="00977B8A"/>
    <w:rsid w:val="00982971"/>
    <w:rsid w:val="009845AD"/>
    <w:rsid w:val="00984835"/>
    <w:rsid w:val="009933EF"/>
    <w:rsid w:val="00995497"/>
    <w:rsid w:val="00995BA0"/>
    <w:rsid w:val="009A418B"/>
    <w:rsid w:val="009A426F"/>
    <w:rsid w:val="009A42D5"/>
    <w:rsid w:val="009A4473"/>
    <w:rsid w:val="009B05C9"/>
    <w:rsid w:val="009B286C"/>
    <w:rsid w:val="009C151C"/>
    <w:rsid w:val="009C440A"/>
    <w:rsid w:val="009D5125"/>
    <w:rsid w:val="009D60B8"/>
    <w:rsid w:val="009D7D4B"/>
    <w:rsid w:val="009E36ED"/>
    <w:rsid w:val="009E3B47"/>
    <w:rsid w:val="009E3C8C"/>
    <w:rsid w:val="009E6B77"/>
    <w:rsid w:val="009F4372"/>
    <w:rsid w:val="009F460A"/>
    <w:rsid w:val="00A043FB"/>
    <w:rsid w:val="00A06BE4"/>
    <w:rsid w:val="00A0729C"/>
    <w:rsid w:val="00A073CF"/>
    <w:rsid w:val="00A07779"/>
    <w:rsid w:val="00A1166A"/>
    <w:rsid w:val="00A20B2E"/>
    <w:rsid w:val="00A24F33"/>
    <w:rsid w:val="00A25069"/>
    <w:rsid w:val="00A26E6B"/>
    <w:rsid w:val="00A3068F"/>
    <w:rsid w:val="00A3145B"/>
    <w:rsid w:val="00A339D0"/>
    <w:rsid w:val="00A3415C"/>
    <w:rsid w:val="00A359A2"/>
    <w:rsid w:val="00A41002"/>
    <w:rsid w:val="00A4201A"/>
    <w:rsid w:val="00A5465D"/>
    <w:rsid w:val="00A553CE"/>
    <w:rsid w:val="00A5677A"/>
    <w:rsid w:val="00A56DCC"/>
    <w:rsid w:val="00A61B4A"/>
    <w:rsid w:val="00A625E8"/>
    <w:rsid w:val="00A63DFF"/>
    <w:rsid w:val="00A64496"/>
    <w:rsid w:val="00A6490D"/>
    <w:rsid w:val="00A67033"/>
    <w:rsid w:val="00A7415D"/>
    <w:rsid w:val="00A80363"/>
    <w:rsid w:val="00A80939"/>
    <w:rsid w:val="00A83E9D"/>
    <w:rsid w:val="00A87C05"/>
    <w:rsid w:val="00A9169D"/>
    <w:rsid w:val="00A93598"/>
    <w:rsid w:val="00A97A3A"/>
    <w:rsid w:val="00AA240C"/>
    <w:rsid w:val="00AB0332"/>
    <w:rsid w:val="00AC101C"/>
    <w:rsid w:val="00AD4CF1"/>
    <w:rsid w:val="00AD5988"/>
    <w:rsid w:val="00AD6293"/>
    <w:rsid w:val="00AE1643"/>
    <w:rsid w:val="00AE16AF"/>
    <w:rsid w:val="00AF335A"/>
    <w:rsid w:val="00AF372E"/>
    <w:rsid w:val="00AF7800"/>
    <w:rsid w:val="00B00CF5"/>
    <w:rsid w:val="00B072E0"/>
    <w:rsid w:val="00B1007E"/>
    <w:rsid w:val="00B13C0B"/>
    <w:rsid w:val="00B13D41"/>
    <w:rsid w:val="00B155FD"/>
    <w:rsid w:val="00B253F6"/>
    <w:rsid w:val="00B26675"/>
    <w:rsid w:val="00B305DB"/>
    <w:rsid w:val="00B332F8"/>
    <w:rsid w:val="00B3492B"/>
    <w:rsid w:val="00B44C72"/>
    <w:rsid w:val="00B4646F"/>
    <w:rsid w:val="00B47C82"/>
    <w:rsid w:val="00B55C7D"/>
    <w:rsid w:val="00B63038"/>
    <w:rsid w:val="00B64BD8"/>
    <w:rsid w:val="00B701D1"/>
    <w:rsid w:val="00B73AF2"/>
    <w:rsid w:val="00B73D79"/>
    <w:rsid w:val="00B7551A"/>
    <w:rsid w:val="00B76B11"/>
    <w:rsid w:val="00B773F1"/>
    <w:rsid w:val="00B86AB1"/>
    <w:rsid w:val="00B87726"/>
    <w:rsid w:val="00B91B22"/>
    <w:rsid w:val="00BA4E70"/>
    <w:rsid w:val="00BA7EBA"/>
    <w:rsid w:val="00BB2A06"/>
    <w:rsid w:val="00BB2CBB"/>
    <w:rsid w:val="00BB4136"/>
    <w:rsid w:val="00BB4198"/>
    <w:rsid w:val="00BC03EE"/>
    <w:rsid w:val="00BC59F1"/>
    <w:rsid w:val="00BD488E"/>
    <w:rsid w:val="00BF3DE1"/>
    <w:rsid w:val="00BF4843"/>
    <w:rsid w:val="00BF5205"/>
    <w:rsid w:val="00C05132"/>
    <w:rsid w:val="00C12508"/>
    <w:rsid w:val="00C23728"/>
    <w:rsid w:val="00C3026C"/>
    <w:rsid w:val="00C313A9"/>
    <w:rsid w:val="00C347C8"/>
    <w:rsid w:val="00C358E4"/>
    <w:rsid w:val="00C418EE"/>
    <w:rsid w:val="00C441CF"/>
    <w:rsid w:val="00C45AA2"/>
    <w:rsid w:val="00C4792C"/>
    <w:rsid w:val="00C55BEF"/>
    <w:rsid w:val="00C57C00"/>
    <w:rsid w:val="00C601AF"/>
    <w:rsid w:val="00C61A63"/>
    <w:rsid w:val="00C66296"/>
    <w:rsid w:val="00C7093C"/>
    <w:rsid w:val="00C7394D"/>
    <w:rsid w:val="00C756B7"/>
    <w:rsid w:val="00C77282"/>
    <w:rsid w:val="00C84DE5"/>
    <w:rsid w:val="00C86248"/>
    <w:rsid w:val="00C90B31"/>
    <w:rsid w:val="00CA0D6F"/>
    <w:rsid w:val="00CA4C33"/>
    <w:rsid w:val="00CA6F4A"/>
    <w:rsid w:val="00CB3483"/>
    <w:rsid w:val="00CB3915"/>
    <w:rsid w:val="00CB6427"/>
    <w:rsid w:val="00CC0FBE"/>
    <w:rsid w:val="00CC6EA4"/>
    <w:rsid w:val="00CD077C"/>
    <w:rsid w:val="00CD2119"/>
    <w:rsid w:val="00CD237A"/>
    <w:rsid w:val="00CD36AC"/>
    <w:rsid w:val="00CD7344"/>
    <w:rsid w:val="00CE13A3"/>
    <w:rsid w:val="00CE36BC"/>
    <w:rsid w:val="00CF1747"/>
    <w:rsid w:val="00CF60ED"/>
    <w:rsid w:val="00D05D74"/>
    <w:rsid w:val="00D05DF1"/>
    <w:rsid w:val="00D20C59"/>
    <w:rsid w:val="00D23323"/>
    <w:rsid w:val="00D2392A"/>
    <w:rsid w:val="00D25FFE"/>
    <w:rsid w:val="00D27922"/>
    <w:rsid w:val="00D27A64"/>
    <w:rsid w:val="00D328F3"/>
    <w:rsid w:val="00D37D80"/>
    <w:rsid w:val="00D429DB"/>
    <w:rsid w:val="00D442F3"/>
    <w:rsid w:val="00D44483"/>
    <w:rsid w:val="00D4476F"/>
    <w:rsid w:val="00D50573"/>
    <w:rsid w:val="00D54D50"/>
    <w:rsid w:val="00D560B4"/>
    <w:rsid w:val="00D659BF"/>
    <w:rsid w:val="00D662F8"/>
    <w:rsid w:val="00D66797"/>
    <w:rsid w:val="00D7087C"/>
    <w:rsid w:val="00D70C3C"/>
    <w:rsid w:val="00D71DF7"/>
    <w:rsid w:val="00D72BE5"/>
    <w:rsid w:val="00D81462"/>
    <w:rsid w:val="00D82431"/>
    <w:rsid w:val="00D82F26"/>
    <w:rsid w:val="00D863D0"/>
    <w:rsid w:val="00D86B00"/>
    <w:rsid w:val="00D86FB9"/>
    <w:rsid w:val="00D87C87"/>
    <w:rsid w:val="00D90BB4"/>
    <w:rsid w:val="00D90E07"/>
    <w:rsid w:val="00D932C2"/>
    <w:rsid w:val="00DA0232"/>
    <w:rsid w:val="00DA7F9E"/>
    <w:rsid w:val="00DB39CF"/>
    <w:rsid w:val="00DB7256"/>
    <w:rsid w:val="00DC0401"/>
    <w:rsid w:val="00DC20BD"/>
    <w:rsid w:val="00DC7C56"/>
    <w:rsid w:val="00DD0BCD"/>
    <w:rsid w:val="00DD447A"/>
    <w:rsid w:val="00DE2860"/>
    <w:rsid w:val="00DE3B20"/>
    <w:rsid w:val="00DE6C94"/>
    <w:rsid w:val="00DE6FD7"/>
    <w:rsid w:val="00DF0C7C"/>
    <w:rsid w:val="00E064D9"/>
    <w:rsid w:val="00E10B18"/>
    <w:rsid w:val="00E16FCE"/>
    <w:rsid w:val="00E23271"/>
    <w:rsid w:val="00E24F80"/>
    <w:rsid w:val="00E259F3"/>
    <w:rsid w:val="00E30985"/>
    <w:rsid w:val="00E33238"/>
    <w:rsid w:val="00E33934"/>
    <w:rsid w:val="00E376B7"/>
    <w:rsid w:val="00E42F5D"/>
    <w:rsid w:val="00E4486C"/>
    <w:rsid w:val="00E460B6"/>
    <w:rsid w:val="00E511D5"/>
    <w:rsid w:val="00E52321"/>
    <w:rsid w:val="00E53A9F"/>
    <w:rsid w:val="00E57349"/>
    <w:rsid w:val="00E60249"/>
    <w:rsid w:val="00E620CE"/>
    <w:rsid w:val="00E62238"/>
    <w:rsid w:val="00E65269"/>
    <w:rsid w:val="00E76D66"/>
    <w:rsid w:val="00EA796A"/>
    <w:rsid w:val="00EB1856"/>
    <w:rsid w:val="00EC50CE"/>
    <w:rsid w:val="00EC5B34"/>
    <w:rsid w:val="00ED021E"/>
    <w:rsid w:val="00ED0F28"/>
    <w:rsid w:val="00ED323C"/>
    <w:rsid w:val="00EE2D5C"/>
    <w:rsid w:val="00EE4ADE"/>
    <w:rsid w:val="00EE4DE8"/>
    <w:rsid w:val="00EE5CB7"/>
    <w:rsid w:val="00F000BF"/>
    <w:rsid w:val="00F022BD"/>
    <w:rsid w:val="00F024FE"/>
    <w:rsid w:val="00F05AD4"/>
    <w:rsid w:val="00F103BE"/>
    <w:rsid w:val="00F10EB6"/>
    <w:rsid w:val="00F13F07"/>
    <w:rsid w:val="00F140B2"/>
    <w:rsid w:val="00F16595"/>
    <w:rsid w:val="00F25970"/>
    <w:rsid w:val="00F311A9"/>
    <w:rsid w:val="00F31343"/>
    <w:rsid w:val="00F37381"/>
    <w:rsid w:val="00F503A0"/>
    <w:rsid w:val="00F5180D"/>
    <w:rsid w:val="00F54E74"/>
    <w:rsid w:val="00F5778C"/>
    <w:rsid w:val="00F61783"/>
    <w:rsid w:val="00F63781"/>
    <w:rsid w:val="00F67496"/>
    <w:rsid w:val="00F7421E"/>
    <w:rsid w:val="00F801BA"/>
    <w:rsid w:val="00F807AD"/>
    <w:rsid w:val="00F86028"/>
    <w:rsid w:val="00F9366A"/>
    <w:rsid w:val="00F946C9"/>
    <w:rsid w:val="00FA0EA5"/>
    <w:rsid w:val="00FA68C7"/>
    <w:rsid w:val="00FA74EE"/>
    <w:rsid w:val="00FB0A5B"/>
    <w:rsid w:val="00FB1B8E"/>
    <w:rsid w:val="00FC3711"/>
    <w:rsid w:val="00FC46E7"/>
    <w:rsid w:val="00FC5D25"/>
    <w:rsid w:val="00FD0D7E"/>
    <w:rsid w:val="00FD16C4"/>
    <w:rsid w:val="00FD362F"/>
    <w:rsid w:val="00FD4789"/>
    <w:rsid w:val="00FD47FE"/>
    <w:rsid w:val="00FD4FFB"/>
    <w:rsid w:val="00FE022F"/>
    <w:rsid w:val="00FE6E13"/>
    <w:rsid w:val="00FE7D38"/>
    <w:rsid w:val="00FF15F6"/>
    <w:rsid w:val="00FF527C"/>
    <w:rsid w:val="00FF65C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3741B0"/>
  <w15:docId w15:val="{0A3553EE-9BBB-44A2-AC9E-AA3E42DCB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iPriority="99"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iPriority="99" w:unhideWhenUsed="1"/>
    <w:lsdException w:name="Body Text First Indent 2" w:semiHidden="1" w:uiPriority="99" w:unhideWhenUsed="1"/>
    <w:lsdException w:name="Note Heading" w:semiHidden="1" w:unhideWhenUsed="1"/>
    <w:lsdException w:name="Body Text 2" w:semiHidden="1" w:uiPriority="99" w:unhideWhenUsed="1" w:qFormat="1"/>
    <w:lsdException w:name="Body Text 3" w:semiHidden="1" w:unhideWhenUsed="1" w:qFormat="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nhideWhenUsed="1"/>
    <w:lsdException w:name="Table Simple 2" w:semiHidden="1" w:uiPriority="99" w:unhideWhenUsed="1"/>
    <w:lsdException w:name="Table Simple 3" w:semiHidden="1" w:uiPriority="99" w:unhideWhenUsed="1"/>
    <w:lsdException w:name="Table Classic 1" w:semiHidden="1"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3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198F"/>
    <w:rPr>
      <w:rFonts w:ascii="Segoe UI" w:hAnsi="Segoe UI"/>
      <w:sz w:val="21"/>
      <w:lang w:eastAsia="en-GB"/>
    </w:rPr>
  </w:style>
  <w:style w:type="paragraph" w:styleId="Heading1">
    <w:name w:val="heading 1"/>
    <w:basedOn w:val="Normal"/>
    <w:next w:val="Normal"/>
    <w:link w:val="Heading1Char"/>
    <w:qFormat/>
    <w:rsid w:val="005D50B6"/>
    <w:pPr>
      <w:pageBreakBefore/>
      <w:spacing w:after="360"/>
      <w:outlineLvl w:val="0"/>
    </w:pPr>
    <w:rPr>
      <w:b/>
      <w:color w:val="1B83A0" w:themeColor="text1"/>
      <w:spacing w:val="-10"/>
      <w:sz w:val="72"/>
    </w:rPr>
  </w:style>
  <w:style w:type="paragraph" w:styleId="Heading2">
    <w:name w:val="heading 2"/>
    <w:basedOn w:val="Normal"/>
    <w:next w:val="Normal"/>
    <w:link w:val="Heading2Char"/>
    <w:qFormat/>
    <w:rsid w:val="00BB4136"/>
    <w:pPr>
      <w:keepNext/>
      <w:spacing w:before="480" w:after="180"/>
      <w:outlineLvl w:val="1"/>
    </w:pPr>
    <w:rPr>
      <w:b/>
      <w:color w:val="1B83A0" w:themeColor="text1"/>
      <w:spacing w:val="-5"/>
      <w:sz w:val="48"/>
    </w:rPr>
  </w:style>
  <w:style w:type="paragraph" w:styleId="Heading3">
    <w:name w:val="heading 3"/>
    <w:basedOn w:val="Normal"/>
    <w:next w:val="Normal"/>
    <w:link w:val="Heading3Char"/>
    <w:qFormat/>
    <w:rsid w:val="00BB4136"/>
    <w:pPr>
      <w:keepNext/>
      <w:numPr>
        <w:ilvl w:val="2"/>
        <w:numId w:val="5"/>
      </w:numPr>
      <w:spacing w:before="360" w:after="180"/>
      <w:outlineLvl w:val="2"/>
    </w:pPr>
    <w:rPr>
      <w:color w:val="1B83A0" w:themeColor="text1"/>
      <w:spacing w:val="-5"/>
      <w:sz w:val="36"/>
    </w:rPr>
  </w:style>
  <w:style w:type="paragraph" w:styleId="Heading4">
    <w:name w:val="heading 4"/>
    <w:basedOn w:val="Normal"/>
    <w:next w:val="Normal"/>
    <w:link w:val="Heading4Char"/>
    <w:qFormat/>
    <w:rsid w:val="00BB4136"/>
    <w:pPr>
      <w:keepNext/>
      <w:spacing w:before="240" w:after="120"/>
      <w:outlineLvl w:val="3"/>
    </w:pPr>
    <w:rPr>
      <w:color w:val="1B83A0" w:themeColor="text1"/>
      <w:spacing w:val="-5"/>
      <w:sz w:val="28"/>
    </w:rPr>
  </w:style>
  <w:style w:type="paragraph" w:styleId="Heading5">
    <w:name w:val="heading 5"/>
    <w:basedOn w:val="Normal"/>
    <w:next w:val="Normal"/>
    <w:link w:val="Heading5Char"/>
    <w:qFormat/>
    <w:rsid w:val="00BB4136"/>
    <w:pPr>
      <w:keepNext/>
      <w:spacing w:before="120" w:after="120"/>
      <w:outlineLvl w:val="4"/>
    </w:pPr>
    <w:rPr>
      <w:color w:val="1B83A0" w:themeColor="text1"/>
      <w:spacing w:val="-5"/>
      <w:sz w:val="22"/>
    </w:rPr>
  </w:style>
  <w:style w:type="paragraph" w:styleId="Heading6">
    <w:name w:val="heading 6"/>
    <w:basedOn w:val="Normal"/>
    <w:next w:val="Normal"/>
    <w:link w:val="Heading6Char"/>
    <w:unhideWhenUsed/>
    <w:qFormat/>
    <w:rsid w:val="00BB4136"/>
    <w:pPr>
      <w:keepNext/>
      <w:spacing w:before="120" w:after="120"/>
      <w:outlineLvl w:val="5"/>
    </w:pPr>
    <w:rPr>
      <w:rFonts w:eastAsia="MS Gothic"/>
      <w:iCs/>
      <w:color w:val="1B83A0" w:themeColor="text1"/>
      <w:spacing w:val="-5"/>
      <w:szCs w:val="24"/>
      <w:lang w:eastAsia="en-US"/>
    </w:rPr>
  </w:style>
  <w:style w:type="paragraph" w:styleId="Heading7">
    <w:name w:val="heading 7"/>
    <w:basedOn w:val="Normal"/>
    <w:next w:val="Normal"/>
    <w:link w:val="Heading7Char"/>
    <w:unhideWhenUsed/>
    <w:qFormat/>
    <w:rsid w:val="00122363"/>
    <w:pPr>
      <w:keepNext/>
      <w:keepLines/>
      <w:spacing w:before="200" w:after="120" w:line="276" w:lineRule="auto"/>
      <w:ind w:left="1296" w:hanging="1296"/>
      <w:outlineLvl w:val="6"/>
    </w:pPr>
    <w:rPr>
      <w:rFonts w:ascii="Calibri" w:eastAsia="MS Gothic" w:hAnsi="Calibri"/>
      <w:i/>
      <w:iCs/>
      <w:color w:val="404040"/>
      <w:szCs w:val="24"/>
      <w:lang w:val="en-GB" w:eastAsia="en-US"/>
    </w:rPr>
  </w:style>
  <w:style w:type="paragraph" w:styleId="Heading8">
    <w:name w:val="heading 8"/>
    <w:basedOn w:val="Normal"/>
    <w:next w:val="Normal"/>
    <w:link w:val="Heading8Char"/>
    <w:unhideWhenUsed/>
    <w:qFormat/>
    <w:rsid w:val="00030E84"/>
    <w:pPr>
      <w:keepNext/>
      <w:keepLines/>
      <w:spacing w:before="480" w:after="240"/>
      <w:outlineLvl w:val="7"/>
    </w:pPr>
    <w:rPr>
      <w:rFonts w:eastAsia="MS Gothic"/>
      <w:color w:val="0A6AB4"/>
      <w:spacing w:val="-10"/>
      <w:sz w:val="36"/>
      <w:szCs w:val="24"/>
      <w:lang w:eastAsia="en-US"/>
    </w:rPr>
  </w:style>
  <w:style w:type="paragraph" w:styleId="Heading9">
    <w:name w:val="heading 9"/>
    <w:basedOn w:val="Normal"/>
    <w:next w:val="Normal"/>
    <w:link w:val="Heading9Char"/>
    <w:unhideWhenUsed/>
    <w:qFormat/>
    <w:rsid w:val="00122363"/>
    <w:pPr>
      <w:keepNext/>
      <w:keepLines/>
      <w:spacing w:before="200" w:after="120" w:line="276" w:lineRule="auto"/>
      <w:ind w:left="1584" w:hanging="1584"/>
      <w:outlineLvl w:val="8"/>
    </w:pPr>
    <w:rPr>
      <w:rFonts w:ascii="Calibri" w:eastAsia="MS Gothic" w:hAnsi="Calibri"/>
      <w:i/>
      <w:iCs/>
      <w:color w:val="404040"/>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D50B6"/>
    <w:rPr>
      <w:rFonts w:ascii="Segoe UI" w:hAnsi="Segoe UI"/>
      <w:b/>
      <w:color w:val="1B83A0" w:themeColor="text1"/>
      <w:spacing w:val="-10"/>
      <w:sz w:val="72"/>
      <w:lang w:eastAsia="en-GB"/>
    </w:rPr>
  </w:style>
  <w:style w:type="character" w:customStyle="1" w:styleId="Heading2Char">
    <w:name w:val="Heading 2 Char"/>
    <w:link w:val="Heading2"/>
    <w:rsid w:val="00BB4136"/>
    <w:rPr>
      <w:rFonts w:ascii="Segoe UI" w:hAnsi="Segoe UI"/>
      <w:b/>
      <w:color w:val="1B83A0" w:themeColor="text1"/>
      <w:spacing w:val="-5"/>
      <w:sz w:val="48"/>
      <w:lang w:eastAsia="en-GB"/>
    </w:rPr>
  </w:style>
  <w:style w:type="character" w:customStyle="1" w:styleId="Heading3Char">
    <w:name w:val="Heading 3 Char"/>
    <w:link w:val="Heading3"/>
    <w:rsid w:val="00BB4136"/>
    <w:rPr>
      <w:rFonts w:ascii="Segoe UI" w:hAnsi="Segoe UI"/>
      <w:color w:val="1B83A0" w:themeColor="text1"/>
      <w:spacing w:val="-5"/>
      <w:sz w:val="36"/>
      <w:lang w:eastAsia="en-GB"/>
    </w:rPr>
  </w:style>
  <w:style w:type="character" w:customStyle="1" w:styleId="Heading4Char">
    <w:name w:val="Heading 4 Char"/>
    <w:link w:val="Heading4"/>
    <w:rsid w:val="00BB4136"/>
    <w:rPr>
      <w:rFonts w:ascii="Segoe UI" w:hAnsi="Segoe UI"/>
      <w:color w:val="1B83A0" w:themeColor="text1"/>
      <w:spacing w:val="-5"/>
      <w:sz w:val="28"/>
      <w:lang w:eastAsia="en-GB"/>
    </w:rPr>
  </w:style>
  <w:style w:type="character" w:customStyle="1" w:styleId="Heading5Char">
    <w:name w:val="Heading 5 Char"/>
    <w:link w:val="Heading5"/>
    <w:rsid w:val="00BB4136"/>
    <w:rPr>
      <w:rFonts w:ascii="Segoe UI" w:hAnsi="Segoe UI"/>
      <w:color w:val="1B83A0" w:themeColor="text1"/>
      <w:spacing w:val="-5"/>
      <w:sz w:val="22"/>
      <w:lang w:eastAsia="en-GB"/>
    </w:rPr>
  </w:style>
  <w:style w:type="character" w:customStyle="1" w:styleId="Heading6Char">
    <w:name w:val="Heading 6 Char"/>
    <w:basedOn w:val="DefaultParagraphFont"/>
    <w:link w:val="Heading6"/>
    <w:rsid w:val="00BB4136"/>
    <w:rPr>
      <w:rFonts w:ascii="Segoe UI" w:eastAsia="MS Gothic" w:hAnsi="Segoe UI"/>
      <w:iCs/>
      <w:color w:val="1B83A0" w:themeColor="text1"/>
      <w:spacing w:val="-5"/>
      <w:sz w:val="21"/>
      <w:szCs w:val="24"/>
      <w:lang w:eastAsia="en-US"/>
    </w:rPr>
  </w:style>
  <w:style w:type="character" w:customStyle="1" w:styleId="Heading7Char">
    <w:name w:val="Heading 7 Char"/>
    <w:basedOn w:val="DefaultParagraphFont"/>
    <w:link w:val="Heading7"/>
    <w:rsid w:val="00122363"/>
    <w:rPr>
      <w:rFonts w:ascii="Calibri" w:eastAsia="MS Gothic" w:hAnsi="Calibri"/>
      <w:i/>
      <w:iCs/>
      <w:color w:val="404040"/>
      <w:sz w:val="22"/>
      <w:szCs w:val="24"/>
      <w:lang w:val="en-GB" w:eastAsia="en-US"/>
    </w:rPr>
  </w:style>
  <w:style w:type="character" w:customStyle="1" w:styleId="Heading8Char">
    <w:name w:val="Heading 8 Char"/>
    <w:basedOn w:val="DefaultParagraphFont"/>
    <w:link w:val="Heading8"/>
    <w:rsid w:val="00030E84"/>
    <w:rPr>
      <w:rFonts w:ascii="Segoe UI" w:eastAsia="MS Gothic" w:hAnsi="Segoe UI"/>
      <w:color w:val="0A6AB4"/>
      <w:spacing w:val="-10"/>
      <w:sz w:val="36"/>
      <w:szCs w:val="24"/>
      <w:lang w:eastAsia="en-US"/>
    </w:rPr>
  </w:style>
  <w:style w:type="character" w:customStyle="1" w:styleId="Heading9Char">
    <w:name w:val="Heading 9 Char"/>
    <w:basedOn w:val="DefaultParagraphFont"/>
    <w:link w:val="Heading9"/>
    <w:rsid w:val="00122363"/>
    <w:rPr>
      <w:rFonts w:ascii="Calibri" w:eastAsia="MS Gothic" w:hAnsi="Calibri"/>
      <w:i/>
      <w:iCs/>
      <w:color w:val="404040"/>
      <w:sz w:val="22"/>
      <w:szCs w:val="24"/>
      <w:lang w:val="en-GB" w:eastAsia="en-US"/>
    </w:rPr>
  </w:style>
  <w:style w:type="paragraph" w:styleId="TOC1">
    <w:name w:val="toc 1"/>
    <w:basedOn w:val="Normal"/>
    <w:next w:val="Normal"/>
    <w:uiPriority w:val="39"/>
    <w:qFormat/>
    <w:rsid w:val="003D59BB"/>
    <w:pPr>
      <w:tabs>
        <w:tab w:val="right" w:pos="8080"/>
      </w:tabs>
      <w:spacing w:before="300"/>
      <w:ind w:right="567"/>
    </w:pPr>
    <w:rPr>
      <w:sz w:val="24"/>
    </w:rPr>
  </w:style>
  <w:style w:type="paragraph" w:styleId="TOC2">
    <w:name w:val="toc 2"/>
    <w:basedOn w:val="Normal"/>
    <w:next w:val="Normal"/>
    <w:uiPriority w:val="39"/>
    <w:qFormat/>
    <w:rsid w:val="00656F28"/>
    <w:pPr>
      <w:tabs>
        <w:tab w:val="right" w:pos="8080"/>
      </w:tabs>
      <w:spacing w:before="60"/>
      <w:ind w:left="284" w:right="567"/>
    </w:pPr>
  </w:style>
  <w:style w:type="paragraph" w:styleId="TOC3">
    <w:name w:val="toc 3"/>
    <w:basedOn w:val="Normal"/>
    <w:next w:val="Normal"/>
    <w:uiPriority w:val="39"/>
    <w:rsid w:val="00C7093C"/>
    <w:pPr>
      <w:tabs>
        <w:tab w:val="right" w:pos="8080"/>
      </w:tabs>
      <w:spacing w:before="120"/>
      <w:ind w:left="1134" w:right="567" w:hanging="1134"/>
    </w:pPr>
  </w:style>
  <w:style w:type="paragraph" w:customStyle="1" w:styleId="Bullet">
    <w:name w:val="Bullet"/>
    <w:basedOn w:val="Normal"/>
    <w:link w:val="BulletChar"/>
    <w:uiPriority w:val="99"/>
    <w:qFormat/>
    <w:rsid w:val="00FA0EA5"/>
    <w:pPr>
      <w:numPr>
        <w:numId w:val="1"/>
      </w:numPr>
      <w:tabs>
        <w:tab w:val="clear" w:pos="284"/>
      </w:tabs>
      <w:spacing w:before="90"/>
    </w:pPr>
  </w:style>
  <w:style w:type="character" w:customStyle="1" w:styleId="BulletChar">
    <w:name w:val="Bullet Char"/>
    <w:link w:val="Bullet"/>
    <w:uiPriority w:val="99"/>
    <w:locked/>
    <w:rsid w:val="002B7BEC"/>
    <w:rPr>
      <w:rFonts w:ascii="Segoe UI" w:hAnsi="Segoe UI"/>
      <w:sz w:val="21"/>
      <w:lang w:eastAsia="en-GB"/>
    </w:rPr>
  </w:style>
  <w:style w:type="paragraph" w:styleId="Quote">
    <w:name w:val="Quote"/>
    <w:basedOn w:val="Normal"/>
    <w:next w:val="Normal"/>
    <w:link w:val="QuoteChar"/>
    <w:qFormat/>
    <w:pPr>
      <w:spacing w:before="120"/>
      <w:ind w:left="284" w:right="284"/>
    </w:pPr>
  </w:style>
  <w:style w:type="character" w:customStyle="1" w:styleId="QuoteChar">
    <w:name w:val="Quote Char"/>
    <w:link w:val="Quote"/>
    <w:rsid w:val="00122363"/>
    <w:rPr>
      <w:rFonts w:ascii="Georgia" w:hAnsi="Georgia"/>
      <w:sz w:val="22"/>
      <w:lang w:eastAsia="en-GB"/>
    </w:rPr>
  </w:style>
  <w:style w:type="paragraph" w:styleId="FootnoteText">
    <w:name w:val="footnote text"/>
    <w:basedOn w:val="Normal"/>
    <w:link w:val="FootnoteTextChar"/>
    <w:uiPriority w:val="99"/>
    <w:qFormat/>
    <w:rsid w:val="00285080"/>
    <w:pPr>
      <w:spacing w:after="60"/>
      <w:ind w:left="284" w:hanging="284"/>
    </w:pPr>
    <w:rPr>
      <w:sz w:val="17"/>
    </w:rPr>
  </w:style>
  <w:style w:type="character" w:customStyle="1" w:styleId="FootnoteTextChar">
    <w:name w:val="Footnote Text Char"/>
    <w:link w:val="FootnoteText"/>
    <w:uiPriority w:val="99"/>
    <w:rsid w:val="00285080"/>
    <w:rPr>
      <w:rFonts w:ascii="Fira Sans" w:hAnsi="Fira Sans"/>
      <w:sz w:val="17"/>
      <w:lang w:eastAsia="en-GB"/>
    </w:rPr>
  </w:style>
  <w:style w:type="paragraph" w:styleId="Header">
    <w:name w:val="header"/>
    <w:basedOn w:val="Normal"/>
    <w:link w:val="HeaderChar"/>
    <w:qFormat/>
    <w:rsid w:val="00D25FFE"/>
  </w:style>
  <w:style w:type="character" w:customStyle="1" w:styleId="HeaderChar">
    <w:name w:val="Header Char"/>
    <w:link w:val="Header"/>
    <w:uiPriority w:val="99"/>
    <w:rsid w:val="0086388B"/>
    <w:rPr>
      <w:rFonts w:ascii="Georgia" w:hAnsi="Georgia"/>
      <w:sz w:val="22"/>
      <w:lang w:eastAsia="en-GB"/>
    </w:rPr>
  </w:style>
  <w:style w:type="paragraph" w:styleId="Title">
    <w:name w:val="Title"/>
    <w:basedOn w:val="Normal"/>
    <w:next w:val="Normal"/>
    <w:link w:val="TitleChar"/>
    <w:qFormat/>
    <w:rsid w:val="005D50B6"/>
    <w:pPr>
      <w:spacing w:line="216" w:lineRule="auto"/>
      <w:ind w:left="709" w:right="567"/>
    </w:pPr>
    <w:rPr>
      <w:rFonts w:cs="Lucida Sans Unicode"/>
      <w:b/>
      <w:caps/>
      <w:color w:val="1B83A0" w:themeColor="text1"/>
      <w:sz w:val="72"/>
      <w:szCs w:val="72"/>
    </w:rPr>
  </w:style>
  <w:style w:type="character" w:customStyle="1" w:styleId="TitleChar">
    <w:name w:val="Title Char"/>
    <w:link w:val="Title"/>
    <w:rsid w:val="005D50B6"/>
    <w:rPr>
      <w:rFonts w:ascii="Segoe UI" w:hAnsi="Segoe UI" w:cs="Lucida Sans Unicode"/>
      <w:b/>
      <w:caps/>
      <w:color w:val="1B83A0" w:themeColor="text1"/>
      <w:sz w:val="72"/>
      <w:szCs w:val="72"/>
      <w:lang w:eastAsia="en-GB"/>
    </w:rPr>
  </w:style>
  <w:style w:type="paragraph" w:customStyle="1" w:styleId="Imprint">
    <w:name w:val="Imprint"/>
    <w:basedOn w:val="Normal"/>
    <w:next w:val="Normal"/>
    <w:qFormat/>
    <w:rsid w:val="00C05132"/>
    <w:pPr>
      <w:spacing w:after="240"/>
    </w:pPr>
  </w:style>
  <w:style w:type="paragraph" w:styleId="Footer">
    <w:name w:val="footer"/>
    <w:basedOn w:val="Normal"/>
    <w:link w:val="FooterChar"/>
    <w:uiPriority w:val="99"/>
    <w:qFormat/>
    <w:rsid w:val="007A067F"/>
  </w:style>
  <w:style w:type="character" w:customStyle="1" w:styleId="FooterChar">
    <w:name w:val="Footer Char"/>
    <w:link w:val="Footer"/>
    <w:uiPriority w:val="99"/>
    <w:rsid w:val="007A067F"/>
    <w:rPr>
      <w:rFonts w:ascii="Segoe UI" w:hAnsi="Segoe UI"/>
      <w:sz w:val="21"/>
      <w:lang w:eastAsia="en-GB"/>
    </w:rPr>
  </w:style>
  <w:style w:type="character" w:styleId="PageNumber">
    <w:name w:val="page number"/>
    <w:rsid w:val="00A359A2"/>
    <w:rPr>
      <w:rFonts w:ascii="Fira Sans SemiBold" w:hAnsi="Fira Sans SemiBold"/>
      <w:b/>
      <w:sz w:val="22"/>
    </w:rPr>
  </w:style>
  <w:style w:type="paragraph" w:customStyle="1" w:styleId="VersoFooter">
    <w:name w:val="Verso Footer"/>
    <w:basedOn w:val="Footer"/>
    <w:rsid w:val="00571223"/>
    <w:rPr>
      <w:sz w:val="15"/>
    </w:rPr>
  </w:style>
  <w:style w:type="paragraph" w:customStyle="1" w:styleId="RectoFooter">
    <w:name w:val="Recto Footer"/>
    <w:basedOn w:val="Footer"/>
    <w:rsid w:val="00581EB8"/>
    <w:pPr>
      <w:jc w:val="right"/>
    </w:pPr>
    <w:rPr>
      <w:caps/>
      <w:sz w:val="15"/>
    </w:rPr>
  </w:style>
  <w:style w:type="paragraph" w:customStyle="1" w:styleId="Figure">
    <w:name w:val="Figure"/>
    <w:basedOn w:val="Normal"/>
    <w:next w:val="Normal"/>
    <w:link w:val="FigureChar"/>
    <w:qFormat/>
    <w:rsid w:val="009133F5"/>
    <w:pPr>
      <w:keepNext/>
      <w:spacing w:before="120" w:after="120"/>
    </w:pPr>
    <w:rPr>
      <w:b/>
    </w:rPr>
  </w:style>
  <w:style w:type="character" w:customStyle="1" w:styleId="FigureChar">
    <w:name w:val="Figure Char"/>
    <w:link w:val="Figure"/>
    <w:locked/>
    <w:rsid w:val="002B7BEC"/>
    <w:rPr>
      <w:rFonts w:ascii="Segoe UI" w:hAnsi="Segoe UI"/>
      <w:b/>
      <w:lang w:eastAsia="en-GB"/>
    </w:rPr>
  </w:style>
  <w:style w:type="character" w:styleId="FootnoteReference">
    <w:name w:val="footnote reference"/>
    <w:rPr>
      <w:vertAlign w:val="superscript"/>
    </w:rPr>
  </w:style>
  <w:style w:type="paragraph" w:customStyle="1" w:styleId="Table">
    <w:name w:val="Table"/>
    <w:basedOn w:val="Figure"/>
    <w:next w:val="Normal"/>
    <w:link w:val="TableChar"/>
    <w:qFormat/>
    <w:rsid w:val="00642868"/>
  </w:style>
  <w:style w:type="character" w:customStyle="1" w:styleId="TableChar">
    <w:name w:val="Table Char"/>
    <w:link w:val="Table"/>
    <w:locked/>
    <w:rsid w:val="002B7BEC"/>
    <w:rPr>
      <w:rFonts w:ascii="Segoe UI" w:hAnsi="Segoe UI"/>
      <w:b/>
      <w:lang w:eastAsia="en-GB"/>
    </w:rPr>
  </w:style>
  <w:style w:type="paragraph" w:customStyle="1" w:styleId="Dash">
    <w:name w:val="Dash"/>
    <w:basedOn w:val="Bullet"/>
    <w:qFormat/>
    <w:rsid w:val="00702854"/>
    <w:pPr>
      <w:numPr>
        <w:numId w:val="2"/>
      </w:numPr>
      <w:spacing w:before="60"/>
    </w:pPr>
  </w:style>
  <w:style w:type="paragraph" w:customStyle="1" w:styleId="TableText">
    <w:name w:val="TableText"/>
    <w:basedOn w:val="Normal"/>
    <w:qFormat/>
    <w:rsid w:val="00925892"/>
    <w:pPr>
      <w:spacing w:before="60" w:after="60"/>
    </w:pPr>
    <w:rPr>
      <w:sz w:val="18"/>
    </w:rPr>
  </w:style>
  <w:style w:type="paragraph" w:customStyle="1" w:styleId="TableBullet">
    <w:name w:val="TableBullet"/>
    <w:basedOn w:val="TableText"/>
    <w:qFormat/>
    <w:rsid w:val="00B73AF2"/>
    <w:pPr>
      <w:numPr>
        <w:numId w:val="4"/>
      </w:numPr>
      <w:spacing w:before="0"/>
    </w:pPr>
  </w:style>
  <w:style w:type="paragraph" w:customStyle="1" w:styleId="Box">
    <w:name w:val="Box"/>
    <w:basedOn w:val="Normal"/>
    <w:qFormat/>
    <w:rsid w:val="000144DE"/>
    <w:pPr>
      <w:pBdr>
        <w:top w:val="single" w:sz="4" w:space="12" w:color="2C463B"/>
        <w:left w:val="single" w:sz="4" w:space="12" w:color="2C463B"/>
        <w:bottom w:val="single" w:sz="4" w:space="12" w:color="2C463B"/>
        <w:right w:val="single" w:sz="4" w:space="12" w:color="2C463B"/>
      </w:pBdr>
      <w:spacing w:before="120"/>
      <w:ind w:left="284" w:right="284"/>
    </w:pPr>
  </w:style>
  <w:style w:type="paragraph" w:customStyle="1" w:styleId="BoxHeading">
    <w:name w:val="BoxHeading"/>
    <w:basedOn w:val="Normal"/>
    <w:next w:val="Box"/>
    <w:qFormat/>
    <w:rsid w:val="000144DE"/>
    <w:pPr>
      <w:keepNext/>
      <w:pBdr>
        <w:top w:val="single" w:sz="4" w:space="12" w:color="2C463B"/>
        <w:left w:val="single" w:sz="4" w:space="12" w:color="2C463B"/>
        <w:bottom w:val="single" w:sz="4" w:space="12" w:color="2C463B"/>
        <w:right w:val="single" w:sz="4" w:space="12" w:color="2C463B"/>
      </w:pBdr>
      <w:spacing w:before="240"/>
      <w:ind w:left="284" w:right="284"/>
    </w:pPr>
    <w:rPr>
      <w:b/>
      <w:sz w:val="24"/>
      <w:szCs w:val="24"/>
    </w:rPr>
  </w:style>
  <w:style w:type="paragraph" w:customStyle="1" w:styleId="BoxBullet">
    <w:name w:val="BoxBullet"/>
    <w:basedOn w:val="Bullet"/>
    <w:qFormat/>
    <w:rsid w:val="000144DE"/>
    <w:pPr>
      <w:pBdr>
        <w:top w:val="single" w:sz="4" w:space="12" w:color="2C463B"/>
        <w:left w:val="single" w:sz="4" w:space="12" w:color="2C463B"/>
        <w:bottom w:val="single" w:sz="4" w:space="12" w:color="2C463B"/>
        <w:right w:val="single" w:sz="4" w:space="12" w:color="2C463B"/>
      </w:pBdr>
      <w:ind w:left="568" w:right="284"/>
    </w:pPr>
  </w:style>
  <w:style w:type="paragraph" w:customStyle="1" w:styleId="IntroHead">
    <w:name w:val="IntroHead"/>
    <w:basedOn w:val="Heading1"/>
    <w:next w:val="Normal"/>
    <w:qFormat/>
    <w:rsid w:val="00F54E74"/>
    <w:pPr>
      <w:outlineLvl w:val="9"/>
    </w:pPr>
  </w:style>
  <w:style w:type="paragraph" w:customStyle="1" w:styleId="Source">
    <w:name w:val="Source"/>
    <w:basedOn w:val="Note"/>
    <w:next w:val="Normal"/>
    <w:qFormat/>
    <w:rsid w:val="0012053C"/>
  </w:style>
  <w:style w:type="paragraph" w:customStyle="1" w:styleId="Note">
    <w:name w:val="Note"/>
    <w:basedOn w:val="Normal"/>
    <w:next w:val="Normal"/>
    <w:link w:val="NoteChar"/>
    <w:qFormat/>
    <w:rsid w:val="00A87C05"/>
    <w:pPr>
      <w:spacing w:before="80"/>
    </w:pPr>
    <w:rPr>
      <w:sz w:val="17"/>
    </w:rPr>
  </w:style>
  <w:style w:type="character" w:customStyle="1" w:styleId="NoteChar">
    <w:name w:val="Note Char"/>
    <w:link w:val="Note"/>
    <w:rsid w:val="00A87C05"/>
    <w:rPr>
      <w:rFonts w:ascii="Segoe UI" w:hAnsi="Segoe UI"/>
      <w:sz w:val="17"/>
      <w:lang w:eastAsia="en-GB"/>
    </w:rPr>
  </w:style>
  <w:style w:type="paragraph" w:customStyle="1" w:styleId="Subhead">
    <w:name w:val="Subhead"/>
    <w:basedOn w:val="Normal"/>
    <w:next w:val="Year"/>
    <w:qFormat/>
    <w:rsid w:val="004A469A"/>
    <w:pPr>
      <w:spacing w:before="360"/>
      <w:ind w:left="709"/>
    </w:pPr>
    <w:rPr>
      <w:rFonts w:cs="Segoe UI Semibold"/>
      <w:b/>
      <w:color w:val="1B83A0" w:themeColor="text1"/>
      <w:sz w:val="48"/>
      <w:szCs w:val="26"/>
    </w:rPr>
  </w:style>
  <w:style w:type="paragraph" w:customStyle="1" w:styleId="Year">
    <w:name w:val="Year"/>
    <w:basedOn w:val="Subhead"/>
    <w:next w:val="Subhead"/>
    <w:qFormat/>
    <w:rsid w:val="00D659BF"/>
    <w:pPr>
      <w:spacing w:before="720"/>
    </w:pPr>
    <w:rPr>
      <w:sz w:val="36"/>
    </w:rPr>
  </w:style>
  <w:style w:type="character" w:styleId="Hyperlink">
    <w:name w:val="Hyperlink"/>
    <w:uiPriority w:val="99"/>
    <w:rsid w:val="007327B0"/>
    <w:rPr>
      <w:b/>
      <w:color w:val="595959"/>
      <w:u w:val="none"/>
    </w:rPr>
  </w:style>
  <w:style w:type="paragraph" w:customStyle="1" w:styleId="References">
    <w:name w:val="References"/>
    <w:basedOn w:val="Normal"/>
    <w:qFormat/>
    <w:rsid w:val="001460E0"/>
    <w:pPr>
      <w:spacing w:after="180"/>
    </w:pPr>
  </w:style>
  <w:style w:type="paragraph" w:customStyle="1" w:styleId="TableDash">
    <w:name w:val="TableDash"/>
    <w:basedOn w:val="TableText"/>
    <w:qFormat/>
    <w:rsid w:val="00BB4136"/>
    <w:pPr>
      <w:numPr>
        <w:numId w:val="3"/>
      </w:numPr>
      <w:spacing w:before="0"/>
      <w:ind w:left="568" w:hanging="284"/>
    </w:pPr>
    <w:rPr>
      <w:szCs w:val="22"/>
    </w:rPr>
  </w:style>
  <w:style w:type="paragraph" w:styleId="Revision">
    <w:name w:val="Revision"/>
    <w:hidden/>
    <w:uiPriority w:val="99"/>
    <w:rsid w:val="0086388B"/>
    <w:rPr>
      <w:rFonts w:ascii="Calibri" w:eastAsia="Calibri" w:hAnsi="Calibri"/>
      <w:sz w:val="22"/>
      <w:szCs w:val="22"/>
      <w:lang w:val="en-US" w:eastAsia="en-US"/>
    </w:rPr>
  </w:style>
  <w:style w:type="paragraph" w:customStyle="1" w:styleId="Number">
    <w:name w:val="Number"/>
    <w:basedOn w:val="Normal"/>
    <w:rsid w:val="00F140B2"/>
    <w:pPr>
      <w:numPr>
        <w:ilvl w:val="3"/>
        <w:numId w:val="5"/>
      </w:numPr>
      <w:spacing w:before="180"/>
    </w:pPr>
    <w:rPr>
      <w:szCs w:val="24"/>
    </w:rPr>
  </w:style>
  <w:style w:type="paragraph" w:customStyle="1" w:styleId="Letter">
    <w:name w:val="Letter"/>
    <w:basedOn w:val="Normal"/>
    <w:qFormat/>
    <w:rsid w:val="00F140B2"/>
    <w:pPr>
      <w:numPr>
        <w:ilvl w:val="4"/>
        <w:numId w:val="5"/>
      </w:numPr>
      <w:spacing w:before="120"/>
    </w:pPr>
  </w:style>
  <w:style w:type="paragraph" w:customStyle="1" w:styleId="Roman">
    <w:name w:val="Roman"/>
    <w:basedOn w:val="Normal"/>
    <w:qFormat/>
    <w:rsid w:val="00AD6293"/>
    <w:pPr>
      <w:numPr>
        <w:ilvl w:val="5"/>
        <w:numId w:val="5"/>
      </w:numPr>
      <w:spacing w:before="90"/>
    </w:pPr>
    <w:rPr>
      <w:rFonts w:eastAsia="Arial Unicode MS"/>
    </w:rPr>
  </w:style>
  <w:style w:type="character" w:styleId="CommentReference">
    <w:name w:val="annotation reference"/>
    <w:basedOn w:val="DefaultParagraphFont"/>
    <w:uiPriority w:val="99"/>
    <w:semiHidden/>
    <w:unhideWhenUsed/>
    <w:rsid w:val="0082081A"/>
    <w:rPr>
      <w:sz w:val="16"/>
      <w:szCs w:val="16"/>
    </w:rPr>
  </w:style>
  <w:style w:type="paragraph" w:styleId="CommentText">
    <w:name w:val="annotation text"/>
    <w:basedOn w:val="Normal"/>
    <w:link w:val="CommentTextChar"/>
    <w:uiPriority w:val="99"/>
    <w:semiHidden/>
    <w:unhideWhenUsed/>
    <w:rsid w:val="0082081A"/>
    <w:rPr>
      <w:sz w:val="48"/>
    </w:rPr>
  </w:style>
  <w:style w:type="character" w:customStyle="1" w:styleId="CommentTextChar">
    <w:name w:val="Comment Text Char"/>
    <w:basedOn w:val="DefaultParagraphFont"/>
    <w:link w:val="CommentText"/>
    <w:uiPriority w:val="99"/>
    <w:semiHidden/>
    <w:rsid w:val="0082081A"/>
    <w:rPr>
      <w:rFonts w:ascii="Segoe UI" w:hAnsi="Segoe UI"/>
      <w:sz w:val="48"/>
      <w:lang w:eastAsia="en-GB"/>
    </w:rPr>
  </w:style>
  <w:style w:type="paragraph" w:styleId="CommentSubject">
    <w:name w:val="annotation subject"/>
    <w:basedOn w:val="CommentText"/>
    <w:next w:val="CommentText"/>
    <w:link w:val="CommentSubjectChar"/>
    <w:semiHidden/>
    <w:unhideWhenUsed/>
    <w:rsid w:val="0082081A"/>
    <w:rPr>
      <w:b/>
      <w:bCs/>
    </w:rPr>
  </w:style>
  <w:style w:type="character" w:customStyle="1" w:styleId="CommentSubjectChar">
    <w:name w:val="Comment Subject Char"/>
    <w:basedOn w:val="CommentTextChar"/>
    <w:link w:val="CommentSubject"/>
    <w:semiHidden/>
    <w:rsid w:val="0082081A"/>
    <w:rPr>
      <w:rFonts w:ascii="Segoe UI" w:hAnsi="Segoe UI"/>
      <w:b/>
      <w:bCs/>
      <w:sz w:val="48"/>
      <w:lang w:eastAsia="en-GB"/>
    </w:rPr>
  </w:style>
  <w:style w:type="table" w:styleId="TableGrid">
    <w:name w:val="Table Grid"/>
    <w:basedOn w:val="TableNormal"/>
    <w:uiPriority w:val="39"/>
    <w:rsid w:val="003D59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Heading1">
    <w:name w:val="Appendix Heading 1"/>
    <w:basedOn w:val="Heading1"/>
    <w:next w:val="Normal"/>
    <w:qFormat/>
    <w:rsid w:val="009220F3"/>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footer" Target="footer4.xml"/><Relationship Id="rId26" Type="http://schemas.openxmlformats.org/officeDocument/2006/relationships/hyperlink" Target="http://www.afro.who.int/health-topics/communicable-diseases" TargetMode="External"/><Relationship Id="rId3" Type="http://schemas.openxmlformats.org/officeDocument/2006/relationships/styles" Target="styles.xml"/><Relationship Id="rId21" Type="http://schemas.openxmlformats.org/officeDocument/2006/relationships/hyperlink" Target="https://www.health.govt.nz/our-work/populations/maori-health/te-tiriti-o-waitangi" TargetMode="External"/><Relationship Id="rId7" Type="http://schemas.openxmlformats.org/officeDocument/2006/relationships/endnotes" Target="endnotes.xml"/><Relationship Id="rId12" Type="http://schemas.openxmlformats.org/officeDocument/2006/relationships/hyperlink" Target="http://www.health.govt.nz" TargetMode="External"/><Relationship Id="rId17" Type="http://schemas.openxmlformats.org/officeDocument/2006/relationships/header" Target="header3.xml"/><Relationship Id="rId25" Type="http://schemas.openxmlformats.org/officeDocument/2006/relationships/hyperlink" Target="http://www.health.govt.nz/our-work/populations/maori-health/he-korowai-oranga"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image" Target="media/image8.JPG"/><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www.ipcc.ch/report/ar6/wg1/"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www.ehinz.ac.nz/indicators/population-vulnerability/urbanrural-profile/" TargetMode="External"/><Relationship Id="rId28" Type="http://schemas.openxmlformats.org/officeDocument/2006/relationships/hyperlink" Target="https://cdn.who.int/media/docs/default-source/climate-change/fast-facts-on-climate-and-health.pdf?sfvrsn=157ecd81_5&amp;download=true" TargetMode="External"/><Relationship Id="rId10" Type="http://schemas.openxmlformats.org/officeDocument/2006/relationships/footer" Target="footer1.xml"/><Relationship Id="rId19" Type="http://schemas.openxmlformats.org/officeDocument/2006/relationships/footer" Target="footer5.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image" Target="media/image9.jpg"/><Relationship Id="rId27" Type="http://schemas.openxmlformats.org/officeDocument/2006/relationships/hyperlink" Target="http://www.who.int/data/gho/indicator-metadata-registry/imr-details/158" TargetMode="External"/><Relationship Id="rId30" Type="http://schemas.openxmlformats.org/officeDocument/2006/relationships/footer" Target="footer7.xml"/></Relationships>
</file>

<file path=word/_rels/footer1.xml.rels><?xml version="1.0" encoding="UTF-8" standalone="yes"?>
<Relationships xmlns="http://schemas.openxmlformats.org/package/2006/relationships"><Relationship Id="rId1" Type="http://schemas.openxmlformats.org/officeDocument/2006/relationships/hyperlink" Target="http://www.health.govt.nz" TargetMode="External"/></Relationships>
</file>

<file path=word/_rels/footer4.xml.rels><?xml version="1.0" encoding="UTF-8" standalone="yes"?>
<Relationships xmlns="http://schemas.openxmlformats.org/package/2006/relationships"><Relationship Id="rId1" Type="http://schemas.openxmlformats.org/officeDocument/2006/relationships/image" Target="media/image6.png"/></Relationships>
</file>

<file path=word/_rels/footer5.xml.rels><?xml version="1.0" encoding="UTF-8" standalone="yes"?>
<Relationships xmlns="http://schemas.openxmlformats.org/package/2006/relationships"><Relationship Id="rId1" Type="http://schemas.openxmlformats.org/officeDocument/2006/relationships/image" Target="media/image7.png"/></Relationships>
</file>

<file path=word/_rels/footer6.xml.rels><?xml version="1.0" encoding="UTF-8" standalone="yes"?>
<Relationships xmlns="http://schemas.openxmlformats.org/package/2006/relationships"><Relationship Id="rId1" Type="http://schemas.openxmlformats.org/officeDocument/2006/relationships/image" Target="media/image7.png"/></Relationships>
</file>

<file path=word/_rels/footer7.xml.rels><?xml version="1.0" encoding="UTF-8" standalone="yes"?>
<Relationships xmlns="http://schemas.openxmlformats.org/package/2006/relationships"><Relationship Id="rId1" Type="http://schemas.openxmlformats.org/officeDocument/2006/relationships/image" Target="media/image7.png"/></Relationships>
</file>

<file path=word/_rels/footnotes.xml.rels><?xml version="1.0" encoding="UTF-8" standalone="yes"?>
<Relationships xmlns="http://schemas.openxmlformats.org/package/2006/relationships"><Relationship Id="rId3" Type="http://schemas.openxmlformats.org/officeDocument/2006/relationships/hyperlink" Target="https://www.health.govt.nz/our-work/populations/maori-health/te-tiriti-o-waitangi" TargetMode="External"/><Relationship Id="rId2" Type="http://schemas.openxmlformats.org/officeDocument/2006/relationships/hyperlink" Target="https://www.health.govt.nz/our-work/populations/maori-health/he-korowai-oranga/pae-ora-healthy-futures" TargetMode="External"/><Relationship Id="rId1" Type="http://schemas.openxmlformats.org/officeDocument/2006/relationships/hyperlink" Target="https://www.health.govt.nz/our-work/environmental-health/built-environment/urban-development" TargetMode="External"/><Relationship Id="rId6" Type="http://schemas.openxmlformats.org/officeDocument/2006/relationships/hyperlink" Target="https://www.health.govt.nz/our-work/populations/maori-health/he-korowai-oranga/key-threads/equity" TargetMode="External"/><Relationship Id="rId5" Type="http://schemas.openxmlformats.org/officeDocument/2006/relationships/hyperlink" Target="https://www.un.org/development/desa/disabilities/convention-on-the-rights-of-persons-with-disabilities/article-9-accessibility.html" TargetMode="External"/><Relationship Id="rId4" Type="http://schemas.openxmlformats.org/officeDocument/2006/relationships/hyperlink" Target="https://www.health.govt.nz/our-work/populations/maori-health/te-tiriti-o-waitangi"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ne\Application%20Data\Microsoft\Templates\Health\2012%20Report%20Sans%20Serif%20Body.dot" TargetMode="External"/></Relationships>
</file>

<file path=word/theme/theme1.xml><?xml version="1.0" encoding="utf-8"?>
<a:theme xmlns:a="http://schemas.openxmlformats.org/drawingml/2006/main" name="Office Theme">
  <a:themeElements>
    <a:clrScheme name="PHA">
      <a:dk1>
        <a:srgbClr val="1B83A0"/>
      </a:dk1>
      <a:lt1>
        <a:srgbClr val="4BAFB0"/>
      </a:lt1>
      <a:dk2>
        <a:srgbClr val="23305D"/>
      </a:dk2>
      <a:lt2>
        <a:srgbClr val="1F806A"/>
      </a:lt2>
      <a:accent1>
        <a:srgbClr val="ED6C77"/>
      </a:accent1>
      <a:accent2>
        <a:srgbClr val="181F1B"/>
      </a:accent2>
      <a:accent3>
        <a:srgbClr val="00A870"/>
      </a:accent3>
      <a:accent4>
        <a:srgbClr val="F7D345"/>
      </a:accent4>
      <a:accent5>
        <a:srgbClr val="E9D1C0"/>
      </a:accent5>
      <a:accent6>
        <a:srgbClr val="1B83A0"/>
      </a:accent6>
      <a:hlink>
        <a:srgbClr val="595959"/>
      </a:hlink>
      <a:folHlink>
        <a:srgbClr val="59595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665FB5-5398-4C4F-A7F0-3ECD51C2C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2012 Report Sans Serif Body</Template>
  <TotalTime>4</TotalTime>
  <Pages>20</Pages>
  <Words>4014</Words>
  <Characters>22885</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Principles for Healthy Urban Development</vt:lpstr>
    </vt:vector>
  </TitlesOfParts>
  <Company>Microsoft</Company>
  <LinksUpToDate>false</LinksUpToDate>
  <CharactersWithSpaces>26846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Principles for Healthy Urban Development</dc:title>
  <dc:creator>Public Health Agency</dc:creator>
  <cp:lastModifiedBy>Ministry of Health</cp:lastModifiedBy>
  <cp:revision>4</cp:revision>
  <cp:lastPrinted>2015-11-17T05:02:00Z</cp:lastPrinted>
  <dcterms:created xsi:type="dcterms:W3CDTF">2022-09-01T02:07:00Z</dcterms:created>
  <dcterms:modified xsi:type="dcterms:W3CDTF">2022-09-01T02:10:00Z</dcterms:modified>
</cp:coreProperties>
</file>