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96BB7" w14:textId="77777777" w:rsidR="00C05132" w:rsidRDefault="00C05132" w:rsidP="00C05132"/>
    <w:p w14:paraId="11455161" w14:textId="0C5EA74E" w:rsidR="00C86248" w:rsidRPr="00926083" w:rsidRDefault="00C7746E" w:rsidP="00926083">
      <w:pPr>
        <w:pStyle w:val="Title"/>
      </w:pPr>
      <w:r w:rsidRPr="00C7746E">
        <w:t>Health and Independence Report 2021</w:t>
      </w:r>
    </w:p>
    <w:p w14:paraId="2B4FAC6A" w14:textId="225D19F8" w:rsidR="00C05132" w:rsidRDefault="00C7746E" w:rsidP="00C7746E">
      <w:pPr>
        <w:pStyle w:val="Subhead"/>
      </w:pPr>
      <w:r>
        <w:t xml:space="preserve">The Director-General of Health’s annual report on the </w:t>
      </w:r>
      <w:r>
        <w:br/>
        <w:t>state of public health</w:t>
      </w:r>
    </w:p>
    <w:p w14:paraId="2A961E80" w14:textId="75B7993E" w:rsidR="00531E12" w:rsidRPr="00531E12" w:rsidRDefault="00C7746E" w:rsidP="00531E12">
      <w:pPr>
        <w:pStyle w:val="Year"/>
      </w:pPr>
      <w:r>
        <w:t>2021</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1"/>
          <w:footerReference w:type="default" r:id="rId12"/>
          <w:pgSz w:w="11907" w:h="16834" w:code="9"/>
          <w:pgMar w:top="5670" w:right="1134" w:bottom="1134" w:left="1134" w:header="567" w:footer="851" w:gutter="0"/>
          <w:pgNumType w:start="1"/>
          <w:cols w:space="720"/>
        </w:sectPr>
      </w:pPr>
    </w:p>
    <w:p w14:paraId="32A4C763" w14:textId="77777777" w:rsidR="009A42D5" w:rsidRPr="00A63DFF" w:rsidRDefault="009A42D5" w:rsidP="00C05132">
      <w:pPr>
        <w:rPr>
          <w:rFonts w:asciiTheme="minorHAnsi" w:hAnsiTheme="minorHAnsi" w:cstheme="minorHAnsi"/>
          <w:b/>
          <w:spacing w:val="10"/>
          <w:sz w:val="36"/>
          <w:szCs w:val="36"/>
        </w:rPr>
      </w:pPr>
      <w:r w:rsidRPr="00A63DFF">
        <w:rPr>
          <w:rFonts w:asciiTheme="minorHAnsi" w:hAnsiTheme="minorHAnsi" w:cstheme="minorHAnsi"/>
          <w:b/>
          <w:spacing w:val="10"/>
          <w:sz w:val="36"/>
          <w:szCs w:val="36"/>
        </w:rPr>
        <w:lastRenderedPageBreak/>
        <w:t>Acknowledgements</w:t>
      </w:r>
    </w:p>
    <w:p w14:paraId="627255FB" w14:textId="77777777" w:rsidR="004F4F8E" w:rsidRPr="004F4F8E" w:rsidRDefault="004F4F8E" w:rsidP="004F4F8E">
      <w:pPr>
        <w:spacing w:before="120"/>
        <w:rPr>
          <w:rFonts w:cs="Segoe UI"/>
          <w:sz w:val="20"/>
        </w:rPr>
      </w:pPr>
      <w:r w:rsidRPr="004F4F8E">
        <w:rPr>
          <w:rFonts w:cs="Segoe UI"/>
          <w:sz w:val="20"/>
        </w:rPr>
        <w:t>This report was prepared by the Evidence, Research and Innovation directorate, Ministry of Health.</w:t>
      </w:r>
    </w:p>
    <w:p w14:paraId="56FB57F6" w14:textId="57595C98" w:rsidR="004F4F8E" w:rsidRPr="00C05132" w:rsidRDefault="004F4F8E" w:rsidP="004F4F8E">
      <w:pPr>
        <w:spacing w:before="120"/>
        <w:rPr>
          <w:rFonts w:cs="Segoe UI"/>
          <w:sz w:val="20"/>
        </w:rPr>
      </w:pPr>
      <w:r w:rsidRPr="004F4F8E">
        <w:rPr>
          <w:rFonts w:cs="Segoe UI"/>
          <w:sz w:val="20"/>
        </w:rPr>
        <w:t>The authors would like to thank the content providers, peer reviewers and others who contributed to the production of this report.</w:t>
      </w:r>
    </w:p>
    <w:p w14:paraId="358CE3BA" w14:textId="16924742"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C7746E">
        <w:rPr>
          <w:rFonts w:cs="Segoe UI"/>
        </w:rPr>
        <w:t>2022</w:t>
      </w:r>
      <w:r w:rsidR="00442C1C" w:rsidRPr="00C05132">
        <w:rPr>
          <w:rFonts w:cs="Segoe UI"/>
        </w:rPr>
        <w:t xml:space="preserve">. </w:t>
      </w:r>
      <w:r w:rsidR="00C7746E" w:rsidRPr="00C7746E">
        <w:rPr>
          <w:rFonts w:cs="Segoe UI"/>
          <w:i/>
        </w:rPr>
        <w:t>Health and Independence Report 2021: The Director-General of Health’s Annual Report on the State of Public Health.</w:t>
      </w:r>
      <w:r w:rsidR="00442C1C" w:rsidRPr="00C05132">
        <w:rPr>
          <w:rFonts w:cs="Segoe UI"/>
        </w:rPr>
        <w:t xml:space="preserve"> Wellington: Ministry of Health.</w:t>
      </w:r>
    </w:p>
    <w:p w14:paraId="7909192E" w14:textId="0F9CBC2D" w:rsidR="00C86248" w:rsidRDefault="00C86248">
      <w:pPr>
        <w:pStyle w:val="Imprint"/>
      </w:pPr>
      <w:r>
        <w:t xml:space="preserve">Published in </w:t>
      </w:r>
      <w:r w:rsidR="00C27D67">
        <w:t>November</w:t>
      </w:r>
      <w:r w:rsidR="009A42D5">
        <w:t xml:space="preserve"> </w:t>
      </w:r>
      <w:r w:rsidR="00C7746E">
        <w:t xml:space="preserve">2022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253FEC41" w:rsidR="00082CD6" w:rsidRPr="009C0F2D" w:rsidRDefault="00D863D0" w:rsidP="00082CD6">
      <w:pPr>
        <w:pStyle w:val="Imprint"/>
      </w:pPr>
      <w:r w:rsidRPr="00C27D67">
        <w:t>ISBN</w:t>
      </w:r>
      <w:r w:rsidR="00442C1C" w:rsidRPr="00C27D67">
        <w:t xml:space="preserve"> </w:t>
      </w:r>
      <w:r w:rsidR="009A3711" w:rsidRPr="009A3711">
        <w:t>978-1-99-110090-0</w:t>
      </w:r>
      <w:r w:rsidR="009A42D5" w:rsidRPr="00C27D67">
        <w:t xml:space="preserve"> (print)</w:t>
      </w:r>
      <w:r w:rsidR="009A42D5" w:rsidRPr="00C27D67">
        <w:br/>
        <w:t xml:space="preserve">ISBN </w:t>
      </w:r>
      <w:r w:rsidR="00D27A7A" w:rsidRPr="00D27A7A">
        <w:t>978-1-99-110091-7</w:t>
      </w:r>
      <w:r w:rsidR="009A42D5" w:rsidRPr="00C27D67">
        <w:t xml:space="preserve"> </w:t>
      </w:r>
      <w:r w:rsidRPr="00C27D67">
        <w:t>(</w:t>
      </w:r>
      <w:r w:rsidR="00442C1C" w:rsidRPr="00C27D67">
        <w:t>online</w:t>
      </w:r>
      <w:r w:rsidRPr="00C27D67">
        <w:t>)</w:t>
      </w:r>
      <w:r w:rsidR="00082CD6" w:rsidRPr="00C27D67">
        <w:br/>
        <w:t xml:space="preserve">HP </w:t>
      </w:r>
      <w:r w:rsidR="00AA63C2">
        <w:t>8641</w:t>
      </w:r>
    </w:p>
    <w:p w14:paraId="48DBDA36" w14:textId="77777777" w:rsidR="00C86248" w:rsidRDefault="008C64C4" w:rsidP="00A63DFF">
      <w:r>
        <w:rPr>
          <w:noProof/>
          <w:lang w:eastAsia="en-NZ"/>
        </w:rPr>
        <w:drawing>
          <wp:inline distT="0" distB="0" distL="0" distR="0" wp14:anchorId="6EF4539D" wp14:editId="3EFE3C0B">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5"/>
          <w:footerReference w:type="default" r:id="rId16"/>
          <w:pgSz w:w="11907" w:h="16834" w:code="9"/>
          <w:pgMar w:top="1701" w:right="2268" w:bottom="1134" w:left="2268" w:header="0" w:footer="0" w:gutter="0"/>
          <w:cols w:space="720"/>
          <w:vAlign w:val="bottom"/>
        </w:sectPr>
      </w:pPr>
    </w:p>
    <w:p w14:paraId="0F8774BA" w14:textId="1D4FDAD2" w:rsidR="00032C0A" w:rsidRPr="00C7746E" w:rsidRDefault="008E3A07" w:rsidP="00C7746E">
      <w:pPr>
        <w:pStyle w:val="Heading1"/>
        <w:spacing w:before="0"/>
      </w:pPr>
      <w:bookmarkStart w:id="1" w:name="_Toc405792991"/>
      <w:bookmarkStart w:id="2" w:name="_Toc405793224"/>
      <w:bookmarkStart w:id="3" w:name="_Toc119312982"/>
      <w:r w:rsidRPr="00C7746E">
        <w:lastRenderedPageBreak/>
        <w:t>Foreword</w:t>
      </w:r>
      <w:r w:rsidR="00C7746E" w:rsidRPr="00C7746E">
        <w:t xml:space="preserve"> | Wāhinga kōrero</w:t>
      </w:r>
      <w:bookmarkEnd w:id="3"/>
    </w:p>
    <w:p w14:paraId="2345918F" w14:textId="77777777" w:rsidR="004F4F8E" w:rsidRDefault="004F4F8E" w:rsidP="004F4F8E"/>
    <w:p w14:paraId="34EF5F1E" w14:textId="3C04E803" w:rsidR="004F4F8E" w:rsidRPr="00344776" w:rsidRDefault="004F4F8E" w:rsidP="004F4F8E">
      <w:r w:rsidRPr="00344776">
        <w:t>Tēnā koutou katoa</w:t>
      </w:r>
    </w:p>
    <w:p w14:paraId="5E20D97D" w14:textId="77777777" w:rsidR="004F4F8E" w:rsidRPr="00344776" w:rsidRDefault="004F4F8E" w:rsidP="004F4F8E"/>
    <w:p w14:paraId="2D447737" w14:textId="77777777" w:rsidR="004F4F8E" w:rsidRPr="00344776" w:rsidRDefault="004F4F8E" w:rsidP="004F4F8E">
      <w:bookmarkStart w:id="4" w:name="_Hlk83623440"/>
      <w:r w:rsidRPr="00344776">
        <w:t xml:space="preserve">I am pleased to present the </w:t>
      </w:r>
      <w:r w:rsidRPr="00344776">
        <w:rPr>
          <w:i/>
          <w:iCs/>
        </w:rPr>
        <w:t>Health and Independence Report 2021</w:t>
      </w:r>
      <w:r w:rsidRPr="00344776">
        <w:t>. This report provides an overview of the state of public health in Aotearoa New Zealand for the calendar year 2021.</w:t>
      </w:r>
    </w:p>
    <w:p w14:paraId="369E348D" w14:textId="77777777" w:rsidR="004F4F8E" w:rsidRPr="00344776" w:rsidRDefault="004F4F8E" w:rsidP="004F4F8E"/>
    <w:p w14:paraId="6E52C835" w14:textId="77777777" w:rsidR="004F4F8E" w:rsidRPr="00344776" w:rsidRDefault="004F4F8E" w:rsidP="004F4F8E">
      <w:r w:rsidRPr="00344776">
        <w:t>There are positive results to relay in this Health and Independence report</w:t>
      </w:r>
      <w:r>
        <w:t>;</w:t>
      </w:r>
      <w:r w:rsidRPr="00344776">
        <w:t xml:space="preserve"> however, people and communities throughout Aotearoa New Zealand continue to experience differences in health that are unfair and unjust. For many of the health measures covered in this document, poorer outcomes are reported for Māori, Pacific peoples, disabled people and those living in high</w:t>
      </w:r>
      <w:r>
        <w:t>-</w:t>
      </w:r>
      <w:r w:rsidRPr="00344776">
        <w:t>deprivation areas.</w:t>
      </w:r>
    </w:p>
    <w:p w14:paraId="78D781ED" w14:textId="77777777" w:rsidR="004F4F8E" w:rsidRPr="00344776" w:rsidRDefault="004F4F8E" w:rsidP="004F4F8E"/>
    <w:p w14:paraId="7EA057DB" w14:textId="77777777" w:rsidR="004F4F8E" w:rsidRPr="00344776" w:rsidRDefault="004F4F8E" w:rsidP="004F4F8E">
      <w:r w:rsidRPr="00344776">
        <w:t>The report provides a detailed COVID-19 section giving an overview of the pandemic response, vaccination programme, testing and COVID-19 case demographics for the 2021 calendar year.</w:t>
      </w:r>
    </w:p>
    <w:p w14:paraId="68576903" w14:textId="77777777" w:rsidR="004F4F8E" w:rsidRPr="00344776" w:rsidRDefault="004F4F8E" w:rsidP="004F4F8E"/>
    <w:p w14:paraId="7C648D0D" w14:textId="77777777" w:rsidR="004F4F8E" w:rsidRPr="00344776" w:rsidRDefault="004F4F8E" w:rsidP="004F4F8E">
      <w:r w:rsidRPr="00344776">
        <w:t>I trust that the report will be useful for all those working to improve the health and wellbeing of people living in Aotearoa.</w:t>
      </w:r>
    </w:p>
    <w:bookmarkEnd w:id="4"/>
    <w:p w14:paraId="38841A51" w14:textId="77777777" w:rsidR="004F4F8E" w:rsidRPr="00344776" w:rsidRDefault="004F4F8E" w:rsidP="004F4F8E"/>
    <w:p w14:paraId="3EF27329" w14:textId="77777777" w:rsidR="004F4F8E" w:rsidRPr="00344776" w:rsidRDefault="004F4F8E" w:rsidP="004F4F8E">
      <w:r w:rsidRPr="00344776">
        <w:t>Ngā mihi</w:t>
      </w:r>
    </w:p>
    <w:p w14:paraId="7638CEA6" w14:textId="77777777" w:rsidR="004F4F8E" w:rsidRPr="00344776" w:rsidRDefault="004F4F8E" w:rsidP="004F4F8E"/>
    <w:p w14:paraId="7C5C9F93" w14:textId="77777777" w:rsidR="004F4F8E" w:rsidRPr="00344776" w:rsidRDefault="004F4F8E" w:rsidP="004F4F8E">
      <w:r w:rsidRPr="00344776">
        <w:t>Dr Di Sarfati</w:t>
      </w:r>
    </w:p>
    <w:p w14:paraId="0862D28D" w14:textId="77777777" w:rsidR="004F4F8E" w:rsidRPr="00344776" w:rsidRDefault="004F4F8E" w:rsidP="004F4F8E">
      <w:r w:rsidRPr="00344776">
        <w:t>Director-General of Health</w:t>
      </w:r>
    </w:p>
    <w:p w14:paraId="5558ECEF" w14:textId="77777777" w:rsidR="00571223" w:rsidRDefault="00571223" w:rsidP="0046362D">
      <w:pPr>
        <w:sectPr w:rsidR="00571223" w:rsidSect="001D3E4E">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4F867BCB" w14:textId="77777777" w:rsidR="00032C0A" w:rsidRDefault="00032C0A" w:rsidP="0046362D"/>
    <w:p w14:paraId="648D4F84" w14:textId="4F5ECDB5" w:rsidR="00C86248" w:rsidRDefault="00C86248" w:rsidP="00025A6F">
      <w:pPr>
        <w:pStyle w:val="IntroHead"/>
      </w:pPr>
      <w:r>
        <w:t>Contents</w:t>
      </w:r>
      <w:bookmarkEnd w:id="1"/>
      <w:bookmarkEnd w:id="2"/>
      <w:r w:rsidR="004F4F8E">
        <w:t xml:space="preserve"> </w:t>
      </w:r>
      <w:r w:rsidR="004F4F8E" w:rsidRPr="004F4F8E">
        <w:t>| Ngā Ihirangi</w:t>
      </w:r>
    </w:p>
    <w:p w14:paraId="3501D834" w14:textId="5201468B" w:rsidR="00551406" w:rsidRDefault="00551406">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19312982" w:history="1">
        <w:r w:rsidRPr="009B240C">
          <w:rPr>
            <w:rStyle w:val="Hyperlink"/>
            <w:noProof/>
          </w:rPr>
          <w:t>Foreword | Wāhinga kōrero</w:t>
        </w:r>
        <w:r>
          <w:rPr>
            <w:noProof/>
            <w:webHidden/>
          </w:rPr>
          <w:tab/>
        </w:r>
        <w:r>
          <w:rPr>
            <w:noProof/>
            <w:webHidden/>
          </w:rPr>
          <w:fldChar w:fldCharType="begin"/>
        </w:r>
        <w:r>
          <w:rPr>
            <w:noProof/>
            <w:webHidden/>
          </w:rPr>
          <w:instrText xml:space="preserve"> PAGEREF _Toc119312982 \h </w:instrText>
        </w:r>
        <w:r>
          <w:rPr>
            <w:noProof/>
            <w:webHidden/>
          </w:rPr>
        </w:r>
        <w:r>
          <w:rPr>
            <w:noProof/>
            <w:webHidden/>
          </w:rPr>
          <w:fldChar w:fldCharType="separate"/>
        </w:r>
        <w:r>
          <w:rPr>
            <w:noProof/>
            <w:webHidden/>
          </w:rPr>
          <w:t>iii</w:t>
        </w:r>
        <w:r>
          <w:rPr>
            <w:noProof/>
            <w:webHidden/>
          </w:rPr>
          <w:fldChar w:fldCharType="end"/>
        </w:r>
      </w:hyperlink>
    </w:p>
    <w:p w14:paraId="22D0190F" w14:textId="6843D291" w:rsidR="00551406" w:rsidRDefault="00551406">
      <w:pPr>
        <w:pStyle w:val="TOC1"/>
        <w:rPr>
          <w:rFonts w:asciiTheme="minorHAnsi" w:eastAsiaTheme="minorEastAsia" w:hAnsiTheme="minorHAnsi" w:cstheme="minorBidi"/>
          <w:noProof/>
          <w:sz w:val="22"/>
          <w:szCs w:val="22"/>
          <w:lang w:eastAsia="en-NZ"/>
        </w:rPr>
      </w:pPr>
      <w:hyperlink w:anchor="_Toc119312983" w:history="1">
        <w:r w:rsidRPr="009B240C">
          <w:rPr>
            <w:rStyle w:val="Hyperlink"/>
            <w:noProof/>
          </w:rPr>
          <w:t>Executive summary | Whakarāpopototanga matua</w:t>
        </w:r>
        <w:r>
          <w:rPr>
            <w:noProof/>
            <w:webHidden/>
          </w:rPr>
          <w:tab/>
        </w:r>
        <w:r>
          <w:rPr>
            <w:noProof/>
            <w:webHidden/>
          </w:rPr>
          <w:fldChar w:fldCharType="begin"/>
        </w:r>
        <w:r>
          <w:rPr>
            <w:noProof/>
            <w:webHidden/>
          </w:rPr>
          <w:instrText xml:space="preserve"> PAGEREF _Toc119312983 \h </w:instrText>
        </w:r>
        <w:r>
          <w:rPr>
            <w:noProof/>
            <w:webHidden/>
          </w:rPr>
        </w:r>
        <w:r>
          <w:rPr>
            <w:noProof/>
            <w:webHidden/>
          </w:rPr>
          <w:fldChar w:fldCharType="separate"/>
        </w:r>
        <w:r>
          <w:rPr>
            <w:noProof/>
            <w:webHidden/>
          </w:rPr>
          <w:t>1</w:t>
        </w:r>
        <w:r>
          <w:rPr>
            <w:noProof/>
            <w:webHidden/>
          </w:rPr>
          <w:fldChar w:fldCharType="end"/>
        </w:r>
      </w:hyperlink>
    </w:p>
    <w:p w14:paraId="245E29F2" w14:textId="5C11E498" w:rsidR="00551406" w:rsidRDefault="00551406">
      <w:pPr>
        <w:pStyle w:val="TOC1"/>
        <w:rPr>
          <w:rFonts w:asciiTheme="minorHAnsi" w:eastAsiaTheme="minorEastAsia" w:hAnsiTheme="minorHAnsi" w:cstheme="minorBidi"/>
          <w:noProof/>
          <w:sz w:val="22"/>
          <w:szCs w:val="22"/>
          <w:lang w:eastAsia="en-NZ"/>
        </w:rPr>
      </w:pPr>
      <w:hyperlink w:anchor="_Toc119312984" w:history="1">
        <w:r w:rsidRPr="009B240C">
          <w:rPr>
            <w:rStyle w:val="Hyperlink"/>
            <w:noProof/>
            <w:w w:val="105"/>
          </w:rPr>
          <w:t>People of Aotearoa | Ngā tāngata o Aotearoa</w:t>
        </w:r>
        <w:r>
          <w:rPr>
            <w:noProof/>
            <w:webHidden/>
          </w:rPr>
          <w:tab/>
        </w:r>
        <w:r>
          <w:rPr>
            <w:noProof/>
            <w:webHidden/>
          </w:rPr>
          <w:fldChar w:fldCharType="begin"/>
        </w:r>
        <w:r>
          <w:rPr>
            <w:noProof/>
            <w:webHidden/>
          </w:rPr>
          <w:instrText xml:space="preserve"> PAGEREF _Toc119312984 \h </w:instrText>
        </w:r>
        <w:r>
          <w:rPr>
            <w:noProof/>
            <w:webHidden/>
          </w:rPr>
        </w:r>
        <w:r>
          <w:rPr>
            <w:noProof/>
            <w:webHidden/>
          </w:rPr>
          <w:fldChar w:fldCharType="separate"/>
        </w:r>
        <w:r>
          <w:rPr>
            <w:noProof/>
            <w:webHidden/>
          </w:rPr>
          <w:t>5</w:t>
        </w:r>
        <w:r>
          <w:rPr>
            <w:noProof/>
            <w:webHidden/>
          </w:rPr>
          <w:fldChar w:fldCharType="end"/>
        </w:r>
      </w:hyperlink>
    </w:p>
    <w:p w14:paraId="4B7BE60E" w14:textId="62C47785" w:rsidR="00551406" w:rsidRDefault="00551406">
      <w:pPr>
        <w:pStyle w:val="TOC2"/>
        <w:rPr>
          <w:rFonts w:asciiTheme="minorHAnsi" w:eastAsiaTheme="minorEastAsia" w:hAnsiTheme="minorHAnsi" w:cstheme="minorBidi"/>
          <w:noProof/>
          <w:szCs w:val="22"/>
          <w:lang w:eastAsia="en-NZ"/>
        </w:rPr>
      </w:pPr>
      <w:hyperlink w:anchor="_Toc119312985" w:history="1">
        <w:r w:rsidRPr="009B240C">
          <w:rPr>
            <w:rStyle w:val="Hyperlink"/>
            <w:noProof/>
          </w:rPr>
          <w:t>Population overview</w:t>
        </w:r>
        <w:r>
          <w:rPr>
            <w:noProof/>
            <w:webHidden/>
          </w:rPr>
          <w:tab/>
        </w:r>
        <w:r>
          <w:rPr>
            <w:noProof/>
            <w:webHidden/>
          </w:rPr>
          <w:fldChar w:fldCharType="begin"/>
        </w:r>
        <w:r>
          <w:rPr>
            <w:noProof/>
            <w:webHidden/>
          </w:rPr>
          <w:instrText xml:space="preserve"> PAGEREF _Toc119312985 \h </w:instrText>
        </w:r>
        <w:r>
          <w:rPr>
            <w:noProof/>
            <w:webHidden/>
          </w:rPr>
        </w:r>
        <w:r>
          <w:rPr>
            <w:noProof/>
            <w:webHidden/>
          </w:rPr>
          <w:fldChar w:fldCharType="separate"/>
        </w:r>
        <w:r>
          <w:rPr>
            <w:noProof/>
            <w:webHidden/>
          </w:rPr>
          <w:t>5</w:t>
        </w:r>
        <w:r>
          <w:rPr>
            <w:noProof/>
            <w:webHidden/>
          </w:rPr>
          <w:fldChar w:fldCharType="end"/>
        </w:r>
      </w:hyperlink>
    </w:p>
    <w:p w14:paraId="6B358951" w14:textId="01EE146B" w:rsidR="00551406" w:rsidRDefault="00551406">
      <w:pPr>
        <w:pStyle w:val="TOC2"/>
        <w:rPr>
          <w:rFonts w:asciiTheme="minorHAnsi" w:eastAsiaTheme="minorEastAsia" w:hAnsiTheme="minorHAnsi" w:cstheme="minorBidi"/>
          <w:noProof/>
          <w:szCs w:val="22"/>
          <w:lang w:eastAsia="en-NZ"/>
        </w:rPr>
      </w:pPr>
      <w:hyperlink w:anchor="_Toc119312986" w:history="1">
        <w:r w:rsidRPr="009B240C">
          <w:rPr>
            <w:rStyle w:val="Hyperlink"/>
            <w:noProof/>
          </w:rPr>
          <w:t>Factors contributing to health loss</w:t>
        </w:r>
        <w:r>
          <w:rPr>
            <w:noProof/>
            <w:webHidden/>
          </w:rPr>
          <w:tab/>
        </w:r>
        <w:r>
          <w:rPr>
            <w:noProof/>
            <w:webHidden/>
          </w:rPr>
          <w:fldChar w:fldCharType="begin"/>
        </w:r>
        <w:r>
          <w:rPr>
            <w:noProof/>
            <w:webHidden/>
          </w:rPr>
          <w:instrText xml:space="preserve"> PAGEREF _Toc119312986 \h </w:instrText>
        </w:r>
        <w:r>
          <w:rPr>
            <w:noProof/>
            <w:webHidden/>
          </w:rPr>
        </w:r>
        <w:r>
          <w:rPr>
            <w:noProof/>
            <w:webHidden/>
          </w:rPr>
          <w:fldChar w:fldCharType="separate"/>
        </w:r>
        <w:r>
          <w:rPr>
            <w:noProof/>
            <w:webHidden/>
          </w:rPr>
          <w:t>13</w:t>
        </w:r>
        <w:r>
          <w:rPr>
            <w:noProof/>
            <w:webHidden/>
          </w:rPr>
          <w:fldChar w:fldCharType="end"/>
        </w:r>
      </w:hyperlink>
    </w:p>
    <w:p w14:paraId="7FE1C748" w14:textId="1B50A2DE" w:rsidR="00551406" w:rsidRDefault="00551406">
      <w:pPr>
        <w:pStyle w:val="TOC1"/>
        <w:rPr>
          <w:rFonts w:asciiTheme="minorHAnsi" w:eastAsiaTheme="minorEastAsia" w:hAnsiTheme="minorHAnsi" w:cstheme="minorBidi"/>
          <w:noProof/>
          <w:sz w:val="22"/>
          <w:szCs w:val="22"/>
          <w:lang w:eastAsia="en-NZ"/>
        </w:rPr>
      </w:pPr>
      <w:hyperlink w:anchor="_Toc119312987" w:history="1">
        <w:r w:rsidRPr="009B240C">
          <w:rPr>
            <w:rStyle w:val="Hyperlink"/>
            <w:noProof/>
          </w:rPr>
          <w:t>Impacts of COVID-19 | Ngā kawekawe o te Mate KOWHEORI-19</w:t>
        </w:r>
        <w:r>
          <w:rPr>
            <w:noProof/>
            <w:webHidden/>
          </w:rPr>
          <w:tab/>
        </w:r>
        <w:r>
          <w:rPr>
            <w:noProof/>
            <w:webHidden/>
          </w:rPr>
          <w:fldChar w:fldCharType="begin"/>
        </w:r>
        <w:r>
          <w:rPr>
            <w:noProof/>
            <w:webHidden/>
          </w:rPr>
          <w:instrText xml:space="preserve"> PAGEREF _Toc119312987 \h </w:instrText>
        </w:r>
        <w:r>
          <w:rPr>
            <w:noProof/>
            <w:webHidden/>
          </w:rPr>
        </w:r>
        <w:r>
          <w:rPr>
            <w:noProof/>
            <w:webHidden/>
          </w:rPr>
          <w:fldChar w:fldCharType="separate"/>
        </w:r>
        <w:r>
          <w:rPr>
            <w:noProof/>
            <w:webHidden/>
          </w:rPr>
          <w:t>21</w:t>
        </w:r>
        <w:r>
          <w:rPr>
            <w:noProof/>
            <w:webHidden/>
          </w:rPr>
          <w:fldChar w:fldCharType="end"/>
        </w:r>
      </w:hyperlink>
    </w:p>
    <w:p w14:paraId="13A713DD" w14:textId="7793C9C5" w:rsidR="00551406" w:rsidRDefault="00551406">
      <w:pPr>
        <w:pStyle w:val="TOC2"/>
        <w:rPr>
          <w:rFonts w:asciiTheme="minorHAnsi" w:eastAsiaTheme="minorEastAsia" w:hAnsiTheme="minorHAnsi" w:cstheme="minorBidi"/>
          <w:noProof/>
          <w:szCs w:val="22"/>
          <w:lang w:eastAsia="en-NZ"/>
        </w:rPr>
      </w:pPr>
      <w:hyperlink w:anchor="_Toc119312988" w:history="1">
        <w:r w:rsidRPr="009B240C">
          <w:rPr>
            <w:rStyle w:val="Hyperlink"/>
            <w:noProof/>
          </w:rPr>
          <w:t>COVID-19</w:t>
        </w:r>
        <w:r>
          <w:rPr>
            <w:noProof/>
            <w:webHidden/>
          </w:rPr>
          <w:tab/>
        </w:r>
        <w:r>
          <w:rPr>
            <w:noProof/>
            <w:webHidden/>
          </w:rPr>
          <w:fldChar w:fldCharType="begin"/>
        </w:r>
        <w:r>
          <w:rPr>
            <w:noProof/>
            <w:webHidden/>
          </w:rPr>
          <w:instrText xml:space="preserve"> PAGEREF _Toc119312988 \h </w:instrText>
        </w:r>
        <w:r>
          <w:rPr>
            <w:noProof/>
            <w:webHidden/>
          </w:rPr>
        </w:r>
        <w:r>
          <w:rPr>
            <w:noProof/>
            <w:webHidden/>
          </w:rPr>
          <w:fldChar w:fldCharType="separate"/>
        </w:r>
        <w:r>
          <w:rPr>
            <w:noProof/>
            <w:webHidden/>
          </w:rPr>
          <w:t>21</w:t>
        </w:r>
        <w:r>
          <w:rPr>
            <w:noProof/>
            <w:webHidden/>
          </w:rPr>
          <w:fldChar w:fldCharType="end"/>
        </w:r>
      </w:hyperlink>
    </w:p>
    <w:p w14:paraId="0BB1BEC2" w14:textId="4B521DCA" w:rsidR="00551406" w:rsidRDefault="00551406">
      <w:pPr>
        <w:pStyle w:val="TOC1"/>
        <w:rPr>
          <w:rFonts w:asciiTheme="minorHAnsi" w:eastAsiaTheme="minorEastAsia" w:hAnsiTheme="minorHAnsi" w:cstheme="minorBidi"/>
          <w:noProof/>
          <w:sz w:val="22"/>
          <w:szCs w:val="22"/>
          <w:lang w:eastAsia="en-NZ"/>
        </w:rPr>
      </w:pPr>
      <w:hyperlink w:anchor="_Toc119312989" w:history="1">
        <w:r w:rsidRPr="009B240C">
          <w:rPr>
            <w:rStyle w:val="Hyperlink"/>
            <w:noProof/>
          </w:rPr>
          <w:t>Health measures | Ngā inenga hauora</w:t>
        </w:r>
        <w:r>
          <w:rPr>
            <w:noProof/>
            <w:webHidden/>
          </w:rPr>
          <w:tab/>
        </w:r>
        <w:r>
          <w:rPr>
            <w:noProof/>
            <w:webHidden/>
          </w:rPr>
          <w:fldChar w:fldCharType="begin"/>
        </w:r>
        <w:r>
          <w:rPr>
            <w:noProof/>
            <w:webHidden/>
          </w:rPr>
          <w:instrText xml:space="preserve"> PAGEREF _Toc119312989 \h </w:instrText>
        </w:r>
        <w:r>
          <w:rPr>
            <w:noProof/>
            <w:webHidden/>
          </w:rPr>
        </w:r>
        <w:r>
          <w:rPr>
            <w:noProof/>
            <w:webHidden/>
          </w:rPr>
          <w:fldChar w:fldCharType="separate"/>
        </w:r>
        <w:r>
          <w:rPr>
            <w:noProof/>
            <w:webHidden/>
          </w:rPr>
          <w:t>29</w:t>
        </w:r>
        <w:r>
          <w:rPr>
            <w:noProof/>
            <w:webHidden/>
          </w:rPr>
          <w:fldChar w:fldCharType="end"/>
        </w:r>
      </w:hyperlink>
    </w:p>
    <w:p w14:paraId="3CEFD82B" w14:textId="3BD98857" w:rsidR="00551406" w:rsidRDefault="00551406">
      <w:pPr>
        <w:pStyle w:val="TOC2"/>
        <w:rPr>
          <w:rFonts w:asciiTheme="minorHAnsi" w:eastAsiaTheme="minorEastAsia" w:hAnsiTheme="minorHAnsi" w:cstheme="minorBidi"/>
          <w:noProof/>
          <w:szCs w:val="22"/>
          <w:lang w:eastAsia="en-NZ"/>
        </w:rPr>
      </w:pPr>
      <w:hyperlink w:anchor="_Toc119312990" w:history="1">
        <w:r w:rsidRPr="009B240C">
          <w:rPr>
            <w:rStyle w:val="Hyperlink"/>
            <w:noProof/>
          </w:rPr>
          <w:t>Maternity care</w:t>
        </w:r>
        <w:r>
          <w:rPr>
            <w:noProof/>
            <w:webHidden/>
          </w:rPr>
          <w:tab/>
        </w:r>
        <w:r>
          <w:rPr>
            <w:noProof/>
            <w:webHidden/>
          </w:rPr>
          <w:fldChar w:fldCharType="begin"/>
        </w:r>
        <w:r>
          <w:rPr>
            <w:noProof/>
            <w:webHidden/>
          </w:rPr>
          <w:instrText xml:space="preserve"> PAGEREF _Toc119312990 \h </w:instrText>
        </w:r>
        <w:r>
          <w:rPr>
            <w:noProof/>
            <w:webHidden/>
          </w:rPr>
        </w:r>
        <w:r>
          <w:rPr>
            <w:noProof/>
            <w:webHidden/>
          </w:rPr>
          <w:fldChar w:fldCharType="separate"/>
        </w:r>
        <w:r>
          <w:rPr>
            <w:noProof/>
            <w:webHidden/>
          </w:rPr>
          <w:t>29</w:t>
        </w:r>
        <w:r>
          <w:rPr>
            <w:noProof/>
            <w:webHidden/>
          </w:rPr>
          <w:fldChar w:fldCharType="end"/>
        </w:r>
      </w:hyperlink>
    </w:p>
    <w:p w14:paraId="5844AC3B" w14:textId="52751A83" w:rsidR="00551406" w:rsidRDefault="00551406">
      <w:pPr>
        <w:pStyle w:val="TOC2"/>
        <w:rPr>
          <w:rFonts w:asciiTheme="minorHAnsi" w:eastAsiaTheme="minorEastAsia" w:hAnsiTheme="minorHAnsi" w:cstheme="minorBidi"/>
          <w:noProof/>
          <w:szCs w:val="22"/>
          <w:lang w:eastAsia="en-NZ"/>
        </w:rPr>
      </w:pPr>
      <w:hyperlink w:anchor="_Toc119312991" w:history="1">
        <w:r w:rsidRPr="009B240C">
          <w:rPr>
            <w:rStyle w:val="Hyperlink"/>
            <w:noProof/>
          </w:rPr>
          <w:t>Enrolment with a primary health organisation</w:t>
        </w:r>
        <w:r>
          <w:rPr>
            <w:noProof/>
            <w:webHidden/>
          </w:rPr>
          <w:tab/>
        </w:r>
        <w:r>
          <w:rPr>
            <w:noProof/>
            <w:webHidden/>
          </w:rPr>
          <w:fldChar w:fldCharType="begin"/>
        </w:r>
        <w:r>
          <w:rPr>
            <w:noProof/>
            <w:webHidden/>
          </w:rPr>
          <w:instrText xml:space="preserve"> PAGEREF _Toc119312991 \h </w:instrText>
        </w:r>
        <w:r>
          <w:rPr>
            <w:noProof/>
            <w:webHidden/>
          </w:rPr>
        </w:r>
        <w:r>
          <w:rPr>
            <w:noProof/>
            <w:webHidden/>
          </w:rPr>
          <w:fldChar w:fldCharType="separate"/>
        </w:r>
        <w:r>
          <w:rPr>
            <w:noProof/>
            <w:webHidden/>
          </w:rPr>
          <w:t>32</w:t>
        </w:r>
        <w:r>
          <w:rPr>
            <w:noProof/>
            <w:webHidden/>
          </w:rPr>
          <w:fldChar w:fldCharType="end"/>
        </w:r>
      </w:hyperlink>
    </w:p>
    <w:p w14:paraId="5D903FA1" w14:textId="60388D0A" w:rsidR="00551406" w:rsidRDefault="00551406">
      <w:pPr>
        <w:pStyle w:val="TOC2"/>
        <w:rPr>
          <w:rFonts w:asciiTheme="minorHAnsi" w:eastAsiaTheme="minorEastAsia" w:hAnsiTheme="minorHAnsi" w:cstheme="minorBidi"/>
          <w:noProof/>
          <w:szCs w:val="22"/>
          <w:lang w:eastAsia="en-NZ"/>
        </w:rPr>
      </w:pPr>
      <w:hyperlink w:anchor="_Toc119312992" w:history="1">
        <w:r w:rsidRPr="009B240C">
          <w:rPr>
            <w:rStyle w:val="Hyperlink"/>
            <w:noProof/>
          </w:rPr>
          <w:t>Barriers to accessing health care</w:t>
        </w:r>
        <w:r>
          <w:rPr>
            <w:noProof/>
            <w:webHidden/>
          </w:rPr>
          <w:tab/>
        </w:r>
        <w:r>
          <w:rPr>
            <w:noProof/>
            <w:webHidden/>
          </w:rPr>
          <w:fldChar w:fldCharType="begin"/>
        </w:r>
        <w:r>
          <w:rPr>
            <w:noProof/>
            <w:webHidden/>
          </w:rPr>
          <w:instrText xml:space="preserve"> PAGEREF _Toc119312992 \h </w:instrText>
        </w:r>
        <w:r>
          <w:rPr>
            <w:noProof/>
            <w:webHidden/>
          </w:rPr>
        </w:r>
        <w:r>
          <w:rPr>
            <w:noProof/>
            <w:webHidden/>
          </w:rPr>
          <w:fldChar w:fldCharType="separate"/>
        </w:r>
        <w:r>
          <w:rPr>
            <w:noProof/>
            <w:webHidden/>
          </w:rPr>
          <w:t>34</w:t>
        </w:r>
        <w:r>
          <w:rPr>
            <w:noProof/>
            <w:webHidden/>
          </w:rPr>
          <w:fldChar w:fldCharType="end"/>
        </w:r>
      </w:hyperlink>
    </w:p>
    <w:p w14:paraId="01E5E86C" w14:textId="61106213" w:rsidR="00551406" w:rsidRDefault="00551406">
      <w:pPr>
        <w:pStyle w:val="TOC2"/>
        <w:rPr>
          <w:rFonts w:asciiTheme="minorHAnsi" w:eastAsiaTheme="minorEastAsia" w:hAnsiTheme="minorHAnsi" w:cstheme="minorBidi"/>
          <w:noProof/>
          <w:szCs w:val="22"/>
          <w:lang w:eastAsia="en-NZ"/>
        </w:rPr>
      </w:pPr>
      <w:hyperlink w:anchor="_Toc119312993" w:history="1">
        <w:r w:rsidRPr="009B240C">
          <w:rPr>
            <w:rStyle w:val="Hyperlink"/>
            <w:noProof/>
          </w:rPr>
          <w:t>Child oral health</w:t>
        </w:r>
        <w:r>
          <w:rPr>
            <w:noProof/>
            <w:webHidden/>
          </w:rPr>
          <w:tab/>
        </w:r>
        <w:r>
          <w:rPr>
            <w:noProof/>
            <w:webHidden/>
          </w:rPr>
          <w:fldChar w:fldCharType="begin"/>
        </w:r>
        <w:r>
          <w:rPr>
            <w:noProof/>
            <w:webHidden/>
          </w:rPr>
          <w:instrText xml:space="preserve"> PAGEREF _Toc119312993 \h </w:instrText>
        </w:r>
        <w:r>
          <w:rPr>
            <w:noProof/>
            <w:webHidden/>
          </w:rPr>
        </w:r>
        <w:r>
          <w:rPr>
            <w:noProof/>
            <w:webHidden/>
          </w:rPr>
          <w:fldChar w:fldCharType="separate"/>
        </w:r>
        <w:r>
          <w:rPr>
            <w:noProof/>
            <w:webHidden/>
          </w:rPr>
          <w:t>34</w:t>
        </w:r>
        <w:r>
          <w:rPr>
            <w:noProof/>
            <w:webHidden/>
          </w:rPr>
          <w:fldChar w:fldCharType="end"/>
        </w:r>
      </w:hyperlink>
    </w:p>
    <w:p w14:paraId="6C121E0B" w14:textId="05318879" w:rsidR="00551406" w:rsidRDefault="00551406">
      <w:pPr>
        <w:pStyle w:val="TOC2"/>
        <w:rPr>
          <w:rFonts w:asciiTheme="minorHAnsi" w:eastAsiaTheme="minorEastAsia" w:hAnsiTheme="minorHAnsi" w:cstheme="minorBidi"/>
          <w:noProof/>
          <w:szCs w:val="22"/>
          <w:lang w:eastAsia="en-NZ"/>
        </w:rPr>
      </w:pPr>
      <w:hyperlink w:anchor="_Toc119312994" w:history="1">
        <w:r w:rsidRPr="009B240C">
          <w:rPr>
            <w:rStyle w:val="Hyperlink"/>
            <w:noProof/>
          </w:rPr>
          <w:t>Respiratory syncytial virus outbreak</w:t>
        </w:r>
        <w:r>
          <w:rPr>
            <w:noProof/>
            <w:webHidden/>
          </w:rPr>
          <w:tab/>
        </w:r>
        <w:r>
          <w:rPr>
            <w:noProof/>
            <w:webHidden/>
          </w:rPr>
          <w:fldChar w:fldCharType="begin"/>
        </w:r>
        <w:r>
          <w:rPr>
            <w:noProof/>
            <w:webHidden/>
          </w:rPr>
          <w:instrText xml:space="preserve"> PAGEREF _Toc119312994 \h </w:instrText>
        </w:r>
        <w:r>
          <w:rPr>
            <w:noProof/>
            <w:webHidden/>
          </w:rPr>
        </w:r>
        <w:r>
          <w:rPr>
            <w:noProof/>
            <w:webHidden/>
          </w:rPr>
          <w:fldChar w:fldCharType="separate"/>
        </w:r>
        <w:r>
          <w:rPr>
            <w:noProof/>
            <w:webHidden/>
          </w:rPr>
          <w:t>35</w:t>
        </w:r>
        <w:r>
          <w:rPr>
            <w:noProof/>
            <w:webHidden/>
          </w:rPr>
          <w:fldChar w:fldCharType="end"/>
        </w:r>
      </w:hyperlink>
    </w:p>
    <w:p w14:paraId="0E178FA7" w14:textId="7D162B0A" w:rsidR="00551406" w:rsidRDefault="00551406">
      <w:pPr>
        <w:pStyle w:val="TOC2"/>
        <w:rPr>
          <w:rFonts w:asciiTheme="minorHAnsi" w:eastAsiaTheme="minorEastAsia" w:hAnsiTheme="minorHAnsi" w:cstheme="minorBidi"/>
          <w:noProof/>
          <w:szCs w:val="22"/>
          <w:lang w:eastAsia="en-NZ"/>
        </w:rPr>
      </w:pPr>
      <w:hyperlink w:anchor="_Toc119312995" w:history="1">
        <w:r w:rsidRPr="009B240C">
          <w:rPr>
            <w:rStyle w:val="Hyperlink"/>
            <w:noProof/>
          </w:rPr>
          <w:t>Immunisation</w:t>
        </w:r>
        <w:r>
          <w:rPr>
            <w:noProof/>
            <w:webHidden/>
          </w:rPr>
          <w:tab/>
        </w:r>
        <w:r>
          <w:rPr>
            <w:noProof/>
            <w:webHidden/>
          </w:rPr>
          <w:fldChar w:fldCharType="begin"/>
        </w:r>
        <w:r>
          <w:rPr>
            <w:noProof/>
            <w:webHidden/>
          </w:rPr>
          <w:instrText xml:space="preserve"> PAGEREF _Toc119312995 \h </w:instrText>
        </w:r>
        <w:r>
          <w:rPr>
            <w:noProof/>
            <w:webHidden/>
          </w:rPr>
        </w:r>
        <w:r>
          <w:rPr>
            <w:noProof/>
            <w:webHidden/>
          </w:rPr>
          <w:fldChar w:fldCharType="separate"/>
        </w:r>
        <w:r>
          <w:rPr>
            <w:noProof/>
            <w:webHidden/>
          </w:rPr>
          <w:t>36</w:t>
        </w:r>
        <w:r>
          <w:rPr>
            <w:noProof/>
            <w:webHidden/>
          </w:rPr>
          <w:fldChar w:fldCharType="end"/>
        </w:r>
      </w:hyperlink>
    </w:p>
    <w:p w14:paraId="38EEA341" w14:textId="0263AE12" w:rsidR="00551406" w:rsidRDefault="00551406">
      <w:pPr>
        <w:pStyle w:val="TOC2"/>
        <w:rPr>
          <w:rFonts w:asciiTheme="minorHAnsi" w:eastAsiaTheme="minorEastAsia" w:hAnsiTheme="minorHAnsi" w:cstheme="minorBidi"/>
          <w:noProof/>
          <w:szCs w:val="22"/>
          <w:lang w:eastAsia="en-NZ"/>
        </w:rPr>
      </w:pPr>
      <w:hyperlink w:anchor="_Toc119312996" w:history="1">
        <w:r w:rsidRPr="009B240C">
          <w:rPr>
            <w:rStyle w:val="Hyperlink"/>
            <w:noProof/>
          </w:rPr>
          <w:t>Cancer</w:t>
        </w:r>
        <w:r>
          <w:rPr>
            <w:noProof/>
            <w:webHidden/>
          </w:rPr>
          <w:tab/>
        </w:r>
        <w:r>
          <w:rPr>
            <w:noProof/>
            <w:webHidden/>
          </w:rPr>
          <w:fldChar w:fldCharType="begin"/>
        </w:r>
        <w:r>
          <w:rPr>
            <w:noProof/>
            <w:webHidden/>
          </w:rPr>
          <w:instrText xml:space="preserve"> PAGEREF _Toc119312996 \h </w:instrText>
        </w:r>
        <w:r>
          <w:rPr>
            <w:noProof/>
            <w:webHidden/>
          </w:rPr>
        </w:r>
        <w:r>
          <w:rPr>
            <w:noProof/>
            <w:webHidden/>
          </w:rPr>
          <w:fldChar w:fldCharType="separate"/>
        </w:r>
        <w:r>
          <w:rPr>
            <w:noProof/>
            <w:webHidden/>
          </w:rPr>
          <w:t>39</w:t>
        </w:r>
        <w:r>
          <w:rPr>
            <w:noProof/>
            <w:webHidden/>
          </w:rPr>
          <w:fldChar w:fldCharType="end"/>
        </w:r>
      </w:hyperlink>
    </w:p>
    <w:p w14:paraId="35F9C72F" w14:textId="5BA24326" w:rsidR="00551406" w:rsidRDefault="00551406">
      <w:pPr>
        <w:pStyle w:val="TOC2"/>
        <w:rPr>
          <w:rFonts w:asciiTheme="minorHAnsi" w:eastAsiaTheme="minorEastAsia" w:hAnsiTheme="minorHAnsi" w:cstheme="minorBidi"/>
          <w:noProof/>
          <w:szCs w:val="22"/>
          <w:lang w:eastAsia="en-NZ"/>
        </w:rPr>
      </w:pPr>
      <w:hyperlink w:anchor="_Toc119312997" w:history="1">
        <w:r w:rsidRPr="009B240C">
          <w:rPr>
            <w:rStyle w:val="Hyperlink"/>
            <w:noProof/>
          </w:rPr>
          <w:t>Mental wellbeing</w:t>
        </w:r>
        <w:r>
          <w:rPr>
            <w:noProof/>
            <w:webHidden/>
          </w:rPr>
          <w:tab/>
        </w:r>
        <w:r>
          <w:rPr>
            <w:noProof/>
            <w:webHidden/>
          </w:rPr>
          <w:fldChar w:fldCharType="begin"/>
        </w:r>
        <w:r>
          <w:rPr>
            <w:noProof/>
            <w:webHidden/>
          </w:rPr>
          <w:instrText xml:space="preserve"> PAGEREF _Toc119312997 \h </w:instrText>
        </w:r>
        <w:r>
          <w:rPr>
            <w:noProof/>
            <w:webHidden/>
          </w:rPr>
        </w:r>
        <w:r>
          <w:rPr>
            <w:noProof/>
            <w:webHidden/>
          </w:rPr>
          <w:fldChar w:fldCharType="separate"/>
        </w:r>
        <w:r>
          <w:rPr>
            <w:noProof/>
            <w:webHidden/>
          </w:rPr>
          <w:t>45</w:t>
        </w:r>
        <w:r>
          <w:rPr>
            <w:noProof/>
            <w:webHidden/>
          </w:rPr>
          <w:fldChar w:fldCharType="end"/>
        </w:r>
      </w:hyperlink>
    </w:p>
    <w:p w14:paraId="4A5B365B" w14:textId="61D344C7" w:rsidR="00551406" w:rsidRDefault="00551406">
      <w:pPr>
        <w:pStyle w:val="TOC2"/>
        <w:rPr>
          <w:rFonts w:asciiTheme="minorHAnsi" w:eastAsiaTheme="minorEastAsia" w:hAnsiTheme="minorHAnsi" w:cstheme="minorBidi"/>
          <w:noProof/>
          <w:szCs w:val="22"/>
          <w:lang w:eastAsia="en-NZ"/>
        </w:rPr>
      </w:pPr>
      <w:hyperlink w:anchor="_Toc119312998" w:history="1">
        <w:r w:rsidRPr="009B240C">
          <w:rPr>
            <w:rStyle w:val="Hyperlink"/>
            <w:noProof/>
          </w:rPr>
          <w:t>Long-term conditions</w:t>
        </w:r>
        <w:r>
          <w:rPr>
            <w:noProof/>
            <w:webHidden/>
          </w:rPr>
          <w:tab/>
        </w:r>
        <w:r>
          <w:rPr>
            <w:noProof/>
            <w:webHidden/>
          </w:rPr>
          <w:fldChar w:fldCharType="begin"/>
        </w:r>
        <w:r>
          <w:rPr>
            <w:noProof/>
            <w:webHidden/>
          </w:rPr>
          <w:instrText xml:space="preserve"> PAGEREF _Toc119312998 \h </w:instrText>
        </w:r>
        <w:r>
          <w:rPr>
            <w:noProof/>
            <w:webHidden/>
          </w:rPr>
        </w:r>
        <w:r>
          <w:rPr>
            <w:noProof/>
            <w:webHidden/>
          </w:rPr>
          <w:fldChar w:fldCharType="separate"/>
        </w:r>
        <w:r>
          <w:rPr>
            <w:noProof/>
            <w:webHidden/>
          </w:rPr>
          <w:t>48</w:t>
        </w:r>
        <w:r>
          <w:rPr>
            <w:noProof/>
            <w:webHidden/>
          </w:rPr>
          <w:fldChar w:fldCharType="end"/>
        </w:r>
      </w:hyperlink>
    </w:p>
    <w:p w14:paraId="28412A8F" w14:textId="5FD0F7A4" w:rsidR="00551406" w:rsidRDefault="00551406">
      <w:pPr>
        <w:pStyle w:val="TOC2"/>
        <w:rPr>
          <w:rFonts w:asciiTheme="minorHAnsi" w:eastAsiaTheme="minorEastAsia" w:hAnsiTheme="minorHAnsi" w:cstheme="minorBidi"/>
          <w:noProof/>
          <w:szCs w:val="22"/>
          <w:lang w:eastAsia="en-NZ"/>
        </w:rPr>
      </w:pPr>
      <w:hyperlink w:anchor="_Toc119312999" w:history="1">
        <w:r w:rsidRPr="009B240C">
          <w:rPr>
            <w:rStyle w:val="Hyperlink"/>
            <w:noProof/>
          </w:rPr>
          <w:t>Hospitalisations</w:t>
        </w:r>
        <w:r>
          <w:rPr>
            <w:noProof/>
            <w:webHidden/>
          </w:rPr>
          <w:tab/>
        </w:r>
        <w:r>
          <w:rPr>
            <w:noProof/>
            <w:webHidden/>
          </w:rPr>
          <w:fldChar w:fldCharType="begin"/>
        </w:r>
        <w:r>
          <w:rPr>
            <w:noProof/>
            <w:webHidden/>
          </w:rPr>
          <w:instrText xml:space="preserve"> PAGEREF _Toc119312999 \h </w:instrText>
        </w:r>
        <w:r>
          <w:rPr>
            <w:noProof/>
            <w:webHidden/>
          </w:rPr>
        </w:r>
        <w:r>
          <w:rPr>
            <w:noProof/>
            <w:webHidden/>
          </w:rPr>
          <w:fldChar w:fldCharType="separate"/>
        </w:r>
        <w:r>
          <w:rPr>
            <w:noProof/>
            <w:webHidden/>
          </w:rPr>
          <w:t>53</w:t>
        </w:r>
        <w:r>
          <w:rPr>
            <w:noProof/>
            <w:webHidden/>
          </w:rPr>
          <w:fldChar w:fldCharType="end"/>
        </w:r>
      </w:hyperlink>
    </w:p>
    <w:p w14:paraId="670A8032" w14:textId="63370AC7" w:rsidR="00551406" w:rsidRDefault="00551406">
      <w:pPr>
        <w:pStyle w:val="TOC2"/>
        <w:rPr>
          <w:rFonts w:asciiTheme="minorHAnsi" w:eastAsiaTheme="minorEastAsia" w:hAnsiTheme="minorHAnsi" w:cstheme="minorBidi"/>
          <w:noProof/>
          <w:szCs w:val="22"/>
          <w:lang w:eastAsia="en-NZ"/>
        </w:rPr>
      </w:pPr>
      <w:hyperlink w:anchor="_Toc119313000" w:history="1">
        <w:r w:rsidRPr="009B240C">
          <w:rPr>
            <w:rStyle w:val="Hyperlink"/>
            <w:noProof/>
          </w:rPr>
          <w:t>Health workforce</w:t>
        </w:r>
        <w:r>
          <w:rPr>
            <w:noProof/>
            <w:webHidden/>
          </w:rPr>
          <w:tab/>
        </w:r>
        <w:r>
          <w:rPr>
            <w:noProof/>
            <w:webHidden/>
          </w:rPr>
          <w:fldChar w:fldCharType="begin"/>
        </w:r>
        <w:r>
          <w:rPr>
            <w:noProof/>
            <w:webHidden/>
          </w:rPr>
          <w:instrText xml:space="preserve"> PAGEREF _Toc119313000 \h </w:instrText>
        </w:r>
        <w:r>
          <w:rPr>
            <w:noProof/>
            <w:webHidden/>
          </w:rPr>
        </w:r>
        <w:r>
          <w:rPr>
            <w:noProof/>
            <w:webHidden/>
          </w:rPr>
          <w:fldChar w:fldCharType="separate"/>
        </w:r>
        <w:r>
          <w:rPr>
            <w:noProof/>
            <w:webHidden/>
          </w:rPr>
          <w:t>60</w:t>
        </w:r>
        <w:r>
          <w:rPr>
            <w:noProof/>
            <w:webHidden/>
          </w:rPr>
          <w:fldChar w:fldCharType="end"/>
        </w:r>
      </w:hyperlink>
    </w:p>
    <w:p w14:paraId="18E4EC9C" w14:textId="227479AE" w:rsidR="00551406" w:rsidRDefault="00551406">
      <w:pPr>
        <w:pStyle w:val="TOC1"/>
        <w:rPr>
          <w:rFonts w:asciiTheme="minorHAnsi" w:eastAsiaTheme="minorEastAsia" w:hAnsiTheme="minorHAnsi" w:cstheme="minorBidi"/>
          <w:noProof/>
          <w:sz w:val="22"/>
          <w:szCs w:val="22"/>
          <w:lang w:eastAsia="en-NZ"/>
        </w:rPr>
      </w:pPr>
      <w:hyperlink w:anchor="_Toc119313001" w:history="1">
        <w:r w:rsidRPr="009B240C">
          <w:rPr>
            <w:rStyle w:val="Hyperlink"/>
            <w:noProof/>
          </w:rPr>
          <w:t>Technical notes | Ngā tuhipoka hangarau</w:t>
        </w:r>
        <w:r>
          <w:rPr>
            <w:noProof/>
            <w:webHidden/>
          </w:rPr>
          <w:tab/>
        </w:r>
        <w:r>
          <w:rPr>
            <w:noProof/>
            <w:webHidden/>
          </w:rPr>
          <w:fldChar w:fldCharType="begin"/>
        </w:r>
        <w:r>
          <w:rPr>
            <w:noProof/>
            <w:webHidden/>
          </w:rPr>
          <w:instrText xml:space="preserve"> PAGEREF _Toc119313001 \h </w:instrText>
        </w:r>
        <w:r>
          <w:rPr>
            <w:noProof/>
            <w:webHidden/>
          </w:rPr>
        </w:r>
        <w:r>
          <w:rPr>
            <w:noProof/>
            <w:webHidden/>
          </w:rPr>
          <w:fldChar w:fldCharType="separate"/>
        </w:r>
        <w:r>
          <w:rPr>
            <w:noProof/>
            <w:webHidden/>
          </w:rPr>
          <w:t>63</w:t>
        </w:r>
        <w:r>
          <w:rPr>
            <w:noProof/>
            <w:webHidden/>
          </w:rPr>
          <w:fldChar w:fldCharType="end"/>
        </w:r>
      </w:hyperlink>
    </w:p>
    <w:p w14:paraId="2155EC79" w14:textId="7DC5BB18" w:rsidR="00551406" w:rsidRDefault="00551406">
      <w:pPr>
        <w:pStyle w:val="TOC1"/>
        <w:rPr>
          <w:rFonts w:asciiTheme="minorHAnsi" w:eastAsiaTheme="minorEastAsia" w:hAnsiTheme="minorHAnsi" w:cstheme="minorBidi"/>
          <w:noProof/>
          <w:sz w:val="22"/>
          <w:szCs w:val="22"/>
          <w:lang w:eastAsia="en-NZ"/>
        </w:rPr>
      </w:pPr>
      <w:hyperlink w:anchor="_Toc119313002" w:history="1">
        <w:r w:rsidRPr="009B240C">
          <w:rPr>
            <w:rStyle w:val="Hyperlink"/>
            <w:noProof/>
          </w:rPr>
          <w:t>References | Ngā tohutoro</w:t>
        </w:r>
        <w:r>
          <w:rPr>
            <w:noProof/>
            <w:webHidden/>
          </w:rPr>
          <w:tab/>
        </w:r>
        <w:r>
          <w:rPr>
            <w:noProof/>
            <w:webHidden/>
          </w:rPr>
          <w:fldChar w:fldCharType="begin"/>
        </w:r>
        <w:r>
          <w:rPr>
            <w:noProof/>
            <w:webHidden/>
          </w:rPr>
          <w:instrText xml:space="preserve"> PAGEREF _Toc119313002 \h </w:instrText>
        </w:r>
        <w:r>
          <w:rPr>
            <w:noProof/>
            <w:webHidden/>
          </w:rPr>
        </w:r>
        <w:r>
          <w:rPr>
            <w:noProof/>
            <w:webHidden/>
          </w:rPr>
          <w:fldChar w:fldCharType="separate"/>
        </w:r>
        <w:r>
          <w:rPr>
            <w:noProof/>
            <w:webHidden/>
          </w:rPr>
          <w:t>65</w:t>
        </w:r>
        <w:r>
          <w:rPr>
            <w:noProof/>
            <w:webHidden/>
          </w:rPr>
          <w:fldChar w:fldCharType="end"/>
        </w:r>
      </w:hyperlink>
    </w:p>
    <w:p w14:paraId="133A9219" w14:textId="785DA297" w:rsidR="00C86248" w:rsidRDefault="00551406">
      <w:r>
        <w:rPr>
          <w:rFonts w:ascii="Segoe UI Semibold" w:hAnsi="Segoe UI Semibold"/>
          <w:b/>
          <w:sz w:val="24"/>
        </w:rPr>
        <w:fldChar w:fldCharType="end"/>
      </w:r>
    </w:p>
    <w:p w14:paraId="04F7CC05" w14:textId="77777777" w:rsidR="00963565" w:rsidRDefault="00963565" w:rsidP="001D3E4E">
      <w:pPr>
        <w:pStyle w:val="TOC1"/>
        <w:keepNext/>
        <w:sectPr w:rsidR="00963565" w:rsidSect="005A18ED">
          <w:headerReference w:type="even" r:id="rId21"/>
          <w:headerReference w:type="default" r:id="rId22"/>
          <w:footerReference w:type="even" r:id="rId23"/>
          <w:footerReference w:type="default" r:id="rId24"/>
          <w:pgSz w:w="11907" w:h="16840" w:code="9"/>
          <w:pgMar w:top="1134" w:right="1701" w:bottom="1134" w:left="1843" w:header="284" w:footer="425" w:gutter="284"/>
          <w:pgNumType w:fmt="lowerRoman"/>
          <w:cols w:space="720"/>
        </w:sectPr>
      </w:pPr>
    </w:p>
    <w:p w14:paraId="49038387" w14:textId="369ECBA8" w:rsidR="003A5FEA" w:rsidRDefault="003A5FEA" w:rsidP="009D589F">
      <w:pPr>
        <w:pStyle w:val="TOC1"/>
        <w:keepNext/>
        <w:spacing w:before="0"/>
      </w:pPr>
      <w:r>
        <w:lastRenderedPageBreak/>
        <w:t>List of Figures</w:t>
      </w:r>
    </w:p>
    <w:p w14:paraId="26F9E084" w14:textId="1A0DC652" w:rsidR="00A745A5" w:rsidRDefault="00963565"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r>
        <w:fldChar w:fldCharType="begin"/>
      </w:r>
      <w:r>
        <w:instrText xml:space="preserve"> TOC \h \z \c "Figure" </w:instrText>
      </w:r>
      <w:r>
        <w:fldChar w:fldCharType="separate"/>
      </w:r>
      <w:hyperlink w:anchor="_Toc119047745" w:history="1">
        <w:r w:rsidR="00A745A5" w:rsidRPr="00EA3725">
          <w:rPr>
            <w:rStyle w:val="Hyperlink"/>
            <w:noProof/>
          </w:rPr>
          <w:t>Figure 1:  Rate of women giving birth, by age group, 2011–2020</w:t>
        </w:r>
        <w:r w:rsidR="00A745A5">
          <w:rPr>
            <w:noProof/>
            <w:webHidden/>
          </w:rPr>
          <w:tab/>
        </w:r>
        <w:r w:rsidR="00A745A5">
          <w:rPr>
            <w:noProof/>
            <w:webHidden/>
          </w:rPr>
          <w:fldChar w:fldCharType="begin"/>
        </w:r>
        <w:r w:rsidR="00A745A5">
          <w:rPr>
            <w:noProof/>
            <w:webHidden/>
          </w:rPr>
          <w:instrText xml:space="preserve"> PAGEREF _Toc119047745 \h </w:instrText>
        </w:r>
        <w:r w:rsidR="00A745A5">
          <w:rPr>
            <w:noProof/>
            <w:webHidden/>
          </w:rPr>
        </w:r>
        <w:r w:rsidR="00A745A5">
          <w:rPr>
            <w:noProof/>
            <w:webHidden/>
          </w:rPr>
          <w:fldChar w:fldCharType="separate"/>
        </w:r>
        <w:r w:rsidR="00F61845">
          <w:rPr>
            <w:noProof/>
            <w:webHidden/>
          </w:rPr>
          <w:t>6</w:t>
        </w:r>
        <w:r w:rsidR="00A745A5">
          <w:rPr>
            <w:noProof/>
            <w:webHidden/>
          </w:rPr>
          <w:fldChar w:fldCharType="end"/>
        </w:r>
      </w:hyperlink>
    </w:p>
    <w:p w14:paraId="5B26EB8A" w14:textId="056C2236"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46" w:history="1">
        <w:r w:rsidR="00A745A5" w:rsidRPr="00EA3725">
          <w:rPr>
            <w:rStyle w:val="Hyperlink"/>
            <w:noProof/>
          </w:rPr>
          <w:t>Figure 2: Rate of women giving birth, by prioritised ethnic group, 2011–2020</w:t>
        </w:r>
        <w:r w:rsidR="00A745A5">
          <w:rPr>
            <w:noProof/>
            <w:webHidden/>
          </w:rPr>
          <w:tab/>
        </w:r>
        <w:r w:rsidR="00A745A5">
          <w:rPr>
            <w:noProof/>
            <w:webHidden/>
          </w:rPr>
          <w:fldChar w:fldCharType="begin"/>
        </w:r>
        <w:r w:rsidR="00A745A5">
          <w:rPr>
            <w:noProof/>
            <w:webHidden/>
          </w:rPr>
          <w:instrText xml:space="preserve"> PAGEREF _Toc119047746 \h </w:instrText>
        </w:r>
        <w:r w:rsidR="00A745A5">
          <w:rPr>
            <w:noProof/>
            <w:webHidden/>
          </w:rPr>
        </w:r>
        <w:r w:rsidR="00A745A5">
          <w:rPr>
            <w:noProof/>
            <w:webHidden/>
          </w:rPr>
          <w:fldChar w:fldCharType="separate"/>
        </w:r>
        <w:r w:rsidR="00F61845">
          <w:rPr>
            <w:noProof/>
            <w:webHidden/>
          </w:rPr>
          <w:t>7</w:t>
        </w:r>
        <w:r w:rsidR="00A745A5">
          <w:rPr>
            <w:noProof/>
            <w:webHidden/>
          </w:rPr>
          <w:fldChar w:fldCharType="end"/>
        </w:r>
      </w:hyperlink>
    </w:p>
    <w:p w14:paraId="7F26E0D3" w14:textId="7D5374CB"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47" w:history="1">
        <w:r w:rsidR="00A745A5" w:rsidRPr="00EA3725">
          <w:rPr>
            <w:rStyle w:val="Hyperlink"/>
            <w:noProof/>
          </w:rPr>
          <w:t>Figure 3: Projected population, by age group and prioritised ethnic group, 2021</w:t>
        </w:r>
        <w:r w:rsidR="00A745A5">
          <w:rPr>
            <w:noProof/>
            <w:webHidden/>
          </w:rPr>
          <w:tab/>
        </w:r>
        <w:r w:rsidR="00A745A5">
          <w:rPr>
            <w:noProof/>
            <w:webHidden/>
          </w:rPr>
          <w:fldChar w:fldCharType="begin"/>
        </w:r>
        <w:r w:rsidR="00A745A5">
          <w:rPr>
            <w:noProof/>
            <w:webHidden/>
          </w:rPr>
          <w:instrText xml:space="preserve"> PAGEREF _Toc119047747 \h </w:instrText>
        </w:r>
        <w:r w:rsidR="00A745A5">
          <w:rPr>
            <w:noProof/>
            <w:webHidden/>
          </w:rPr>
        </w:r>
        <w:r w:rsidR="00A745A5">
          <w:rPr>
            <w:noProof/>
            <w:webHidden/>
          </w:rPr>
          <w:fldChar w:fldCharType="separate"/>
        </w:r>
        <w:r w:rsidR="00F61845">
          <w:rPr>
            <w:noProof/>
            <w:webHidden/>
          </w:rPr>
          <w:t>8</w:t>
        </w:r>
        <w:r w:rsidR="00A745A5">
          <w:rPr>
            <w:noProof/>
            <w:webHidden/>
          </w:rPr>
          <w:fldChar w:fldCharType="end"/>
        </w:r>
      </w:hyperlink>
    </w:p>
    <w:p w14:paraId="118BFABD" w14:textId="7831AF68"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48" w:history="1">
        <w:r w:rsidR="00A745A5" w:rsidRPr="00EA3725">
          <w:rPr>
            <w:rStyle w:val="Hyperlink"/>
            <w:noProof/>
          </w:rPr>
          <w:t>Figure 4: Mortality rates, by sex, 1948</w:t>
        </w:r>
        <w:r w:rsidR="00A745A5" w:rsidRPr="00EA3725">
          <w:rPr>
            <w:rStyle w:val="Hyperlink"/>
            <w:rFonts w:cstheme="minorHAnsi"/>
            <w:noProof/>
          </w:rPr>
          <w:t>–</w:t>
        </w:r>
        <w:r w:rsidR="00A745A5" w:rsidRPr="00EA3725">
          <w:rPr>
            <w:rStyle w:val="Hyperlink"/>
            <w:noProof/>
          </w:rPr>
          <w:t>2019</w:t>
        </w:r>
        <w:r w:rsidR="00A745A5">
          <w:rPr>
            <w:noProof/>
            <w:webHidden/>
          </w:rPr>
          <w:tab/>
        </w:r>
        <w:r w:rsidR="00A745A5">
          <w:rPr>
            <w:noProof/>
            <w:webHidden/>
          </w:rPr>
          <w:fldChar w:fldCharType="begin"/>
        </w:r>
        <w:r w:rsidR="00A745A5">
          <w:rPr>
            <w:noProof/>
            <w:webHidden/>
          </w:rPr>
          <w:instrText xml:space="preserve"> PAGEREF _Toc119047748 \h </w:instrText>
        </w:r>
        <w:r w:rsidR="00A745A5">
          <w:rPr>
            <w:noProof/>
            <w:webHidden/>
          </w:rPr>
        </w:r>
        <w:r w:rsidR="00A745A5">
          <w:rPr>
            <w:noProof/>
            <w:webHidden/>
          </w:rPr>
          <w:fldChar w:fldCharType="separate"/>
        </w:r>
        <w:r w:rsidR="00F61845">
          <w:rPr>
            <w:noProof/>
            <w:webHidden/>
          </w:rPr>
          <w:t>11</w:t>
        </w:r>
        <w:r w:rsidR="00A745A5">
          <w:rPr>
            <w:noProof/>
            <w:webHidden/>
          </w:rPr>
          <w:fldChar w:fldCharType="end"/>
        </w:r>
      </w:hyperlink>
    </w:p>
    <w:p w14:paraId="421ED058" w14:textId="50A0409A"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49" w:history="1">
        <w:r w:rsidR="00A745A5" w:rsidRPr="00EA3725">
          <w:rPr>
            <w:rStyle w:val="Hyperlink"/>
            <w:noProof/>
          </w:rPr>
          <w:t>Figure 5: Mortality rates, Māori and non-Māori, 1996</w:t>
        </w:r>
        <w:r w:rsidR="00A745A5" w:rsidRPr="00EA3725">
          <w:rPr>
            <w:rStyle w:val="Hyperlink"/>
            <w:rFonts w:cstheme="minorHAnsi"/>
            <w:noProof/>
          </w:rPr>
          <w:t>–</w:t>
        </w:r>
        <w:r w:rsidR="00A745A5" w:rsidRPr="00EA3725">
          <w:rPr>
            <w:rStyle w:val="Hyperlink"/>
            <w:noProof/>
          </w:rPr>
          <w:t>2019</w:t>
        </w:r>
        <w:r w:rsidR="00A745A5">
          <w:rPr>
            <w:noProof/>
            <w:webHidden/>
          </w:rPr>
          <w:tab/>
        </w:r>
        <w:r w:rsidR="00A745A5">
          <w:rPr>
            <w:noProof/>
            <w:webHidden/>
          </w:rPr>
          <w:fldChar w:fldCharType="begin"/>
        </w:r>
        <w:r w:rsidR="00A745A5">
          <w:rPr>
            <w:noProof/>
            <w:webHidden/>
          </w:rPr>
          <w:instrText xml:space="preserve"> PAGEREF _Toc119047749 \h </w:instrText>
        </w:r>
        <w:r w:rsidR="00A745A5">
          <w:rPr>
            <w:noProof/>
            <w:webHidden/>
          </w:rPr>
        </w:r>
        <w:r w:rsidR="00A745A5">
          <w:rPr>
            <w:noProof/>
            <w:webHidden/>
          </w:rPr>
          <w:fldChar w:fldCharType="separate"/>
        </w:r>
        <w:r w:rsidR="00F61845">
          <w:rPr>
            <w:noProof/>
            <w:webHidden/>
          </w:rPr>
          <w:t>11</w:t>
        </w:r>
        <w:r w:rsidR="00A745A5">
          <w:rPr>
            <w:noProof/>
            <w:webHidden/>
          </w:rPr>
          <w:fldChar w:fldCharType="end"/>
        </w:r>
      </w:hyperlink>
    </w:p>
    <w:p w14:paraId="332B95D6" w14:textId="29AEE73C"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50" w:history="1">
        <w:r w:rsidR="00A745A5" w:rsidRPr="00EA3725">
          <w:rPr>
            <w:rStyle w:val="Hyperlink"/>
            <w:noProof/>
          </w:rPr>
          <w:t>Figure 6: Prevalence of adults who reported good, very good or excellent health, by ethnic group, 2011/12–2020/21</w:t>
        </w:r>
        <w:r w:rsidR="00A745A5">
          <w:rPr>
            <w:noProof/>
            <w:webHidden/>
          </w:rPr>
          <w:tab/>
        </w:r>
        <w:r w:rsidR="00A745A5">
          <w:rPr>
            <w:noProof/>
            <w:webHidden/>
          </w:rPr>
          <w:fldChar w:fldCharType="begin"/>
        </w:r>
        <w:r w:rsidR="00A745A5">
          <w:rPr>
            <w:noProof/>
            <w:webHidden/>
          </w:rPr>
          <w:instrText xml:space="preserve"> PAGEREF _Toc119047750 \h </w:instrText>
        </w:r>
        <w:r w:rsidR="00A745A5">
          <w:rPr>
            <w:noProof/>
            <w:webHidden/>
          </w:rPr>
        </w:r>
        <w:r w:rsidR="00A745A5">
          <w:rPr>
            <w:noProof/>
            <w:webHidden/>
          </w:rPr>
          <w:fldChar w:fldCharType="separate"/>
        </w:r>
        <w:r w:rsidR="00F61845">
          <w:rPr>
            <w:noProof/>
            <w:webHidden/>
          </w:rPr>
          <w:t>12</w:t>
        </w:r>
        <w:r w:rsidR="00A745A5">
          <w:rPr>
            <w:noProof/>
            <w:webHidden/>
          </w:rPr>
          <w:fldChar w:fldCharType="end"/>
        </w:r>
      </w:hyperlink>
    </w:p>
    <w:p w14:paraId="2A2012BA" w14:textId="638F1C60"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51" w:history="1">
        <w:r w:rsidR="00A745A5" w:rsidRPr="00EA3725">
          <w:rPr>
            <w:rStyle w:val="Hyperlink"/>
            <w:noProof/>
          </w:rPr>
          <w:t>Figure 7: Projected population, by NZDep2018 deprivation quintile and prioritised ethnic group (NZDep2018), 2021</w:t>
        </w:r>
        <w:r w:rsidR="00A745A5">
          <w:rPr>
            <w:noProof/>
            <w:webHidden/>
          </w:rPr>
          <w:tab/>
        </w:r>
        <w:r w:rsidR="00A745A5">
          <w:rPr>
            <w:noProof/>
            <w:webHidden/>
          </w:rPr>
          <w:fldChar w:fldCharType="begin"/>
        </w:r>
        <w:r w:rsidR="00A745A5">
          <w:rPr>
            <w:noProof/>
            <w:webHidden/>
          </w:rPr>
          <w:instrText xml:space="preserve"> PAGEREF _Toc119047751 \h </w:instrText>
        </w:r>
        <w:r w:rsidR="00A745A5">
          <w:rPr>
            <w:noProof/>
            <w:webHidden/>
          </w:rPr>
        </w:r>
        <w:r w:rsidR="00A745A5">
          <w:rPr>
            <w:noProof/>
            <w:webHidden/>
          </w:rPr>
          <w:fldChar w:fldCharType="separate"/>
        </w:r>
        <w:r w:rsidR="00F61845">
          <w:rPr>
            <w:noProof/>
            <w:webHidden/>
          </w:rPr>
          <w:t>14</w:t>
        </w:r>
        <w:r w:rsidR="00A745A5">
          <w:rPr>
            <w:noProof/>
            <w:webHidden/>
          </w:rPr>
          <w:fldChar w:fldCharType="end"/>
        </w:r>
      </w:hyperlink>
    </w:p>
    <w:p w14:paraId="2B7B3733" w14:textId="3B19EB4F"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52" w:history="1">
        <w:r w:rsidR="00A745A5" w:rsidRPr="00EA3725">
          <w:rPr>
            <w:rStyle w:val="Hyperlink"/>
            <w:noProof/>
          </w:rPr>
          <w:t>Figure 8: Prevalence of adults who were daily smokers, by ethnic group, 2011/12–2020/21</w:t>
        </w:r>
        <w:r w:rsidR="00A745A5">
          <w:rPr>
            <w:noProof/>
            <w:webHidden/>
          </w:rPr>
          <w:tab/>
        </w:r>
        <w:r w:rsidR="00A745A5">
          <w:rPr>
            <w:noProof/>
            <w:webHidden/>
          </w:rPr>
          <w:fldChar w:fldCharType="begin"/>
        </w:r>
        <w:r w:rsidR="00A745A5">
          <w:rPr>
            <w:noProof/>
            <w:webHidden/>
          </w:rPr>
          <w:instrText xml:space="preserve"> PAGEREF _Toc119047752 \h </w:instrText>
        </w:r>
        <w:r w:rsidR="00A745A5">
          <w:rPr>
            <w:noProof/>
            <w:webHidden/>
          </w:rPr>
        </w:r>
        <w:r w:rsidR="00A745A5">
          <w:rPr>
            <w:noProof/>
            <w:webHidden/>
          </w:rPr>
          <w:fldChar w:fldCharType="separate"/>
        </w:r>
        <w:r w:rsidR="00F61845">
          <w:rPr>
            <w:noProof/>
            <w:webHidden/>
          </w:rPr>
          <w:t>15</w:t>
        </w:r>
        <w:r w:rsidR="00A745A5">
          <w:rPr>
            <w:noProof/>
            <w:webHidden/>
          </w:rPr>
          <w:fldChar w:fldCharType="end"/>
        </w:r>
      </w:hyperlink>
    </w:p>
    <w:p w14:paraId="310159E6" w14:textId="7CB5CB6E"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53" w:history="1">
        <w:r w:rsidR="00A745A5" w:rsidRPr="00EA3725">
          <w:rPr>
            <w:rStyle w:val="Hyperlink"/>
            <w:noProof/>
          </w:rPr>
          <w:t>Figure 9: Prevalence of obesity in adults, by ethnic group, 2011/12–2020/21</w:t>
        </w:r>
        <w:r w:rsidR="00A745A5">
          <w:rPr>
            <w:noProof/>
            <w:webHidden/>
          </w:rPr>
          <w:tab/>
        </w:r>
        <w:r w:rsidR="00A745A5">
          <w:rPr>
            <w:noProof/>
            <w:webHidden/>
          </w:rPr>
          <w:fldChar w:fldCharType="begin"/>
        </w:r>
        <w:r w:rsidR="00A745A5">
          <w:rPr>
            <w:noProof/>
            <w:webHidden/>
          </w:rPr>
          <w:instrText xml:space="preserve"> PAGEREF _Toc119047753 \h </w:instrText>
        </w:r>
        <w:r w:rsidR="00A745A5">
          <w:rPr>
            <w:noProof/>
            <w:webHidden/>
          </w:rPr>
        </w:r>
        <w:r w:rsidR="00A745A5">
          <w:rPr>
            <w:noProof/>
            <w:webHidden/>
          </w:rPr>
          <w:fldChar w:fldCharType="separate"/>
        </w:r>
        <w:r w:rsidR="00F61845">
          <w:rPr>
            <w:noProof/>
            <w:webHidden/>
          </w:rPr>
          <w:t>17</w:t>
        </w:r>
        <w:r w:rsidR="00A745A5">
          <w:rPr>
            <w:noProof/>
            <w:webHidden/>
          </w:rPr>
          <w:fldChar w:fldCharType="end"/>
        </w:r>
      </w:hyperlink>
    </w:p>
    <w:p w14:paraId="1BE29324" w14:textId="6B0914CC"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54" w:history="1">
        <w:r w:rsidR="00A745A5" w:rsidRPr="00EA3725">
          <w:rPr>
            <w:rStyle w:val="Hyperlink"/>
            <w:noProof/>
          </w:rPr>
          <w:t>Figure 10: Prevalence of hazardous drinking in adults, by ethnic group, 2015/16–2020/21</w:t>
        </w:r>
        <w:r w:rsidR="00A745A5">
          <w:rPr>
            <w:noProof/>
            <w:webHidden/>
          </w:rPr>
          <w:tab/>
        </w:r>
        <w:r w:rsidR="00A745A5">
          <w:rPr>
            <w:noProof/>
            <w:webHidden/>
          </w:rPr>
          <w:fldChar w:fldCharType="begin"/>
        </w:r>
        <w:r w:rsidR="00A745A5">
          <w:rPr>
            <w:noProof/>
            <w:webHidden/>
          </w:rPr>
          <w:instrText xml:space="preserve"> PAGEREF _Toc119047754 \h </w:instrText>
        </w:r>
        <w:r w:rsidR="00A745A5">
          <w:rPr>
            <w:noProof/>
            <w:webHidden/>
          </w:rPr>
        </w:r>
        <w:r w:rsidR="00A745A5">
          <w:rPr>
            <w:noProof/>
            <w:webHidden/>
          </w:rPr>
          <w:fldChar w:fldCharType="separate"/>
        </w:r>
        <w:r w:rsidR="00F61845">
          <w:rPr>
            <w:noProof/>
            <w:webHidden/>
          </w:rPr>
          <w:t>19</w:t>
        </w:r>
        <w:r w:rsidR="00A745A5">
          <w:rPr>
            <w:noProof/>
            <w:webHidden/>
          </w:rPr>
          <w:fldChar w:fldCharType="end"/>
        </w:r>
      </w:hyperlink>
    </w:p>
    <w:p w14:paraId="5E338399" w14:textId="18784FAD"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55" w:history="1">
        <w:r w:rsidR="00A745A5" w:rsidRPr="00EA3725">
          <w:rPr>
            <w:rStyle w:val="Hyperlink"/>
            <w:noProof/>
          </w:rPr>
          <w:t>Figure 11: Prevalence of engagement in little or no physical activity in adults, by ethnic group, 2011/12–2020/21</w:t>
        </w:r>
        <w:r w:rsidR="00A745A5">
          <w:rPr>
            <w:noProof/>
            <w:webHidden/>
          </w:rPr>
          <w:tab/>
        </w:r>
        <w:r w:rsidR="00A745A5">
          <w:rPr>
            <w:noProof/>
            <w:webHidden/>
          </w:rPr>
          <w:fldChar w:fldCharType="begin"/>
        </w:r>
        <w:r w:rsidR="00A745A5">
          <w:rPr>
            <w:noProof/>
            <w:webHidden/>
          </w:rPr>
          <w:instrText xml:space="preserve"> PAGEREF _Toc119047755 \h </w:instrText>
        </w:r>
        <w:r w:rsidR="00A745A5">
          <w:rPr>
            <w:noProof/>
            <w:webHidden/>
          </w:rPr>
        </w:r>
        <w:r w:rsidR="00A745A5">
          <w:rPr>
            <w:noProof/>
            <w:webHidden/>
          </w:rPr>
          <w:fldChar w:fldCharType="separate"/>
        </w:r>
        <w:r w:rsidR="00F61845">
          <w:rPr>
            <w:noProof/>
            <w:webHidden/>
          </w:rPr>
          <w:t>20</w:t>
        </w:r>
        <w:r w:rsidR="00A745A5">
          <w:rPr>
            <w:noProof/>
            <w:webHidden/>
          </w:rPr>
          <w:fldChar w:fldCharType="end"/>
        </w:r>
      </w:hyperlink>
    </w:p>
    <w:p w14:paraId="794C7545" w14:textId="2F177867"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56" w:history="1">
        <w:r w:rsidR="00A745A5" w:rsidRPr="00EA3725">
          <w:rPr>
            <w:rStyle w:val="Hyperlink"/>
            <w:noProof/>
          </w:rPr>
          <w:t>Figure 12: COVID-19 weekly community testing numbers and key events in the community, 2021</w:t>
        </w:r>
        <w:r w:rsidR="00A745A5">
          <w:rPr>
            <w:noProof/>
            <w:webHidden/>
          </w:rPr>
          <w:tab/>
        </w:r>
        <w:r w:rsidR="00A745A5">
          <w:rPr>
            <w:noProof/>
            <w:webHidden/>
          </w:rPr>
          <w:fldChar w:fldCharType="begin"/>
        </w:r>
        <w:r w:rsidR="00A745A5">
          <w:rPr>
            <w:noProof/>
            <w:webHidden/>
          </w:rPr>
          <w:instrText xml:space="preserve"> PAGEREF _Toc119047756 \h </w:instrText>
        </w:r>
        <w:r w:rsidR="00A745A5">
          <w:rPr>
            <w:noProof/>
            <w:webHidden/>
          </w:rPr>
        </w:r>
        <w:r w:rsidR="00A745A5">
          <w:rPr>
            <w:noProof/>
            <w:webHidden/>
          </w:rPr>
          <w:fldChar w:fldCharType="separate"/>
        </w:r>
        <w:r w:rsidR="00F61845">
          <w:rPr>
            <w:noProof/>
            <w:webHidden/>
          </w:rPr>
          <w:t>23</w:t>
        </w:r>
        <w:r w:rsidR="00A745A5">
          <w:rPr>
            <w:noProof/>
            <w:webHidden/>
          </w:rPr>
          <w:fldChar w:fldCharType="end"/>
        </w:r>
      </w:hyperlink>
    </w:p>
    <w:p w14:paraId="053BDF77" w14:textId="78757DF8"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57" w:history="1">
        <w:r w:rsidR="00A745A5" w:rsidRPr="00EA3725">
          <w:rPr>
            <w:rStyle w:val="Hyperlink"/>
            <w:noProof/>
          </w:rPr>
          <w:t>Figure 13: COVID-19 weekly community testing rates, by prioritised ethnic group, 2021</w:t>
        </w:r>
        <w:r w:rsidR="00A745A5">
          <w:rPr>
            <w:noProof/>
            <w:webHidden/>
          </w:rPr>
          <w:tab/>
        </w:r>
        <w:r w:rsidR="00A745A5">
          <w:rPr>
            <w:noProof/>
            <w:webHidden/>
          </w:rPr>
          <w:fldChar w:fldCharType="begin"/>
        </w:r>
        <w:r w:rsidR="00A745A5">
          <w:rPr>
            <w:noProof/>
            <w:webHidden/>
          </w:rPr>
          <w:instrText xml:space="preserve"> PAGEREF _Toc119047757 \h </w:instrText>
        </w:r>
        <w:r w:rsidR="00A745A5">
          <w:rPr>
            <w:noProof/>
            <w:webHidden/>
          </w:rPr>
        </w:r>
        <w:r w:rsidR="00A745A5">
          <w:rPr>
            <w:noProof/>
            <w:webHidden/>
          </w:rPr>
          <w:fldChar w:fldCharType="separate"/>
        </w:r>
        <w:r w:rsidR="00F61845">
          <w:rPr>
            <w:noProof/>
            <w:webHidden/>
          </w:rPr>
          <w:t>23</w:t>
        </w:r>
        <w:r w:rsidR="00A745A5">
          <w:rPr>
            <w:noProof/>
            <w:webHidden/>
          </w:rPr>
          <w:fldChar w:fldCharType="end"/>
        </w:r>
      </w:hyperlink>
    </w:p>
    <w:p w14:paraId="64F89465" w14:textId="02F03E1E"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58" w:history="1">
        <w:r w:rsidR="00A745A5" w:rsidRPr="00EA3725">
          <w:rPr>
            <w:rStyle w:val="Hyperlink"/>
            <w:noProof/>
          </w:rPr>
          <w:t>Figure 14: COVID-19 community case rates, by prioritised ethnicity, 2021</w:t>
        </w:r>
        <w:r w:rsidR="00A745A5">
          <w:rPr>
            <w:noProof/>
            <w:webHidden/>
          </w:rPr>
          <w:tab/>
        </w:r>
        <w:r w:rsidR="00A745A5">
          <w:rPr>
            <w:noProof/>
            <w:webHidden/>
          </w:rPr>
          <w:fldChar w:fldCharType="begin"/>
        </w:r>
        <w:r w:rsidR="00A745A5">
          <w:rPr>
            <w:noProof/>
            <w:webHidden/>
          </w:rPr>
          <w:instrText xml:space="preserve"> PAGEREF _Toc119047758 \h </w:instrText>
        </w:r>
        <w:r w:rsidR="00A745A5">
          <w:rPr>
            <w:noProof/>
            <w:webHidden/>
          </w:rPr>
        </w:r>
        <w:r w:rsidR="00A745A5">
          <w:rPr>
            <w:noProof/>
            <w:webHidden/>
          </w:rPr>
          <w:fldChar w:fldCharType="separate"/>
        </w:r>
        <w:r w:rsidR="00F61845">
          <w:rPr>
            <w:noProof/>
            <w:webHidden/>
          </w:rPr>
          <w:t>24</w:t>
        </w:r>
        <w:r w:rsidR="00A745A5">
          <w:rPr>
            <w:noProof/>
            <w:webHidden/>
          </w:rPr>
          <w:fldChar w:fldCharType="end"/>
        </w:r>
      </w:hyperlink>
    </w:p>
    <w:p w14:paraId="2F61E16D" w14:textId="6ABA3D3B"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59" w:history="1">
        <w:r w:rsidR="00A745A5" w:rsidRPr="00EA3725">
          <w:rPr>
            <w:rStyle w:val="Hyperlink"/>
            <w:noProof/>
          </w:rPr>
          <w:t>Figure 15: COVID-19 community case rates, by age group, 2021</w:t>
        </w:r>
        <w:r w:rsidR="00A745A5">
          <w:rPr>
            <w:noProof/>
            <w:webHidden/>
          </w:rPr>
          <w:tab/>
        </w:r>
        <w:r w:rsidR="00A745A5">
          <w:rPr>
            <w:noProof/>
            <w:webHidden/>
          </w:rPr>
          <w:fldChar w:fldCharType="begin"/>
        </w:r>
        <w:r w:rsidR="00A745A5">
          <w:rPr>
            <w:noProof/>
            <w:webHidden/>
          </w:rPr>
          <w:instrText xml:space="preserve"> PAGEREF _Toc119047759 \h </w:instrText>
        </w:r>
        <w:r w:rsidR="00A745A5">
          <w:rPr>
            <w:noProof/>
            <w:webHidden/>
          </w:rPr>
        </w:r>
        <w:r w:rsidR="00A745A5">
          <w:rPr>
            <w:noProof/>
            <w:webHidden/>
          </w:rPr>
          <w:fldChar w:fldCharType="separate"/>
        </w:r>
        <w:r w:rsidR="00F61845">
          <w:rPr>
            <w:noProof/>
            <w:webHidden/>
          </w:rPr>
          <w:t>24</w:t>
        </w:r>
        <w:r w:rsidR="00A745A5">
          <w:rPr>
            <w:noProof/>
            <w:webHidden/>
          </w:rPr>
          <w:fldChar w:fldCharType="end"/>
        </w:r>
      </w:hyperlink>
    </w:p>
    <w:p w14:paraId="5911DA4E" w14:textId="7B10E39D"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60" w:history="1">
        <w:r w:rsidR="00A745A5" w:rsidRPr="00EA3725">
          <w:rPr>
            <w:rStyle w:val="Hyperlink"/>
            <w:noProof/>
          </w:rPr>
          <w:t>Figure 16: COVID-19 community case rates, by NZDep2018 deprivation quintile, 2021</w:t>
        </w:r>
        <w:r w:rsidR="00A745A5">
          <w:rPr>
            <w:noProof/>
            <w:webHidden/>
          </w:rPr>
          <w:tab/>
        </w:r>
        <w:r w:rsidR="00A745A5">
          <w:rPr>
            <w:noProof/>
            <w:webHidden/>
          </w:rPr>
          <w:fldChar w:fldCharType="begin"/>
        </w:r>
        <w:r w:rsidR="00A745A5">
          <w:rPr>
            <w:noProof/>
            <w:webHidden/>
          </w:rPr>
          <w:instrText xml:space="preserve"> PAGEREF _Toc119047760 \h </w:instrText>
        </w:r>
        <w:r w:rsidR="00A745A5">
          <w:rPr>
            <w:noProof/>
            <w:webHidden/>
          </w:rPr>
        </w:r>
        <w:r w:rsidR="00A745A5">
          <w:rPr>
            <w:noProof/>
            <w:webHidden/>
          </w:rPr>
          <w:fldChar w:fldCharType="separate"/>
        </w:r>
        <w:r w:rsidR="00F61845">
          <w:rPr>
            <w:noProof/>
            <w:webHidden/>
          </w:rPr>
          <w:t>24</w:t>
        </w:r>
        <w:r w:rsidR="00A745A5">
          <w:rPr>
            <w:noProof/>
            <w:webHidden/>
          </w:rPr>
          <w:fldChar w:fldCharType="end"/>
        </w:r>
      </w:hyperlink>
    </w:p>
    <w:p w14:paraId="1CF0B5A9" w14:textId="55589D46"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61" w:history="1">
        <w:r w:rsidR="00A745A5" w:rsidRPr="00EA3725">
          <w:rPr>
            <w:rStyle w:val="Hyperlink"/>
            <w:noProof/>
          </w:rPr>
          <w:t>Figure 17: Vaccination status of COVID-19 cases in the community, 2021</w:t>
        </w:r>
        <w:r w:rsidR="00A745A5">
          <w:rPr>
            <w:noProof/>
            <w:webHidden/>
          </w:rPr>
          <w:tab/>
        </w:r>
        <w:r w:rsidR="00A745A5">
          <w:rPr>
            <w:noProof/>
            <w:webHidden/>
          </w:rPr>
          <w:fldChar w:fldCharType="begin"/>
        </w:r>
        <w:r w:rsidR="00A745A5">
          <w:rPr>
            <w:noProof/>
            <w:webHidden/>
          </w:rPr>
          <w:instrText xml:space="preserve"> PAGEREF _Toc119047761 \h </w:instrText>
        </w:r>
        <w:r w:rsidR="00A745A5">
          <w:rPr>
            <w:noProof/>
            <w:webHidden/>
          </w:rPr>
        </w:r>
        <w:r w:rsidR="00A745A5">
          <w:rPr>
            <w:noProof/>
            <w:webHidden/>
          </w:rPr>
          <w:fldChar w:fldCharType="separate"/>
        </w:r>
        <w:r w:rsidR="00F61845">
          <w:rPr>
            <w:noProof/>
            <w:webHidden/>
          </w:rPr>
          <w:t>25</w:t>
        </w:r>
        <w:r w:rsidR="00A745A5">
          <w:rPr>
            <w:noProof/>
            <w:webHidden/>
          </w:rPr>
          <w:fldChar w:fldCharType="end"/>
        </w:r>
      </w:hyperlink>
    </w:p>
    <w:p w14:paraId="5975C745" w14:textId="7A4E705E"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62" w:history="1">
        <w:r w:rsidR="00A745A5" w:rsidRPr="00EA3725">
          <w:rPr>
            <w:rStyle w:val="Hyperlink"/>
            <w:noProof/>
          </w:rPr>
          <w:t>Figure 18: COVID-19 vaccination uptake, by ethnic group, 2021</w:t>
        </w:r>
        <w:r w:rsidR="00A745A5">
          <w:rPr>
            <w:noProof/>
            <w:webHidden/>
          </w:rPr>
          <w:tab/>
        </w:r>
        <w:r w:rsidR="00A745A5">
          <w:rPr>
            <w:noProof/>
            <w:webHidden/>
          </w:rPr>
          <w:fldChar w:fldCharType="begin"/>
        </w:r>
        <w:r w:rsidR="00A745A5">
          <w:rPr>
            <w:noProof/>
            <w:webHidden/>
          </w:rPr>
          <w:instrText xml:space="preserve"> PAGEREF _Toc119047762 \h </w:instrText>
        </w:r>
        <w:r w:rsidR="00A745A5">
          <w:rPr>
            <w:noProof/>
            <w:webHidden/>
          </w:rPr>
        </w:r>
        <w:r w:rsidR="00A745A5">
          <w:rPr>
            <w:noProof/>
            <w:webHidden/>
          </w:rPr>
          <w:fldChar w:fldCharType="separate"/>
        </w:r>
        <w:r w:rsidR="00F61845">
          <w:rPr>
            <w:noProof/>
            <w:webHidden/>
          </w:rPr>
          <w:t>26</w:t>
        </w:r>
        <w:r w:rsidR="00A745A5">
          <w:rPr>
            <w:noProof/>
            <w:webHidden/>
          </w:rPr>
          <w:fldChar w:fldCharType="end"/>
        </w:r>
      </w:hyperlink>
    </w:p>
    <w:p w14:paraId="166A88B9" w14:textId="759B8922"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63" w:history="1">
        <w:r w:rsidR="00A745A5" w:rsidRPr="00EA3725">
          <w:rPr>
            <w:rStyle w:val="Hyperlink"/>
            <w:noProof/>
          </w:rPr>
          <w:t>Figure 19: COVID-19 vaccination uptake, by NZDep2018 deprivation quintile, 2021</w:t>
        </w:r>
        <w:r w:rsidR="00A745A5">
          <w:rPr>
            <w:noProof/>
            <w:webHidden/>
          </w:rPr>
          <w:tab/>
        </w:r>
        <w:r w:rsidR="00A745A5">
          <w:rPr>
            <w:noProof/>
            <w:webHidden/>
          </w:rPr>
          <w:fldChar w:fldCharType="begin"/>
        </w:r>
        <w:r w:rsidR="00A745A5">
          <w:rPr>
            <w:noProof/>
            <w:webHidden/>
          </w:rPr>
          <w:instrText xml:space="preserve"> PAGEREF _Toc119047763 \h </w:instrText>
        </w:r>
        <w:r w:rsidR="00A745A5">
          <w:rPr>
            <w:noProof/>
            <w:webHidden/>
          </w:rPr>
        </w:r>
        <w:r w:rsidR="00A745A5">
          <w:rPr>
            <w:noProof/>
            <w:webHidden/>
          </w:rPr>
          <w:fldChar w:fldCharType="separate"/>
        </w:r>
        <w:r w:rsidR="00F61845">
          <w:rPr>
            <w:noProof/>
            <w:webHidden/>
          </w:rPr>
          <w:t>27</w:t>
        </w:r>
        <w:r w:rsidR="00A745A5">
          <w:rPr>
            <w:noProof/>
            <w:webHidden/>
          </w:rPr>
          <w:fldChar w:fldCharType="end"/>
        </w:r>
      </w:hyperlink>
    </w:p>
    <w:p w14:paraId="100BCED7" w14:textId="7F272955"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64" w:history="1">
        <w:r w:rsidR="00A745A5" w:rsidRPr="00EA3725">
          <w:rPr>
            <w:rStyle w:val="Hyperlink"/>
            <w:noProof/>
          </w:rPr>
          <w:t>Figure 20: COVID-19 vaccination uptake, by eligible age groups, 2021</w:t>
        </w:r>
        <w:r w:rsidR="00A745A5">
          <w:rPr>
            <w:noProof/>
            <w:webHidden/>
          </w:rPr>
          <w:tab/>
        </w:r>
        <w:r w:rsidR="00A745A5">
          <w:rPr>
            <w:noProof/>
            <w:webHidden/>
          </w:rPr>
          <w:fldChar w:fldCharType="begin"/>
        </w:r>
        <w:r w:rsidR="00A745A5">
          <w:rPr>
            <w:noProof/>
            <w:webHidden/>
          </w:rPr>
          <w:instrText xml:space="preserve"> PAGEREF _Toc119047764 \h </w:instrText>
        </w:r>
        <w:r w:rsidR="00A745A5">
          <w:rPr>
            <w:noProof/>
            <w:webHidden/>
          </w:rPr>
        </w:r>
        <w:r w:rsidR="00A745A5">
          <w:rPr>
            <w:noProof/>
            <w:webHidden/>
          </w:rPr>
          <w:fldChar w:fldCharType="separate"/>
        </w:r>
        <w:r w:rsidR="00F61845">
          <w:rPr>
            <w:noProof/>
            <w:webHidden/>
          </w:rPr>
          <w:t>27</w:t>
        </w:r>
        <w:r w:rsidR="00A745A5">
          <w:rPr>
            <w:noProof/>
            <w:webHidden/>
          </w:rPr>
          <w:fldChar w:fldCharType="end"/>
        </w:r>
      </w:hyperlink>
    </w:p>
    <w:p w14:paraId="300AD956" w14:textId="19AFE612"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65" w:history="1">
        <w:r w:rsidR="00A745A5" w:rsidRPr="00EA3725">
          <w:rPr>
            <w:rStyle w:val="Hyperlink"/>
            <w:noProof/>
          </w:rPr>
          <w:t>Figure 21: COVID-19 vaccination uptake, by district health board, 2021</w:t>
        </w:r>
        <w:r w:rsidR="00A745A5">
          <w:rPr>
            <w:noProof/>
            <w:webHidden/>
          </w:rPr>
          <w:tab/>
        </w:r>
        <w:r w:rsidR="00A745A5">
          <w:rPr>
            <w:noProof/>
            <w:webHidden/>
          </w:rPr>
          <w:fldChar w:fldCharType="begin"/>
        </w:r>
        <w:r w:rsidR="00A745A5">
          <w:rPr>
            <w:noProof/>
            <w:webHidden/>
          </w:rPr>
          <w:instrText xml:space="preserve"> PAGEREF _Toc119047765 \h </w:instrText>
        </w:r>
        <w:r w:rsidR="00A745A5">
          <w:rPr>
            <w:noProof/>
            <w:webHidden/>
          </w:rPr>
        </w:r>
        <w:r w:rsidR="00A745A5">
          <w:rPr>
            <w:noProof/>
            <w:webHidden/>
          </w:rPr>
          <w:fldChar w:fldCharType="separate"/>
        </w:r>
        <w:r w:rsidR="00F61845">
          <w:rPr>
            <w:noProof/>
            <w:webHidden/>
          </w:rPr>
          <w:t>28</w:t>
        </w:r>
        <w:r w:rsidR="00A745A5">
          <w:rPr>
            <w:noProof/>
            <w:webHidden/>
          </w:rPr>
          <w:fldChar w:fldCharType="end"/>
        </w:r>
      </w:hyperlink>
    </w:p>
    <w:p w14:paraId="2B4079CE" w14:textId="5CC11775"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66" w:history="1">
        <w:r w:rsidR="00A745A5" w:rsidRPr="00EA3725">
          <w:rPr>
            <w:rStyle w:val="Hyperlink"/>
            <w:noProof/>
          </w:rPr>
          <w:t>Figure 22: Proportion of women registering with a lead maternity carer in the first trimester, by age, 2011–2020</w:t>
        </w:r>
        <w:r w:rsidR="00A745A5">
          <w:rPr>
            <w:noProof/>
            <w:webHidden/>
          </w:rPr>
          <w:tab/>
        </w:r>
        <w:r w:rsidR="00A745A5">
          <w:rPr>
            <w:noProof/>
            <w:webHidden/>
          </w:rPr>
          <w:fldChar w:fldCharType="begin"/>
        </w:r>
        <w:r w:rsidR="00A745A5">
          <w:rPr>
            <w:noProof/>
            <w:webHidden/>
          </w:rPr>
          <w:instrText xml:space="preserve"> PAGEREF _Toc119047766 \h </w:instrText>
        </w:r>
        <w:r w:rsidR="00A745A5">
          <w:rPr>
            <w:noProof/>
            <w:webHidden/>
          </w:rPr>
        </w:r>
        <w:r w:rsidR="00A745A5">
          <w:rPr>
            <w:noProof/>
            <w:webHidden/>
          </w:rPr>
          <w:fldChar w:fldCharType="separate"/>
        </w:r>
        <w:r w:rsidR="00F61845">
          <w:rPr>
            <w:noProof/>
            <w:webHidden/>
          </w:rPr>
          <w:t>30</w:t>
        </w:r>
        <w:r w:rsidR="00A745A5">
          <w:rPr>
            <w:noProof/>
            <w:webHidden/>
          </w:rPr>
          <w:fldChar w:fldCharType="end"/>
        </w:r>
      </w:hyperlink>
    </w:p>
    <w:p w14:paraId="638DAB33" w14:textId="042B74CA"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67" w:history="1">
        <w:r w:rsidR="00A745A5" w:rsidRPr="00EA3725">
          <w:rPr>
            <w:rStyle w:val="Hyperlink"/>
            <w:noProof/>
          </w:rPr>
          <w:t>Figure 23: Proportion of women registering with a lead maternity carer in the first trimester, by ethnicity, 2011–2020</w:t>
        </w:r>
        <w:r w:rsidR="00A745A5">
          <w:rPr>
            <w:noProof/>
            <w:webHidden/>
          </w:rPr>
          <w:tab/>
        </w:r>
        <w:r w:rsidR="00A745A5">
          <w:rPr>
            <w:noProof/>
            <w:webHidden/>
          </w:rPr>
          <w:fldChar w:fldCharType="begin"/>
        </w:r>
        <w:r w:rsidR="00A745A5">
          <w:rPr>
            <w:noProof/>
            <w:webHidden/>
          </w:rPr>
          <w:instrText xml:space="preserve"> PAGEREF _Toc119047767 \h </w:instrText>
        </w:r>
        <w:r w:rsidR="00A745A5">
          <w:rPr>
            <w:noProof/>
            <w:webHidden/>
          </w:rPr>
        </w:r>
        <w:r w:rsidR="00A745A5">
          <w:rPr>
            <w:noProof/>
            <w:webHidden/>
          </w:rPr>
          <w:fldChar w:fldCharType="separate"/>
        </w:r>
        <w:r w:rsidR="00F61845">
          <w:rPr>
            <w:noProof/>
            <w:webHidden/>
          </w:rPr>
          <w:t>30</w:t>
        </w:r>
        <w:r w:rsidR="00A745A5">
          <w:rPr>
            <w:noProof/>
            <w:webHidden/>
          </w:rPr>
          <w:fldChar w:fldCharType="end"/>
        </w:r>
      </w:hyperlink>
    </w:p>
    <w:p w14:paraId="4CEDBBC9" w14:textId="406A8075"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68" w:history="1">
        <w:r w:rsidR="00A745A5" w:rsidRPr="00EA3725">
          <w:rPr>
            <w:rStyle w:val="Hyperlink"/>
            <w:noProof/>
          </w:rPr>
          <w:t>Figure 24: Proportion of women registering with a lead maternity carer in the first trimester, by NZDep2018 deprivation quintile, 2011–2020</w:t>
        </w:r>
        <w:r w:rsidR="00A745A5">
          <w:rPr>
            <w:noProof/>
            <w:webHidden/>
          </w:rPr>
          <w:tab/>
        </w:r>
        <w:r w:rsidR="00A745A5">
          <w:rPr>
            <w:noProof/>
            <w:webHidden/>
          </w:rPr>
          <w:fldChar w:fldCharType="begin"/>
        </w:r>
        <w:r w:rsidR="00A745A5">
          <w:rPr>
            <w:noProof/>
            <w:webHidden/>
          </w:rPr>
          <w:instrText xml:space="preserve"> PAGEREF _Toc119047768 \h </w:instrText>
        </w:r>
        <w:r w:rsidR="00A745A5">
          <w:rPr>
            <w:noProof/>
            <w:webHidden/>
          </w:rPr>
        </w:r>
        <w:r w:rsidR="00A745A5">
          <w:rPr>
            <w:noProof/>
            <w:webHidden/>
          </w:rPr>
          <w:fldChar w:fldCharType="separate"/>
        </w:r>
        <w:r w:rsidR="00F61845">
          <w:rPr>
            <w:noProof/>
            <w:webHidden/>
          </w:rPr>
          <w:t>31</w:t>
        </w:r>
        <w:r w:rsidR="00A745A5">
          <w:rPr>
            <w:noProof/>
            <w:webHidden/>
          </w:rPr>
          <w:fldChar w:fldCharType="end"/>
        </w:r>
      </w:hyperlink>
    </w:p>
    <w:p w14:paraId="5749FC50" w14:textId="2BDF5ADE"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69" w:history="1">
        <w:r w:rsidR="00A745A5" w:rsidRPr="00EA3725">
          <w:rPr>
            <w:rStyle w:val="Hyperlink"/>
            <w:noProof/>
          </w:rPr>
          <w:t>Figure 25: Proportion of women who received an intervention during birth, 2011–2020</w:t>
        </w:r>
        <w:r w:rsidR="00A745A5">
          <w:rPr>
            <w:noProof/>
            <w:webHidden/>
          </w:rPr>
          <w:tab/>
        </w:r>
        <w:r w:rsidR="00A745A5">
          <w:rPr>
            <w:noProof/>
            <w:webHidden/>
          </w:rPr>
          <w:fldChar w:fldCharType="begin"/>
        </w:r>
        <w:r w:rsidR="00A745A5">
          <w:rPr>
            <w:noProof/>
            <w:webHidden/>
          </w:rPr>
          <w:instrText xml:space="preserve"> PAGEREF _Toc119047769 \h </w:instrText>
        </w:r>
        <w:r w:rsidR="00A745A5">
          <w:rPr>
            <w:noProof/>
            <w:webHidden/>
          </w:rPr>
        </w:r>
        <w:r w:rsidR="00A745A5">
          <w:rPr>
            <w:noProof/>
            <w:webHidden/>
          </w:rPr>
          <w:fldChar w:fldCharType="separate"/>
        </w:r>
        <w:r w:rsidR="00F61845">
          <w:rPr>
            <w:noProof/>
            <w:webHidden/>
          </w:rPr>
          <w:t>31</w:t>
        </w:r>
        <w:r w:rsidR="00A745A5">
          <w:rPr>
            <w:noProof/>
            <w:webHidden/>
          </w:rPr>
          <w:fldChar w:fldCharType="end"/>
        </w:r>
      </w:hyperlink>
    </w:p>
    <w:p w14:paraId="4C61714A" w14:textId="4D5E4889"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70" w:history="1">
        <w:r w:rsidR="00A745A5" w:rsidRPr="00EA3725">
          <w:rPr>
            <w:rStyle w:val="Hyperlink"/>
            <w:noProof/>
          </w:rPr>
          <w:t>Figure 26: Proportion of New Zealand residents enrolled with a primary health organisation, by age group, 2021</w:t>
        </w:r>
        <w:r w:rsidR="00A745A5">
          <w:rPr>
            <w:noProof/>
            <w:webHidden/>
          </w:rPr>
          <w:tab/>
        </w:r>
        <w:r w:rsidR="00A745A5">
          <w:rPr>
            <w:noProof/>
            <w:webHidden/>
          </w:rPr>
          <w:fldChar w:fldCharType="begin"/>
        </w:r>
        <w:r w:rsidR="00A745A5">
          <w:rPr>
            <w:noProof/>
            <w:webHidden/>
          </w:rPr>
          <w:instrText xml:space="preserve"> PAGEREF _Toc119047770 \h </w:instrText>
        </w:r>
        <w:r w:rsidR="00A745A5">
          <w:rPr>
            <w:noProof/>
            <w:webHidden/>
          </w:rPr>
        </w:r>
        <w:r w:rsidR="00A745A5">
          <w:rPr>
            <w:noProof/>
            <w:webHidden/>
          </w:rPr>
          <w:fldChar w:fldCharType="separate"/>
        </w:r>
        <w:r w:rsidR="00F61845">
          <w:rPr>
            <w:noProof/>
            <w:webHidden/>
          </w:rPr>
          <w:t>32</w:t>
        </w:r>
        <w:r w:rsidR="00A745A5">
          <w:rPr>
            <w:noProof/>
            <w:webHidden/>
          </w:rPr>
          <w:fldChar w:fldCharType="end"/>
        </w:r>
      </w:hyperlink>
    </w:p>
    <w:p w14:paraId="5143F0C2" w14:textId="7D51B1E9"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71" w:history="1">
        <w:r w:rsidR="00A745A5" w:rsidRPr="00EA3725">
          <w:rPr>
            <w:rStyle w:val="Hyperlink"/>
            <w:noProof/>
          </w:rPr>
          <w:t>Figure 27: Proportion of enrolled people known to have engaged with their general practice, by age group, 2021</w:t>
        </w:r>
        <w:r w:rsidR="00A745A5">
          <w:rPr>
            <w:noProof/>
            <w:webHidden/>
          </w:rPr>
          <w:tab/>
        </w:r>
        <w:r w:rsidR="00A745A5">
          <w:rPr>
            <w:noProof/>
            <w:webHidden/>
          </w:rPr>
          <w:fldChar w:fldCharType="begin"/>
        </w:r>
        <w:r w:rsidR="00A745A5">
          <w:rPr>
            <w:noProof/>
            <w:webHidden/>
          </w:rPr>
          <w:instrText xml:space="preserve"> PAGEREF _Toc119047771 \h </w:instrText>
        </w:r>
        <w:r w:rsidR="00A745A5">
          <w:rPr>
            <w:noProof/>
            <w:webHidden/>
          </w:rPr>
        </w:r>
        <w:r w:rsidR="00A745A5">
          <w:rPr>
            <w:noProof/>
            <w:webHidden/>
          </w:rPr>
          <w:fldChar w:fldCharType="separate"/>
        </w:r>
        <w:r w:rsidR="00F61845">
          <w:rPr>
            <w:noProof/>
            <w:webHidden/>
          </w:rPr>
          <w:t>33</w:t>
        </w:r>
        <w:r w:rsidR="00A745A5">
          <w:rPr>
            <w:noProof/>
            <w:webHidden/>
          </w:rPr>
          <w:fldChar w:fldCharType="end"/>
        </w:r>
      </w:hyperlink>
    </w:p>
    <w:p w14:paraId="36782A41" w14:textId="591FF43D"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72" w:history="1">
        <w:r w:rsidR="00A745A5" w:rsidRPr="00EA3725">
          <w:rPr>
            <w:rStyle w:val="Hyperlink"/>
            <w:noProof/>
          </w:rPr>
          <w:t>Figure 28: Proportion of 5-year-old children caries-free, by ethnic group, 2020</w:t>
        </w:r>
        <w:r w:rsidR="00A745A5">
          <w:rPr>
            <w:noProof/>
            <w:webHidden/>
          </w:rPr>
          <w:tab/>
        </w:r>
        <w:r w:rsidR="00A745A5">
          <w:rPr>
            <w:noProof/>
            <w:webHidden/>
          </w:rPr>
          <w:fldChar w:fldCharType="begin"/>
        </w:r>
        <w:r w:rsidR="00A745A5">
          <w:rPr>
            <w:noProof/>
            <w:webHidden/>
          </w:rPr>
          <w:instrText xml:space="preserve"> PAGEREF _Toc119047772 \h </w:instrText>
        </w:r>
        <w:r w:rsidR="00A745A5">
          <w:rPr>
            <w:noProof/>
            <w:webHidden/>
          </w:rPr>
        </w:r>
        <w:r w:rsidR="00A745A5">
          <w:rPr>
            <w:noProof/>
            <w:webHidden/>
          </w:rPr>
          <w:fldChar w:fldCharType="separate"/>
        </w:r>
        <w:r w:rsidR="00F61845">
          <w:rPr>
            <w:noProof/>
            <w:webHidden/>
          </w:rPr>
          <w:t>35</w:t>
        </w:r>
        <w:r w:rsidR="00A745A5">
          <w:rPr>
            <w:noProof/>
            <w:webHidden/>
          </w:rPr>
          <w:fldChar w:fldCharType="end"/>
        </w:r>
      </w:hyperlink>
    </w:p>
    <w:p w14:paraId="3AF9C90B" w14:textId="52BC4E63"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73" w:history="1">
        <w:r w:rsidR="00A745A5" w:rsidRPr="00EA3725">
          <w:rPr>
            <w:rStyle w:val="Hyperlink"/>
            <w:noProof/>
          </w:rPr>
          <w:t>Figure 29: Percentage of children who were fully immunised at 8 months, 24 months and 5 years, by prioritised ethnic group, 2021</w:t>
        </w:r>
        <w:r w:rsidR="00A745A5">
          <w:rPr>
            <w:noProof/>
            <w:webHidden/>
          </w:rPr>
          <w:tab/>
        </w:r>
        <w:r w:rsidR="00A745A5">
          <w:rPr>
            <w:noProof/>
            <w:webHidden/>
          </w:rPr>
          <w:fldChar w:fldCharType="begin"/>
        </w:r>
        <w:r w:rsidR="00A745A5">
          <w:rPr>
            <w:noProof/>
            <w:webHidden/>
          </w:rPr>
          <w:instrText xml:space="preserve"> PAGEREF _Toc119047773 \h </w:instrText>
        </w:r>
        <w:r w:rsidR="00A745A5">
          <w:rPr>
            <w:noProof/>
            <w:webHidden/>
          </w:rPr>
        </w:r>
        <w:r w:rsidR="00A745A5">
          <w:rPr>
            <w:noProof/>
            <w:webHidden/>
          </w:rPr>
          <w:fldChar w:fldCharType="separate"/>
        </w:r>
        <w:r w:rsidR="00F61845">
          <w:rPr>
            <w:noProof/>
            <w:webHidden/>
          </w:rPr>
          <w:t>37</w:t>
        </w:r>
        <w:r w:rsidR="00A745A5">
          <w:rPr>
            <w:noProof/>
            <w:webHidden/>
          </w:rPr>
          <w:fldChar w:fldCharType="end"/>
        </w:r>
      </w:hyperlink>
    </w:p>
    <w:p w14:paraId="1BA28523" w14:textId="3F0AD158"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74" w:history="1">
        <w:r w:rsidR="00A745A5" w:rsidRPr="00EA3725">
          <w:rPr>
            <w:rStyle w:val="Hyperlink"/>
            <w:noProof/>
          </w:rPr>
          <w:t>Figure 30: Incidence rates for the 10 most diagnosed cancers in Aotearoa, Māori and non-Māori, age- and sex-standardised, 2008–2017</w:t>
        </w:r>
        <w:r w:rsidR="00A745A5">
          <w:rPr>
            <w:noProof/>
            <w:webHidden/>
          </w:rPr>
          <w:tab/>
        </w:r>
        <w:r w:rsidR="00A745A5">
          <w:rPr>
            <w:noProof/>
            <w:webHidden/>
          </w:rPr>
          <w:fldChar w:fldCharType="begin"/>
        </w:r>
        <w:r w:rsidR="00A745A5">
          <w:rPr>
            <w:noProof/>
            <w:webHidden/>
          </w:rPr>
          <w:instrText xml:space="preserve"> PAGEREF _Toc119047774 \h </w:instrText>
        </w:r>
        <w:r w:rsidR="00A745A5">
          <w:rPr>
            <w:noProof/>
            <w:webHidden/>
          </w:rPr>
        </w:r>
        <w:r w:rsidR="00A745A5">
          <w:rPr>
            <w:noProof/>
            <w:webHidden/>
          </w:rPr>
          <w:fldChar w:fldCharType="separate"/>
        </w:r>
        <w:r w:rsidR="00F61845">
          <w:rPr>
            <w:noProof/>
            <w:webHidden/>
          </w:rPr>
          <w:t>39</w:t>
        </w:r>
        <w:r w:rsidR="00A745A5">
          <w:rPr>
            <w:noProof/>
            <w:webHidden/>
          </w:rPr>
          <w:fldChar w:fldCharType="end"/>
        </w:r>
      </w:hyperlink>
    </w:p>
    <w:p w14:paraId="44DA56E6" w14:textId="393B71F8"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75" w:history="1">
        <w:r w:rsidR="00A745A5" w:rsidRPr="00EA3725">
          <w:rPr>
            <w:rStyle w:val="Hyperlink"/>
            <w:noProof/>
          </w:rPr>
          <w:t>Figure 31: Age- and sex-standardised cancer-related mortality, 2007–2017</w:t>
        </w:r>
        <w:r w:rsidR="00A745A5">
          <w:rPr>
            <w:noProof/>
            <w:webHidden/>
          </w:rPr>
          <w:tab/>
        </w:r>
        <w:r w:rsidR="00A745A5">
          <w:rPr>
            <w:noProof/>
            <w:webHidden/>
          </w:rPr>
          <w:fldChar w:fldCharType="begin"/>
        </w:r>
        <w:r w:rsidR="00A745A5">
          <w:rPr>
            <w:noProof/>
            <w:webHidden/>
          </w:rPr>
          <w:instrText xml:space="preserve"> PAGEREF _Toc119047775 \h </w:instrText>
        </w:r>
        <w:r w:rsidR="00A745A5">
          <w:rPr>
            <w:noProof/>
            <w:webHidden/>
          </w:rPr>
        </w:r>
        <w:r w:rsidR="00A745A5">
          <w:rPr>
            <w:noProof/>
            <w:webHidden/>
          </w:rPr>
          <w:fldChar w:fldCharType="separate"/>
        </w:r>
        <w:r w:rsidR="00F61845">
          <w:rPr>
            <w:noProof/>
            <w:webHidden/>
          </w:rPr>
          <w:t>40</w:t>
        </w:r>
        <w:r w:rsidR="00A745A5">
          <w:rPr>
            <w:noProof/>
            <w:webHidden/>
          </w:rPr>
          <w:fldChar w:fldCharType="end"/>
        </w:r>
      </w:hyperlink>
    </w:p>
    <w:p w14:paraId="07447E77" w14:textId="0ACF4806"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76" w:history="1">
        <w:r w:rsidR="00A745A5" w:rsidRPr="00EA3725">
          <w:rPr>
            <w:rStyle w:val="Hyperlink"/>
            <w:noProof/>
          </w:rPr>
          <w:t>Figure 32: Trends in select cancers’ 5-year survival rates, 1998/99–2016/17</w:t>
        </w:r>
        <w:r w:rsidR="00A745A5">
          <w:rPr>
            <w:noProof/>
            <w:webHidden/>
          </w:rPr>
          <w:tab/>
        </w:r>
        <w:r w:rsidR="00A745A5">
          <w:rPr>
            <w:noProof/>
            <w:webHidden/>
          </w:rPr>
          <w:fldChar w:fldCharType="begin"/>
        </w:r>
        <w:r w:rsidR="00A745A5">
          <w:rPr>
            <w:noProof/>
            <w:webHidden/>
          </w:rPr>
          <w:instrText xml:space="preserve"> PAGEREF _Toc119047776 \h </w:instrText>
        </w:r>
        <w:r w:rsidR="00A745A5">
          <w:rPr>
            <w:noProof/>
            <w:webHidden/>
          </w:rPr>
        </w:r>
        <w:r w:rsidR="00A745A5">
          <w:rPr>
            <w:noProof/>
            <w:webHidden/>
          </w:rPr>
          <w:fldChar w:fldCharType="separate"/>
        </w:r>
        <w:r w:rsidR="00F61845">
          <w:rPr>
            <w:noProof/>
            <w:webHidden/>
          </w:rPr>
          <w:t>41</w:t>
        </w:r>
        <w:r w:rsidR="00A745A5">
          <w:rPr>
            <w:noProof/>
            <w:webHidden/>
          </w:rPr>
          <w:fldChar w:fldCharType="end"/>
        </w:r>
      </w:hyperlink>
    </w:p>
    <w:p w14:paraId="69B44497" w14:textId="325AA8B1"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77" w:history="1">
        <w:r w:rsidR="00A745A5" w:rsidRPr="00EA3725">
          <w:rPr>
            <w:rStyle w:val="Hyperlink"/>
            <w:noProof/>
          </w:rPr>
          <w:t>Figure 33: Two-year breast screening coverage, by prioritised ethnic group, women aged 45–69 years, 2010–2021</w:t>
        </w:r>
        <w:r w:rsidR="00A745A5">
          <w:rPr>
            <w:noProof/>
            <w:webHidden/>
          </w:rPr>
          <w:tab/>
        </w:r>
        <w:r w:rsidR="00A745A5">
          <w:rPr>
            <w:noProof/>
            <w:webHidden/>
          </w:rPr>
          <w:fldChar w:fldCharType="begin"/>
        </w:r>
        <w:r w:rsidR="00A745A5">
          <w:rPr>
            <w:noProof/>
            <w:webHidden/>
          </w:rPr>
          <w:instrText xml:space="preserve"> PAGEREF _Toc119047777 \h </w:instrText>
        </w:r>
        <w:r w:rsidR="00A745A5">
          <w:rPr>
            <w:noProof/>
            <w:webHidden/>
          </w:rPr>
        </w:r>
        <w:r w:rsidR="00A745A5">
          <w:rPr>
            <w:noProof/>
            <w:webHidden/>
          </w:rPr>
          <w:fldChar w:fldCharType="separate"/>
        </w:r>
        <w:r w:rsidR="00F61845">
          <w:rPr>
            <w:noProof/>
            <w:webHidden/>
          </w:rPr>
          <w:t>42</w:t>
        </w:r>
        <w:r w:rsidR="00A745A5">
          <w:rPr>
            <w:noProof/>
            <w:webHidden/>
          </w:rPr>
          <w:fldChar w:fldCharType="end"/>
        </w:r>
      </w:hyperlink>
    </w:p>
    <w:p w14:paraId="43B838E3" w14:textId="20F851B1"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78" w:history="1">
        <w:r w:rsidR="00A745A5" w:rsidRPr="00EA3725">
          <w:rPr>
            <w:rStyle w:val="Hyperlink"/>
            <w:noProof/>
          </w:rPr>
          <w:t>Figure 34: Three-year cervical screening coverage, by prioritised ethnic group, women aged 25–69 years, 2007–2021</w:t>
        </w:r>
        <w:r w:rsidR="00A745A5">
          <w:rPr>
            <w:noProof/>
            <w:webHidden/>
          </w:rPr>
          <w:tab/>
        </w:r>
        <w:r w:rsidR="00A745A5">
          <w:rPr>
            <w:noProof/>
            <w:webHidden/>
          </w:rPr>
          <w:fldChar w:fldCharType="begin"/>
        </w:r>
        <w:r w:rsidR="00A745A5">
          <w:rPr>
            <w:noProof/>
            <w:webHidden/>
          </w:rPr>
          <w:instrText xml:space="preserve"> PAGEREF _Toc119047778 \h </w:instrText>
        </w:r>
        <w:r w:rsidR="00A745A5">
          <w:rPr>
            <w:noProof/>
            <w:webHidden/>
          </w:rPr>
        </w:r>
        <w:r w:rsidR="00A745A5">
          <w:rPr>
            <w:noProof/>
            <w:webHidden/>
          </w:rPr>
          <w:fldChar w:fldCharType="separate"/>
        </w:r>
        <w:r w:rsidR="00F61845">
          <w:rPr>
            <w:noProof/>
            <w:webHidden/>
          </w:rPr>
          <w:t>43</w:t>
        </w:r>
        <w:r w:rsidR="00A745A5">
          <w:rPr>
            <w:noProof/>
            <w:webHidden/>
          </w:rPr>
          <w:fldChar w:fldCharType="end"/>
        </w:r>
      </w:hyperlink>
    </w:p>
    <w:p w14:paraId="0D6B22C0" w14:textId="717108C8"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79" w:history="1">
        <w:r w:rsidR="00A745A5" w:rsidRPr="00EA3725">
          <w:rPr>
            <w:rStyle w:val="Hyperlink"/>
            <w:noProof/>
          </w:rPr>
          <w:t>Figure 35: Prevalence of adults who experienced high psychological distress in the last 4 weeks, by ethnic group, 2011/12–2020/21</w:t>
        </w:r>
        <w:r w:rsidR="00A745A5">
          <w:rPr>
            <w:noProof/>
            <w:webHidden/>
          </w:rPr>
          <w:tab/>
        </w:r>
        <w:r w:rsidR="00A745A5">
          <w:rPr>
            <w:noProof/>
            <w:webHidden/>
          </w:rPr>
          <w:fldChar w:fldCharType="begin"/>
        </w:r>
        <w:r w:rsidR="00A745A5">
          <w:rPr>
            <w:noProof/>
            <w:webHidden/>
          </w:rPr>
          <w:instrText xml:space="preserve"> PAGEREF _Toc119047779 \h </w:instrText>
        </w:r>
        <w:r w:rsidR="00A745A5">
          <w:rPr>
            <w:noProof/>
            <w:webHidden/>
          </w:rPr>
        </w:r>
        <w:r w:rsidR="00A745A5">
          <w:rPr>
            <w:noProof/>
            <w:webHidden/>
          </w:rPr>
          <w:fldChar w:fldCharType="separate"/>
        </w:r>
        <w:r w:rsidR="00F61845">
          <w:rPr>
            <w:noProof/>
            <w:webHidden/>
          </w:rPr>
          <w:t>47</w:t>
        </w:r>
        <w:r w:rsidR="00A745A5">
          <w:rPr>
            <w:noProof/>
            <w:webHidden/>
          </w:rPr>
          <w:fldChar w:fldCharType="end"/>
        </w:r>
      </w:hyperlink>
    </w:p>
    <w:p w14:paraId="6220E1C3" w14:textId="539813D4"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80" w:history="1">
        <w:r w:rsidR="00A745A5" w:rsidRPr="00EA3725">
          <w:rPr>
            <w:rStyle w:val="Hyperlink"/>
            <w:noProof/>
          </w:rPr>
          <w:t>Figure 36: Proportion of population with one or multiple long-term conditions, by ethnic group and age, 2020</w:t>
        </w:r>
        <w:r w:rsidR="00A745A5">
          <w:rPr>
            <w:noProof/>
            <w:webHidden/>
          </w:rPr>
          <w:tab/>
        </w:r>
        <w:r w:rsidR="00A745A5">
          <w:rPr>
            <w:noProof/>
            <w:webHidden/>
          </w:rPr>
          <w:fldChar w:fldCharType="begin"/>
        </w:r>
        <w:r w:rsidR="00A745A5">
          <w:rPr>
            <w:noProof/>
            <w:webHidden/>
          </w:rPr>
          <w:instrText xml:space="preserve"> PAGEREF _Toc119047780 \h </w:instrText>
        </w:r>
        <w:r w:rsidR="00A745A5">
          <w:rPr>
            <w:noProof/>
            <w:webHidden/>
          </w:rPr>
        </w:r>
        <w:r w:rsidR="00A745A5">
          <w:rPr>
            <w:noProof/>
            <w:webHidden/>
          </w:rPr>
          <w:fldChar w:fldCharType="separate"/>
        </w:r>
        <w:r w:rsidR="00F61845">
          <w:rPr>
            <w:noProof/>
            <w:webHidden/>
          </w:rPr>
          <w:t>50</w:t>
        </w:r>
        <w:r w:rsidR="00A745A5">
          <w:rPr>
            <w:noProof/>
            <w:webHidden/>
          </w:rPr>
          <w:fldChar w:fldCharType="end"/>
        </w:r>
      </w:hyperlink>
    </w:p>
    <w:p w14:paraId="2281D0A8" w14:textId="305BC7B0"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81" w:history="1">
        <w:r w:rsidR="00A745A5" w:rsidRPr="00EA3725">
          <w:rPr>
            <w:rStyle w:val="Hyperlink"/>
            <w:noProof/>
          </w:rPr>
          <w:t>Figure 37: Proportion of population with diabetes, by ethnic group and age, 2020</w:t>
        </w:r>
        <w:r w:rsidR="00A745A5">
          <w:rPr>
            <w:noProof/>
            <w:webHidden/>
          </w:rPr>
          <w:tab/>
        </w:r>
        <w:r w:rsidR="00A745A5">
          <w:rPr>
            <w:noProof/>
            <w:webHidden/>
          </w:rPr>
          <w:fldChar w:fldCharType="begin"/>
        </w:r>
        <w:r w:rsidR="00A745A5">
          <w:rPr>
            <w:noProof/>
            <w:webHidden/>
          </w:rPr>
          <w:instrText xml:space="preserve"> PAGEREF _Toc119047781 \h </w:instrText>
        </w:r>
        <w:r w:rsidR="00A745A5">
          <w:rPr>
            <w:noProof/>
            <w:webHidden/>
          </w:rPr>
        </w:r>
        <w:r w:rsidR="00A745A5">
          <w:rPr>
            <w:noProof/>
            <w:webHidden/>
          </w:rPr>
          <w:fldChar w:fldCharType="separate"/>
        </w:r>
        <w:r w:rsidR="00F61845">
          <w:rPr>
            <w:noProof/>
            <w:webHidden/>
          </w:rPr>
          <w:t>52</w:t>
        </w:r>
        <w:r w:rsidR="00A745A5">
          <w:rPr>
            <w:noProof/>
            <w:webHidden/>
          </w:rPr>
          <w:fldChar w:fldCharType="end"/>
        </w:r>
      </w:hyperlink>
    </w:p>
    <w:p w14:paraId="692E7633" w14:textId="7B5F548B"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82" w:history="1">
        <w:r w:rsidR="00A745A5" w:rsidRPr="00EA3725">
          <w:rPr>
            <w:rStyle w:val="Hyperlink"/>
            <w:noProof/>
          </w:rPr>
          <w:t>Figure 38: Proportion of population with cardiovascular disease (35+ years), by ethnic group and age, 2020</w:t>
        </w:r>
        <w:r w:rsidR="00A745A5">
          <w:rPr>
            <w:noProof/>
            <w:webHidden/>
          </w:rPr>
          <w:tab/>
        </w:r>
        <w:r w:rsidR="00A745A5">
          <w:rPr>
            <w:noProof/>
            <w:webHidden/>
          </w:rPr>
          <w:fldChar w:fldCharType="begin"/>
        </w:r>
        <w:r w:rsidR="00A745A5">
          <w:rPr>
            <w:noProof/>
            <w:webHidden/>
          </w:rPr>
          <w:instrText xml:space="preserve"> PAGEREF _Toc119047782 \h </w:instrText>
        </w:r>
        <w:r w:rsidR="00A745A5">
          <w:rPr>
            <w:noProof/>
            <w:webHidden/>
          </w:rPr>
        </w:r>
        <w:r w:rsidR="00A745A5">
          <w:rPr>
            <w:noProof/>
            <w:webHidden/>
          </w:rPr>
          <w:fldChar w:fldCharType="separate"/>
        </w:r>
        <w:r w:rsidR="00F61845">
          <w:rPr>
            <w:noProof/>
            <w:webHidden/>
          </w:rPr>
          <w:t>53</w:t>
        </w:r>
        <w:r w:rsidR="00A745A5">
          <w:rPr>
            <w:noProof/>
            <w:webHidden/>
          </w:rPr>
          <w:fldChar w:fldCharType="end"/>
        </w:r>
      </w:hyperlink>
    </w:p>
    <w:p w14:paraId="36797312" w14:textId="65370EAC"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83" w:history="1">
        <w:r w:rsidR="00A745A5" w:rsidRPr="00EA3725">
          <w:rPr>
            <w:rStyle w:val="Hyperlink"/>
            <w:noProof/>
          </w:rPr>
          <w:t>Figure 39: Ambulatory sensitive hospital rates for 0–4-year-olds, by prioritised ethnic group, 2017–2021</w:t>
        </w:r>
        <w:r w:rsidR="00A745A5">
          <w:rPr>
            <w:noProof/>
            <w:webHidden/>
          </w:rPr>
          <w:tab/>
        </w:r>
        <w:r w:rsidR="00A745A5">
          <w:rPr>
            <w:noProof/>
            <w:webHidden/>
          </w:rPr>
          <w:fldChar w:fldCharType="begin"/>
        </w:r>
        <w:r w:rsidR="00A745A5">
          <w:rPr>
            <w:noProof/>
            <w:webHidden/>
          </w:rPr>
          <w:instrText xml:space="preserve"> PAGEREF _Toc119047783 \h </w:instrText>
        </w:r>
        <w:r w:rsidR="00A745A5">
          <w:rPr>
            <w:noProof/>
            <w:webHidden/>
          </w:rPr>
        </w:r>
        <w:r w:rsidR="00A745A5">
          <w:rPr>
            <w:noProof/>
            <w:webHidden/>
          </w:rPr>
          <w:fldChar w:fldCharType="separate"/>
        </w:r>
        <w:r w:rsidR="00F61845">
          <w:rPr>
            <w:noProof/>
            <w:webHidden/>
          </w:rPr>
          <w:t>54</w:t>
        </w:r>
        <w:r w:rsidR="00A745A5">
          <w:rPr>
            <w:noProof/>
            <w:webHidden/>
          </w:rPr>
          <w:fldChar w:fldCharType="end"/>
        </w:r>
      </w:hyperlink>
    </w:p>
    <w:p w14:paraId="6C404CA2" w14:textId="48BB42E9"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84" w:history="1">
        <w:r w:rsidR="00A745A5" w:rsidRPr="00EA3725">
          <w:rPr>
            <w:rStyle w:val="Hyperlink"/>
            <w:noProof/>
          </w:rPr>
          <w:t>Figure 40: Ambulatory sensitive hospital rates for 45–64-year-olds, by prioritised ethnic group, 2017–2021</w:t>
        </w:r>
        <w:r w:rsidR="00A745A5">
          <w:rPr>
            <w:noProof/>
            <w:webHidden/>
          </w:rPr>
          <w:tab/>
        </w:r>
        <w:r w:rsidR="00A745A5">
          <w:rPr>
            <w:noProof/>
            <w:webHidden/>
          </w:rPr>
          <w:fldChar w:fldCharType="begin"/>
        </w:r>
        <w:r w:rsidR="00A745A5">
          <w:rPr>
            <w:noProof/>
            <w:webHidden/>
          </w:rPr>
          <w:instrText xml:space="preserve"> PAGEREF _Toc119047784 \h </w:instrText>
        </w:r>
        <w:r w:rsidR="00A745A5">
          <w:rPr>
            <w:noProof/>
            <w:webHidden/>
          </w:rPr>
        </w:r>
        <w:r w:rsidR="00A745A5">
          <w:rPr>
            <w:noProof/>
            <w:webHidden/>
          </w:rPr>
          <w:fldChar w:fldCharType="separate"/>
        </w:r>
        <w:r w:rsidR="00F61845">
          <w:rPr>
            <w:noProof/>
            <w:webHidden/>
          </w:rPr>
          <w:t>55</w:t>
        </w:r>
        <w:r w:rsidR="00A745A5">
          <w:rPr>
            <w:noProof/>
            <w:webHidden/>
          </w:rPr>
          <w:fldChar w:fldCharType="end"/>
        </w:r>
      </w:hyperlink>
    </w:p>
    <w:p w14:paraId="79C8CD8C" w14:textId="2D9432BA"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85" w:history="1">
        <w:r w:rsidR="00A745A5" w:rsidRPr="00EA3725">
          <w:rPr>
            <w:rStyle w:val="Hyperlink"/>
            <w:noProof/>
          </w:rPr>
          <w:t>Figure 41: Acute inpatient discharges standardised average length of stay, in days, by prioritised ethnic group, 2017–2021</w:t>
        </w:r>
        <w:r w:rsidR="00A745A5">
          <w:rPr>
            <w:noProof/>
            <w:webHidden/>
          </w:rPr>
          <w:tab/>
        </w:r>
        <w:r w:rsidR="00A745A5">
          <w:rPr>
            <w:noProof/>
            <w:webHidden/>
          </w:rPr>
          <w:fldChar w:fldCharType="begin"/>
        </w:r>
        <w:r w:rsidR="00A745A5">
          <w:rPr>
            <w:noProof/>
            <w:webHidden/>
          </w:rPr>
          <w:instrText xml:space="preserve"> PAGEREF _Toc119047785 \h </w:instrText>
        </w:r>
        <w:r w:rsidR="00A745A5">
          <w:rPr>
            <w:noProof/>
            <w:webHidden/>
          </w:rPr>
        </w:r>
        <w:r w:rsidR="00A745A5">
          <w:rPr>
            <w:noProof/>
            <w:webHidden/>
          </w:rPr>
          <w:fldChar w:fldCharType="separate"/>
        </w:r>
        <w:r w:rsidR="00F61845">
          <w:rPr>
            <w:noProof/>
            <w:webHidden/>
          </w:rPr>
          <w:t>56</w:t>
        </w:r>
        <w:r w:rsidR="00A745A5">
          <w:rPr>
            <w:noProof/>
            <w:webHidden/>
          </w:rPr>
          <w:fldChar w:fldCharType="end"/>
        </w:r>
      </w:hyperlink>
    </w:p>
    <w:p w14:paraId="278266E0" w14:textId="012ACCC8"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86" w:history="1">
        <w:r w:rsidR="00A745A5" w:rsidRPr="00EA3725">
          <w:rPr>
            <w:rStyle w:val="Hyperlink"/>
            <w:noProof/>
          </w:rPr>
          <w:t>Figure 42: Proportion of patients who waited longer than 4 months for assessment and elective treatment or surgery, January 2019–December 2021</w:t>
        </w:r>
        <w:r w:rsidR="00A745A5">
          <w:rPr>
            <w:noProof/>
            <w:webHidden/>
          </w:rPr>
          <w:tab/>
        </w:r>
        <w:r w:rsidR="00A745A5">
          <w:rPr>
            <w:noProof/>
            <w:webHidden/>
          </w:rPr>
          <w:fldChar w:fldCharType="begin"/>
        </w:r>
        <w:r w:rsidR="00A745A5">
          <w:rPr>
            <w:noProof/>
            <w:webHidden/>
          </w:rPr>
          <w:instrText xml:space="preserve"> PAGEREF _Toc119047786 \h </w:instrText>
        </w:r>
        <w:r w:rsidR="00A745A5">
          <w:rPr>
            <w:noProof/>
            <w:webHidden/>
          </w:rPr>
        </w:r>
        <w:r w:rsidR="00A745A5">
          <w:rPr>
            <w:noProof/>
            <w:webHidden/>
          </w:rPr>
          <w:fldChar w:fldCharType="separate"/>
        </w:r>
        <w:r w:rsidR="00F61845">
          <w:rPr>
            <w:noProof/>
            <w:webHidden/>
          </w:rPr>
          <w:t>57</w:t>
        </w:r>
        <w:r w:rsidR="00A745A5">
          <w:rPr>
            <w:noProof/>
            <w:webHidden/>
          </w:rPr>
          <w:fldChar w:fldCharType="end"/>
        </w:r>
      </w:hyperlink>
    </w:p>
    <w:p w14:paraId="50B17252" w14:textId="075BE600"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87" w:history="1">
        <w:r w:rsidR="00A745A5" w:rsidRPr="00EA3725">
          <w:rPr>
            <w:rStyle w:val="Hyperlink"/>
            <w:noProof/>
          </w:rPr>
          <w:t>Figure 43: Proportion of patients who waited longer than 4 months for elective treatment/surgery, by specialty, 2021</w:t>
        </w:r>
        <w:r w:rsidR="00A745A5">
          <w:rPr>
            <w:noProof/>
            <w:webHidden/>
          </w:rPr>
          <w:tab/>
        </w:r>
        <w:r w:rsidR="00A745A5">
          <w:rPr>
            <w:noProof/>
            <w:webHidden/>
          </w:rPr>
          <w:fldChar w:fldCharType="begin"/>
        </w:r>
        <w:r w:rsidR="00A745A5">
          <w:rPr>
            <w:noProof/>
            <w:webHidden/>
          </w:rPr>
          <w:instrText xml:space="preserve"> PAGEREF _Toc119047787 \h </w:instrText>
        </w:r>
        <w:r w:rsidR="00A745A5">
          <w:rPr>
            <w:noProof/>
            <w:webHidden/>
          </w:rPr>
        </w:r>
        <w:r w:rsidR="00A745A5">
          <w:rPr>
            <w:noProof/>
            <w:webHidden/>
          </w:rPr>
          <w:fldChar w:fldCharType="separate"/>
        </w:r>
        <w:r w:rsidR="00F61845">
          <w:rPr>
            <w:noProof/>
            <w:webHidden/>
          </w:rPr>
          <w:t>58</w:t>
        </w:r>
        <w:r w:rsidR="00A745A5">
          <w:rPr>
            <w:noProof/>
            <w:webHidden/>
          </w:rPr>
          <w:fldChar w:fldCharType="end"/>
        </w:r>
      </w:hyperlink>
    </w:p>
    <w:p w14:paraId="427B908D" w14:textId="0CF8A357"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88" w:history="1">
        <w:r w:rsidR="00A745A5" w:rsidRPr="00EA3725">
          <w:rPr>
            <w:rStyle w:val="Hyperlink"/>
            <w:noProof/>
          </w:rPr>
          <w:t>Figure 44: Proportion of patients who waited longer than 4 months for first specialist assessment by specialty, 2021</w:t>
        </w:r>
        <w:r w:rsidR="00A745A5">
          <w:rPr>
            <w:noProof/>
            <w:webHidden/>
          </w:rPr>
          <w:tab/>
        </w:r>
        <w:r w:rsidR="00A745A5">
          <w:rPr>
            <w:noProof/>
            <w:webHidden/>
          </w:rPr>
          <w:fldChar w:fldCharType="begin"/>
        </w:r>
        <w:r w:rsidR="00A745A5">
          <w:rPr>
            <w:noProof/>
            <w:webHidden/>
          </w:rPr>
          <w:instrText xml:space="preserve"> PAGEREF _Toc119047788 \h </w:instrText>
        </w:r>
        <w:r w:rsidR="00A745A5">
          <w:rPr>
            <w:noProof/>
            <w:webHidden/>
          </w:rPr>
        </w:r>
        <w:r w:rsidR="00A745A5">
          <w:rPr>
            <w:noProof/>
            <w:webHidden/>
          </w:rPr>
          <w:fldChar w:fldCharType="separate"/>
        </w:r>
        <w:r w:rsidR="00F61845">
          <w:rPr>
            <w:noProof/>
            <w:webHidden/>
          </w:rPr>
          <w:t>58</w:t>
        </w:r>
        <w:r w:rsidR="00A745A5">
          <w:rPr>
            <w:noProof/>
            <w:webHidden/>
          </w:rPr>
          <w:fldChar w:fldCharType="end"/>
        </w:r>
      </w:hyperlink>
    </w:p>
    <w:p w14:paraId="1965461E" w14:textId="2018318C"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89" w:history="1">
        <w:r w:rsidR="00A745A5" w:rsidRPr="00EA3725">
          <w:rPr>
            <w:rStyle w:val="Hyperlink"/>
            <w:noProof/>
          </w:rPr>
          <w:t>Figure 45: Number of planned care interventions delivered, 2017–2021</w:t>
        </w:r>
        <w:r w:rsidR="00A745A5">
          <w:rPr>
            <w:noProof/>
            <w:webHidden/>
          </w:rPr>
          <w:tab/>
        </w:r>
        <w:r w:rsidR="00A745A5">
          <w:rPr>
            <w:noProof/>
            <w:webHidden/>
          </w:rPr>
          <w:fldChar w:fldCharType="begin"/>
        </w:r>
        <w:r w:rsidR="00A745A5">
          <w:rPr>
            <w:noProof/>
            <w:webHidden/>
          </w:rPr>
          <w:instrText xml:space="preserve"> PAGEREF _Toc119047789 \h </w:instrText>
        </w:r>
        <w:r w:rsidR="00A745A5">
          <w:rPr>
            <w:noProof/>
            <w:webHidden/>
          </w:rPr>
        </w:r>
        <w:r w:rsidR="00A745A5">
          <w:rPr>
            <w:noProof/>
            <w:webHidden/>
          </w:rPr>
          <w:fldChar w:fldCharType="separate"/>
        </w:r>
        <w:r w:rsidR="00F61845">
          <w:rPr>
            <w:noProof/>
            <w:webHidden/>
          </w:rPr>
          <w:t>59</w:t>
        </w:r>
        <w:r w:rsidR="00A745A5">
          <w:rPr>
            <w:noProof/>
            <w:webHidden/>
          </w:rPr>
          <w:fldChar w:fldCharType="end"/>
        </w:r>
      </w:hyperlink>
    </w:p>
    <w:p w14:paraId="5D3FBF05" w14:textId="17018523"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90" w:history="1">
        <w:r w:rsidR="00A745A5" w:rsidRPr="00EA3725">
          <w:rPr>
            <w:rStyle w:val="Hyperlink"/>
            <w:noProof/>
          </w:rPr>
          <w:t>Figure 46: Planned inpatient discharges standardised average length of stay, in days, by prioritised ethnic group, 2017–2021</w:t>
        </w:r>
        <w:r w:rsidR="00A745A5">
          <w:rPr>
            <w:noProof/>
            <w:webHidden/>
          </w:rPr>
          <w:tab/>
        </w:r>
        <w:r w:rsidR="00A745A5">
          <w:rPr>
            <w:noProof/>
            <w:webHidden/>
          </w:rPr>
          <w:fldChar w:fldCharType="begin"/>
        </w:r>
        <w:r w:rsidR="00A745A5">
          <w:rPr>
            <w:noProof/>
            <w:webHidden/>
          </w:rPr>
          <w:instrText xml:space="preserve"> PAGEREF _Toc119047790 \h </w:instrText>
        </w:r>
        <w:r w:rsidR="00A745A5">
          <w:rPr>
            <w:noProof/>
            <w:webHidden/>
          </w:rPr>
        </w:r>
        <w:r w:rsidR="00A745A5">
          <w:rPr>
            <w:noProof/>
            <w:webHidden/>
          </w:rPr>
          <w:fldChar w:fldCharType="separate"/>
        </w:r>
        <w:r w:rsidR="00F61845">
          <w:rPr>
            <w:noProof/>
            <w:webHidden/>
          </w:rPr>
          <w:t>60</w:t>
        </w:r>
        <w:r w:rsidR="00A745A5">
          <w:rPr>
            <w:noProof/>
            <w:webHidden/>
          </w:rPr>
          <w:fldChar w:fldCharType="end"/>
        </w:r>
      </w:hyperlink>
    </w:p>
    <w:p w14:paraId="718FFFA6" w14:textId="0754648B"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91" w:history="1">
        <w:r w:rsidR="00A745A5" w:rsidRPr="00EA3725">
          <w:rPr>
            <w:rStyle w:val="Hyperlink"/>
            <w:noProof/>
          </w:rPr>
          <w:t>Figure 47: International supply of new health workers, 2016–2021</w:t>
        </w:r>
        <w:r w:rsidR="00A745A5">
          <w:rPr>
            <w:noProof/>
            <w:webHidden/>
          </w:rPr>
          <w:tab/>
        </w:r>
        <w:r w:rsidR="00A745A5">
          <w:rPr>
            <w:noProof/>
            <w:webHidden/>
          </w:rPr>
          <w:fldChar w:fldCharType="begin"/>
        </w:r>
        <w:r w:rsidR="00A745A5">
          <w:rPr>
            <w:noProof/>
            <w:webHidden/>
          </w:rPr>
          <w:instrText xml:space="preserve"> PAGEREF _Toc119047791 \h </w:instrText>
        </w:r>
        <w:r w:rsidR="00A745A5">
          <w:rPr>
            <w:noProof/>
            <w:webHidden/>
          </w:rPr>
        </w:r>
        <w:r w:rsidR="00A745A5">
          <w:rPr>
            <w:noProof/>
            <w:webHidden/>
          </w:rPr>
          <w:fldChar w:fldCharType="separate"/>
        </w:r>
        <w:r w:rsidR="00F61845">
          <w:rPr>
            <w:noProof/>
            <w:webHidden/>
          </w:rPr>
          <w:t>61</w:t>
        </w:r>
        <w:r w:rsidR="00A745A5">
          <w:rPr>
            <w:noProof/>
            <w:webHidden/>
          </w:rPr>
          <w:fldChar w:fldCharType="end"/>
        </w:r>
      </w:hyperlink>
    </w:p>
    <w:p w14:paraId="05CC63FD" w14:textId="3C4F8588" w:rsidR="003A5FEA" w:rsidRDefault="00963565" w:rsidP="00247DFA">
      <w:pPr>
        <w:ind w:left="1276" w:hanging="1276"/>
      </w:pPr>
      <w:r>
        <w:fldChar w:fldCharType="end"/>
      </w:r>
    </w:p>
    <w:p w14:paraId="37642A69" w14:textId="77777777" w:rsidR="00C11EF7" w:rsidRDefault="00C11EF7" w:rsidP="002B76A7">
      <w:pPr>
        <w:pStyle w:val="TOC1"/>
        <w:keepNext/>
        <w:sectPr w:rsidR="00C11EF7" w:rsidSect="005A18ED">
          <w:pgSz w:w="11907" w:h="16840" w:code="9"/>
          <w:pgMar w:top="1134" w:right="1701" w:bottom="1134" w:left="1843" w:header="284" w:footer="425" w:gutter="284"/>
          <w:pgNumType w:fmt="lowerRoman"/>
          <w:cols w:space="720"/>
        </w:sectPr>
      </w:pPr>
    </w:p>
    <w:p w14:paraId="0D248541" w14:textId="20ECCC3E" w:rsidR="002B76A7" w:rsidRDefault="002B76A7" w:rsidP="009D589F">
      <w:pPr>
        <w:pStyle w:val="TOC1"/>
        <w:keepNext/>
        <w:spacing w:before="0"/>
      </w:pPr>
      <w:r>
        <w:lastRenderedPageBreak/>
        <w:t>List of Tables</w:t>
      </w:r>
    </w:p>
    <w:p w14:paraId="005C4999" w14:textId="1A447F5B" w:rsidR="00A745A5" w:rsidRDefault="00963565"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r>
        <w:fldChar w:fldCharType="begin"/>
      </w:r>
      <w:r>
        <w:instrText xml:space="preserve"> TOC \h \z \c "Table" </w:instrText>
      </w:r>
      <w:r>
        <w:fldChar w:fldCharType="separate"/>
      </w:r>
      <w:hyperlink w:anchor="_Toc119047792" w:history="1">
        <w:r w:rsidR="00A745A5" w:rsidRPr="0045517B">
          <w:rPr>
            <w:rStyle w:val="Hyperlink"/>
            <w:noProof/>
          </w:rPr>
          <w:t>Table 1: Health-adjusted life expectancy (years), by sex, 1990–2019</w:t>
        </w:r>
        <w:r w:rsidR="00A745A5">
          <w:rPr>
            <w:noProof/>
            <w:webHidden/>
          </w:rPr>
          <w:tab/>
        </w:r>
        <w:r w:rsidR="00A745A5">
          <w:rPr>
            <w:noProof/>
            <w:webHidden/>
          </w:rPr>
          <w:fldChar w:fldCharType="begin"/>
        </w:r>
        <w:r w:rsidR="00A745A5">
          <w:rPr>
            <w:noProof/>
            <w:webHidden/>
          </w:rPr>
          <w:instrText xml:space="preserve"> PAGEREF _Toc119047792 \h </w:instrText>
        </w:r>
        <w:r w:rsidR="00A745A5">
          <w:rPr>
            <w:noProof/>
            <w:webHidden/>
          </w:rPr>
        </w:r>
        <w:r w:rsidR="00A745A5">
          <w:rPr>
            <w:noProof/>
            <w:webHidden/>
          </w:rPr>
          <w:fldChar w:fldCharType="separate"/>
        </w:r>
        <w:r w:rsidR="00F61845">
          <w:rPr>
            <w:noProof/>
            <w:webHidden/>
          </w:rPr>
          <w:t>10</w:t>
        </w:r>
        <w:r w:rsidR="00A745A5">
          <w:rPr>
            <w:noProof/>
            <w:webHidden/>
          </w:rPr>
          <w:fldChar w:fldCharType="end"/>
        </w:r>
      </w:hyperlink>
    </w:p>
    <w:p w14:paraId="6F802980" w14:textId="53A19929"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93" w:history="1">
        <w:r w:rsidR="00A745A5" w:rsidRPr="0045517B">
          <w:rPr>
            <w:rStyle w:val="Hyperlink"/>
            <w:noProof/>
          </w:rPr>
          <w:t>Table 2: Time spent in poor health (years), by sex, 1990–2019</w:t>
        </w:r>
        <w:r w:rsidR="00A745A5">
          <w:rPr>
            <w:noProof/>
            <w:webHidden/>
          </w:rPr>
          <w:tab/>
        </w:r>
        <w:r w:rsidR="00A745A5">
          <w:rPr>
            <w:noProof/>
            <w:webHidden/>
          </w:rPr>
          <w:fldChar w:fldCharType="begin"/>
        </w:r>
        <w:r w:rsidR="00A745A5">
          <w:rPr>
            <w:noProof/>
            <w:webHidden/>
          </w:rPr>
          <w:instrText xml:space="preserve"> PAGEREF _Toc119047793 \h </w:instrText>
        </w:r>
        <w:r w:rsidR="00A745A5">
          <w:rPr>
            <w:noProof/>
            <w:webHidden/>
          </w:rPr>
        </w:r>
        <w:r w:rsidR="00A745A5">
          <w:rPr>
            <w:noProof/>
            <w:webHidden/>
          </w:rPr>
          <w:fldChar w:fldCharType="separate"/>
        </w:r>
        <w:r w:rsidR="00F61845">
          <w:rPr>
            <w:noProof/>
            <w:webHidden/>
          </w:rPr>
          <w:t>10</w:t>
        </w:r>
        <w:r w:rsidR="00A745A5">
          <w:rPr>
            <w:noProof/>
            <w:webHidden/>
          </w:rPr>
          <w:fldChar w:fldCharType="end"/>
        </w:r>
      </w:hyperlink>
    </w:p>
    <w:p w14:paraId="22C5192D" w14:textId="600CB6D0"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94" w:history="1">
        <w:r w:rsidR="00A745A5" w:rsidRPr="0045517B">
          <w:rPr>
            <w:rStyle w:val="Hyperlink"/>
            <w:noProof/>
          </w:rPr>
          <w:t>Table 3: New Zealand timeline of major COVID-19 events, 2021</w:t>
        </w:r>
        <w:r w:rsidR="00A745A5">
          <w:rPr>
            <w:noProof/>
            <w:webHidden/>
          </w:rPr>
          <w:tab/>
        </w:r>
        <w:r w:rsidR="00A745A5">
          <w:rPr>
            <w:noProof/>
            <w:webHidden/>
          </w:rPr>
          <w:fldChar w:fldCharType="begin"/>
        </w:r>
        <w:r w:rsidR="00A745A5">
          <w:rPr>
            <w:noProof/>
            <w:webHidden/>
          </w:rPr>
          <w:instrText xml:space="preserve"> PAGEREF _Toc119047794 \h </w:instrText>
        </w:r>
        <w:r w:rsidR="00A745A5">
          <w:rPr>
            <w:noProof/>
            <w:webHidden/>
          </w:rPr>
        </w:r>
        <w:r w:rsidR="00A745A5">
          <w:rPr>
            <w:noProof/>
            <w:webHidden/>
          </w:rPr>
          <w:fldChar w:fldCharType="separate"/>
        </w:r>
        <w:r w:rsidR="00F61845">
          <w:rPr>
            <w:noProof/>
            <w:webHidden/>
          </w:rPr>
          <w:t>22</w:t>
        </w:r>
        <w:r w:rsidR="00A745A5">
          <w:rPr>
            <w:noProof/>
            <w:webHidden/>
          </w:rPr>
          <w:fldChar w:fldCharType="end"/>
        </w:r>
      </w:hyperlink>
    </w:p>
    <w:p w14:paraId="7E639701" w14:textId="1DDCC24B"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95" w:history="1">
        <w:r w:rsidR="00A745A5" w:rsidRPr="0045517B">
          <w:rPr>
            <w:rStyle w:val="Hyperlink"/>
            <w:noProof/>
          </w:rPr>
          <w:t>Table 4: Top 10 long-term conditions and their prevalence in Aotearoa, for whole population and 65+ age group, 2020</w:t>
        </w:r>
        <w:r w:rsidR="00A745A5">
          <w:rPr>
            <w:noProof/>
            <w:webHidden/>
          </w:rPr>
          <w:tab/>
        </w:r>
        <w:r w:rsidR="00A745A5">
          <w:rPr>
            <w:noProof/>
            <w:webHidden/>
          </w:rPr>
          <w:fldChar w:fldCharType="begin"/>
        </w:r>
        <w:r w:rsidR="00A745A5">
          <w:rPr>
            <w:noProof/>
            <w:webHidden/>
          </w:rPr>
          <w:instrText xml:space="preserve"> PAGEREF _Toc119047795 \h </w:instrText>
        </w:r>
        <w:r w:rsidR="00A745A5">
          <w:rPr>
            <w:noProof/>
            <w:webHidden/>
          </w:rPr>
        </w:r>
        <w:r w:rsidR="00A745A5">
          <w:rPr>
            <w:noProof/>
            <w:webHidden/>
          </w:rPr>
          <w:fldChar w:fldCharType="separate"/>
        </w:r>
        <w:r w:rsidR="00F61845">
          <w:rPr>
            <w:noProof/>
            <w:webHidden/>
          </w:rPr>
          <w:t>49</w:t>
        </w:r>
        <w:r w:rsidR="00A745A5">
          <w:rPr>
            <w:noProof/>
            <w:webHidden/>
          </w:rPr>
          <w:fldChar w:fldCharType="end"/>
        </w:r>
      </w:hyperlink>
    </w:p>
    <w:p w14:paraId="4DA50264" w14:textId="2DC3B8F7" w:rsidR="00A745A5" w:rsidRDefault="00300598" w:rsidP="00A745A5">
      <w:pPr>
        <w:pStyle w:val="TableofFigures"/>
        <w:tabs>
          <w:tab w:val="right" w:pos="8069"/>
        </w:tabs>
        <w:spacing w:before="120" w:after="120"/>
        <w:rPr>
          <w:rFonts w:asciiTheme="minorHAnsi" w:eastAsiaTheme="minorEastAsia" w:hAnsiTheme="minorHAnsi" w:cstheme="minorBidi"/>
          <w:noProof/>
          <w:sz w:val="22"/>
          <w:szCs w:val="22"/>
          <w:lang w:eastAsia="en-NZ"/>
        </w:rPr>
      </w:pPr>
      <w:hyperlink w:anchor="_Toc119047796" w:history="1">
        <w:r w:rsidR="00A745A5" w:rsidRPr="0045517B">
          <w:rPr>
            <w:rStyle w:val="Hyperlink"/>
            <w:noProof/>
          </w:rPr>
          <w:t>Table 5: Proportion of population, by number of long-term conditions and ethnic group, 2020</w:t>
        </w:r>
        <w:r w:rsidR="00A745A5">
          <w:rPr>
            <w:noProof/>
            <w:webHidden/>
          </w:rPr>
          <w:tab/>
        </w:r>
        <w:r w:rsidR="00A745A5">
          <w:rPr>
            <w:noProof/>
            <w:webHidden/>
          </w:rPr>
          <w:fldChar w:fldCharType="begin"/>
        </w:r>
        <w:r w:rsidR="00A745A5">
          <w:rPr>
            <w:noProof/>
            <w:webHidden/>
          </w:rPr>
          <w:instrText xml:space="preserve"> PAGEREF _Toc119047796 \h </w:instrText>
        </w:r>
        <w:r w:rsidR="00A745A5">
          <w:rPr>
            <w:noProof/>
            <w:webHidden/>
          </w:rPr>
        </w:r>
        <w:r w:rsidR="00A745A5">
          <w:rPr>
            <w:noProof/>
            <w:webHidden/>
          </w:rPr>
          <w:fldChar w:fldCharType="separate"/>
        </w:r>
        <w:r w:rsidR="00F61845">
          <w:rPr>
            <w:noProof/>
            <w:webHidden/>
          </w:rPr>
          <w:t>51</w:t>
        </w:r>
        <w:r w:rsidR="00A745A5">
          <w:rPr>
            <w:noProof/>
            <w:webHidden/>
          </w:rPr>
          <w:fldChar w:fldCharType="end"/>
        </w:r>
      </w:hyperlink>
    </w:p>
    <w:p w14:paraId="4A6797B1" w14:textId="4E598813" w:rsidR="002B76A7" w:rsidRDefault="00963565" w:rsidP="00A745A5">
      <w:pPr>
        <w:pStyle w:val="TOC3"/>
        <w:spacing w:after="120"/>
      </w:pPr>
      <w:r>
        <w:fldChar w:fldCharType="end"/>
      </w:r>
    </w:p>
    <w:p w14:paraId="03333094" w14:textId="77777777" w:rsidR="001D3E4E" w:rsidRDefault="001D3E4E" w:rsidP="003A5FEA">
      <w:pPr>
        <w:sectPr w:rsidR="001D3E4E" w:rsidSect="005A18ED">
          <w:pgSz w:w="11907" w:h="16840" w:code="9"/>
          <w:pgMar w:top="1134" w:right="1701" w:bottom="1134" w:left="1843" w:header="284" w:footer="425" w:gutter="284"/>
          <w:pgNumType w:fmt="lowerRoman"/>
          <w:cols w:space="720"/>
        </w:sectPr>
      </w:pPr>
    </w:p>
    <w:p w14:paraId="0A056DB8" w14:textId="1A0C88B3" w:rsidR="009A42D5" w:rsidRDefault="009A42D5" w:rsidP="001D3E4E">
      <w:pPr>
        <w:pStyle w:val="Heading1"/>
        <w:spacing w:before="0"/>
      </w:pPr>
      <w:bookmarkStart w:id="5" w:name="_Toc119312983"/>
      <w:r>
        <w:lastRenderedPageBreak/>
        <w:t>Executive summary</w:t>
      </w:r>
      <w:r w:rsidR="00C7746E">
        <w:t xml:space="preserve"> </w:t>
      </w:r>
      <w:r w:rsidR="00C7746E" w:rsidRPr="00C7746E">
        <w:t>| Whakarāpopototanga matua</w:t>
      </w:r>
      <w:bookmarkEnd w:id="5"/>
    </w:p>
    <w:p w14:paraId="60F33609" w14:textId="77777777" w:rsidR="00C7746E" w:rsidRPr="00C7746E" w:rsidRDefault="00C7746E" w:rsidP="004F4F8E">
      <w:pPr>
        <w:pStyle w:val="Heading3"/>
        <w:rPr>
          <w:w w:val="105"/>
        </w:rPr>
      </w:pPr>
      <w:r w:rsidRPr="00C7746E">
        <w:rPr>
          <w:w w:val="105"/>
        </w:rPr>
        <w:t>Introduction</w:t>
      </w:r>
    </w:p>
    <w:p w14:paraId="3CF08D2D" w14:textId="77777777" w:rsidR="004F4F8E" w:rsidRDefault="004F4F8E" w:rsidP="004F4F8E">
      <w:pPr>
        <w:rPr>
          <w:b/>
          <w:w w:val="105"/>
        </w:rPr>
      </w:pPr>
      <w:r w:rsidRPr="004F4F8E">
        <w:rPr>
          <w:w w:val="105"/>
        </w:rPr>
        <w:t xml:space="preserve">This Health and Independence report covers the 2021 calendar year and provides an overview of the state of public health in New Zealand. To do this, it comprises a range of up-to-date information about the population, the COVID-19 pandemic, causes of health loss and other health measures. </w:t>
      </w:r>
    </w:p>
    <w:p w14:paraId="27CE47F6" w14:textId="422267AF" w:rsidR="009A42D5" w:rsidRDefault="00C7746E" w:rsidP="004F4F8E">
      <w:pPr>
        <w:pStyle w:val="Heading3"/>
        <w:rPr>
          <w:w w:val="105"/>
        </w:rPr>
      </w:pPr>
      <w:r w:rsidRPr="00C7746E">
        <w:rPr>
          <w:w w:val="105"/>
        </w:rPr>
        <w:t>Population overview</w:t>
      </w:r>
    </w:p>
    <w:p w14:paraId="5B9D6C36" w14:textId="77777777" w:rsidR="004F4F8E" w:rsidRPr="004F4F8E" w:rsidRDefault="004F4F8E" w:rsidP="004F4F8E">
      <w:pPr>
        <w:pStyle w:val="Bullet"/>
        <w:rPr>
          <w:rFonts w:eastAsia="Arial Unicode MS"/>
        </w:rPr>
      </w:pPr>
      <w:r w:rsidRPr="004F4F8E">
        <w:rPr>
          <w:rFonts w:eastAsia="Arial Unicode MS"/>
        </w:rPr>
        <w:t>The total estimated resident population of New Zealand in 2021 was 5,127,200. The population is culturally diverse, and a growing proportion of older people makes up the total population.</w:t>
      </w:r>
    </w:p>
    <w:p w14:paraId="414D437C" w14:textId="77777777" w:rsidR="004F4F8E" w:rsidRPr="004F4F8E" w:rsidRDefault="004F4F8E" w:rsidP="004F4F8E">
      <w:pPr>
        <w:pStyle w:val="Bullet"/>
        <w:rPr>
          <w:rFonts w:eastAsia="Arial Unicode MS"/>
        </w:rPr>
      </w:pPr>
      <w:r w:rsidRPr="004F4F8E">
        <w:rPr>
          <w:rFonts w:eastAsia="Arial Unicode MS"/>
        </w:rPr>
        <w:t>In 2021, New Zealand had the lowest population growth for 30 years, with just a 0.5% increase.</w:t>
      </w:r>
    </w:p>
    <w:p w14:paraId="4C22CD27" w14:textId="77777777" w:rsidR="004F4F8E" w:rsidRPr="004F4F8E" w:rsidRDefault="004F4F8E" w:rsidP="004F4F8E">
      <w:pPr>
        <w:pStyle w:val="Bullet"/>
        <w:rPr>
          <w:rFonts w:eastAsia="Arial Unicode MS"/>
        </w:rPr>
      </w:pPr>
      <w:r w:rsidRPr="004F4F8E">
        <w:rPr>
          <w:rFonts w:eastAsia="Arial Unicode MS"/>
        </w:rPr>
        <w:t>Life expectancy continues to increase but varies between ethnic groups; Māori and Pacific peoples have a lower life expectancy than the Asian and European/other population groups.</w:t>
      </w:r>
    </w:p>
    <w:p w14:paraId="6E253A97" w14:textId="77777777" w:rsidR="004F4F8E" w:rsidRPr="004F4F8E" w:rsidRDefault="004F4F8E" w:rsidP="004F4F8E">
      <w:pPr>
        <w:pStyle w:val="Bullet"/>
        <w:rPr>
          <w:rFonts w:eastAsia="Arial Unicode MS"/>
        </w:rPr>
      </w:pPr>
      <w:r w:rsidRPr="004F4F8E">
        <w:rPr>
          <w:rFonts w:eastAsia="Arial Unicode MS"/>
        </w:rPr>
        <w:t xml:space="preserve">The latest availability mortality data (2019) shows the leading causes of death for Māori and non-Māori were cancer and ischaemic heart diseases. </w:t>
      </w:r>
    </w:p>
    <w:p w14:paraId="2545A280" w14:textId="77777777" w:rsidR="004F4F8E" w:rsidRPr="004F4F8E" w:rsidRDefault="004F4F8E" w:rsidP="004F4F8E">
      <w:pPr>
        <w:pStyle w:val="Bullet"/>
        <w:rPr>
          <w:rFonts w:eastAsia="Arial Unicode MS"/>
        </w:rPr>
      </w:pPr>
      <w:r w:rsidRPr="004F4F8E">
        <w:rPr>
          <w:rFonts w:eastAsia="Arial Unicode MS"/>
        </w:rPr>
        <w:t xml:space="preserve">In the 2020/21 New Zealand Health Survey (NZHS), 88.0% of adults reported their health as being good, very good or excellent. Rates of self-rated good health were lower for Māori, Pacific peoples, disabled people and those living in the most deprived areas.  </w:t>
      </w:r>
    </w:p>
    <w:p w14:paraId="7B77D4D9" w14:textId="77777777" w:rsidR="004F4F8E" w:rsidRPr="004F4F8E" w:rsidRDefault="004F4F8E" w:rsidP="004F4F8E">
      <w:pPr>
        <w:pStyle w:val="Bullet"/>
        <w:rPr>
          <w:rFonts w:eastAsia="Arial Unicode MS"/>
        </w:rPr>
      </w:pPr>
      <w:r w:rsidRPr="004F4F8E">
        <w:rPr>
          <w:rFonts w:eastAsia="Arial Unicode MS"/>
        </w:rPr>
        <w:t>This report includes a section covering a range of factors that contribute to population health loss, including deprivation, tobacco use, body size, alcohol use and rates of physical activity. Deprivation is strongly linked to health outcomes and features predominately in the factors contributing to health loss. Māori, Pacific peoples and disabled people are overrepresented in the most deprived areas of New Zealand.</w:t>
      </w:r>
    </w:p>
    <w:p w14:paraId="5DA42B7B" w14:textId="760091B0" w:rsidR="009A42D5" w:rsidRDefault="00C7746E" w:rsidP="004F4F8E">
      <w:pPr>
        <w:pStyle w:val="Heading3"/>
      </w:pPr>
      <w:r w:rsidRPr="00C7746E">
        <w:t>Impacts of COVID-19</w:t>
      </w:r>
    </w:p>
    <w:p w14:paraId="748E6820" w14:textId="77777777" w:rsidR="004F4F8E" w:rsidRDefault="004F4F8E" w:rsidP="004F4F8E">
      <w:pPr>
        <w:pStyle w:val="Bullet"/>
      </w:pPr>
      <w:r>
        <w:t xml:space="preserve">This 2021 report includes updated information relating to the COVID 19 pandemic and provides specific information on case numbers and demographics and the COVID-19 vaccination programme. </w:t>
      </w:r>
    </w:p>
    <w:p w14:paraId="163D7DBA" w14:textId="77777777" w:rsidR="004F4F8E" w:rsidRDefault="004F4F8E" w:rsidP="004F4F8E">
      <w:pPr>
        <w:pStyle w:val="Bullet"/>
      </w:pPr>
      <w:r>
        <w:lastRenderedPageBreak/>
        <w:t xml:space="preserve">In 2021, there were 10,908 confirmed community cases of COVID-19 in New Zealand and 25 deaths attributed to COVID-19. In addition, 1,115 overseas-acquired (imported) cases of COVID-19 were detected and managed at the border. </w:t>
      </w:r>
    </w:p>
    <w:p w14:paraId="500D0F60" w14:textId="77777777" w:rsidR="004F4F8E" w:rsidRDefault="004F4F8E" w:rsidP="004F4F8E">
      <w:pPr>
        <w:pStyle w:val="Bullet"/>
      </w:pPr>
      <w:r>
        <w:t>Numbers of community cases were higher for Pacific peoples, Māori, children under 10 years of age, people aged 20-29 and people living in the highest deprivation areas.</w:t>
      </w:r>
    </w:p>
    <w:p w14:paraId="2013C8AB" w14:textId="77777777" w:rsidR="004F4F8E" w:rsidRDefault="004F4F8E" w:rsidP="004F4F8E">
      <w:pPr>
        <w:pStyle w:val="Bullet"/>
      </w:pPr>
      <w:r>
        <w:t xml:space="preserve">The prioritised vaccination programme began in February 2021, starting with border workers, frontline workers, people living in high-risk settings and priority populations. Vaccination was then offered to certain age groups, beginning with those over 60 years of age and progressively moving to younger populations. </w:t>
      </w:r>
    </w:p>
    <w:p w14:paraId="32060617" w14:textId="77777777" w:rsidR="004F4F8E" w:rsidRDefault="004F4F8E" w:rsidP="004F4F8E">
      <w:pPr>
        <w:pStyle w:val="Bullet"/>
      </w:pPr>
      <w:r>
        <w:t xml:space="preserve"> By 31 December 2021, 92.8% of the eligible population had been vaccinated.</w:t>
      </w:r>
    </w:p>
    <w:p w14:paraId="23FD08CE" w14:textId="77777777" w:rsidR="004F4F8E" w:rsidRPr="00FA6E02" w:rsidRDefault="004F4F8E" w:rsidP="004F4F8E">
      <w:pPr>
        <w:pStyle w:val="Heading3"/>
        <w:rPr>
          <w:w w:val="105"/>
        </w:rPr>
      </w:pPr>
      <w:bookmarkStart w:id="6" w:name="_bookmark2"/>
      <w:bookmarkEnd w:id="6"/>
      <w:r w:rsidRPr="00FA6E02">
        <w:rPr>
          <w:w w:val="105"/>
        </w:rPr>
        <w:t>Health measures</w:t>
      </w:r>
    </w:p>
    <w:p w14:paraId="3D479762" w14:textId="77777777" w:rsidR="004F4F8E" w:rsidRPr="00FA6E02" w:rsidRDefault="004F4F8E" w:rsidP="004F4F8E">
      <w:pPr>
        <w:rPr>
          <w:w w:val="105"/>
        </w:rPr>
      </w:pPr>
      <w:r w:rsidRPr="00FA6E02">
        <w:rPr>
          <w:w w:val="105"/>
        </w:rPr>
        <w:t>The health sections of the report provide a wide range of information on key health topics.</w:t>
      </w:r>
    </w:p>
    <w:p w14:paraId="7E876E8D" w14:textId="77777777" w:rsidR="004F4F8E" w:rsidRPr="00FA6E02" w:rsidRDefault="004F4F8E" w:rsidP="004F4F8E">
      <w:pPr>
        <w:pStyle w:val="Heading4"/>
        <w:rPr>
          <w:w w:val="105"/>
        </w:rPr>
      </w:pPr>
      <w:r w:rsidRPr="00FA6E02">
        <w:rPr>
          <w:w w:val="105"/>
        </w:rPr>
        <w:t>Maternity care</w:t>
      </w:r>
    </w:p>
    <w:p w14:paraId="2CA92344" w14:textId="77777777" w:rsidR="004F4F8E" w:rsidRPr="004F4F8E" w:rsidRDefault="004F4F8E" w:rsidP="004F4F8E">
      <w:pPr>
        <w:pStyle w:val="Bullet"/>
        <w:rPr>
          <w:w w:val="105"/>
        </w:rPr>
      </w:pPr>
      <w:r w:rsidRPr="004F4F8E">
        <w:rPr>
          <w:w w:val="105"/>
        </w:rPr>
        <w:t xml:space="preserve">58,659 babies were born in 2021, an increase of 1,086 from 2020. </w:t>
      </w:r>
    </w:p>
    <w:p w14:paraId="6FBAADE9" w14:textId="77777777" w:rsidR="004F4F8E" w:rsidRPr="004F4F8E" w:rsidRDefault="004F4F8E" w:rsidP="004F4F8E">
      <w:pPr>
        <w:pStyle w:val="Bullet"/>
        <w:rPr>
          <w:w w:val="105"/>
        </w:rPr>
      </w:pPr>
      <w:r w:rsidRPr="004F4F8E">
        <w:rPr>
          <w:w w:val="105"/>
        </w:rPr>
        <w:t>There is an increasing trend for women to register with a Lead Maternity Carer in the first trimester (the first 12 weeks) of pregnancy.</w:t>
      </w:r>
    </w:p>
    <w:p w14:paraId="67AEA50D" w14:textId="77777777" w:rsidR="004F4F8E" w:rsidRPr="004F4F8E" w:rsidRDefault="004F4F8E" w:rsidP="004F4F8E">
      <w:pPr>
        <w:pStyle w:val="Heading4"/>
        <w:rPr>
          <w:w w:val="105"/>
        </w:rPr>
      </w:pPr>
      <w:r w:rsidRPr="004F4F8E">
        <w:rPr>
          <w:w w:val="105"/>
        </w:rPr>
        <w:t xml:space="preserve">Enrolment with primary health organisations </w:t>
      </w:r>
    </w:p>
    <w:p w14:paraId="31FEC2A8" w14:textId="77777777" w:rsidR="004F4F8E" w:rsidRPr="004F4F8E" w:rsidRDefault="004F4F8E" w:rsidP="004F4F8E">
      <w:pPr>
        <w:pStyle w:val="Bullet"/>
        <w:rPr>
          <w:w w:val="105"/>
        </w:rPr>
      </w:pPr>
      <w:r w:rsidRPr="004F4F8E">
        <w:rPr>
          <w:w w:val="105"/>
        </w:rPr>
        <w:t>On 31 December 2021, 93.9% of the population were enrolled with a primary health organisation. Rates differed by population groups and were lower for people living in the most deprived areas (85.4%).</w:t>
      </w:r>
    </w:p>
    <w:p w14:paraId="157E8631" w14:textId="77777777" w:rsidR="004F4F8E" w:rsidRPr="004F4F8E" w:rsidRDefault="004F4F8E" w:rsidP="004F4F8E">
      <w:pPr>
        <w:pStyle w:val="Heading4"/>
        <w:rPr>
          <w:w w:val="105"/>
        </w:rPr>
      </w:pPr>
      <w:r w:rsidRPr="004F4F8E">
        <w:rPr>
          <w:w w:val="105"/>
        </w:rPr>
        <w:t>Barriers to accessing health care</w:t>
      </w:r>
    </w:p>
    <w:p w14:paraId="31EED381" w14:textId="77777777" w:rsidR="004F4F8E" w:rsidRPr="004F4F8E" w:rsidRDefault="004F4F8E" w:rsidP="004F4F8E">
      <w:pPr>
        <w:pStyle w:val="Bullet"/>
        <w:rPr>
          <w:w w:val="105"/>
        </w:rPr>
      </w:pPr>
      <w:r w:rsidRPr="004F4F8E">
        <w:rPr>
          <w:w w:val="105"/>
        </w:rPr>
        <w:t>The NZHS reports on barriers to accessing health care. In 2021, these barriers included the accessibility of general practice, the impacts of COVID-19, and cost. The NZHS estimates that in 2021 over a quarter of a million adults had a medical problem but did not visit or talk to a general practitioner (GP) because of COVID-19. NZHS estimates that one in 10 adults had a medical problem but did not visit or talk with a GP because of cost.</w:t>
      </w:r>
    </w:p>
    <w:p w14:paraId="3234BD34" w14:textId="77777777" w:rsidR="004F4F8E" w:rsidRPr="004F4F8E" w:rsidRDefault="004F4F8E" w:rsidP="004F4F8E">
      <w:pPr>
        <w:pStyle w:val="Heading4"/>
        <w:rPr>
          <w:w w:val="105"/>
        </w:rPr>
      </w:pPr>
      <w:r w:rsidRPr="004F4F8E">
        <w:rPr>
          <w:w w:val="105"/>
        </w:rPr>
        <w:t>Child oral health</w:t>
      </w:r>
    </w:p>
    <w:p w14:paraId="2C4B365B" w14:textId="77777777" w:rsidR="004F4F8E" w:rsidRPr="004F4F8E" w:rsidRDefault="004F4F8E" w:rsidP="004F4F8E">
      <w:pPr>
        <w:pStyle w:val="Bullet"/>
        <w:rPr>
          <w:w w:val="105"/>
        </w:rPr>
      </w:pPr>
      <w:r w:rsidRPr="004F4F8E">
        <w:rPr>
          <w:w w:val="105"/>
        </w:rPr>
        <w:t>Improvements in child oral health have been recorded in recent years, however improvement differs by ethnic group: Māori and Pacific children are less likely to be caries-free at age 5 than European/other children.</w:t>
      </w:r>
    </w:p>
    <w:p w14:paraId="5C70F8F4" w14:textId="77777777" w:rsidR="004F4F8E" w:rsidRPr="004F4F8E" w:rsidRDefault="004F4F8E" w:rsidP="004F4F8E">
      <w:pPr>
        <w:pStyle w:val="Heading4"/>
        <w:rPr>
          <w:w w:val="105"/>
        </w:rPr>
      </w:pPr>
      <w:r w:rsidRPr="004F4F8E">
        <w:rPr>
          <w:w w:val="105"/>
        </w:rPr>
        <w:t>Respiratory syncytial virus</w:t>
      </w:r>
    </w:p>
    <w:p w14:paraId="750B95CF" w14:textId="77777777" w:rsidR="004F4F8E" w:rsidRPr="004F4F8E" w:rsidRDefault="004F4F8E" w:rsidP="004F4F8E">
      <w:pPr>
        <w:pStyle w:val="Bullet"/>
        <w:rPr>
          <w:w w:val="105"/>
        </w:rPr>
      </w:pPr>
      <w:r w:rsidRPr="004F4F8E">
        <w:rPr>
          <w:w w:val="105"/>
        </w:rPr>
        <w:t>An outbreak of respiratory syncytial virus (RSV) occurred in 2021: children aged 12–48 months experienced a rate 5 times the rate in 2019.</w:t>
      </w:r>
    </w:p>
    <w:p w14:paraId="587F18FD" w14:textId="77777777" w:rsidR="004F4F8E" w:rsidRPr="004F4F8E" w:rsidRDefault="004F4F8E" w:rsidP="004F4F8E">
      <w:pPr>
        <w:pStyle w:val="Heading4"/>
        <w:rPr>
          <w:w w:val="105"/>
        </w:rPr>
      </w:pPr>
      <w:r w:rsidRPr="004F4F8E">
        <w:rPr>
          <w:w w:val="105"/>
        </w:rPr>
        <w:lastRenderedPageBreak/>
        <w:t>Immunisation</w:t>
      </w:r>
    </w:p>
    <w:p w14:paraId="1EEE863E" w14:textId="77777777" w:rsidR="004F4F8E" w:rsidRPr="004F4F8E" w:rsidRDefault="004F4F8E" w:rsidP="004F4F8E">
      <w:pPr>
        <w:pStyle w:val="Bullet"/>
        <w:rPr>
          <w:w w:val="105"/>
        </w:rPr>
      </w:pPr>
      <w:r w:rsidRPr="004F4F8E">
        <w:rPr>
          <w:w w:val="105"/>
        </w:rPr>
        <w:t>Manatū Hauora has a target that 95% of eligible children will be fully immunised at the key milestone ages. In 2021, 87.3% of eligible children were fully immunised at the key milestone age of 8 months. This reduced to 83.9% at 24 months and 83.5% at 5 years. Rates of immunisation were lower for Māori and Pacific children.</w:t>
      </w:r>
    </w:p>
    <w:p w14:paraId="3FA0B451" w14:textId="77777777" w:rsidR="004F4F8E" w:rsidRPr="004F4F8E" w:rsidRDefault="004F4F8E" w:rsidP="004F4F8E">
      <w:pPr>
        <w:pStyle w:val="Bullet"/>
        <w:rPr>
          <w:w w:val="105"/>
        </w:rPr>
      </w:pPr>
      <w:r w:rsidRPr="004F4F8E">
        <w:rPr>
          <w:w w:val="105"/>
        </w:rPr>
        <w:t>The human papillomavirus immunisation rate in 2021 was 54.0% for the 2008 birth cohort, against the target of 75%.</w:t>
      </w:r>
    </w:p>
    <w:p w14:paraId="13325F52" w14:textId="77777777" w:rsidR="004F4F8E" w:rsidRPr="004F4F8E" w:rsidRDefault="004F4F8E" w:rsidP="004F4F8E">
      <w:pPr>
        <w:pStyle w:val="Bullet"/>
        <w:rPr>
          <w:w w:val="105"/>
        </w:rPr>
      </w:pPr>
      <w:r w:rsidRPr="004F4F8E">
        <w:rPr>
          <w:w w:val="105"/>
        </w:rPr>
        <w:t xml:space="preserve">The influenza immunisation rate for over 65-year-olds was 70.4%, against the target of 75%. </w:t>
      </w:r>
    </w:p>
    <w:p w14:paraId="0E7F82BE" w14:textId="77777777" w:rsidR="004F4F8E" w:rsidRPr="004F4F8E" w:rsidRDefault="004F4F8E" w:rsidP="004F4F8E">
      <w:pPr>
        <w:pStyle w:val="Heading4"/>
        <w:rPr>
          <w:w w:val="105"/>
        </w:rPr>
      </w:pPr>
      <w:r w:rsidRPr="004F4F8E">
        <w:rPr>
          <w:w w:val="105"/>
        </w:rPr>
        <w:t>Cancer</w:t>
      </w:r>
    </w:p>
    <w:p w14:paraId="4CC75E1B" w14:textId="77777777" w:rsidR="004F4F8E" w:rsidRPr="004F4F8E" w:rsidRDefault="004F4F8E" w:rsidP="004F4F8E">
      <w:pPr>
        <w:pStyle w:val="Bullet"/>
        <w:rPr>
          <w:w w:val="105"/>
        </w:rPr>
      </w:pPr>
      <w:r w:rsidRPr="004F4F8E">
        <w:rPr>
          <w:w w:val="105"/>
        </w:rPr>
        <w:t xml:space="preserve">Cancer is the leading cause of death in New Zealand: approximately 25,000 people are diagnosed and around 9,000 die with cancer each year. </w:t>
      </w:r>
    </w:p>
    <w:p w14:paraId="17721CA9" w14:textId="77777777" w:rsidR="004F4F8E" w:rsidRPr="004F4F8E" w:rsidRDefault="004F4F8E" w:rsidP="004F4F8E">
      <w:pPr>
        <w:pStyle w:val="Bullet"/>
        <w:rPr>
          <w:w w:val="105"/>
        </w:rPr>
      </w:pPr>
      <w:r w:rsidRPr="004F4F8E">
        <w:rPr>
          <w:w w:val="105"/>
        </w:rPr>
        <w:t>Cancer incidence rates show Māori are more likely than non-Māori to be diagnosed with breast, liver, lung, pancreatic, stomach and uterine cancer. Non-Māori are more likely to be diagnosed with melanoma and colorectal and prostate cancers.</w:t>
      </w:r>
    </w:p>
    <w:p w14:paraId="0FC2339F" w14:textId="77777777" w:rsidR="004F4F8E" w:rsidRPr="004F4F8E" w:rsidRDefault="004F4F8E" w:rsidP="004F4F8E">
      <w:pPr>
        <w:pStyle w:val="Bullet"/>
        <w:rPr>
          <w:w w:val="105"/>
        </w:rPr>
      </w:pPr>
      <w:r w:rsidRPr="004F4F8E">
        <w:rPr>
          <w:w w:val="105"/>
        </w:rPr>
        <w:t>Māori experience higher mortality rates from cancer than non-Māori.</w:t>
      </w:r>
    </w:p>
    <w:p w14:paraId="28432564" w14:textId="77777777" w:rsidR="004F4F8E" w:rsidRPr="004F4F8E" w:rsidRDefault="004F4F8E" w:rsidP="004F4F8E">
      <w:pPr>
        <w:pStyle w:val="Bullet"/>
        <w:rPr>
          <w:w w:val="105"/>
        </w:rPr>
      </w:pPr>
      <w:r w:rsidRPr="004F4F8E">
        <w:rPr>
          <w:w w:val="105"/>
        </w:rPr>
        <w:t>The number of New Zealanders diagnosed with cancer is increasing, but cancer survival rates have increased substantially: more people are surviving their cancer than ever before.</w:t>
      </w:r>
    </w:p>
    <w:p w14:paraId="32FE43DF" w14:textId="77777777" w:rsidR="004F4F8E" w:rsidRPr="004F4F8E" w:rsidRDefault="004F4F8E" w:rsidP="004F4F8E">
      <w:pPr>
        <w:pStyle w:val="Bullet"/>
        <w:rPr>
          <w:w w:val="105"/>
        </w:rPr>
      </w:pPr>
      <w:r w:rsidRPr="004F4F8E">
        <w:rPr>
          <w:w w:val="105"/>
        </w:rPr>
        <w:t>Cancer screening rates reduced in 2021 and show that:</w:t>
      </w:r>
    </w:p>
    <w:p w14:paraId="5F7E93FB" w14:textId="77777777" w:rsidR="004F4F8E" w:rsidRPr="004F4F8E" w:rsidRDefault="004F4F8E" w:rsidP="004F4F8E">
      <w:pPr>
        <w:pStyle w:val="Dash"/>
        <w:rPr>
          <w:w w:val="105"/>
        </w:rPr>
      </w:pPr>
      <w:r w:rsidRPr="004F4F8E">
        <w:rPr>
          <w:w w:val="105"/>
        </w:rPr>
        <w:t>breast screening coverage was 63.6%, against the target of 70%</w:t>
      </w:r>
    </w:p>
    <w:p w14:paraId="15FFF973" w14:textId="77777777" w:rsidR="004F4F8E" w:rsidRPr="004F4F8E" w:rsidRDefault="004F4F8E" w:rsidP="004F4F8E">
      <w:pPr>
        <w:pStyle w:val="Dash"/>
        <w:rPr>
          <w:w w:val="105"/>
        </w:rPr>
      </w:pPr>
      <w:r w:rsidRPr="004F4F8E">
        <w:rPr>
          <w:w w:val="105"/>
        </w:rPr>
        <w:t>cervical screening coverage was 68.6%, against the target of 80%</w:t>
      </w:r>
    </w:p>
    <w:p w14:paraId="18116E85" w14:textId="77777777" w:rsidR="004F4F8E" w:rsidRPr="004F4F8E" w:rsidRDefault="004F4F8E" w:rsidP="004F4F8E">
      <w:pPr>
        <w:pStyle w:val="Dash"/>
        <w:rPr>
          <w:w w:val="105"/>
        </w:rPr>
      </w:pPr>
      <w:r w:rsidRPr="004F4F8E">
        <w:rPr>
          <w:w w:val="105"/>
        </w:rPr>
        <w:t>bowel screening coverage was 60.3%, achieving the target of 60%.</w:t>
      </w:r>
    </w:p>
    <w:p w14:paraId="6FC9B191" w14:textId="77777777" w:rsidR="004F4F8E" w:rsidRPr="004F4F8E" w:rsidRDefault="004F4F8E" w:rsidP="004F4F8E">
      <w:pPr>
        <w:pStyle w:val="Heading4"/>
        <w:rPr>
          <w:w w:val="105"/>
        </w:rPr>
      </w:pPr>
      <w:r w:rsidRPr="004F4F8E">
        <w:rPr>
          <w:w w:val="105"/>
        </w:rPr>
        <w:t>Mental wellbeing</w:t>
      </w:r>
    </w:p>
    <w:p w14:paraId="27ADEBEF" w14:textId="77777777" w:rsidR="004F4F8E" w:rsidRPr="004F4F8E" w:rsidRDefault="004F4F8E" w:rsidP="004F4F8E">
      <w:pPr>
        <w:pStyle w:val="Bullet"/>
        <w:rPr>
          <w:w w:val="105"/>
        </w:rPr>
      </w:pPr>
      <w:r w:rsidRPr="004F4F8E">
        <w:rPr>
          <w:w w:val="105"/>
        </w:rPr>
        <w:t>In the 2020/21 NZHS almost one in 10 adults (9.6%) reported high psychological distress in the past 4 weeks.</w:t>
      </w:r>
    </w:p>
    <w:p w14:paraId="5640E4CC" w14:textId="77777777" w:rsidR="004F4F8E" w:rsidRPr="004F4F8E" w:rsidRDefault="004F4F8E" w:rsidP="004F4F8E">
      <w:pPr>
        <w:pStyle w:val="Bullet"/>
        <w:rPr>
          <w:w w:val="105"/>
        </w:rPr>
      </w:pPr>
      <w:r w:rsidRPr="004F4F8E">
        <w:rPr>
          <w:w w:val="105"/>
        </w:rPr>
        <w:t xml:space="preserve">The New Zealand Government released Kia Manawanui Aotearoa: Long-term pathway to mental wellbeing (Ministry of Health 2021a) in 2021. It outlines actions in the following 5 areas: </w:t>
      </w:r>
    </w:p>
    <w:p w14:paraId="12965010" w14:textId="77777777" w:rsidR="004F4F8E" w:rsidRPr="004F4F8E" w:rsidRDefault="004F4F8E" w:rsidP="004F4F8E">
      <w:pPr>
        <w:pStyle w:val="Dash"/>
        <w:rPr>
          <w:w w:val="105"/>
        </w:rPr>
      </w:pPr>
      <w:r w:rsidRPr="004F4F8E">
        <w:rPr>
          <w:w w:val="105"/>
        </w:rPr>
        <w:t>building the social, cultural, environmental, and economic foundations for mental wellbeing</w:t>
      </w:r>
    </w:p>
    <w:p w14:paraId="2B8A2325" w14:textId="77777777" w:rsidR="004F4F8E" w:rsidRPr="004F4F8E" w:rsidRDefault="004F4F8E" w:rsidP="004F4F8E">
      <w:pPr>
        <w:pStyle w:val="Dash"/>
        <w:rPr>
          <w:w w:val="105"/>
        </w:rPr>
      </w:pPr>
      <w:r w:rsidRPr="004F4F8E">
        <w:rPr>
          <w:w w:val="105"/>
        </w:rPr>
        <w:t>equipping communities, whānau and individuals to look after their own mental wellbeing</w:t>
      </w:r>
    </w:p>
    <w:p w14:paraId="6D731828" w14:textId="77777777" w:rsidR="004F4F8E" w:rsidRPr="004F4F8E" w:rsidRDefault="004F4F8E" w:rsidP="004F4F8E">
      <w:pPr>
        <w:pStyle w:val="Dash"/>
        <w:rPr>
          <w:w w:val="105"/>
        </w:rPr>
      </w:pPr>
      <w:r w:rsidRPr="004F4F8E">
        <w:rPr>
          <w:w w:val="105"/>
        </w:rPr>
        <w:t>fostering community-led solutions</w:t>
      </w:r>
    </w:p>
    <w:p w14:paraId="7372AEF0" w14:textId="77777777" w:rsidR="004F4F8E" w:rsidRPr="004F4F8E" w:rsidRDefault="004F4F8E" w:rsidP="004F4F8E">
      <w:pPr>
        <w:pStyle w:val="Dash"/>
        <w:rPr>
          <w:w w:val="105"/>
        </w:rPr>
      </w:pPr>
      <w:r w:rsidRPr="004F4F8E">
        <w:rPr>
          <w:w w:val="105"/>
        </w:rPr>
        <w:t>expanding primary mental wellbeing support in communities</w:t>
      </w:r>
    </w:p>
    <w:p w14:paraId="11AE297F" w14:textId="77777777" w:rsidR="004F4F8E" w:rsidRPr="004F4F8E" w:rsidRDefault="004F4F8E" w:rsidP="004F4F8E">
      <w:pPr>
        <w:pStyle w:val="Dash"/>
        <w:rPr>
          <w:w w:val="105"/>
        </w:rPr>
      </w:pPr>
      <w:r w:rsidRPr="004F4F8E">
        <w:rPr>
          <w:w w:val="105"/>
        </w:rPr>
        <w:t>strengthening specialist services.</w:t>
      </w:r>
    </w:p>
    <w:p w14:paraId="617AADCC" w14:textId="77777777" w:rsidR="004F4F8E" w:rsidRPr="004F4F8E" w:rsidRDefault="004F4F8E" w:rsidP="004F4F8E">
      <w:pPr>
        <w:pStyle w:val="Heading4"/>
        <w:rPr>
          <w:w w:val="105"/>
        </w:rPr>
      </w:pPr>
      <w:r w:rsidRPr="004F4F8E">
        <w:rPr>
          <w:w w:val="105"/>
        </w:rPr>
        <w:lastRenderedPageBreak/>
        <w:t>Long-term conditions</w:t>
      </w:r>
    </w:p>
    <w:p w14:paraId="3A6A61F2" w14:textId="77777777" w:rsidR="004F4F8E" w:rsidRPr="004F4F8E" w:rsidRDefault="004F4F8E" w:rsidP="004F4F8E">
      <w:pPr>
        <w:pStyle w:val="Bullet"/>
        <w:rPr>
          <w:w w:val="105"/>
        </w:rPr>
      </w:pPr>
      <w:r w:rsidRPr="004F4F8E">
        <w:rPr>
          <w:w w:val="105"/>
        </w:rPr>
        <w:t xml:space="preserve">Manatū Hauora defines long-term conditions as any ongoing, long-term or recurring conditions that can have a significant impact on people’s lives (Ministry of Health 2020c). </w:t>
      </w:r>
    </w:p>
    <w:p w14:paraId="1E3C5DE7" w14:textId="77777777" w:rsidR="004F4F8E" w:rsidRPr="004F4F8E" w:rsidRDefault="004F4F8E" w:rsidP="004F4F8E">
      <w:pPr>
        <w:pStyle w:val="Bullet"/>
        <w:rPr>
          <w:w w:val="105"/>
        </w:rPr>
      </w:pPr>
      <w:r w:rsidRPr="004F4F8E">
        <w:rPr>
          <w:w w:val="105"/>
        </w:rPr>
        <w:t>14% of New Zealanders have at least one long-term condition. Of these, 29.3% have multiple conditions.</w:t>
      </w:r>
    </w:p>
    <w:p w14:paraId="0CEB2A5B" w14:textId="77777777" w:rsidR="004F4F8E" w:rsidRPr="004F4F8E" w:rsidRDefault="004F4F8E" w:rsidP="004F4F8E">
      <w:pPr>
        <w:pStyle w:val="Bullet"/>
        <w:rPr>
          <w:w w:val="105"/>
        </w:rPr>
      </w:pPr>
      <w:r w:rsidRPr="004F4F8E">
        <w:rPr>
          <w:w w:val="105"/>
        </w:rPr>
        <w:t xml:space="preserve">Long-term conditions are not distributed evenly throughout the population: they affect ethnic groups and age groups differently. The older the age of the person, the higher the likelihood they have a long-term condition. Māori and Pacific peoples develop long-term conditions at younger ages.  </w:t>
      </w:r>
    </w:p>
    <w:p w14:paraId="34C4AAD1" w14:textId="77777777" w:rsidR="004F4F8E" w:rsidRPr="004F4F8E" w:rsidRDefault="004F4F8E" w:rsidP="004F4F8E">
      <w:pPr>
        <w:pStyle w:val="Heading4"/>
        <w:rPr>
          <w:w w:val="105"/>
        </w:rPr>
      </w:pPr>
      <w:r w:rsidRPr="004F4F8E">
        <w:rPr>
          <w:w w:val="105"/>
        </w:rPr>
        <w:t>Hospitalisations</w:t>
      </w:r>
    </w:p>
    <w:p w14:paraId="77D9F1E2" w14:textId="77777777" w:rsidR="004F4F8E" w:rsidRPr="004F4F8E" w:rsidRDefault="004F4F8E" w:rsidP="004F4F8E">
      <w:pPr>
        <w:pStyle w:val="Bullet"/>
        <w:rPr>
          <w:w w:val="105"/>
        </w:rPr>
      </w:pPr>
      <w:r w:rsidRPr="004F4F8E">
        <w:rPr>
          <w:w w:val="105"/>
        </w:rPr>
        <w:t>People interact with hospitals in 2 ways: through planned care or in the emergency department (ED). Both unplanned and planned care faced challenges in reaching timeliness targets.</w:t>
      </w:r>
    </w:p>
    <w:p w14:paraId="7F2162C2" w14:textId="77777777" w:rsidR="004F4F8E" w:rsidRPr="004F4F8E" w:rsidRDefault="004F4F8E" w:rsidP="004F4F8E">
      <w:pPr>
        <w:pStyle w:val="Bullet"/>
        <w:rPr>
          <w:w w:val="105"/>
        </w:rPr>
      </w:pPr>
      <w:r w:rsidRPr="004F4F8E">
        <w:rPr>
          <w:w w:val="105"/>
        </w:rPr>
        <w:t>In 2021, 3.3% of people who attended ED left before they received care.</w:t>
      </w:r>
    </w:p>
    <w:p w14:paraId="3ED6AFD4" w14:textId="77777777" w:rsidR="004F4F8E" w:rsidRPr="004F4F8E" w:rsidRDefault="004F4F8E" w:rsidP="004F4F8E">
      <w:pPr>
        <w:pStyle w:val="Bullet"/>
        <w:rPr>
          <w:w w:val="105"/>
        </w:rPr>
      </w:pPr>
      <w:r w:rsidRPr="004F4F8E">
        <w:rPr>
          <w:w w:val="105"/>
        </w:rPr>
        <w:t>The percentage of people waiting more than 6 hours increased from 9% in 2017 to 19% in 2021.</w:t>
      </w:r>
    </w:p>
    <w:p w14:paraId="4D241B87" w14:textId="77777777" w:rsidR="004F4F8E" w:rsidRPr="004F4F8E" w:rsidRDefault="004F4F8E" w:rsidP="004F4F8E">
      <w:pPr>
        <w:pStyle w:val="Bullet"/>
        <w:rPr>
          <w:w w:val="105"/>
        </w:rPr>
      </w:pPr>
      <w:r w:rsidRPr="004F4F8E">
        <w:rPr>
          <w:w w:val="105"/>
        </w:rPr>
        <w:t>The average length of stay in hospital for acute conditions has been increasing since 2019.</w:t>
      </w:r>
    </w:p>
    <w:p w14:paraId="7D40D6C4" w14:textId="77777777" w:rsidR="004F4F8E" w:rsidRPr="004F4F8E" w:rsidRDefault="004F4F8E" w:rsidP="004F4F8E">
      <w:pPr>
        <w:pStyle w:val="Bullet"/>
        <w:rPr>
          <w:w w:val="105"/>
        </w:rPr>
      </w:pPr>
      <w:r w:rsidRPr="004F4F8E">
        <w:rPr>
          <w:w w:val="105"/>
        </w:rPr>
        <w:t>The COVID-19 pandemic affected wait times for planned care in 2021. During lockdown periods, and through the outbreak of the COVID-19 Delta variant, more people waited longer than 4 months for specialist assessment, and elective treatment or surgery.</w:t>
      </w:r>
    </w:p>
    <w:p w14:paraId="3B7C1D68" w14:textId="77777777" w:rsidR="004F4F8E" w:rsidRPr="004F4F8E" w:rsidRDefault="004F4F8E" w:rsidP="004F4F8E">
      <w:pPr>
        <w:pStyle w:val="Heading4"/>
        <w:rPr>
          <w:w w:val="105"/>
        </w:rPr>
      </w:pPr>
      <w:r w:rsidRPr="004F4F8E">
        <w:rPr>
          <w:w w:val="105"/>
        </w:rPr>
        <w:t>Health workforce</w:t>
      </w:r>
    </w:p>
    <w:p w14:paraId="2380F088" w14:textId="77777777" w:rsidR="004F4F8E" w:rsidRPr="004F4F8E" w:rsidRDefault="004F4F8E" w:rsidP="004F4F8E">
      <w:pPr>
        <w:pStyle w:val="Bullet"/>
        <w:rPr>
          <w:w w:val="105"/>
        </w:rPr>
      </w:pPr>
      <w:r w:rsidRPr="004F4F8E">
        <w:rPr>
          <w:w w:val="105"/>
        </w:rPr>
        <w:t xml:space="preserve">In 2021, the health workforce came under pressure due to the COVID-19 pandemic. This was due to both the reallocation of workers to respond to COVID-19 and the borders being closed, which reduced the number of migrant workers. </w:t>
      </w:r>
    </w:p>
    <w:p w14:paraId="24984B67" w14:textId="77777777" w:rsidR="004F4F8E" w:rsidRPr="004F4F8E" w:rsidRDefault="004F4F8E" w:rsidP="004F4F8E">
      <w:pPr>
        <w:pStyle w:val="Bullet"/>
        <w:rPr>
          <w:w w:val="105"/>
        </w:rPr>
      </w:pPr>
      <w:r w:rsidRPr="004F4F8E">
        <w:rPr>
          <w:w w:val="105"/>
        </w:rPr>
        <w:t>An outcome of the pandemic response has been the creation of a new vaccination workforce available for other immunisation programmes.</w:t>
      </w:r>
    </w:p>
    <w:p w14:paraId="330A0F63" w14:textId="77777777" w:rsidR="004F4F8E" w:rsidRDefault="004F4F8E" w:rsidP="00982FE4">
      <w:pPr>
        <w:pStyle w:val="Heading1"/>
        <w:rPr>
          <w:w w:val="105"/>
        </w:rPr>
        <w:sectPr w:rsidR="004F4F8E" w:rsidSect="00247DFA">
          <w:footerReference w:type="even" r:id="rId25"/>
          <w:footerReference w:type="default" r:id="rId26"/>
          <w:pgSz w:w="11907" w:h="16840" w:code="9"/>
          <w:pgMar w:top="1418" w:right="1701" w:bottom="1134" w:left="1843" w:header="284" w:footer="425" w:gutter="284"/>
          <w:pgNumType w:start="1"/>
          <w:cols w:space="720"/>
        </w:sectPr>
      </w:pPr>
    </w:p>
    <w:p w14:paraId="1A4238C8" w14:textId="7EF75E63" w:rsidR="00982FE4" w:rsidRDefault="00982FE4" w:rsidP="00247DFA">
      <w:pPr>
        <w:pStyle w:val="Heading1"/>
        <w:spacing w:before="0"/>
        <w:rPr>
          <w:w w:val="105"/>
        </w:rPr>
      </w:pPr>
      <w:bookmarkStart w:id="7" w:name="_Toc119312984"/>
      <w:r w:rsidRPr="00982FE4">
        <w:rPr>
          <w:w w:val="105"/>
        </w:rPr>
        <w:lastRenderedPageBreak/>
        <w:t xml:space="preserve">People of Aotearoa | Ngā </w:t>
      </w:r>
      <w:r w:rsidR="004F6C77">
        <w:rPr>
          <w:w w:val="105"/>
        </w:rPr>
        <w:t>t</w:t>
      </w:r>
      <w:r w:rsidRPr="00982FE4">
        <w:rPr>
          <w:w w:val="105"/>
        </w:rPr>
        <w:t>āngata o Aotearoa</w:t>
      </w:r>
      <w:bookmarkEnd w:id="7"/>
    </w:p>
    <w:p w14:paraId="1F4A2CE3" w14:textId="77777777" w:rsidR="00982FE4" w:rsidRDefault="00982FE4" w:rsidP="00982FE4">
      <w:pPr>
        <w:pStyle w:val="Heading2"/>
      </w:pPr>
      <w:bookmarkStart w:id="8" w:name="_Toc119312985"/>
      <w:r>
        <w:t>Population overview</w:t>
      </w:r>
      <w:bookmarkEnd w:id="8"/>
      <w:r>
        <w:t xml:space="preserve"> </w:t>
      </w:r>
    </w:p>
    <w:p w14:paraId="7B93166D" w14:textId="77777777" w:rsidR="00FD1435" w:rsidRDefault="00FD1435" w:rsidP="00FD1435">
      <w:r>
        <w:t xml:space="preserve">Aotearoa New Zealand has a culturally diverse population (Stats NZ 2021d). As in many other countries, the population is </w:t>
      </w:r>
      <w:proofErr w:type="gramStart"/>
      <w:r>
        <w:t>ageing:</w:t>
      </w:r>
      <w:proofErr w:type="gramEnd"/>
      <w:r>
        <w:t xml:space="preserve"> there is a growing proportion of older people. </w:t>
      </w:r>
    </w:p>
    <w:p w14:paraId="54D047BC" w14:textId="77777777" w:rsidR="00FD1435" w:rsidRDefault="00FD1435" w:rsidP="00FD1435"/>
    <w:p w14:paraId="7D41FEB1" w14:textId="46827436" w:rsidR="00982FE4" w:rsidRDefault="00FD1435" w:rsidP="00FD1435">
      <w:r>
        <w:t>This section provides an overview of the New Zealand population. It covers:</w:t>
      </w:r>
      <w:r w:rsidR="00982FE4">
        <w:t xml:space="preserve"> </w:t>
      </w:r>
    </w:p>
    <w:p w14:paraId="63994BA5" w14:textId="77777777" w:rsidR="00FD1435" w:rsidRPr="00FD1435" w:rsidRDefault="00FD1435" w:rsidP="00FD1435">
      <w:pPr>
        <w:pStyle w:val="Bullet"/>
      </w:pPr>
      <w:r w:rsidRPr="00FD1435">
        <w:t>population numbers</w:t>
      </w:r>
    </w:p>
    <w:p w14:paraId="0AF7F314" w14:textId="77777777" w:rsidR="00FD1435" w:rsidRPr="00FD1435" w:rsidRDefault="00FD1435" w:rsidP="00FD1435">
      <w:pPr>
        <w:pStyle w:val="Bullet"/>
      </w:pPr>
      <w:r w:rsidRPr="00FD1435">
        <w:t>ageing structure</w:t>
      </w:r>
    </w:p>
    <w:p w14:paraId="6534FC96" w14:textId="77777777" w:rsidR="00FD1435" w:rsidRPr="00FD1435" w:rsidRDefault="00FD1435" w:rsidP="00FD1435">
      <w:pPr>
        <w:pStyle w:val="Bullet"/>
      </w:pPr>
      <w:r w:rsidRPr="00FD1435">
        <w:t>health service users</w:t>
      </w:r>
    </w:p>
    <w:p w14:paraId="3CCAFAC8" w14:textId="77777777" w:rsidR="00FD1435" w:rsidRPr="00FD1435" w:rsidRDefault="00FD1435" w:rsidP="00FD1435">
      <w:pPr>
        <w:pStyle w:val="Bullet"/>
      </w:pPr>
      <w:r w:rsidRPr="00FD1435">
        <w:t>life expectancy</w:t>
      </w:r>
    </w:p>
    <w:p w14:paraId="5203A0E6" w14:textId="77777777" w:rsidR="00FD1435" w:rsidRPr="00FD1435" w:rsidRDefault="00FD1435" w:rsidP="00FD1435">
      <w:pPr>
        <w:pStyle w:val="Bullet"/>
      </w:pPr>
      <w:r w:rsidRPr="00FD1435">
        <w:t>health expectancy</w:t>
      </w:r>
    </w:p>
    <w:p w14:paraId="70407403" w14:textId="77777777" w:rsidR="00FD1435" w:rsidRPr="00FD1435" w:rsidRDefault="00FD1435" w:rsidP="00FD1435">
      <w:pPr>
        <w:pStyle w:val="Bullet"/>
      </w:pPr>
      <w:r w:rsidRPr="00FD1435">
        <w:t>mortality</w:t>
      </w:r>
    </w:p>
    <w:p w14:paraId="73AF9CD6" w14:textId="77777777" w:rsidR="00FD1435" w:rsidRPr="00FD1435" w:rsidRDefault="00FD1435" w:rsidP="00FD1435">
      <w:pPr>
        <w:pStyle w:val="Bullet"/>
      </w:pPr>
      <w:r w:rsidRPr="00FD1435">
        <w:t>self-rated health.</w:t>
      </w:r>
    </w:p>
    <w:p w14:paraId="1329C524" w14:textId="77777777" w:rsidR="00982FE4" w:rsidRDefault="00982FE4" w:rsidP="007911BA">
      <w:pPr>
        <w:pStyle w:val="Heading3"/>
      </w:pPr>
      <w:r>
        <w:t>Population numbers</w:t>
      </w:r>
    </w:p>
    <w:p w14:paraId="42E09867" w14:textId="77777777" w:rsidR="00FD1435" w:rsidRDefault="00FD1435" w:rsidP="00FD1435">
      <w:r>
        <w:t>On 31 December 2021, the estimated population of New Zealand was 5,127,200 (Stats NZ 2022b). During the 2021 year, the total population grew by 0.5%. This was the lowest population growth in New Zealand for 30 years.</w:t>
      </w:r>
    </w:p>
    <w:p w14:paraId="3D4376B1" w14:textId="77777777" w:rsidR="00FD1435" w:rsidRDefault="00FD1435" w:rsidP="00FD1435"/>
    <w:p w14:paraId="58350931" w14:textId="43B8711C" w:rsidR="00982FE4" w:rsidRDefault="00FD1435" w:rsidP="00FD1435">
      <w:r>
        <w:t>The population growth was made up of:</w:t>
      </w:r>
    </w:p>
    <w:p w14:paraId="03B7110E" w14:textId="77777777" w:rsidR="00FD1435" w:rsidRDefault="00FD1435" w:rsidP="00FD1435">
      <w:pPr>
        <w:pStyle w:val="Bullet"/>
      </w:pPr>
      <w:r>
        <w:t>an estimated natural increase (births minus deaths) of 27,400</w:t>
      </w:r>
    </w:p>
    <w:p w14:paraId="2115FAEA" w14:textId="77777777" w:rsidR="00FD1435" w:rsidRDefault="00FD1435" w:rsidP="00FD1435">
      <w:pPr>
        <w:pStyle w:val="Bullet"/>
      </w:pPr>
      <w:r>
        <w:t>an estimated net migration of -3,900; that is, there were more migrant departures than arrivals.</w:t>
      </w:r>
    </w:p>
    <w:p w14:paraId="4F75957F" w14:textId="77777777" w:rsidR="00982FE4" w:rsidRDefault="00982FE4" w:rsidP="00982FE4"/>
    <w:p w14:paraId="0D966936" w14:textId="4234CDAD" w:rsidR="007911BA" w:rsidRPr="00344776" w:rsidRDefault="00FD1435" w:rsidP="007911BA">
      <w:r w:rsidRPr="00FD1435">
        <w:rPr>
          <w:szCs w:val="21"/>
        </w:rPr>
        <w:t>During the 5 years between 2015 and 2019, the population increase due to migration averaged 60,000 people per year. In 2020, border closures associated with the COVID-19 pandemic prevented inward migration, and by 2021 net migration was negative (Stats NZ 2021b).</w:t>
      </w:r>
    </w:p>
    <w:p w14:paraId="174B521D" w14:textId="77777777" w:rsidR="00982FE4" w:rsidRDefault="00982FE4" w:rsidP="007911BA">
      <w:pPr>
        <w:pStyle w:val="Heading3"/>
      </w:pPr>
      <w:r>
        <w:lastRenderedPageBreak/>
        <w:t>Changing demographics</w:t>
      </w:r>
    </w:p>
    <w:p w14:paraId="3D54BA67" w14:textId="77777777" w:rsidR="00412994" w:rsidRPr="00344776" w:rsidRDefault="00412994" w:rsidP="00412994">
      <w:r w:rsidRPr="00344776">
        <w:t xml:space="preserve">In 2021, the median age of New Zealand women giving birth was 31.0 years. </w:t>
      </w:r>
      <w:r>
        <w:t xml:space="preserve">The median age </w:t>
      </w:r>
      <w:r w:rsidRPr="00344776">
        <w:t xml:space="preserve">has remained at around 30 years of age since 1999 </w:t>
      </w:r>
      <w:r w:rsidRPr="00344776">
        <w:fldChar w:fldCharType="begin"/>
      </w:r>
      <w:r w:rsidRPr="00344776">
        <w:instrText xml:space="preserve"> ADDIN EN.CITE &lt;EndNote&gt;&lt;Cite&gt;&lt;Author&gt;Stats NZ&lt;/Author&gt;&lt;Year&gt;2022&lt;/Year&gt;&lt;RecNum&gt;206&lt;/RecNum&gt;&lt;DisplayText&gt;(Stats NZ 2022a)&lt;/DisplayText&gt;&lt;record&gt;&lt;rec-number&gt;206&lt;/rec-number&gt;&lt;foreign-keys&gt;&lt;key app="EN" db-id="aaepvppzs5wtfse95vsp2wahsrtvva2vvdet" timestamp="1663737964"&gt;206&lt;/key&gt;&lt;/foreign-keys&gt;&lt;ref-type name="Web Page"&gt;12&lt;/ref-type&gt;&lt;contributors&gt;&lt;authors&gt;&lt;author&gt;Stats NZ,&lt;/author&gt;&lt;/authors&gt;&lt;/contributors&gt;&lt;titles&gt;&lt;title&gt;Births and deaths: Year ended December 2021 (including abridged period life table)&lt;/title&gt;&lt;/titles&gt;&lt;number&gt;21 September 2022&lt;/number&gt;&lt;dates&gt;&lt;year&gt;2022&lt;/year&gt;&lt;/dates&gt;&lt;urls&gt;&lt;related-urls&gt;&lt;url&gt;https://www.stats.govt.nz/information-releases/births-and-deaths-year-ended-december-2021-including-abridged-period-life-table/&lt;/url&gt;&lt;/related-urls&gt;&lt;/urls&gt;&lt;/record&gt;&lt;/Cite&gt;&lt;/EndNote&gt;</w:instrText>
      </w:r>
      <w:r w:rsidRPr="00344776">
        <w:fldChar w:fldCharType="separate"/>
      </w:r>
      <w:r w:rsidRPr="00344776">
        <w:rPr>
          <w:noProof/>
        </w:rPr>
        <w:t>(Stats NZ 2022a)</w:t>
      </w:r>
      <w:r w:rsidRPr="00344776">
        <w:fldChar w:fldCharType="end"/>
      </w:r>
      <w:r w:rsidRPr="00344776">
        <w:t>. This compares to around 25 years in the 1970s.</w:t>
      </w:r>
    </w:p>
    <w:p w14:paraId="767FE0F3" w14:textId="77777777" w:rsidR="00412994" w:rsidRPr="00344776" w:rsidRDefault="00412994" w:rsidP="00412994"/>
    <w:p w14:paraId="22E5BAD2" w14:textId="77777777" w:rsidR="00412994" w:rsidRPr="00344776" w:rsidRDefault="00412994" w:rsidP="00412994">
      <w:r w:rsidRPr="00344776">
        <w:t>Over half (58%) of births in 2021 were to mothers aged 30 years or older</w:t>
      </w:r>
      <w:r>
        <w:t>,</w:t>
      </w:r>
      <w:r w:rsidRPr="00344776">
        <w:t xml:space="preserve"> up from 48% in 2000.</w:t>
      </w:r>
    </w:p>
    <w:p w14:paraId="623CDD88" w14:textId="77777777" w:rsidR="00412994" w:rsidRPr="00344776" w:rsidRDefault="00412994" w:rsidP="00412994"/>
    <w:p w14:paraId="19AE0509" w14:textId="3FDE36A9" w:rsidR="00B206F0" w:rsidRPr="00B206F0" w:rsidRDefault="00412994" w:rsidP="00982FE4">
      <w:pPr>
        <w:rPr>
          <w:szCs w:val="21"/>
        </w:rPr>
      </w:pPr>
      <w:r w:rsidRPr="00344776">
        <w:rPr>
          <w:szCs w:val="21"/>
        </w:rPr>
        <w:t xml:space="preserve">Age-specific fertility (or birth) rates measure the number of live births that 1,000 women in a particular age group have in a given period (usually a year). Over the past </w:t>
      </w:r>
      <w:r>
        <w:rPr>
          <w:szCs w:val="21"/>
        </w:rPr>
        <w:t>10</w:t>
      </w:r>
      <w:r w:rsidRPr="00344776">
        <w:rPr>
          <w:szCs w:val="21"/>
        </w:rPr>
        <w:t xml:space="preserve"> years (2020 compared with 2011)</w:t>
      </w:r>
      <w:r>
        <w:rPr>
          <w:szCs w:val="21"/>
        </w:rPr>
        <w:t>,</w:t>
      </w:r>
      <w:r w:rsidRPr="00344776">
        <w:rPr>
          <w:szCs w:val="21"/>
        </w:rPr>
        <w:t xml:space="preserve"> birth rates have dropped for every age group of women, except for those over 40 </w:t>
      </w:r>
      <w:r w:rsidR="007911BA" w:rsidRPr="00344776">
        <w:rPr>
          <w:szCs w:val="21"/>
        </w:rPr>
        <w:fldChar w:fldCharType="begin"/>
      </w:r>
      <w:r w:rsidR="007911BA" w:rsidRPr="00344776">
        <w:rPr>
          <w:szCs w:val="21"/>
        </w:rPr>
        <w:instrText xml:space="preserve"> ADDIN EN.CITE &lt;EndNote&gt;&lt;Cite&gt;&lt;Author&gt;Stats NZ&lt;/Author&gt;&lt;Year&gt;2022&lt;/Year&gt;&lt;RecNum&gt;206&lt;/RecNum&gt;&lt;DisplayText&gt;(Stats NZ 2022a)&lt;/DisplayText&gt;&lt;record&gt;&lt;rec-number&gt;206&lt;/rec-number&gt;&lt;foreign-keys&gt;&lt;key app="EN" db-id="aaepvppzs5wtfse95vsp2wahsrtvva2vvdet" timestamp="1663737964"&gt;206&lt;/key&gt;&lt;/foreign-keys&gt;&lt;ref-type name="Web Page"&gt;12&lt;/ref-type&gt;&lt;contributors&gt;&lt;authors&gt;&lt;author&gt;Stats NZ,&lt;/author&gt;&lt;/authors&gt;&lt;/contributors&gt;&lt;titles&gt;&lt;title&gt;Births and deaths: Year ended December 2021 (including abridged period life table)&lt;/title&gt;&lt;/titles&gt;&lt;number&gt;21 September 2022&lt;/number&gt;&lt;dates&gt;&lt;year&gt;2022&lt;/year&gt;&lt;/dates&gt;&lt;urls&gt;&lt;related-urls&gt;&lt;url&gt;https://www.stats.govt.nz/information-releases/births-and-deaths-year-ended-december-2021-including-abridged-period-life-table/&lt;/url&gt;&lt;/related-urls&gt;&lt;/urls&gt;&lt;/record&gt;&lt;/Cite&gt;&lt;/EndNote&gt;</w:instrText>
      </w:r>
      <w:r w:rsidR="007911BA" w:rsidRPr="00344776">
        <w:rPr>
          <w:szCs w:val="21"/>
        </w:rPr>
        <w:fldChar w:fldCharType="separate"/>
      </w:r>
      <w:r w:rsidR="007911BA" w:rsidRPr="00344776">
        <w:rPr>
          <w:noProof/>
          <w:szCs w:val="21"/>
        </w:rPr>
        <w:t>(Stats NZ 2022a</w:t>
      </w:r>
      <w:r>
        <w:rPr>
          <w:noProof/>
          <w:szCs w:val="21"/>
        </w:rPr>
        <w:t xml:space="preserve">, </w:t>
      </w:r>
      <w:r w:rsidR="007911BA" w:rsidRPr="00344776">
        <w:rPr>
          <w:szCs w:val="21"/>
        </w:rPr>
        <w:fldChar w:fldCharType="end"/>
      </w:r>
      <w:r w:rsidR="007911BA">
        <w:rPr>
          <w:szCs w:val="21"/>
        </w:rPr>
        <w:fldChar w:fldCharType="begin"/>
      </w:r>
      <w:r w:rsidR="007911BA">
        <w:rPr>
          <w:szCs w:val="21"/>
        </w:rPr>
        <w:instrText xml:space="preserve"> REF _Ref118725006 \h </w:instrText>
      </w:r>
      <w:r w:rsidR="007911BA">
        <w:rPr>
          <w:szCs w:val="21"/>
        </w:rPr>
      </w:r>
      <w:r w:rsidR="007911BA">
        <w:rPr>
          <w:szCs w:val="21"/>
        </w:rPr>
        <w:fldChar w:fldCharType="separate"/>
      </w:r>
      <w:r w:rsidR="00F61845" w:rsidRPr="00982FE4">
        <w:t xml:space="preserve">Figure </w:t>
      </w:r>
      <w:r w:rsidR="00F61845">
        <w:rPr>
          <w:noProof/>
        </w:rPr>
        <w:t>1</w:t>
      </w:r>
      <w:r w:rsidR="007911BA">
        <w:rPr>
          <w:szCs w:val="21"/>
        </w:rPr>
        <w:fldChar w:fldCharType="end"/>
      </w:r>
      <w:r w:rsidR="007911BA" w:rsidRPr="00344776">
        <w:rPr>
          <w:szCs w:val="21"/>
        </w:rPr>
        <w:t xml:space="preserve">). </w:t>
      </w:r>
    </w:p>
    <w:p w14:paraId="3827A011" w14:textId="3DBEDDDE" w:rsidR="00982FE4" w:rsidRDefault="00982FE4" w:rsidP="00253316">
      <w:pPr>
        <w:pStyle w:val="Figure"/>
      </w:pPr>
      <w:bookmarkStart w:id="9" w:name="_Ref118725006"/>
      <w:bookmarkStart w:id="10" w:name="_Toc119047745"/>
      <w:r w:rsidRPr="00982FE4">
        <w:t xml:space="preserve">Figure </w:t>
      </w:r>
      <w:r>
        <w:fldChar w:fldCharType="begin"/>
      </w:r>
      <w:r>
        <w:instrText>SEQ Figure \* ARABIC</w:instrText>
      </w:r>
      <w:r>
        <w:fldChar w:fldCharType="separate"/>
      </w:r>
      <w:r w:rsidR="00F61845">
        <w:rPr>
          <w:noProof/>
        </w:rPr>
        <w:t>1</w:t>
      </w:r>
      <w:r>
        <w:fldChar w:fldCharType="end"/>
      </w:r>
      <w:bookmarkEnd w:id="9"/>
      <w:r w:rsidRPr="00982FE4">
        <w:t>:  Rate of women giving birth, by age group, 2011–2020</w:t>
      </w:r>
      <w:bookmarkEnd w:id="10"/>
    </w:p>
    <w:p w14:paraId="7DE9673E" w14:textId="7E2ABB31" w:rsidR="00982FE4" w:rsidRPr="00982FE4" w:rsidRDefault="00982FE4" w:rsidP="00982FE4">
      <w:r>
        <w:rPr>
          <w:noProof/>
        </w:rPr>
        <w:drawing>
          <wp:inline distT="0" distB="0" distL="0" distR="0" wp14:anchorId="485C48CD" wp14:editId="2AFD1D9D">
            <wp:extent cx="5126990" cy="2588260"/>
            <wp:effectExtent l="0" t="0" r="0" b="2540"/>
            <wp:docPr id="5" name="Picture 5" descr="A time-series line chart showing the rate of women giving birth in 5-year age bands from &lt;20 to 40+ for 2011 to 2020. The chart shows birth rates declined for all age groups, except for the 40+ age group where the rate remained mostly 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ime-series line chart showing the rate of women giving birth in 5-year age bands from &lt;20 to 40+ for 2011 to 2020. The chart shows birth rates declined for all age groups, except for the 40+ age group where the rate remained mostly steady."/>
                    <pic:cNvPicPr>
                      <a:picLocks noChangeAspect="1" noChangeArrowheads="1"/>
                    </pic:cNvPicPr>
                  </pic:nvPicPr>
                  <pic:blipFill rotWithShape="1">
                    <a:blip r:embed="rId27">
                      <a:extLst>
                        <a:ext uri="{28A0092B-C50C-407E-A947-70E740481C1C}">
                          <a14:useLocalDpi xmlns:a14="http://schemas.microsoft.com/office/drawing/2010/main" val="0"/>
                        </a:ext>
                      </a:extLst>
                    </a:blip>
                    <a:srcRect t="5218"/>
                    <a:stretch/>
                  </pic:blipFill>
                  <pic:spPr bwMode="auto">
                    <a:xfrm>
                      <a:off x="0" y="0"/>
                      <a:ext cx="5126990" cy="2588260"/>
                    </a:xfrm>
                    <a:prstGeom prst="rect">
                      <a:avLst/>
                    </a:prstGeom>
                    <a:noFill/>
                    <a:ln>
                      <a:noFill/>
                    </a:ln>
                    <a:extLst>
                      <a:ext uri="{53640926-AAD7-44D8-BBD7-CCE9431645EC}">
                        <a14:shadowObscured xmlns:a14="http://schemas.microsoft.com/office/drawing/2010/main"/>
                      </a:ext>
                    </a:extLst>
                  </pic:spPr>
                </pic:pic>
              </a:graphicData>
            </a:graphic>
          </wp:inline>
        </w:drawing>
      </w:r>
    </w:p>
    <w:p w14:paraId="7F724964" w14:textId="798D13C7" w:rsidR="00982FE4" w:rsidRDefault="00982FE4" w:rsidP="00982FE4">
      <w:pPr>
        <w:pStyle w:val="Source"/>
      </w:pPr>
      <w:r>
        <w:t xml:space="preserve">Source: </w:t>
      </w:r>
      <w:hyperlink r:id="rId28" w:history="1">
        <w:r w:rsidRPr="007911BA">
          <w:rPr>
            <w:rStyle w:val="Hyperlink"/>
          </w:rPr>
          <w:t>Ministry of Health (2022o)</w:t>
        </w:r>
      </w:hyperlink>
    </w:p>
    <w:p w14:paraId="5E766B80" w14:textId="77777777" w:rsidR="00982FE4" w:rsidRDefault="00982FE4" w:rsidP="00982FE4"/>
    <w:p w14:paraId="179F698B" w14:textId="77777777" w:rsidR="00412994" w:rsidRPr="00344776" w:rsidRDefault="00412994" w:rsidP="00412994">
      <w:r w:rsidRPr="00344776">
        <w:t xml:space="preserve">Birth rates remain higher for Māori and Pacific peoples than </w:t>
      </w:r>
      <w:r>
        <w:t xml:space="preserve">the </w:t>
      </w:r>
      <w:r w:rsidRPr="00344776">
        <w:t xml:space="preserve">Asian and European/other ethnic groups </w:t>
      </w:r>
      <w:r w:rsidRPr="00344776">
        <w:fldChar w:fldCharType="begin"/>
      </w:r>
      <w:r>
        <w:instrText xml:space="preserve"> ADDIN EN.CITE &lt;EndNote&gt;&lt;Cite&gt;&lt;Author&gt;Ministry of Health&lt;/Author&gt;&lt;Year&gt;2022&lt;/Year&gt;&lt;RecNum&gt;207&lt;/RecNum&gt;&lt;DisplayText&gt;(Ministry of Health 2022o)&lt;/DisplayText&gt;&lt;record&gt;&lt;rec-number&gt;207&lt;/rec-number&gt;&lt;foreign-keys&gt;&lt;key app="EN" db-id="aaepvppzs5wtfse95vsp2wahsrtvva2vvdet" timestamp="1663738062"&gt;207&lt;/key&gt;&lt;/foreign-keys&gt;&lt;ref-type name="Web Page"&gt;12&lt;/ref-type&gt;&lt;contributors&gt;&lt;authors&gt;&lt;author&gt;Ministry of Health,&lt;/author&gt;&lt;/authors&gt;&lt;/contributors&gt;&lt;titles&gt;&lt;title&gt;Maternity web tool (Data file)&lt;/title&gt;&lt;/titles&gt;&lt;number&gt;28 October 2022&lt;/number&gt;&lt;dates&gt;&lt;year&gt;2022&lt;/year&gt;&lt;/dates&gt;&lt;urls&gt;&lt;related-urls&gt;&lt;url&gt;https://minhealthnz.shinyapps.io/report-on-maternity-web-tool/&lt;/url&gt;&lt;/related-urls&gt;&lt;/urls&gt;&lt;/record&gt;&lt;/Cite&gt;&lt;/EndNote&gt;</w:instrText>
      </w:r>
      <w:r w:rsidRPr="00344776">
        <w:fldChar w:fldCharType="separate"/>
      </w:r>
      <w:r w:rsidRPr="00344776">
        <w:rPr>
          <w:noProof/>
        </w:rPr>
        <w:t>(Ministry of Health 2022o)</w:t>
      </w:r>
      <w:r w:rsidRPr="00344776">
        <w:fldChar w:fldCharType="end"/>
      </w:r>
      <w:r w:rsidRPr="00344776">
        <w:t xml:space="preserve">. However, there has been a steeper decline in birth rates for Māori and Pacific peoples over the past 10 years, which </w:t>
      </w:r>
      <w:r>
        <w:t xml:space="preserve">means that </w:t>
      </w:r>
      <w:r w:rsidRPr="00344776">
        <w:t>the gap in birth rates between ethnic groups</w:t>
      </w:r>
      <w:r>
        <w:t xml:space="preserve"> is starting to close</w:t>
      </w:r>
      <w:r w:rsidRPr="00344776">
        <w:t>.</w:t>
      </w:r>
    </w:p>
    <w:p w14:paraId="59A0C626" w14:textId="77777777" w:rsidR="00412994" w:rsidRPr="00344776" w:rsidRDefault="00412994" w:rsidP="00412994"/>
    <w:p w14:paraId="1E974F98" w14:textId="77777777" w:rsidR="00B51E1F" w:rsidRDefault="00B51E1F" w:rsidP="00412994">
      <w:pPr>
        <w:sectPr w:rsidR="00B51E1F" w:rsidSect="00412994">
          <w:pgSz w:w="11907" w:h="16840" w:code="9"/>
          <w:pgMar w:top="1418" w:right="1701" w:bottom="1134" w:left="1843" w:header="284" w:footer="425" w:gutter="284"/>
          <w:cols w:space="720"/>
        </w:sectPr>
      </w:pPr>
    </w:p>
    <w:p w14:paraId="0B6A518A" w14:textId="47D426E4" w:rsidR="00982FE4" w:rsidRDefault="00B51E1F" w:rsidP="00412994">
      <w:r>
        <w:lastRenderedPageBreak/>
        <w:fldChar w:fldCharType="begin"/>
      </w:r>
      <w:r>
        <w:instrText xml:space="preserve"> REF _Ref118725050 \h </w:instrText>
      </w:r>
      <w:r>
        <w:fldChar w:fldCharType="separate"/>
      </w:r>
      <w:r w:rsidR="00F61845" w:rsidRPr="00B206F0">
        <w:t xml:space="preserve">Figure </w:t>
      </w:r>
      <w:r w:rsidR="00F61845">
        <w:rPr>
          <w:noProof/>
        </w:rPr>
        <w:t>2</w:t>
      </w:r>
      <w:r>
        <w:fldChar w:fldCharType="end"/>
      </w:r>
      <w:r>
        <w:t xml:space="preserve"> </w:t>
      </w:r>
      <w:r w:rsidR="00412994">
        <w:t>shows t</w:t>
      </w:r>
      <w:r w:rsidR="00412994" w:rsidRPr="00344776">
        <w:t xml:space="preserve">he change in rates of women giving birth by ethnic group between 2011 and 2020. </w:t>
      </w:r>
      <w:r w:rsidR="00412994">
        <w:t xml:space="preserve">It sets out </w:t>
      </w:r>
      <w:r w:rsidR="00412994" w:rsidRPr="00344776">
        <w:t>the following decrease</w:t>
      </w:r>
      <w:r w:rsidR="00412994">
        <w:t>s</w:t>
      </w:r>
      <w:r w:rsidR="00412994" w:rsidRPr="00344776">
        <w:t xml:space="preserve"> </w:t>
      </w:r>
      <w:r w:rsidR="00412994">
        <w:t xml:space="preserve">over </w:t>
      </w:r>
      <w:r w:rsidR="00412994" w:rsidRPr="00344776">
        <w:t>that time</w:t>
      </w:r>
      <w:r w:rsidR="00982FE4">
        <w:t>:</w:t>
      </w:r>
    </w:p>
    <w:p w14:paraId="363EFA73" w14:textId="77777777" w:rsidR="00412994" w:rsidRDefault="00412994" w:rsidP="00412994">
      <w:pPr>
        <w:pStyle w:val="Bullet"/>
      </w:pPr>
      <w:r>
        <w:t>Māori: 106.8 births per 1,000 women in 2011, compared with 82.3 births per 1,000 in 2020</w:t>
      </w:r>
    </w:p>
    <w:p w14:paraId="291ADB7B" w14:textId="77777777" w:rsidR="00412994" w:rsidRDefault="00412994" w:rsidP="00412994">
      <w:pPr>
        <w:pStyle w:val="Bullet"/>
      </w:pPr>
      <w:r>
        <w:t xml:space="preserve">Pacific peoples: 110.3 births per 1,000 women in 2011, compared with 77.1 per 1,000 in 2020 </w:t>
      </w:r>
    </w:p>
    <w:p w14:paraId="0662BF06" w14:textId="77777777" w:rsidR="00412994" w:rsidRDefault="00412994" w:rsidP="00412994">
      <w:pPr>
        <w:pStyle w:val="Bullet"/>
      </w:pPr>
      <w:r>
        <w:t>Asian people: 53.8 births per 1,000 women in 2011, compared with 51.7 per 1,000 in 2020</w:t>
      </w:r>
    </w:p>
    <w:p w14:paraId="19927A25" w14:textId="7FEA93BB" w:rsidR="00982FE4" w:rsidRPr="00982FE4" w:rsidRDefault="00412994" w:rsidP="00982FE4">
      <w:pPr>
        <w:pStyle w:val="Bullet"/>
      </w:pPr>
      <w:r>
        <w:t>European/other people: 56.7 births per 1,000 women in 2011, compared with 49.4 per 1,000 in 2020.</w:t>
      </w:r>
    </w:p>
    <w:p w14:paraId="38640E08" w14:textId="19A117B2" w:rsidR="00982FE4" w:rsidRPr="00B206F0" w:rsidRDefault="00982FE4" w:rsidP="00B206F0">
      <w:pPr>
        <w:pStyle w:val="Figure"/>
      </w:pPr>
      <w:bookmarkStart w:id="11" w:name="_Ref118725050"/>
      <w:bookmarkStart w:id="12" w:name="_Toc118730674"/>
      <w:bookmarkStart w:id="13" w:name="_Toc119047746"/>
      <w:r w:rsidRPr="00B206F0">
        <w:t xml:space="preserve">Figure </w:t>
      </w:r>
      <w:r>
        <w:fldChar w:fldCharType="begin"/>
      </w:r>
      <w:r>
        <w:instrText>SEQ Figure \* ARABIC</w:instrText>
      </w:r>
      <w:r>
        <w:fldChar w:fldCharType="separate"/>
      </w:r>
      <w:r w:rsidR="00F61845">
        <w:rPr>
          <w:noProof/>
        </w:rPr>
        <w:t>2</w:t>
      </w:r>
      <w:r>
        <w:fldChar w:fldCharType="end"/>
      </w:r>
      <w:bookmarkEnd w:id="11"/>
      <w:r w:rsidRPr="00B206F0">
        <w:t>: Rate of women giving birth, by prioritised ethnic group, 2011–2020</w:t>
      </w:r>
      <w:bookmarkEnd w:id="12"/>
      <w:bookmarkEnd w:id="13"/>
    </w:p>
    <w:p w14:paraId="64D363AC" w14:textId="033E644A" w:rsidR="00982FE4" w:rsidRDefault="00982FE4" w:rsidP="00982FE4">
      <w:r>
        <w:rPr>
          <w:noProof/>
        </w:rPr>
        <w:drawing>
          <wp:inline distT="0" distB="0" distL="0" distR="0" wp14:anchorId="70E5E094" wp14:editId="2C64C75A">
            <wp:extent cx="5126990" cy="2529255"/>
            <wp:effectExtent l="0" t="0" r="0" b="4445"/>
            <wp:docPr id="6" name="Picture 6" descr="A time-series line chart showing the rate of women giving birth by ethnic group between 2011 and 2020. The chart shows birth rates declined for all ethnic groups between 2011 and 2020. Māori and Pacific peoples ethnic groups have higher birth rates compared to Asian and European/other, however the gap is nar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ime-series line chart showing the rate of women giving birth by ethnic group between 2011 and 2020. The chart shows birth rates declined for all ethnic groups between 2011 and 2020. Māori and Pacific peoples ethnic groups have higher birth rates compared to Asian and European/other, however the gap is narrowing."/>
                    <pic:cNvPicPr>
                      <a:picLocks noChangeAspect="1" noChangeArrowheads="1"/>
                    </pic:cNvPicPr>
                  </pic:nvPicPr>
                  <pic:blipFill rotWithShape="1">
                    <a:blip r:embed="rId29">
                      <a:extLst>
                        <a:ext uri="{28A0092B-C50C-407E-A947-70E740481C1C}">
                          <a14:useLocalDpi xmlns:a14="http://schemas.microsoft.com/office/drawing/2010/main" val="0"/>
                        </a:ext>
                      </a:extLst>
                    </a:blip>
                    <a:srcRect t="7392"/>
                    <a:stretch/>
                  </pic:blipFill>
                  <pic:spPr bwMode="auto">
                    <a:xfrm>
                      <a:off x="0" y="0"/>
                      <a:ext cx="5126990" cy="2529255"/>
                    </a:xfrm>
                    <a:prstGeom prst="rect">
                      <a:avLst/>
                    </a:prstGeom>
                    <a:noFill/>
                    <a:ln>
                      <a:noFill/>
                    </a:ln>
                    <a:extLst>
                      <a:ext uri="{53640926-AAD7-44D8-BBD7-CCE9431645EC}">
                        <a14:shadowObscured xmlns:a14="http://schemas.microsoft.com/office/drawing/2010/main"/>
                      </a:ext>
                    </a:extLst>
                  </pic:spPr>
                </pic:pic>
              </a:graphicData>
            </a:graphic>
          </wp:inline>
        </w:drawing>
      </w:r>
    </w:p>
    <w:p w14:paraId="0B9A27E1" w14:textId="256124EF" w:rsidR="00982FE4" w:rsidRDefault="00982FE4" w:rsidP="00982FE4">
      <w:pPr>
        <w:pStyle w:val="Source"/>
      </w:pPr>
      <w:r w:rsidRPr="00982FE4">
        <w:t xml:space="preserve">Source: </w:t>
      </w:r>
      <w:hyperlink r:id="rId30" w:history="1">
        <w:r w:rsidRPr="00982FE4">
          <w:rPr>
            <w:rStyle w:val="Hyperlink"/>
          </w:rPr>
          <w:t>Ministry of Health (2022o)</w:t>
        </w:r>
      </w:hyperlink>
    </w:p>
    <w:p w14:paraId="7018531D" w14:textId="77777777" w:rsidR="00B51E1F" w:rsidRDefault="00B51E1F" w:rsidP="007911BA">
      <w:pPr>
        <w:pStyle w:val="Heading3"/>
        <w:sectPr w:rsidR="00B51E1F" w:rsidSect="00412994">
          <w:pgSz w:w="11907" w:h="16840" w:code="9"/>
          <w:pgMar w:top="1418" w:right="1701" w:bottom="1134" w:left="1843" w:header="284" w:footer="425" w:gutter="284"/>
          <w:cols w:space="720"/>
        </w:sectPr>
      </w:pPr>
    </w:p>
    <w:p w14:paraId="71453097" w14:textId="78FBD49C" w:rsidR="007911BA" w:rsidRPr="007911BA" w:rsidRDefault="007911BA" w:rsidP="00757770">
      <w:pPr>
        <w:pStyle w:val="Heading3"/>
        <w:spacing w:before="0"/>
      </w:pPr>
      <w:r w:rsidRPr="007911BA">
        <w:lastRenderedPageBreak/>
        <w:t>Age structure</w:t>
      </w:r>
    </w:p>
    <w:p w14:paraId="5E946A1D" w14:textId="77777777" w:rsidR="00412994" w:rsidRPr="00344776" w:rsidRDefault="00412994" w:rsidP="00412994">
      <w:pPr>
        <w:rPr>
          <w:shd w:val="clear" w:color="auto" w:fill="FFFFFF"/>
        </w:rPr>
      </w:pPr>
      <w:r>
        <w:rPr>
          <w:shd w:val="clear" w:color="auto" w:fill="FFFFFF"/>
        </w:rPr>
        <w:t>The term ‘p</w:t>
      </w:r>
      <w:r w:rsidRPr="00344776">
        <w:rPr>
          <w:shd w:val="clear" w:color="auto" w:fill="FFFFFF"/>
        </w:rPr>
        <w:t>opulation ageing</w:t>
      </w:r>
      <w:r>
        <w:rPr>
          <w:shd w:val="clear" w:color="auto" w:fill="FFFFFF"/>
        </w:rPr>
        <w:t>’</w:t>
      </w:r>
      <w:r w:rsidRPr="00344776">
        <w:rPr>
          <w:shd w:val="clear" w:color="auto" w:fill="FFFFFF"/>
        </w:rPr>
        <w:t xml:space="preserve"> refers to a population </w:t>
      </w:r>
      <w:r>
        <w:rPr>
          <w:shd w:val="clear" w:color="auto" w:fill="FFFFFF"/>
        </w:rPr>
        <w:t xml:space="preserve">in which </w:t>
      </w:r>
      <w:r w:rsidRPr="00344776">
        <w:rPr>
          <w:shd w:val="clear" w:color="auto" w:fill="FFFFFF"/>
        </w:rPr>
        <w:t xml:space="preserve">the proportion of older people are increasing. The main causes </w:t>
      </w:r>
      <w:r>
        <w:rPr>
          <w:shd w:val="clear" w:color="auto" w:fill="FFFFFF"/>
        </w:rPr>
        <w:t xml:space="preserve">for this </w:t>
      </w:r>
      <w:r w:rsidRPr="00344776">
        <w:rPr>
          <w:shd w:val="clear" w:color="auto" w:fill="FFFFFF"/>
        </w:rPr>
        <w:t xml:space="preserve">are rising life expectancy (people living longer) and declining fertility (people having fewer children). </w:t>
      </w:r>
    </w:p>
    <w:p w14:paraId="7EB7B652" w14:textId="77777777" w:rsidR="00412994" w:rsidRPr="00344776" w:rsidRDefault="00412994" w:rsidP="00412994">
      <w:pPr>
        <w:rPr>
          <w:shd w:val="clear" w:color="auto" w:fill="FFFFFF"/>
        </w:rPr>
      </w:pPr>
    </w:p>
    <w:p w14:paraId="68DA552F" w14:textId="77777777" w:rsidR="00412994" w:rsidRPr="00344776" w:rsidRDefault="00412994" w:rsidP="00412994">
      <w:pPr>
        <w:rPr>
          <w:shd w:val="clear" w:color="auto" w:fill="FFFFFF"/>
        </w:rPr>
      </w:pPr>
      <w:r w:rsidRPr="00344776">
        <w:rPr>
          <w:shd w:val="clear" w:color="auto" w:fill="FFFFFF"/>
        </w:rPr>
        <w:t>In New Zealand, the birth rate has been declining over the last 10 years</w:t>
      </w:r>
      <w:r>
        <w:rPr>
          <w:shd w:val="clear" w:color="auto" w:fill="FFFFFF"/>
        </w:rPr>
        <w:t>,</w:t>
      </w:r>
      <w:r w:rsidRPr="00344776">
        <w:rPr>
          <w:shd w:val="clear" w:color="auto" w:fill="FFFFFF"/>
        </w:rPr>
        <w:t xml:space="preserve"> and life expectancy continues to improve </w:t>
      </w:r>
      <w:r w:rsidRPr="00344776">
        <w:rPr>
          <w:shd w:val="clear" w:color="auto" w:fill="FFFFFF"/>
        </w:rPr>
        <w:fldChar w:fldCharType="begin"/>
      </w:r>
      <w:r>
        <w:rPr>
          <w:shd w:val="clear" w:color="auto" w:fill="FFFFFF"/>
        </w:rPr>
        <w:instrText xml:space="preserve"> ADDIN EN.CITE &lt;EndNote&gt;&lt;Cite&gt;&lt;Author&gt;Stats NZ&lt;/Author&gt;&lt;Year&gt;2021&lt;/Year&gt;&lt;RecNum&gt;188&lt;/RecNum&gt;&lt;DisplayText&gt;(Stats NZ 2021c)&lt;/DisplayText&gt;&lt;record&gt;&lt;rec-number&gt;188&lt;/rec-number&gt;&lt;foreign-keys&gt;&lt;key app="EN" db-id="aaepvppzs5wtfse95vsp2wahsrtvva2vvdet" timestamp="1663730293"&gt;188&lt;/key&gt;&lt;/foreign-keys&gt;&lt;ref-type name="Web Page"&gt;12&lt;/ref-type&gt;&lt;contributors&gt;&lt;authors&gt;&lt;author&gt;Stats NZ,&lt;/author&gt;&lt;/authors&gt;&lt;/contributors&gt;&lt;titles&gt;&lt;title&gt;New Zealand&amp;apos;s birth rate lowest on record, deaths drop in 2020&lt;/title&gt;&lt;/titles&gt;&lt;number&gt;28 October 2022&lt;/number&gt;&lt;dates&gt;&lt;year&gt;2021&lt;/year&gt;&lt;/dates&gt;&lt;urls&gt;&lt;related-urls&gt;&lt;url&gt;https://www.stats.govt.nz/news/new-zealands-birth-rate-lowest-on-record-deaths-drop-in-2020&lt;/url&gt;&lt;/related-urls&gt;&lt;/urls&gt;&lt;/record&gt;&lt;/Cite&gt;&lt;/EndNote&gt;</w:instrText>
      </w:r>
      <w:r w:rsidRPr="00344776">
        <w:rPr>
          <w:shd w:val="clear" w:color="auto" w:fill="FFFFFF"/>
        </w:rPr>
        <w:fldChar w:fldCharType="separate"/>
      </w:r>
      <w:r w:rsidRPr="00344776">
        <w:rPr>
          <w:noProof/>
          <w:shd w:val="clear" w:color="auto" w:fill="FFFFFF"/>
        </w:rPr>
        <w:t>(Stats NZ 2021c)</w:t>
      </w:r>
      <w:r w:rsidRPr="00344776">
        <w:rPr>
          <w:shd w:val="clear" w:color="auto" w:fill="FFFFFF"/>
        </w:rPr>
        <w:fldChar w:fldCharType="end"/>
      </w:r>
      <w:r w:rsidRPr="00344776">
        <w:rPr>
          <w:shd w:val="clear" w:color="auto" w:fill="FFFFFF"/>
        </w:rPr>
        <w:t>. An ageing population tends to put more demand on a health system, as older people commonly require more health services than younger people.</w:t>
      </w:r>
    </w:p>
    <w:p w14:paraId="1B02CD69" w14:textId="77777777" w:rsidR="00412994" w:rsidRPr="00344776" w:rsidRDefault="00412994" w:rsidP="00412994">
      <w:pPr>
        <w:rPr>
          <w:shd w:val="clear" w:color="auto" w:fill="FFFFFF"/>
        </w:rPr>
      </w:pPr>
    </w:p>
    <w:p w14:paraId="6CF79612" w14:textId="0947CF1C" w:rsidR="007911BA" w:rsidRDefault="00412994" w:rsidP="007911BA">
      <w:r w:rsidRPr="00344776">
        <w:t xml:space="preserve">The age distribution of the population is </w:t>
      </w:r>
      <w:r>
        <w:t xml:space="preserve">different for </w:t>
      </w:r>
      <w:r w:rsidRPr="00344776">
        <w:t>ethnic groups</w:t>
      </w:r>
      <w:r>
        <w:t>;</w:t>
      </w:r>
      <w:r w:rsidRPr="00344776">
        <w:t xml:space="preserve"> Māori, Pacific and Asian populations </w:t>
      </w:r>
      <w:r>
        <w:t xml:space="preserve">are </w:t>
      </w:r>
      <w:r w:rsidRPr="00344776">
        <w:t xml:space="preserve">younger than the European/other population </w:t>
      </w:r>
      <w:r w:rsidR="007911BA" w:rsidRPr="00344776">
        <w:fldChar w:fldCharType="begin"/>
      </w:r>
      <w:r w:rsidR="007911BA" w:rsidRPr="00344776">
        <w:instrText xml:space="preserve"> ADDIN EN.CITE &lt;EndNote&gt;&lt;Cite&gt;&lt;Author&gt;Ministry of Health&lt;/Author&gt;&lt;Year&gt;2022&lt;/Year&gt;&lt;RecNum&gt;246&lt;/RecNum&gt;&lt;DisplayText&gt;(Ministry of Health 2022w)&lt;/DisplayText&gt;&lt;record&gt;&lt;rec-number&gt;246&lt;/rec-number&gt;&lt;foreign-keys&gt;&lt;key app="EN" db-id="aaepvppzs5wtfse95vsp2wahsrtvva2vvdet" timestamp="1664483989"&gt;246&lt;/key&gt;&lt;/foreign-keys&gt;&lt;ref-type name="Web Page"&gt;12&lt;/ref-type&gt;&lt;contributors&gt;&lt;authors&gt;&lt;author&gt;Ministry of Health,&lt;/author&gt;&lt;/authors&gt;&lt;/contributors&gt;&lt;titles&gt;&lt;title&gt;Populations web tool (Data file)&lt;/title&gt;&lt;/titles&gt;&lt;number&gt;29 September 2022&lt;/number&gt;&lt;dates&gt;&lt;year&gt;2022&lt;/year&gt;&lt;/dates&gt;&lt;urls&gt;&lt;related-urls&gt;&lt;url&gt;https://minhealthnz.shinyapps.io/populations-web-tool/&lt;/url&gt;&lt;/related-urls&gt;&lt;/urls&gt;&lt;/record&gt;&lt;/Cite&gt;&lt;/EndNote&gt;</w:instrText>
      </w:r>
      <w:r w:rsidR="007911BA" w:rsidRPr="00344776">
        <w:fldChar w:fldCharType="separate"/>
      </w:r>
      <w:r w:rsidR="007911BA" w:rsidRPr="00344776">
        <w:rPr>
          <w:noProof/>
        </w:rPr>
        <w:t>(Ministry of Health 2022w</w:t>
      </w:r>
      <w:r>
        <w:rPr>
          <w:noProof/>
        </w:rPr>
        <w:t xml:space="preserve">, </w:t>
      </w:r>
      <w:r w:rsidR="007911BA" w:rsidRPr="00344776">
        <w:fldChar w:fldCharType="end"/>
      </w:r>
      <w:r w:rsidR="00B96208">
        <w:fldChar w:fldCharType="begin"/>
      </w:r>
      <w:r w:rsidR="00B96208">
        <w:instrText xml:space="preserve"> REF _Ref118728325 \h </w:instrText>
      </w:r>
      <w:r w:rsidR="00B96208">
        <w:fldChar w:fldCharType="separate"/>
      </w:r>
      <w:r w:rsidR="00F61845" w:rsidRPr="00982FE4">
        <w:t xml:space="preserve">Figure </w:t>
      </w:r>
      <w:r w:rsidR="00F61845">
        <w:rPr>
          <w:noProof/>
        </w:rPr>
        <w:t>3</w:t>
      </w:r>
      <w:r w:rsidR="00B96208">
        <w:fldChar w:fldCharType="end"/>
      </w:r>
      <w:r w:rsidR="007911BA" w:rsidRPr="00344776">
        <w:t>).</w:t>
      </w:r>
    </w:p>
    <w:p w14:paraId="4A4F10E2" w14:textId="13A6ABFA" w:rsidR="007911BA" w:rsidRDefault="007911BA" w:rsidP="00B206F0">
      <w:pPr>
        <w:pStyle w:val="Figure"/>
      </w:pPr>
      <w:bookmarkStart w:id="14" w:name="_Ref118728325"/>
      <w:bookmarkStart w:id="15" w:name="_Toc118730675"/>
      <w:bookmarkStart w:id="16" w:name="_Toc119047747"/>
      <w:r w:rsidRPr="00982FE4">
        <w:t xml:space="preserve">Figure </w:t>
      </w:r>
      <w:r>
        <w:fldChar w:fldCharType="begin"/>
      </w:r>
      <w:r>
        <w:instrText>SEQ Figure \* ARABIC</w:instrText>
      </w:r>
      <w:r>
        <w:fldChar w:fldCharType="separate"/>
      </w:r>
      <w:r w:rsidR="00F61845">
        <w:rPr>
          <w:noProof/>
        </w:rPr>
        <w:t>3</w:t>
      </w:r>
      <w:r>
        <w:fldChar w:fldCharType="end"/>
      </w:r>
      <w:bookmarkEnd w:id="14"/>
      <w:r w:rsidRPr="00982FE4">
        <w:t xml:space="preserve">: </w:t>
      </w:r>
      <w:r w:rsidRPr="007911BA">
        <w:t>Projected population, by age group and prioritised ethnic group, 2021</w:t>
      </w:r>
      <w:bookmarkEnd w:id="15"/>
      <w:bookmarkEnd w:id="16"/>
    </w:p>
    <w:p w14:paraId="4EC3461C" w14:textId="18453A8A" w:rsidR="007911BA" w:rsidRDefault="007911BA" w:rsidP="007911BA">
      <w:r>
        <w:rPr>
          <w:noProof/>
        </w:rPr>
        <w:drawing>
          <wp:inline distT="0" distB="0" distL="0" distR="0" wp14:anchorId="459B0B23" wp14:editId="5229F9D1">
            <wp:extent cx="5126990" cy="4102735"/>
            <wp:effectExtent l="0" t="0" r="0" b="0"/>
            <wp:docPr id="8" name="Picture 8" descr="A series of 4 bar charts showing the projected population in 10-year age bands for 2021, split into 4 ethnic groups: Māori, Pacific peoples, Asian, and Europe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eries of 4 bar charts showing the projected population in 10-year age bands for 2021, split into 4 ethnic groups: Māori, Pacific peoples, Asian, and European/oth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6990" cy="4102735"/>
                    </a:xfrm>
                    <a:prstGeom prst="rect">
                      <a:avLst/>
                    </a:prstGeom>
                    <a:noFill/>
                  </pic:spPr>
                </pic:pic>
              </a:graphicData>
            </a:graphic>
          </wp:inline>
        </w:drawing>
      </w:r>
    </w:p>
    <w:p w14:paraId="56EF5253" w14:textId="58AA9B5F" w:rsidR="007911BA" w:rsidRDefault="007911BA" w:rsidP="007911BA">
      <w:pPr>
        <w:pStyle w:val="Source"/>
        <w:rPr>
          <w:rStyle w:val="Hyperlink"/>
        </w:rPr>
      </w:pPr>
      <w:r w:rsidRPr="00344776">
        <w:t xml:space="preserve">Source: </w:t>
      </w:r>
      <w:hyperlink r:id="rId32">
        <w:r w:rsidRPr="00344776">
          <w:rPr>
            <w:rStyle w:val="Hyperlink"/>
          </w:rPr>
          <w:t>Ministry of Health (2022w)</w:t>
        </w:r>
      </w:hyperlink>
    </w:p>
    <w:p w14:paraId="63EE4A20" w14:textId="77777777" w:rsidR="007911BA" w:rsidRDefault="007911BA" w:rsidP="007911BA">
      <w:pPr>
        <w:pStyle w:val="Heading3"/>
      </w:pPr>
      <w:r>
        <w:t>Health service users</w:t>
      </w:r>
    </w:p>
    <w:p w14:paraId="0AD779A0" w14:textId="77777777" w:rsidR="00412994" w:rsidRPr="00344776" w:rsidRDefault="00412994" w:rsidP="00412994">
      <w:r w:rsidRPr="00344776">
        <w:t xml:space="preserve">The Health Service User dataset </w:t>
      </w:r>
      <w:r>
        <w:t xml:space="preserve">(HSU) </w:t>
      </w:r>
      <w:r w:rsidRPr="00344776">
        <w:t>counts the number of people who receive health services in New Zealand each year. This includes people enrolled with a primary health organisation</w:t>
      </w:r>
      <w:r>
        <w:t xml:space="preserve"> (PHO)</w:t>
      </w:r>
      <w:r w:rsidRPr="00344776">
        <w:t xml:space="preserve"> / general practice, </w:t>
      </w:r>
      <w:r>
        <w:t xml:space="preserve">people </w:t>
      </w:r>
      <w:r w:rsidRPr="00344776">
        <w:t>admitted to hospital, people who attended emergency departments</w:t>
      </w:r>
      <w:r>
        <w:t xml:space="preserve"> (EDs)</w:t>
      </w:r>
      <w:r w:rsidRPr="00344776">
        <w:t xml:space="preserve"> and </w:t>
      </w:r>
      <w:r>
        <w:t xml:space="preserve">people </w:t>
      </w:r>
      <w:r w:rsidRPr="00344776">
        <w:t xml:space="preserve">filling prescriptions </w:t>
      </w:r>
      <w:r w:rsidRPr="00344776">
        <w:fldChar w:fldCharType="begin"/>
      </w:r>
      <w:r>
        <w:instrText xml:space="preserve"> ADDIN EN.CITE &lt;EndNote&gt;&lt;Cite&gt;&lt;Author&gt;Stats NZ&lt;/Author&gt;&lt;Year&gt;2022&lt;/Year&gt;&lt;RecNum&gt;186&lt;/RecNum&gt;&lt;DisplayText&gt;(Stats NZ 2022c)&lt;/DisplayText&gt;&lt;record&gt;&lt;rec-number&gt;186&lt;/rec-number&gt;&lt;foreign-keys&gt;&lt;key app="EN" db-id="aaepvppzs5wtfse95vsp2wahsrtvva2vvdet" timestamp="1663730051"&gt;186&lt;/key&gt;&lt;/foreign-keys&gt;&lt;ref-type name="Web Page"&gt;12&lt;/ref-type&gt;&lt;contributors&gt;&lt;authors&gt;&lt;author&gt;Stats NZ,&lt;/author&gt;&lt;/authors&gt;&lt;/contributors&gt;&lt;titles&gt;&lt;title&gt;Review of Health Service User population methodology&lt;/title&gt;&lt;/titles&gt;&lt;number&gt;28 October 2022&lt;/number&gt;&lt;dates&gt;&lt;year&gt;2022&lt;/year&gt;&lt;/dates&gt;&lt;urls&gt;&lt;related-urls&gt;&lt;url&gt;https://www.stats.govt.nz/reports/review-of-health-service-user-population-methodology/&lt;/url&gt;&lt;/related-urls&gt;&lt;/urls&gt;&lt;/record&gt;&lt;/Cite&gt;&lt;/EndNote&gt;</w:instrText>
      </w:r>
      <w:r w:rsidRPr="00344776">
        <w:fldChar w:fldCharType="separate"/>
      </w:r>
      <w:r w:rsidRPr="00344776">
        <w:rPr>
          <w:noProof/>
        </w:rPr>
        <w:t>(Stats NZ 2022c)</w:t>
      </w:r>
      <w:r w:rsidRPr="00344776">
        <w:fldChar w:fldCharType="end"/>
      </w:r>
      <w:r w:rsidRPr="00344776">
        <w:t>.</w:t>
      </w:r>
    </w:p>
    <w:p w14:paraId="0761B4BD" w14:textId="77777777" w:rsidR="00412994" w:rsidRPr="00344776" w:rsidRDefault="00412994" w:rsidP="00412994"/>
    <w:p w14:paraId="4A5F6052" w14:textId="77777777" w:rsidR="00412994" w:rsidRPr="00344776" w:rsidRDefault="00412994" w:rsidP="00412994">
      <w:r w:rsidRPr="00344776">
        <w:lastRenderedPageBreak/>
        <w:t xml:space="preserve">The HSU can be used to calculate health statistics </w:t>
      </w:r>
      <w:r w:rsidRPr="00344776">
        <w:fldChar w:fldCharType="begin"/>
      </w:r>
      <w:r>
        <w:instrText xml:space="preserve"> ADDIN EN.CITE &lt;EndNote&gt;&lt;Cite&gt;&lt;Author&gt;Stats NZ&lt;/Author&gt;&lt;Year&gt;2022&lt;/Year&gt;&lt;RecNum&gt;186&lt;/RecNum&gt;&lt;DisplayText&gt;(Stats NZ 2022c)&lt;/DisplayText&gt;&lt;record&gt;&lt;rec-number&gt;186&lt;/rec-number&gt;&lt;foreign-keys&gt;&lt;key app="EN" db-id="aaepvppzs5wtfse95vsp2wahsrtvva2vvdet" timestamp="1663730051"&gt;186&lt;/key&gt;&lt;/foreign-keys&gt;&lt;ref-type name="Web Page"&gt;12&lt;/ref-type&gt;&lt;contributors&gt;&lt;authors&gt;&lt;author&gt;Stats NZ,&lt;/author&gt;&lt;/authors&gt;&lt;/contributors&gt;&lt;titles&gt;&lt;title&gt;Review of Health Service User population methodology&lt;/title&gt;&lt;/titles&gt;&lt;number&gt;28 October 2022&lt;/number&gt;&lt;dates&gt;&lt;year&gt;2022&lt;/year&gt;&lt;/dates&gt;&lt;urls&gt;&lt;related-urls&gt;&lt;url&gt;https://www.stats.govt.nz/reports/review-of-health-service-user-population-methodology/&lt;/url&gt;&lt;/related-urls&gt;&lt;/urls&gt;&lt;/record&gt;&lt;/Cite&gt;&lt;/EndNote&gt;</w:instrText>
      </w:r>
      <w:r w:rsidRPr="00344776">
        <w:fldChar w:fldCharType="separate"/>
      </w:r>
      <w:r w:rsidRPr="00344776">
        <w:rPr>
          <w:noProof/>
        </w:rPr>
        <w:t>(Stats NZ 2022c)</w:t>
      </w:r>
      <w:r w:rsidRPr="00344776">
        <w:fldChar w:fldCharType="end"/>
      </w:r>
      <w:r w:rsidRPr="00344776">
        <w:t xml:space="preserve"> such as COVID-19 vaccination coverage in New Zealand. For this purpose, there were a total of 5,000,500 people who used health services in the calendar year 2020 and who were alive on 1 July 2020. </w:t>
      </w:r>
    </w:p>
    <w:p w14:paraId="47FF0354" w14:textId="77777777" w:rsidR="00412994" w:rsidRPr="00344776" w:rsidRDefault="00412994" w:rsidP="00412994">
      <w:pPr>
        <w:rPr>
          <w:color w:val="002639"/>
          <w:shd w:val="clear" w:color="auto" w:fill="FFFFFF"/>
        </w:rPr>
      </w:pPr>
    </w:p>
    <w:p w14:paraId="1D2F89AE" w14:textId="77777777" w:rsidR="00412994" w:rsidRPr="00344776" w:rsidRDefault="00412994" w:rsidP="00412994">
      <w:pPr>
        <w:rPr>
          <w:color w:val="002639"/>
          <w:shd w:val="clear" w:color="auto" w:fill="FFFFFF"/>
        </w:rPr>
      </w:pPr>
      <w:r>
        <w:t>We have used t</w:t>
      </w:r>
      <w:r w:rsidRPr="00344776">
        <w:t>he HSU 2020 as a denominator for COVID-19 reporting in this report</w:t>
      </w:r>
      <w:r>
        <w:t>,</w:t>
      </w:r>
      <w:r w:rsidRPr="00344776">
        <w:t xml:space="preserve"> to be consistent with data reported by the Ministry of Health in 2021. In August 2022, Te Whatu Ora </w:t>
      </w:r>
      <w:r>
        <w:t>–</w:t>
      </w:r>
      <w:r w:rsidRPr="00344776">
        <w:t xml:space="preserve"> Health New Zealand moved to using HSU 2021 to calculate COVID-19 vaccine coverage</w:t>
      </w:r>
      <w:r>
        <w:t xml:space="preserve"> </w:t>
      </w:r>
      <w:r>
        <w:fldChar w:fldCharType="begin"/>
      </w:r>
      <w:r>
        <w:instrText xml:space="preserve"> ADDIN EN.CITE &lt;EndNote&gt;&lt;Cite&gt;&lt;Author&gt;Te Whatu Ora&lt;/Author&gt;&lt;Year&gt;2022&lt;/Year&gt;&lt;RecNum&gt;274&lt;/RecNum&gt;&lt;DisplayText&gt;(Te Whatu Ora 2022)&lt;/DisplayText&gt;&lt;record&gt;&lt;rec-number&gt;274&lt;/rec-number&gt;&lt;foreign-keys&gt;&lt;key app="EN" db-id="aaepvppzs5wtfse95vsp2wahsrtvva2vvdet" timestamp="1667770278"&gt;274&lt;/key&gt;&lt;/foreign-keys&gt;&lt;ref-type name="Web Page"&gt;12&lt;/ref-type&gt;&lt;contributors&gt;&lt;authors&gt;&lt;author&gt;Te Whatu Ora,&lt;/author&gt;&lt;/authors&gt;&lt;/contributors&gt;&lt;titles&gt;&lt;title&gt;Updated health user information informs COVID-19 vaccination programme&lt;/title&gt;&lt;/titles&gt;&lt;number&gt;28 October 2022&lt;/number&gt;&lt;dates&gt;&lt;year&gt;2022&lt;/year&gt;&lt;/dates&gt;&lt;urls&gt;&lt;related-urls&gt;&lt;url&gt;https://www.tewhatuora.govt.nz/about-us/news-and-updates/updated-health-user-information-informs-covid-19-vaccination-programme/&lt;/url&gt;&lt;/related-urls&gt;&lt;/urls&gt;&lt;/record&gt;&lt;/Cite&gt;&lt;/EndNote&gt;</w:instrText>
      </w:r>
      <w:r>
        <w:fldChar w:fldCharType="separate"/>
      </w:r>
      <w:r>
        <w:rPr>
          <w:noProof/>
        </w:rPr>
        <w:t>(Te Whatu Ora 2022)</w:t>
      </w:r>
      <w:r>
        <w:fldChar w:fldCharType="end"/>
      </w:r>
      <w:r w:rsidRPr="00344776">
        <w:t xml:space="preserve">. While </w:t>
      </w:r>
      <w:r>
        <w:t xml:space="preserve">this </w:t>
      </w:r>
      <w:r w:rsidRPr="00344776">
        <w:t>meant a technical decrease in reported vaccination rates overall, due to the larger number of eligible New Zealanders being identified in the dataset, it does not mean any fewer people have been vaccinated</w:t>
      </w:r>
      <w:r>
        <w:t xml:space="preserve"> </w:t>
      </w:r>
      <w:r>
        <w:rPr>
          <w:color w:val="002639"/>
          <w:shd w:val="clear" w:color="auto" w:fill="FFFFFF"/>
        </w:rPr>
        <w:fldChar w:fldCharType="begin"/>
      </w:r>
      <w:r>
        <w:rPr>
          <w:color w:val="002639"/>
          <w:shd w:val="clear" w:color="auto" w:fill="FFFFFF"/>
        </w:rPr>
        <w:instrText xml:space="preserve"> ADDIN EN.CITE &lt;EndNote&gt;&lt;Cite&gt;&lt;Author&gt;Ministry of Health&lt;/Author&gt;&lt;Year&gt;2022&lt;/Year&gt;&lt;RecNum&gt;187&lt;/RecNum&gt;&lt;DisplayText&gt;(Ministry of Health 2022x)&lt;/DisplayText&gt;&lt;record&gt;&lt;rec-number&gt;187&lt;/rec-number&gt;&lt;foreign-keys&gt;&lt;key app="EN" db-id="aaepvppzs5wtfse95vsp2wahsrtvva2vvdet" timestamp="1663730143"&gt;187&lt;/key&gt;&lt;/foreign-keys&gt;&lt;ref-type name="Web Page"&gt;12&lt;/ref-type&gt;&lt;contributors&gt;&lt;authors&gt;&lt;author&gt;Ministry of Health,&lt;/author&gt;&lt;/authors&gt;&lt;/contributors&gt;&lt;titles&gt;&lt;title&gt;Response to Stats NZ recommendations for the Health Service User dataset&lt;/title&gt;&lt;/titles&gt;&lt;number&gt;28 October 2022&lt;/number&gt;&lt;dates&gt;&lt;year&gt;2022&lt;/year&gt;&lt;/dates&gt;&lt;urls&gt;&lt;related-urls&gt;&lt;url&gt;https://www.health.govt.nz/publication/response-stats-nz-recommendations-health-service-user-dataset&lt;/url&gt;&lt;/related-urls&gt;&lt;/urls&gt;&lt;/record&gt;&lt;/Cite&gt;&lt;/EndNote&gt;</w:instrText>
      </w:r>
      <w:r>
        <w:rPr>
          <w:color w:val="002639"/>
          <w:shd w:val="clear" w:color="auto" w:fill="FFFFFF"/>
        </w:rPr>
        <w:fldChar w:fldCharType="separate"/>
      </w:r>
      <w:r>
        <w:rPr>
          <w:noProof/>
          <w:color w:val="002639"/>
          <w:shd w:val="clear" w:color="auto" w:fill="FFFFFF"/>
        </w:rPr>
        <w:t>(Ministry of Health 2022x)</w:t>
      </w:r>
      <w:r>
        <w:rPr>
          <w:color w:val="002639"/>
          <w:shd w:val="clear" w:color="auto" w:fill="FFFFFF"/>
        </w:rPr>
        <w:fldChar w:fldCharType="end"/>
      </w:r>
      <w:r>
        <w:rPr>
          <w:color w:val="002639"/>
          <w:shd w:val="clear" w:color="auto" w:fill="FFFFFF"/>
        </w:rPr>
        <w:t>.</w:t>
      </w:r>
    </w:p>
    <w:p w14:paraId="43C19BB9" w14:textId="77777777" w:rsidR="00412994" w:rsidRPr="00344776" w:rsidRDefault="00412994" w:rsidP="00412994"/>
    <w:p w14:paraId="4EE53F27" w14:textId="757FD4EE" w:rsidR="007911BA" w:rsidRPr="00344776" w:rsidRDefault="00412994" w:rsidP="00412994">
      <w:r w:rsidRPr="00344776">
        <w:t xml:space="preserve">In this report, information from the HSU may be used alongside New Zealand population estimates when calculating health statistics. </w:t>
      </w:r>
      <w:r>
        <w:t>T</w:t>
      </w:r>
      <w:r w:rsidRPr="00344776">
        <w:t xml:space="preserve">he technical notes section at the end of </w:t>
      </w:r>
      <w:r>
        <w:t xml:space="preserve">this </w:t>
      </w:r>
      <w:r w:rsidRPr="00344776">
        <w:t xml:space="preserve">report </w:t>
      </w:r>
      <w:r>
        <w:t>provides m</w:t>
      </w:r>
      <w:r w:rsidRPr="00344776">
        <w:t>ore information on the HSU</w:t>
      </w:r>
      <w:r w:rsidR="007911BA" w:rsidRPr="00344776">
        <w:t xml:space="preserve">. </w:t>
      </w:r>
    </w:p>
    <w:p w14:paraId="0B2FC7CD" w14:textId="77777777" w:rsidR="007911BA" w:rsidRPr="00344776" w:rsidRDefault="007911BA" w:rsidP="007911BA">
      <w:pPr>
        <w:pStyle w:val="Heading3"/>
      </w:pPr>
      <w:r w:rsidRPr="00344776">
        <w:t>Life expectancy</w:t>
      </w:r>
    </w:p>
    <w:p w14:paraId="0C75E5D5" w14:textId="77777777" w:rsidR="00412994" w:rsidRPr="00344776" w:rsidRDefault="00412994" w:rsidP="00412994">
      <w:pPr>
        <w:autoSpaceDE w:val="0"/>
        <w:autoSpaceDN w:val="0"/>
        <w:adjustRightInd w:val="0"/>
        <w:rPr>
          <w:color w:val="000000"/>
          <w:szCs w:val="21"/>
          <w:lang w:eastAsia="en-NZ"/>
        </w:rPr>
      </w:pPr>
      <w:r w:rsidRPr="00344776">
        <w:rPr>
          <w:color w:val="000000"/>
          <w:szCs w:val="21"/>
          <w:lang w:eastAsia="en-NZ"/>
        </w:rPr>
        <w:t xml:space="preserve">Life expectancy varies by ethnicity </w:t>
      </w:r>
      <w:r w:rsidRPr="00344776">
        <w:rPr>
          <w:color w:val="000000"/>
          <w:szCs w:val="21"/>
          <w:lang w:eastAsia="en-NZ"/>
        </w:rPr>
        <w:fldChar w:fldCharType="begin"/>
      </w:r>
      <w:r>
        <w:rPr>
          <w:color w:val="000000"/>
          <w:szCs w:val="21"/>
          <w:lang w:eastAsia="en-NZ"/>
        </w:rPr>
        <w:instrText xml:space="preserve"> ADDIN EN.CITE &lt;EndNote&gt;&lt;Cite&gt;&lt;Author&gt;Stats NZ&lt;/Author&gt;&lt;Year&gt;2021&lt;/Year&gt;&lt;RecNum&gt;23&lt;/RecNum&gt;&lt;DisplayText&gt;(Stats NZ 2021a)&lt;/DisplayText&gt;&lt;record&gt;&lt;rec-number&gt;23&lt;/rec-number&gt;&lt;foreign-keys&gt;&lt;key app="EN" db-id="aaepvppzs5wtfse95vsp2wahsrtvva2vvdet" timestamp="1632216132"&gt;23&lt;/key&gt;&lt;/foreign-keys&gt;&lt;ref-type name="Web Page"&gt;12&lt;/ref-type&gt;&lt;contributors&gt;&lt;authors&gt;&lt;author&gt;Stats NZ,&lt;/author&gt;&lt;/authors&gt;&lt;/contributors&gt;&lt;titles&gt;&lt;title&gt;National and subnational period life tables: 2017–2019&lt;/title&gt;&lt;/titles&gt;&lt;number&gt;28 October 2022&lt;/number&gt;&lt;dates&gt;&lt;year&gt;2021&lt;/year&gt;&lt;/dates&gt;&lt;urls&gt;&lt;related-urls&gt;&lt;url&gt;www.stats.govt.nz/information-releases/national-and-subnational-period-life-tables-2017-2019&lt;/url&gt;&lt;/related-urls&gt;&lt;/urls&gt;&lt;/record&gt;&lt;/Cite&gt;&lt;/EndNote&gt;</w:instrText>
      </w:r>
      <w:r w:rsidRPr="00344776">
        <w:rPr>
          <w:color w:val="000000"/>
          <w:szCs w:val="21"/>
          <w:lang w:eastAsia="en-NZ"/>
        </w:rPr>
        <w:fldChar w:fldCharType="separate"/>
      </w:r>
      <w:r w:rsidRPr="00344776">
        <w:rPr>
          <w:noProof/>
          <w:color w:val="000000"/>
          <w:szCs w:val="21"/>
          <w:lang w:eastAsia="en-NZ"/>
        </w:rPr>
        <w:t>(Stats NZ 2021a)</w:t>
      </w:r>
      <w:r w:rsidRPr="00344776">
        <w:rPr>
          <w:color w:val="000000"/>
          <w:szCs w:val="21"/>
          <w:lang w:eastAsia="en-NZ"/>
        </w:rPr>
        <w:fldChar w:fldCharType="end"/>
      </w:r>
      <w:r w:rsidRPr="00344776">
        <w:rPr>
          <w:color w:val="000000"/>
          <w:szCs w:val="21"/>
          <w:lang w:eastAsia="en-NZ"/>
        </w:rPr>
        <w:t xml:space="preserve">. Statistics detailing life expectancy by ethnic group are available after each </w:t>
      </w:r>
      <w:r>
        <w:rPr>
          <w:color w:val="000000"/>
          <w:szCs w:val="21"/>
          <w:lang w:eastAsia="en-NZ"/>
        </w:rPr>
        <w:t>5</w:t>
      </w:r>
      <w:r w:rsidRPr="00344776">
        <w:rPr>
          <w:color w:val="000000"/>
          <w:szCs w:val="21"/>
          <w:lang w:eastAsia="en-NZ"/>
        </w:rPr>
        <w:t>-yearly census</w:t>
      </w:r>
      <w:r>
        <w:rPr>
          <w:color w:val="000000"/>
          <w:szCs w:val="21"/>
          <w:lang w:eastAsia="en-NZ"/>
        </w:rPr>
        <w:t>;</w:t>
      </w:r>
      <w:r w:rsidRPr="00344776">
        <w:rPr>
          <w:color w:val="000000"/>
          <w:szCs w:val="21"/>
          <w:lang w:eastAsia="en-NZ"/>
        </w:rPr>
        <w:t xml:space="preserve"> </w:t>
      </w:r>
      <w:r w:rsidRPr="00113119">
        <w:rPr>
          <w:color w:val="000000"/>
          <w:szCs w:val="21"/>
          <w:lang w:eastAsia="en-NZ"/>
        </w:rPr>
        <w:t>therefore,</w:t>
      </w:r>
      <w:r>
        <w:rPr>
          <w:color w:val="000000"/>
          <w:szCs w:val="21"/>
          <w:lang w:eastAsia="en-NZ"/>
        </w:rPr>
        <w:t xml:space="preserve"> this report relies on</w:t>
      </w:r>
      <w:r w:rsidRPr="00113119">
        <w:rPr>
          <w:color w:val="000000"/>
          <w:szCs w:val="21"/>
          <w:lang w:eastAsia="en-NZ"/>
        </w:rPr>
        <w:t xml:space="preserve"> ethnic</w:t>
      </w:r>
      <w:r w:rsidRPr="00344776">
        <w:rPr>
          <w:color w:val="000000"/>
          <w:szCs w:val="21"/>
          <w:lang w:eastAsia="en-NZ"/>
        </w:rPr>
        <w:t xml:space="preserve"> breakdowns for the period 2017</w:t>
      </w:r>
      <w:r>
        <w:rPr>
          <w:rStyle w:val="normaltextrun"/>
          <w:szCs w:val="21"/>
        </w:rPr>
        <w:t>–</w:t>
      </w:r>
      <w:r w:rsidRPr="00344776">
        <w:rPr>
          <w:color w:val="000000"/>
          <w:szCs w:val="21"/>
          <w:lang w:eastAsia="en-NZ"/>
        </w:rPr>
        <w:t xml:space="preserve">2019. Note, </w:t>
      </w:r>
      <w:r>
        <w:rPr>
          <w:color w:val="000000"/>
          <w:szCs w:val="21"/>
          <w:lang w:eastAsia="en-NZ"/>
        </w:rPr>
        <w:t xml:space="preserve">that the same </w:t>
      </w:r>
      <w:r w:rsidRPr="00344776">
        <w:rPr>
          <w:color w:val="000000"/>
          <w:szCs w:val="21"/>
          <w:lang w:eastAsia="en-NZ"/>
        </w:rPr>
        <w:t xml:space="preserve">life expectancy data was provided in last year’s Health and Independence Report.  </w:t>
      </w:r>
    </w:p>
    <w:p w14:paraId="21FEE06A" w14:textId="77777777" w:rsidR="00412994" w:rsidRPr="00344776" w:rsidRDefault="00412994" w:rsidP="00412994">
      <w:pPr>
        <w:autoSpaceDE w:val="0"/>
        <w:autoSpaceDN w:val="0"/>
        <w:adjustRightInd w:val="0"/>
        <w:rPr>
          <w:color w:val="000000"/>
          <w:szCs w:val="21"/>
          <w:lang w:eastAsia="en-NZ"/>
        </w:rPr>
      </w:pPr>
    </w:p>
    <w:p w14:paraId="2A82A0C1" w14:textId="49F419A6" w:rsidR="007911BA" w:rsidRPr="00344776" w:rsidRDefault="00412994" w:rsidP="00412994">
      <w:pPr>
        <w:autoSpaceDE w:val="0"/>
        <w:autoSpaceDN w:val="0"/>
        <w:adjustRightInd w:val="0"/>
        <w:rPr>
          <w:color w:val="000000"/>
          <w:szCs w:val="21"/>
          <w:lang w:eastAsia="en-NZ"/>
        </w:rPr>
      </w:pPr>
      <w:r>
        <w:rPr>
          <w:color w:val="000000"/>
          <w:szCs w:val="21"/>
          <w:lang w:eastAsia="en-NZ"/>
        </w:rPr>
        <w:t>L</w:t>
      </w:r>
      <w:r w:rsidRPr="00344776">
        <w:rPr>
          <w:color w:val="000000"/>
          <w:szCs w:val="21"/>
          <w:lang w:eastAsia="en-NZ"/>
        </w:rPr>
        <w:t xml:space="preserve">ife expectancies </w:t>
      </w:r>
      <w:r>
        <w:rPr>
          <w:color w:val="000000"/>
          <w:szCs w:val="21"/>
          <w:lang w:eastAsia="en-NZ"/>
        </w:rPr>
        <w:t>for this period were</w:t>
      </w:r>
      <w:r w:rsidR="007911BA" w:rsidRPr="00344776">
        <w:rPr>
          <w:color w:val="000000"/>
          <w:szCs w:val="21"/>
          <w:lang w:eastAsia="en-NZ"/>
        </w:rPr>
        <w:t xml:space="preserve">: </w:t>
      </w:r>
    </w:p>
    <w:p w14:paraId="3E32F0DB" w14:textId="77777777" w:rsidR="00412994" w:rsidRDefault="00412994" w:rsidP="00412994">
      <w:pPr>
        <w:pStyle w:val="Bullet"/>
      </w:pPr>
      <w:r>
        <w:t xml:space="preserve">85.1 years for Asian males and 87.9 years for Asian females </w:t>
      </w:r>
    </w:p>
    <w:p w14:paraId="434ECB83" w14:textId="77777777" w:rsidR="00412994" w:rsidRDefault="00412994" w:rsidP="00412994">
      <w:pPr>
        <w:pStyle w:val="Bullet"/>
      </w:pPr>
      <w:r>
        <w:t xml:space="preserve">81.0 years for European/other males and 84.5 years for European/other females </w:t>
      </w:r>
    </w:p>
    <w:p w14:paraId="40E24525" w14:textId="77777777" w:rsidR="00412994" w:rsidRDefault="00412994" w:rsidP="00412994">
      <w:pPr>
        <w:pStyle w:val="Bullet"/>
      </w:pPr>
      <w:r>
        <w:t xml:space="preserve">75.4 years for Pacific males and 79.0 years for Pacific females </w:t>
      </w:r>
    </w:p>
    <w:p w14:paraId="762D9ABA" w14:textId="688421BA" w:rsidR="007911BA" w:rsidRPr="007911BA" w:rsidRDefault="00412994" w:rsidP="00412994">
      <w:pPr>
        <w:pStyle w:val="Bullet"/>
      </w:pPr>
      <w:r>
        <w:t xml:space="preserve">73.4 years for Māori males and 77.1 years for Māori females. </w:t>
      </w:r>
      <w:r w:rsidR="007911BA" w:rsidRPr="007911BA">
        <w:t xml:space="preserve"> </w:t>
      </w:r>
    </w:p>
    <w:p w14:paraId="4E95C5A2" w14:textId="77777777" w:rsidR="007911BA" w:rsidRPr="00344776" w:rsidRDefault="007911BA" w:rsidP="007911BA">
      <w:pPr>
        <w:autoSpaceDE w:val="0"/>
        <w:autoSpaceDN w:val="0"/>
        <w:adjustRightInd w:val="0"/>
        <w:rPr>
          <w:color w:val="000000"/>
          <w:szCs w:val="21"/>
          <w:lang w:eastAsia="en-NZ"/>
        </w:rPr>
      </w:pPr>
    </w:p>
    <w:p w14:paraId="62CBBFA0" w14:textId="4FCF4594" w:rsidR="007911BA" w:rsidRPr="00344776" w:rsidRDefault="00412994" w:rsidP="007911BA">
      <w:r w:rsidRPr="00344776">
        <w:rPr>
          <w:color w:val="000000" w:themeColor="text1"/>
          <w:lang w:eastAsia="en-NZ"/>
        </w:rPr>
        <w:t xml:space="preserve">In 2017–19, average life expectancy was more than </w:t>
      </w:r>
      <w:r>
        <w:rPr>
          <w:color w:val="000000" w:themeColor="text1"/>
          <w:lang w:eastAsia="en-NZ"/>
        </w:rPr>
        <w:t>7</w:t>
      </w:r>
      <w:r w:rsidRPr="00344776">
        <w:rPr>
          <w:color w:val="000000" w:themeColor="text1"/>
          <w:lang w:eastAsia="en-NZ"/>
        </w:rPr>
        <w:t xml:space="preserve"> years lower for Māori compared with non-Māori. </w:t>
      </w:r>
      <w:r w:rsidRPr="00344776">
        <w:rPr>
          <w:lang w:eastAsia="en-NZ"/>
        </w:rPr>
        <w:t>This gap in life expectancy has narrowed over time to 7.5 years for males and 7.3 years for females, down from 8.8 years for males and 9.3 years for females in 1995–97</w:t>
      </w:r>
      <w:r w:rsidR="007911BA" w:rsidRPr="00344776">
        <w:rPr>
          <w:lang w:eastAsia="en-NZ"/>
        </w:rPr>
        <w:t>.</w:t>
      </w:r>
    </w:p>
    <w:p w14:paraId="3D834CEB" w14:textId="77777777" w:rsidR="007911BA" w:rsidRPr="00344776" w:rsidRDefault="007911BA" w:rsidP="007911BA">
      <w:pPr>
        <w:pStyle w:val="Heading3"/>
      </w:pPr>
      <w:r w:rsidRPr="00344776">
        <w:t>Health expectancy</w:t>
      </w:r>
    </w:p>
    <w:p w14:paraId="5A8E98F7" w14:textId="77777777" w:rsidR="00412994" w:rsidRPr="00344776" w:rsidRDefault="00412994" w:rsidP="00412994">
      <w:r w:rsidRPr="00344776">
        <w:t xml:space="preserve">Health-adjusted life expectancy (health expectancy) represents the number of years people live in good health. Although both life expectancy and health expectancy have improved for the New Zealand population, the increase in health expectancy is slightly lower than the increase in life expectancy. This means that while people are living longer, </w:t>
      </w:r>
      <w:r>
        <w:t xml:space="preserve">they spend </w:t>
      </w:r>
      <w:r w:rsidRPr="00344776">
        <w:t xml:space="preserve">more time in poor health </w:t>
      </w:r>
      <w:r w:rsidRPr="00344776">
        <w:fldChar w:fldCharType="begin"/>
      </w:r>
      <w:r>
        <w:instrText xml:space="preserve"> ADDIN EN.CITE &lt;EndNote&gt;&lt;Cite&gt;&lt;Author&gt;Ministry of Health&lt;/Author&gt;&lt;Year&gt;2020&lt;/Year&gt;&lt;RecNum&gt;24&lt;/RecNum&gt;&lt;DisplayText&gt;(Ministry of Health 2020c)&lt;/DisplayText&gt;&lt;record&gt;&lt;rec-number&gt;24&lt;/rec-number&gt;&lt;foreign-keys&gt;&lt;key app="EN" db-id="aaepvppzs5wtfse95vsp2wahsrtvva2vvdet" timestamp="1632216400"&gt;24&lt;/key&gt;&lt;/foreign-keys&gt;&lt;ref-type name="Web Page"&gt;12&lt;/ref-type&gt;&lt;contributors&gt;&lt;authors&gt;&lt;author&gt;Ministry of Health,&lt;/author&gt;&lt;/authors&gt;&lt;/contributors&gt;&lt;titles&gt;&lt;title&gt;Longer, Healthier Lives: New Zealand&amp;apos;s health 1990-2017&lt;/title&gt;&lt;/titles&gt;&lt;number&gt;28 October 2022&lt;/number&gt;&lt;dates&gt;&lt;year&gt;2020&lt;/year&gt;&lt;/dates&gt;&lt;urls&gt;&lt;related-urls&gt;&lt;url&gt;www.health.govt.nz/publication/longer-healthier-lives-new-zealands-health-1990-2017&lt;/url&gt;&lt;/related-urls&gt;&lt;/urls&gt;&lt;/record&gt;&lt;/Cite&gt;&lt;/EndNote&gt;</w:instrText>
      </w:r>
      <w:r w:rsidRPr="00344776">
        <w:fldChar w:fldCharType="separate"/>
      </w:r>
      <w:r w:rsidRPr="00344776">
        <w:rPr>
          <w:noProof/>
        </w:rPr>
        <w:t>(Ministry of Health 2020c)</w:t>
      </w:r>
      <w:r w:rsidRPr="00344776">
        <w:fldChar w:fldCharType="end"/>
      </w:r>
      <w:r w:rsidRPr="00344776">
        <w:t xml:space="preserve">. </w:t>
      </w:r>
    </w:p>
    <w:p w14:paraId="2B8F2635" w14:textId="77777777" w:rsidR="00412994" w:rsidRPr="00344776" w:rsidRDefault="00412994" w:rsidP="00412994"/>
    <w:p w14:paraId="3DBF0757" w14:textId="77777777" w:rsidR="00393660" w:rsidRDefault="00393660" w:rsidP="00412994">
      <w:pPr>
        <w:keepNext/>
        <w:sectPr w:rsidR="00393660" w:rsidSect="00B206F0">
          <w:headerReference w:type="default" r:id="rId33"/>
          <w:footerReference w:type="even" r:id="rId34"/>
          <w:footerReference w:type="default" r:id="rId35"/>
          <w:pgSz w:w="11907" w:h="16840" w:code="9"/>
          <w:pgMar w:top="1418" w:right="1701" w:bottom="1134" w:left="1843" w:header="284" w:footer="425" w:gutter="284"/>
          <w:cols w:space="720"/>
        </w:sectPr>
      </w:pPr>
    </w:p>
    <w:p w14:paraId="349B11FC" w14:textId="05EA77C7" w:rsidR="007911BA" w:rsidRDefault="00412994" w:rsidP="00412994">
      <w:pPr>
        <w:keepNext/>
      </w:pPr>
      <w:r w:rsidRPr="00344776">
        <w:lastRenderedPageBreak/>
        <w:t xml:space="preserve">Health expectancy at birth is 68.9 years for males and 70.3 years for females </w:t>
      </w:r>
      <w:r w:rsidRPr="00344776">
        <w:fldChar w:fldCharType="begin"/>
      </w:r>
      <w:r>
        <w:instrText xml:space="preserve"> ADDIN EN.CITE &lt;EndNote&gt;&lt;Cite&gt;&lt;Author&gt;Institute for Health Metrics and Evaluation&lt;/Author&gt;&lt;Year&gt;2021&lt;/Year&gt;&lt;RecNum&gt;130&lt;/RecNum&gt;&lt;DisplayText&gt;(Institute for Health Metrics and Evaluation 2021)&lt;/DisplayText&gt;&lt;record&gt;&lt;rec-number&gt;130&lt;/rec-number&gt;&lt;foreign-keys&gt;&lt;key app="EN" db-id="aaepvppzs5wtfse95vsp2wahsrtvva2vvdet" timestamp="1634786904"&gt;130&lt;/key&gt;&lt;/foreign-keys&gt;&lt;ref-type name="Web Page"&gt;12&lt;/ref-type&gt;&lt;contributors&gt;&lt;authors&gt;&lt;author&gt;Institute for Health Metrics and Evaluation,&lt;/author&gt;&lt;/authors&gt;&lt;/contributors&gt;&lt;titles&gt;&lt;title&gt;GHDx (healthdata.org): GBD results tool&lt;/title&gt;&lt;/titles&gt;&lt;number&gt;31 October 2022&lt;/number&gt;&lt;dates&gt;&lt;year&gt;2021&lt;/year&gt;&lt;/dates&gt;&lt;pub-location&gt;Seattle, WA: Institute for Health Metrics and Evaluation&lt;/pub-location&gt;&lt;urls&gt;&lt;related-urls&gt;&lt;url&gt;http://ghdx.healthdata.org/gbd-results-tool&lt;/url&gt;&lt;/related-urls&gt;&lt;/urls&gt;&lt;/record&gt;&lt;/Cite&gt;&lt;Cite&gt;&lt;Author&gt;Institute for Health Metrics and Evaluation&lt;/Author&gt;&lt;Year&gt;2021&lt;/Year&gt;&lt;RecNum&gt;130&lt;/RecNum&gt;&lt;record&gt;&lt;rec-number&gt;130&lt;/rec-number&gt;&lt;foreign-keys&gt;&lt;key app="EN" db-id="aaepvppzs5wtfse95vsp2wahsrtvva2vvdet" timestamp="1634786904"&gt;130&lt;/key&gt;&lt;/foreign-keys&gt;&lt;ref-type name="Web Page"&gt;12&lt;/ref-type&gt;&lt;contributors&gt;&lt;authors&gt;&lt;author&gt;Institute for Health Metrics and Evaluation,&lt;/author&gt;&lt;/authors&gt;&lt;/contributors&gt;&lt;titles&gt;&lt;title&gt;GHDx (healthdata.org): GBD results tool&lt;/title&gt;&lt;/titles&gt;&lt;number&gt;31 October 2022&lt;/number&gt;&lt;dates&gt;&lt;year&gt;2021&lt;/year&gt;&lt;/dates&gt;&lt;pub-location&gt;Seattle, WA: Institute for Health Metrics and Evaluation&lt;/pub-location&gt;&lt;urls&gt;&lt;related-urls&gt;&lt;url&gt;http://ghdx.healthdata.org/gbd-results-tool&lt;/url&gt;&lt;/related-urls&gt;&lt;/urls&gt;&lt;/record&gt;&lt;/Cite&gt;&lt;/EndNote&gt;</w:instrText>
      </w:r>
      <w:r w:rsidRPr="00344776">
        <w:fldChar w:fldCharType="separate"/>
      </w:r>
      <w:r w:rsidRPr="00344776">
        <w:rPr>
          <w:noProof/>
        </w:rPr>
        <w:t>(Institute for Health Metrics and Evaluation 2021)</w:t>
      </w:r>
      <w:r w:rsidRPr="00344776">
        <w:fldChar w:fldCharType="end"/>
      </w:r>
      <w:r w:rsidRPr="00344776">
        <w:t>. Over time, health expectancy has increased for both males and females. Since 1990, males have gained 5.6 years of healthy life and females 4.2 years</w:t>
      </w:r>
      <w:r>
        <w:t xml:space="preserve"> (</w:t>
      </w:r>
      <w:r>
        <w:fldChar w:fldCharType="begin"/>
      </w:r>
      <w:r>
        <w:instrText xml:space="preserve"> REF _Ref114825508 \h </w:instrText>
      </w:r>
      <w:r>
        <w:fldChar w:fldCharType="separate"/>
      </w:r>
      <w:r w:rsidR="00F61845" w:rsidRPr="00963565">
        <w:t xml:space="preserve">Table </w:t>
      </w:r>
      <w:r w:rsidR="00F61845">
        <w:rPr>
          <w:noProof/>
        </w:rPr>
        <w:t>1</w:t>
      </w:r>
      <w:r>
        <w:fldChar w:fldCharType="end"/>
      </w:r>
      <w:r>
        <w:t>).</w:t>
      </w:r>
    </w:p>
    <w:p w14:paraId="29631838" w14:textId="77777777" w:rsidR="00B206F0" w:rsidRPr="00344776" w:rsidRDefault="00B206F0" w:rsidP="007911BA">
      <w:pPr>
        <w:keepNext/>
      </w:pPr>
    </w:p>
    <w:p w14:paraId="3C0DCE35" w14:textId="60F25043" w:rsidR="007911BA" w:rsidRPr="00963565" w:rsidRDefault="007911BA" w:rsidP="00963565">
      <w:pPr>
        <w:pStyle w:val="Caption"/>
      </w:pPr>
      <w:bookmarkStart w:id="17" w:name="_Ref114825508"/>
      <w:bookmarkStart w:id="18" w:name="_Toc118446262"/>
      <w:bookmarkStart w:id="19" w:name="_Toc119047792"/>
      <w:r w:rsidRPr="00963565">
        <w:t xml:space="preserve">Table </w:t>
      </w:r>
      <w:r w:rsidRPr="00963565">
        <w:fldChar w:fldCharType="begin"/>
      </w:r>
      <w:r w:rsidRPr="00963565">
        <w:instrText>SEQ Table \* ARABIC</w:instrText>
      </w:r>
      <w:r w:rsidRPr="00963565">
        <w:fldChar w:fldCharType="separate"/>
      </w:r>
      <w:r w:rsidR="00F61845">
        <w:rPr>
          <w:noProof/>
        </w:rPr>
        <w:t>1</w:t>
      </w:r>
      <w:r w:rsidRPr="00963565">
        <w:fldChar w:fldCharType="end"/>
      </w:r>
      <w:bookmarkEnd w:id="17"/>
      <w:r w:rsidRPr="00963565">
        <w:t>: Health-adjusted life expectancy (years), by sex, 1990–2019</w:t>
      </w:r>
      <w:bookmarkEnd w:id="18"/>
      <w:bookmarkEnd w:id="19"/>
    </w:p>
    <w:tbl>
      <w:tblPr>
        <w:tblW w:w="7881"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219"/>
        <w:gridCol w:w="1309"/>
        <w:gridCol w:w="1310"/>
        <w:gridCol w:w="1310"/>
        <w:gridCol w:w="1310"/>
        <w:gridCol w:w="1423"/>
      </w:tblGrid>
      <w:tr w:rsidR="007911BA" w:rsidRPr="00344776" w14:paraId="0925C79C" w14:textId="77777777" w:rsidTr="00B206F0">
        <w:trPr>
          <w:cantSplit/>
        </w:trPr>
        <w:tc>
          <w:tcPr>
            <w:tcW w:w="1219" w:type="dxa"/>
            <w:tcBorders>
              <w:top w:val="nil"/>
              <w:bottom w:val="nil"/>
            </w:tcBorders>
            <w:shd w:val="clear" w:color="auto" w:fill="D9D9D9" w:themeFill="background1" w:themeFillShade="D9"/>
          </w:tcPr>
          <w:p w14:paraId="78ACA30A" w14:textId="77777777" w:rsidR="007911BA" w:rsidRPr="00344776" w:rsidRDefault="007911BA" w:rsidP="00051D54">
            <w:pPr>
              <w:pStyle w:val="TableText"/>
              <w:rPr>
                <w:b/>
              </w:rPr>
            </w:pPr>
            <w:r w:rsidRPr="00344776">
              <w:rPr>
                <w:b/>
              </w:rPr>
              <w:t>Sex</w:t>
            </w:r>
          </w:p>
        </w:tc>
        <w:tc>
          <w:tcPr>
            <w:tcW w:w="1309" w:type="dxa"/>
            <w:tcBorders>
              <w:top w:val="nil"/>
              <w:bottom w:val="nil"/>
            </w:tcBorders>
            <w:shd w:val="clear" w:color="auto" w:fill="D9D9D9" w:themeFill="background1" w:themeFillShade="D9"/>
          </w:tcPr>
          <w:p w14:paraId="11F7A408" w14:textId="77777777" w:rsidR="007911BA" w:rsidRPr="00344776" w:rsidRDefault="007911BA" w:rsidP="00051D54">
            <w:pPr>
              <w:pStyle w:val="TableText"/>
              <w:jc w:val="center"/>
              <w:rPr>
                <w:b/>
              </w:rPr>
            </w:pPr>
            <w:r w:rsidRPr="00344776">
              <w:rPr>
                <w:b/>
              </w:rPr>
              <w:t>1990</w:t>
            </w:r>
          </w:p>
        </w:tc>
        <w:tc>
          <w:tcPr>
            <w:tcW w:w="1310" w:type="dxa"/>
            <w:tcBorders>
              <w:top w:val="nil"/>
              <w:bottom w:val="nil"/>
            </w:tcBorders>
            <w:shd w:val="clear" w:color="auto" w:fill="D9D9D9" w:themeFill="background1" w:themeFillShade="D9"/>
          </w:tcPr>
          <w:p w14:paraId="645C81DF" w14:textId="77777777" w:rsidR="007911BA" w:rsidRPr="00344776" w:rsidRDefault="007911BA" w:rsidP="00051D54">
            <w:pPr>
              <w:pStyle w:val="TableText"/>
              <w:jc w:val="center"/>
              <w:rPr>
                <w:b/>
              </w:rPr>
            </w:pPr>
            <w:r w:rsidRPr="00344776">
              <w:rPr>
                <w:b/>
              </w:rPr>
              <w:t>2000</w:t>
            </w:r>
          </w:p>
        </w:tc>
        <w:tc>
          <w:tcPr>
            <w:tcW w:w="1310" w:type="dxa"/>
            <w:tcBorders>
              <w:top w:val="nil"/>
              <w:bottom w:val="nil"/>
            </w:tcBorders>
            <w:shd w:val="clear" w:color="auto" w:fill="D9D9D9" w:themeFill="background1" w:themeFillShade="D9"/>
          </w:tcPr>
          <w:p w14:paraId="4BEF4657" w14:textId="77777777" w:rsidR="007911BA" w:rsidRPr="00344776" w:rsidRDefault="007911BA" w:rsidP="00051D54">
            <w:pPr>
              <w:pStyle w:val="TableText"/>
              <w:jc w:val="center"/>
              <w:rPr>
                <w:b/>
              </w:rPr>
            </w:pPr>
            <w:r w:rsidRPr="00344776">
              <w:rPr>
                <w:b/>
              </w:rPr>
              <w:t>2010</w:t>
            </w:r>
          </w:p>
        </w:tc>
        <w:tc>
          <w:tcPr>
            <w:tcW w:w="1310" w:type="dxa"/>
            <w:tcBorders>
              <w:top w:val="nil"/>
              <w:bottom w:val="nil"/>
            </w:tcBorders>
            <w:shd w:val="clear" w:color="auto" w:fill="D9D9D9" w:themeFill="background1" w:themeFillShade="D9"/>
          </w:tcPr>
          <w:p w14:paraId="356A5AE3" w14:textId="77777777" w:rsidR="007911BA" w:rsidRPr="00344776" w:rsidRDefault="007911BA" w:rsidP="00051D54">
            <w:pPr>
              <w:pStyle w:val="TableText"/>
              <w:jc w:val="center"/>
              <w:rPr>
                <w:b/>
              </w:rPr>
            </w:pPr>
            <w:r w:rsidRPr="00344776">
              <w:rPr>
                <w:b/>
              </w:rPr>
              <w:t>2019</w:t>
            </w:r>
          </w:p>
        </w:tc>
        <w:tc>
          <w:tcPr>
            <w:tcW w:w="1423" w:type="dxa"/>
            <w:tcBorders>
              <w:top w:val="nil"/>
              <w:bottom w:val="nil"/>
            </w:tcBorders>
            <w:shd w:val="clear" w:color="auto" w:fill="D9D9D9" w:themeFill="background1" w:themeFillShade="D9"/>
          </w:tcPr>
          <w:p w14:paraId="4C2D83CA" w14:textId="77777777" w:rsidR="007911BA" w:rsidRPr="00344776" w:rsidRDefault="007911BA" w:rsidP="00051D54">
            <w:pPr>
              <w:pStyle w:val="TableText"/>
              <w:jc w:val="center"/>
              <w:rPr>
                <w:b/>
              </w:rPr>
            </w:pPr>
            <w:r w:rsidRPr="00344776">
              <w:rPr>
                <w:b/>
              </w:rPr>
              <w:t>Change from 1990 to 2019</w:t>
            </w:r>
          </w:p>
        </w:tc>
      </w:tr>
      <w:tr w:rsidR="007911BA" w:rsidRPr="00344776" w14:paraId="00F88440" w14:textId="77777777" w:rsidTr="00B206F0">
        <w:trPr>
          <w:cantSplit/>
        </w:trPr>
        <w:tc>
          <w:tcPr>
            <w:tcW w:w="1219" w:type="dxa"/>
            <w:tcBorders>
              <w:top w:val="nil"/>
            </w:tcBorders>
          </w:tcPr>
          <w:p w14:paraId="09675C61" w14:textId="77777777" w:rsidR="007911BA" w:rsidRPr="00344776" w:rsidRDefault="007911BA" w:rsidP="00051D54">
            <w:pPr>
              <w:pStyle w:val="TableText"/>
            </w:pPr>
            <w:r w:rsidRPr="00344776">
              <w:t>Males</w:t>
            </w:r>
          </w:p>
        </w:tc>
        <w:tc>
          <w:tcPr>
            <w:tcW w:w="1309" w:type="dxa"/>
            <w:tcBorders>
              <w:top w:val="nil"/>
            </w:tcBorders>
          </w:tcPr>
          <w:p w14:paraId="5D4FAB43" w14:textId="77777777" w:rsidR="007911BA" w:rsidRPr="00344776" w:rsidRDefault="007911BA" w:rsidP="00051D54">
            <w:pPr>
              <w:pStyle w:val="TableText"/>
              <w:jc w:val="center"/>
            </w:pPr>
            <w:r w:rsidRPr="00344776">
              <w:t>63.3</w:t>
            </w:r>
          </w:p>
        </w:tc>
        <w:tc>
          <w:tcPr>
            <w:tcW w:w="1310" w:type="dxa"/>
            <w:tcBorders>
              <w:top w:val="nil"/>
            </w:tcBorders>
          </w:tcPr>
          <w:p w14:paraId="546A01C1" w14:textId="77777777" w:rsidR="007911BA" w:rsidRPr="00344776" w:rsidRDefault="007911BA" w:rsidP="00051D54">
            <w:pPr>
              <w:pStyle w:val="TableText"/>
              <w:jc w:val="center"/>
            </w:pPr>
            <w:r w:rsidRPr="00344776">
              <w:t>65.9</w:t>
            </w:r>
          </w:p>
        </w:tc>
        <w:tc>
          <w:tcPr>
            <w:tcW w:w="1310" w:type="dxa"/>
            <w:tcBorders>
              <w:top w:val="nil"/>
            </w:tcBorders>
          </w:tcPr>
          <w:p w14:paraId="01D22FD8" w14:textId="77777777" w:rsidR="007911BA" w:rsidRPr="00344776" w:rsidRDefault="007911BA" w:rsidP="00051D54">
            <w:pPr>
              <w:pStyle w:val="TableText"/>
              <w:jc w:val="center"/>
            </w:pPr>
            <w:r w:rsidRPr="00344776">
              <w:t>68.4</w:t>
            </w:r>
          </w:p>
        </w:tc>
        <w:tc>
          <w:tcPr>
            <w:tcW w:w="1310" w:type="dxa"/>
            <w:tcBorders>
              <w:top w:val="nil"/>
            </w:tcBorders>
          </w:tcPr>
          <w:p w14:paraId="77822611" w14:textId="77777777" w:rsidR="007911BA" w:rsidRPr="00344776" w:rsidRDefault="007911BA" w:rsidP="00051D54">
            <w:pPr>
              <w:pStyle w:val="TableText"/>
              <w:jc w:val="center"/>
            </w:pPr>
            <w:r w:rsidRPr="00344776">
              <w:t>68.9</w:t>
            </w:r>
          </w:p>
        </w:tc>
        <w:tc>
          <w:tcPr>
            <w:tcW w:w="1423" w:type="dxa"/>
            <w:tcBorders>
              <w:top w:val="nil"/>
            </w:tcBorders>
          </w:tcPr>
          <w:p w14:paraId="56FB47A6" w14:textId="77777777" w:rsidR="007911BA" w:rsidRPr="00344776" w:rsidRDefault="007911BA" w:rsidP="00051D54">
            <w:pPr>
              <w:pStyle w:val="TableText"/>
              <w:jc w:val="center"/>
            </w:pPr>
            <w:r w:rsidRPr="00344776">
              <w:t>5.6</w:t>
            </w:r>
          </w:p>
        </w:tc>
      </w:tr>
      <w:tr w:rsidR="007911BA" w:rsidRPr="00344776" w14:paraId="139A7107" w14:textId="77777777" w:rsidTr="00B206F0">
        <w:trPr>
          <w:cantSplit/>
        </w:trPr>
        <w:tc>
          <w:tcPr>
            <w:tcW w:w="1219" w:type="dxa"/>
          </w:tcPr>
          <w:p w14:paraId="58F62FAA" w14:textId="77777777" w:rsidR="007911BA" w:rsidRPr="00344776" w:rsidRDefault="007911BA" w:rsidP="00051D54">
            <w:pPr>
              <w:pStyle w:val="TableText"/>
            </w:pPr>
            <w:r w:rsidRPr="00344776">
              <w:t>Females</w:t>
            </w:r>
          </w:p>
        </w:tc>
        <w:tc>
          <w:tcPr>
            <w:tcW w:w="1309" w:type="dxa"/>
          </w:tcPr>
          <w:p w14:paraId="778F713C" w14:textId="77777777" w:rsidR="007911BA" w:rsidRPr="00344776" w:rsidRDefault="007911BA" w:rsidP="00051D54">
            <w:pPr>
              <w:pStyle w:val="TableText"/>
              <w:jc w:val="center"/>
            </w:pPr>
            <w:r w:rsidRPr="00344776">
              <w:t>66.1</w:t>
            </w:r>
          </w:p>
        </w:tc>
        <w:tc>
          <w:tcPr>
            <w:tcW w:w="1310" w:type="dxa"/>
          </w:tcPr>
          <w:p w14:paraId="54F8065A" w14:textId="77777777" w:rsidR="007911BA" w:rsidRPr="00344776" w:rsidRDefault="007911BA" w:rsidP="00051D54">
            <w:pPr>
              <w:pStyle w:val="TableText"/>
              <w:jc w:val="center"/>
            </w:pPr>
            <w:r w:rsidRPr="00344776">
              <w:t>68.3</w:t>
            </w:r>
          </w:p>
        </w:tc>
        <w:tc>
          <w:tcPr>
            <w:tcW w:w="1310" w:type="dxa"/>
          </w:tcPr>
          <w:p w14:paraId="4A1898C4" w14:textId="77777777" w:rsidR="007911BA" w:rsidRPr="00344776" w:rsidRDefault="007911BA" w:rsidP="00051D54">
            <w:pPr>
              <w:pStyle w:val="TableText"/>
              <w:jc w:val="center"/>
            </w:pPr>
            <w:r w:rsidRPr="00344776">
              <w:t>70.0</w:t>
            </w:r>
          </w:p>
        </w:tc>
        <w:tc>
          <w:tcPr>
            <w:tcW w:w="1310" w:type="dxa"/>
          </w:tcPr>
          <w:p w14:paraId="2CA96A86" w14:textId="77777777" w:rsidR="007911BA" w:rsidRPr="00344776" w:rsidRDefault="007911BA" w:rsidP="00051D54">
            <w:pPr>
              <w:pStyle w:val="TableText"/>
              <w:jc w:val="center"/>
            </w:pPr>
            <w:r w:rsidRPr="00344776">
              <w:t>70.3</w:t>
            </w:r>
          </w:p>
        </w:tc>
        <w:tc>
          <w:tcPr>
            <w:tcW w:w="1423" w:type="dxa"/>
          </w:tcPr>
          <w:p w14:paraId="7A686FEB" w14:textId="77777777" w:rsidR="007911BA" w:rsidRPr="00344776" w:rsidRDefault="007911BA" w:rsidP="00051D54">
            <w:pPr>
              <w:pStyle w:val="TableText"/>
              <w:jc w:val="center"/>
            </w:pPr>
            <w:r w:rsidRPr="00344776">
              <w:t>4.2</w:t>
            </w:r>
          </w:p>
        </w:tc>
      </w:tr>
    </w:tbl>
    <w:p w14:paraId="26EEC753" w14:textId="77777777" w:rsidR="007911BA" w:rsidRPr="00344776" w:rsidRDefault="007911BA" w:rsidP="007911BA">
      <w:pPr>
        <w:keepNext/>
        <w:spacing w:line="20" w:lineRule="atLeast"/>
        <w:ind w:left="1695"/>
        <w:rPr>
          <w:rFonts w:ascii="Arial Unicode MS" w:eastAsia="Arial Unicode MS" w:hAnsi="Arial Unicode MS" w:cs="Arial Unicode MS"/>
          <w:sz w:val="2"/>
          <w:szCs w:val="2"/>
        </w:rPr>
      </w:pPr>
    </w:p>
    <w:p w14:paraId="31619451" w14:textId="28E4B4ED" w:rsidR="007911BA" w:rsidRPr="00344776" w:rsidRDefault="007911BA" w:rsidP="007911BA">
      <w:pPr>
        <w:pStyle w:val="Source"/>
      </w:pPr>
      <w:r w:rsidRPr="00344776">
        <w:t xml:space="preserve">Source: </w:t>
      </w:r>
      <w:hyperlink r:id="rId36" w:history="1">
        <w:r w:rsidRPr="005C0F78">
          <w:rPr>
            <w:rStyle w:val="Hyperlink"/>
          </w:rPr>
          <w:t>Institute for Health Metrics and Evaluation</w:t>
        </w:r>
        <w:r w:rsidRPr="00344776">
          <w:rPr>
            <w:rStyle w:val="Hyperlink"/>
          </w:rPr>
          <w:t xml:space="preserve"> (2021)</w:t>
        </w:r>
      </w:hyperlink>
    </w:p>
    <w:p w14:paraId="0783C71D" w14:textId="77777777" w:rsidR="007911BA" w:rsidRPr="00344776" w:rsidRDefault="007911BA" w:rsidP="007911BA">
      <w:pPr>
        <w:rPr>
          <w:lang w:eastAsia="en-NZ"/>
        </w:rPr>
      </w:pPr>
    </w:p>
    <w:p w14:paraId="657A5549" w14:textId="26CFFF22" w:rsidR="007911BA" w:rsidRPr="00344776" w:rsidRDefault="007911BA" w:rsidP="007911BA">
      <w:pPr>
        <w:pStyle w:val="Table"/>
      </w:pPr>
      <w:bookmarkStart w:id="20" w:name="_Toc118446263"/>
      <w:bookmarkStart w:id="21" w:name="_Toc118730966"/>
      <w:bookmarkStart w:id="22" w:name="_Toc119047793"/>
      <w:r w:rsidRPr="00344776">
        <w:t xml:space="preserve">Table </w:t>
      </w:r>
      <w:r w:rsidRPr="00344776">
        <w:fldChar w:fldCharType="begin"/>
      </w:r>
      <w:r w:rsidRPr="00344776">
        <w:instrText>SEQ Table \* ARABIC</w:instrText>
      </w:r>
      <w:r w:rsidRPr="00344776">
        <w:fldChar w:fldCharType="separate"/>
      </w:r>
      <w:r w:rsidR="00F61845">
        <w:rPr>
          <w:noProof/>
        </w:rPr>
        <w:t>2</w:t>
      </w:r>
      <w:r w:rsidRPr="00344776">
        <w:fldChar w:fldCharType="end"/>
      </w:r>
      <w:r w:rsidRPr="00344776">
        <w:t>: Time spent in poor health (years), by sex, 1990–2019</w:t>
      </w:r>
      <w:bookmarkEnd w:id="20"/>
      <w:bookmarkEnd w:id="21"/>
      <w:bookmarkEnd w:id="22"/>
    </w:p>
    <w:tbl>
      <w:tblPr>
        <w:tblW w:w="4998" w:type="pct"/>
        <w:tblBorders>
          <w:bottom w:val="single" w:sz="4" w:space="0" w:color="A6A6A6" w:themeColor="background1" w:themeShade="A6"/>
          <w:insideH w:val="single" w:sz="4" w:space="0" w:color="A6A6A6" w:themeColor="background1" w:themeShade="A6"/>
        </w:tblBorders>
        <w:tblCellMar>
          <w:left w:w="57" w:type="dxa"/>
          <w:right w:w="57" w:type="dxa"/>
        </w:tblCellMar>
        <w:tblLook w:val="04A0" w:firstRow="1" w:lastRow="0" w:firstColumn="1" w:lastColumn="0" w:noHBand="0" w:noVBand="1"/>
      </w:tblPr>
      <w:tblGrid>
        <w:gridCol w:w="1274"/>
        <w:gridCol w:w="1315"/>
        <w:gridCol w:w="1312"/>
        <w:gridCol w:w="1312"/>
        <w:gridCol w:w="1312"/>
        <w:gridCol w:w="1551"/>
      </w:tblGrid>
      <w:tr w:rsidR="007911BA" w:rsidRPr="00344776" w14:paraId="2BEAB46C" w14:textId="77777777" w:rsidTr="00051D54">
        <w:trPr>
          <w:cantSplit/>
        </w:trPr>
        <w:tc>
          <w:tcPr>
            <w:tcW w:w="789" w:type="pct"/>
            <w:tcBorders>
              <w:top w:val="nil"/>
              <w:bottom w:val="nil"/>
            </w:tcBorders>
            <w:shd w:val="clear" w:color="auto" w:fill="D9D9D9" w:themeFill="background1" w:themeFillShade="D9"/>
          </w:tcPr>
          <w:p w14:paraId="2126C2BD" w14:textId="77777777" w:rsidR="007911BA" w:rsidRPr="00344776" w:rsidRDefault="007911BA" w:rsidP="00051D54">
            <w:pPr>
              <w:pStyle w:val="TableText"/>
              <w:rPr>
                <w:b/>
              </w:rPr>
            </w:pPr>
            <w:r w:rsidRPr="00344776">
              <w:rPr>
                <w:b/>
              </w:rPr>
              <w:t>Sex</w:t>
            </w:r>
          </w:p>
        </w:tc>
        <w:tc>
          <w:tcPr>
            <w:tcW w:w="814" w:type="pct"/>
            <w:tcBorders>
              <w:top w:val="nil"/>
              <w:bottom w:val="nil"/>
            </w:tcBorders>
            <w:shd w:val="clear" w:color="auto" w:fill="D9D9D9" w:themeFill="background1" w:themeFillShade="D9"/>
          </w:tcPr>
          <w:p w14:paraId="670991BE" w14:textId="77777777" w:rsidR="007911BA" w:rsidRPr="00344776" w:rsidRDefault="007911BA" w:rsidP="00051D54">
            <w:pPr>
              <w:pStyle w:val="TableText"/>
              <w:jc w:val="center"/>
              <w:rPr>
                <w:b/>
              </w:rPr>
            </w:pPr>
            <w:r w:rsidRPr="00344776">
              <w:rPr>
                <w:b/>
              </w:rPr>
              <w:t>1990</w:t>
            </w:r>
          </w:p>
        </w:tc>
        <w:tc>
          <w:tcPr>
            <w:tcW w:w="812" w:type="pct"/>
            <w:tcBorders>
              <w:top w:val="nil"/>
              <w:bottom w:val="nil"/>
            </w:tcBorders>
            <w:shd w:val="clear" w:color="auto" w:fill="D9D9D9" w:themeFill="background1" w:themeFillShade="D9"/>
          </w:tcPr>
          <w:p w14:paraId="752911FE" w14:textId="77777777" w:rsidR="007911BA" w:rsidRPr="00344776" w:rsidRDefault="007911BA" w:rsidP="00051D54">
            <w:pPr>
              <w:pStyle w:val="TableText"/>
              <w:jc w:val="center"/>
              <w:rPr>
                <w:b/>
              </w:rPr>
            </w:pPr>
            <w:r w:rsidRPr="00344776">
              <w:rPr>
                <w:b/>
              </w:rPr>
              <w:t>2000</w:t>
            </w:r>
          </w:p>
        </w:tc>
        <w:tc>
          <w:tcPr>
            <w:tcW w:w="812" w:type="pct"/>
            <w:tcBorders>
              <w:top w:val="nil"/>
              <w:bottom w:val="nil"/>
            </w:tcBorders>
            <w:shd w:val="clear" w:color="auto" w:fill="D9D9D9" w:themeFill="background1" w:themeFillShade="D9"/>
          </w:tcPr>
          <w:p w14:paraId="43A433A9" w14:textId="77777777" w:rsidR="007911BA" w:rsidRPr="00344776" w:rsidRDefault="007911BA" w:rsidP="00051D54">
            <w:pPr>
              <w:pStyle w:val="TableText"/>
              <w:jc w:val="center"/>
              <w:rPr>
                <w:b/>
              </w:rPr>
            </w:pPr>
            <w:r w:rsidRPr="00344776">
              <w:rPr>
                <w:b/>
              </w:rPr>
              <w:t>2010</w:t>
            </w:r>
          </w:p>
        </w:tc>
        <w:tc>
          <w:tcPr>
            <w:tcW w:w="812" w:type="pct"/>
            <w:tcBorders>
              <w:top w:val="nil"/>
              <w:bottom w:val="nil"/>
            </w:tcBorders>
            <w:shd w:val="clear" w:color="auto" w:fill="D9D9D9" w:themeFill="background1" w:themeFillShade="D9"/>
          </w:tcPr>
          <w:p w14:paraId="0D5EB3F0" w14:textId="77777777" w:rsidR="007911BA" w:rsidRPr="00344776" w:rsidRDefault="007911BA" w:rsidP="00051D54">
            <w:pPr>
              <w:pStyle w:val="TableText"/>
              <w:jc w:val="center"/>
              <w:rPr>
                <w:b/>
              </w:rPr>
            </w:pPr>
            <w:r w:rsidRPr="00344776">
              <w:rPr>
                <w:b/>
              </w:rPr>
              <w:t>2019</w:t>
            </w:r>
          </w:p>
        </w:tc>
        <w:tc>
          <w:tcPr>
            <w:tcW w:w="960" w:type="pct"/>
            <w:tcBorders>
              <w:top w:val="nil"/>
              <w:bottom w:val="nil"/>
            </w:tcBorders>
            <w:shd w:val="clear" w:color="auto" w:fill="D9D9D9" w:themeFill="background1" w:themeFillShade="D9"/>
          </w:tcPr>
          <w:p w14:paraId="0529B3FD" w14:textId="77777777" w:rsidR="007911BA" w:rsidRPr="00344776" w:rsidRDefault="007911BA" w:rsidP="00051D54">
            <w:pPr>
              <w:pStyle w:val="TableText"/>
              <w:jc w:val="center"/>
              <w:rPr>
                <w:b/>
              </w:rPr>
            </w:pPr>
            <w:r w:rsidRPr="00344776">
              <w:rPr>
                <w:b/>
              </w:rPr>
              <w:t>Change from 1990 to 2019</w:t>
            </w:r>
          </w:p>
        </w:tc>
      </w:tr>
      <w:tr w:rsidR="00452761" w:rsidRPr="00344776" w14:paraId="2884C413" w14:textId="77777777" w:rsidTr="00051D54">
        <w:trPr>
          <w:cantSplit/>
        </w:trPr>
        <w:tc>
          <w:tcPr>
            <w:tcW w:w="789" w:type="pct"/>
            <w:tcBorders>
              <w:top w:val="nil"/>
            </w:tcBorders>
          </w:tcPr>
          <w:p w14:paraId="66185FF5" w14:textId="77777777" w:rsidR="00452761" w:rsidRPr="00344776" w:rsidRDefault="00452761" w:rsidP="00452761">
            <w:pPr>
              <w:pStyle w:val="TableText"/>
            </w:pPr>
            <w:r w:rsidRPr="00344776">
              <w:t>Males</w:t>
            </w:r>
          </w:p>
        </w:tc>
        <w:tc>
          <w:tcPr>
            <w:tcW w:w="814" w:type="pct"/>
            <w:tcBorders>
              <w:top w:val="nil"/>
            </w:tcBorders>
          </w:tcPr>
          <w:p w14:paraId="50263A35" w14:textId="71681D2E" w:rsidR="00452761" w:rsidRPr="00344776" w:rsidRDefault="00452761" w:rsidP="00452761">
            <w:pPr>
              <w:pStyle w:val="TableText"/>
              <w:jc w:val="center"/>
            </w:pPr>
            <w:r w:rsidRPr="008A11A3">
              <w:t>9.4</w:t>
            </w:r>
          </w:p>
        </w:tc>
        <w:tc>
          <w:tcPr>
            <w:tcW w:w="812" w:type="pct"/>
            <w:tcBorders>
              <w:top w:val="nil"/>
            </w:tcBorders>
          </w:tcPr>
          <w:p w14:paraId="6593D4EC" w14:textId="6F192AF5" w:rsidR="00452761" w:rsidRPr="00344776" w:rsidRDefault="00452761" w:rsidP="00452761">
            <w:pPr>
              <w:pStyle w:val="TableText"/>
              <w:jc w:val="center"/>
            </w:pPr>
            <w:r w:rsidRPr="008A11A3">
              <w:t>10.0</w:t>
            </w:r>
          </w:p>
        </w:tc>
        <w:tc>
          <w:tcPr>
            <w:tcW w:w="812" w:type="pct"/>
            <w:tcBorders>
              <w:top w:val="nil"/>
            </w:tcBorders>
          </w:tcPr>
          <w:p w14:paraId="735C617C" w14:textId="019C5D62" w:rsidR="00452761" w:rsidRPr="00344776" w:rsidRDefault="00452761" w:rsidP="00452761">
            <w:pPr>
              <w:pStyle w:val="TableText"/>
              <w:jc w:val="center"/>
            </w:pPr>
            <w:r w:rsidRPr="008A11A3">
              <w:t>10.5</w:t>
            </w:r>
          </w:p>
        </w:tc>
        <w:tc>
          <w:tcPr>
            <w:tcW w:w="812" w:type="pct"/>
            <w:tcBorders>
              <w:top w:val="nil"/>
            </w:tcBorders>
          </w:tcPr>
          <w:p w14:paraId="3A14C6A3" w14:textId="1ABB7D1B" w:rsidR="00452761" w:rsidRPr="00344776" w:rsidRDefault="00452761" w:rsidP="00452761">
            <w:pPr>
              <w:pStyle w:val="TableText"/>
              <w:jc w:val="center"/>
            </w:pPr>
            <w:r w:rsidRPr="008A11A3">
              <w:t>11.0</w:t>
            </w:r>
          </w:p>
        </w:tc>
        <w:tc>
          <w:tcPr>
            <w:tcW w:w="960" w:type="pct"/>
            <w:tcBorders>
              <w:top w:val="nil"/>
            </w:tcBorders>
          </w:tcPr>
          <w:p w14:paraId="4A1526F8" w14:textId="1C215ADC" w:rsidR="00452761" w:rsidRPr="00344776" w:rsidRDefault="00452761" w:rsidP="00452761">
            <w:pPr>
              <w:pStyle w:val="TableText"/>
              <w:jc w:val="center"/>
            </w:pPr>
            <w:r w:rsidRPr="008A11A3">
              <w:t>1.6</w:t>
            </w:r>
          </w:p>
        </w:tc>
      </w:tr>
      <w:tr w:rsidR="00452761" w:rsidRPr="00344776" w14:paraId="29CD102F" w14:textId="77777777" w:rsidTr="00051D54">
        <w:trPr>
          <w:cantSplit/>
        </w:trPr>
        <w:tc>
          <w:tcPr>
            <w:tcW w:w="789" w:type="pct"/>
          </w:tcPr>
          <w:p w14:paraId="0862C76D" w14:textId="77777777" w:rsidR="00452761" w:rsidRPr="00344776" w:rsidRDefault="00452761" w:rsidP="00452761">
            <w:pPr>
              <w:pStyle w:val="TableText"/>
            </w:pPr>
            <w:r w:rsidRPr="00344776">
              <w:t>Females</w:t>
            </w:r>
          </w:p>
        </w:tc>
        <w:tc>
          <w:tcPr>
            <w:tcW w:w="814" w:type="pct"/>
          </w:tcPr>
          <w:p w14:paraId="50894EC1" w14:textId="2193B73E" w:rsidR="00452761" w:rsidRPr="00344776" w:rsidRDefault="00452761" w:rsidP="00452761">
            <w:pPr>
              <w:pStyle w:val="TableText"/>
              <w:jc w:val="center"/>
            </w:pPr>
            <w:r w:rsidRPr="008A11A3">
              <w:t>12.3</w:t>
            </w:r>
          </w:p>
        </w:tc>
        <w:tc>
          <w:tcPr>
            <w:tcW w:w="812" w:type="pct"/>
          </w:tcPr>
          <w:p w14:paraId="3E9F17C2" w14:textId="2A078458" w:rsidR="00452761" w:rsidRPr="00344776" w:rsidRDefault="00452761" w:rsidP="00452761">
            <w:pPr>
              <w:pStyle w:val="TableText"/>
              <w:jc w:val="center"/>
            </w:pPr>
            <w:r w:rsidRPr="008A11A3">
              <w:t>12.5</w:t>
            </w:r>
          </w:p>
        </w:tc>
        <w:tc>
          <w:tcPr>
            <w:tcW w:w="812" w:type="pct"/>
          </w:tcPr>
          <w:p w14:paraId="785F388D" w14:textId="59A23C40" w:rsidR="00452761" w:rsidRPr="00344776" w:rsidRDefault="00452761" w:rsidP="00452761">
            <w:pPr>
              <w:pStyle w:val="TableText"/>
              <w:jc w:val="center"/>
            </w:pPr>
            <w:r w:rsidRPr="008A11A3">
              <w:t>12.8</w:t>
            </w:r>
          </w:p>
        </w:tc>
        <w:tc>
          <w:tcPr>
            <w:tcW w:w="812" w:type="pct"/>
          </w:tcPr>
          <w:p w14:paraId="78097992" w14:textId="31936E10" w:rsidR="00452761" w:rsidRPr="00344776" w:rsidRDefault="00452761" w:rsidP="00452761">
            <w:pPr>
              <w:pStyle w:val="TableText"/>
              <w:jc w:val="center"/>
            </w:pPr>
            <w:r w:rsidRPr="008A11A3">
              <w:t>13.3</w:t>
            </w:r>
          </w:p>
        </w:tc>
        <w:tc>
          <w:tcPr>
            <w:tcW w:w="960" w:type="pct"/>
          </w:tcPr>
          <w:p w14:paraId="1E89DC17" w14:textId="0920E36E" w:rsidR="00452761" w:rsidRPr="00344776" w:rsidRDefault="00452761" w:rsidP="00452761">
            <w:pPr>
              <w:pStyle w:val="TableText"/>
              <w:jc w:val="center"/>
            </w:pPr>
            <w:r w:rsidRPr="008A11A3">
              <w:t>1.0</w:t>
            </w:r>
          </w:p>
        </w:tc>
      </w:tr>
    </w:tbl>
    <w:p w14:paraId="3AF2ACE6" w14:textId="77777777" w:rsidR="007911BA" w:rsidRPr="00344776" w:rsidRDefault="007911BA" w:rsidP="007911BA">
      <w:pPr>
        <w:pStyle w:val="Source"/>
      </w:pPr>
      <w:r w:rsidRPr="00344776">
        <w:t xml:space="preserve">Source: </w:t>
      </w:r>
      <w:hyperlink r:id="rId37">
        <w:r w:rsidRPr="005C0F78">
          <w:rPr>
            <w:rStyle w:val="Hyperlink"/>
          </w:rPr>
          <w:t>Institute for Health Metrics and Evaluation</w:t>
        </w:r>
        <w:r w:rsidRPr="00344776">
          <w:rPr>
            <w:rStyle w:val="Hyperlink"/>
          </w:rPr>
          <w:t xml:space="preserve"> (2021)</w:t>
        </w:r>
      </w:hyperlink>
    </w:p>
    <w:p w14:paraId="31EE9200" w14:textId="77777777" w:rsidR="00B206F0" w:rsidRPr="00344776" w:rsidRDefault="00B206F0" w:rsidP="00B206F0">
      <w:pPr>
        <w:pStyle w:val="Heading3"/>
        <w:rPr>
          <w:b/>
          <w:color w:val="595959" w:themeColor="text1" w:themeTint="A6"/>
        </w:rPr>
      </w:pPr>
      <w:r w:rsidRPr="00344776">
        <w:t xml:space="preserve">Mortality </w:t>
      </w:r>
    </w:p>
    <w:p w14:paraId="0DB8030F" w14:textId="77777777" w:rsidR="00452761" w:rsidRPr="00344776" w:rsidRDefault="00452761" w:rsidP="00452761">
      <w:r w:rsidRPr="00344776">
        <w:t xml:space="preserve">There were 34,489 registered deaths in New Zealand in 2019, the latest available year </w:t>
      </w:r>
      <w:r>
        <w:t xml:space="preserve">for which </w:t>
      </w:r>
      <w:r w:rsidRPr="00344776">
        <w:t xml:space="preserve">mortality data is available </w:t>
      </w:r>
      <w:r w:rsidRPr="00344776">
        <w:fldChar w:fldCharType="begin"/>
      </w:r>
      <w:r>
        <w:instrText xml:space="preserve"> ADDIN EN.CITE &lt;EndNote&gt;&lt;Cite&gt;&lt;Author&gt;Ministry of Health&lt;/Author&gt;&lt;Year&gt;2022&lt;/Year&gt;&lt;RecNum&gt;31&lt;/RecNum&gt;&lt;DisplayText&gt;(Ministry of Health 2022q)&lt;/DisplayText&gt;&lt;record&gt;&lt;rec-number&gt;31&lt;/rec-number&gt;&lt;foreign-keys&gt;&lt;key app="EN" db-id="aaepvppzs5wtfse95vsp2wahsrtvva2vvdet" timestamp="1632282757"&gt;31&lt;/key&gt;&lt;/foreign-keys&gt;&lt;ref-type name="Web Page"&gt;12&lt;/ref-type&gt;&lt;contributors&gt;&lt;authors&gt;&lt;author&gt;Ministry of Health,&lt;/author&gt;&lt;/authors&gt;&lt;/contributors&gt;&lt;titles&gt;&lt;title&gt;Mortality web tool (Data file)&lt;/title&gt;&lt;/titles&gt;&lt;number&gt;31 October 2022&lt;/number&gt;&lt;dates&gt;&lt;year&gt;2022&lt;/year&gt;&lt;/dates&gt;&lt;urls&gt;&lt;related-urls&gt;&lt;url&gt;www.health.govt.nz/publication/mortality-web-tool&lt;/url&gt;&lt;/related-urls&gt;&lt;/urls&gt;&lt;/record&gt;&lt;/Cite&gt;&lt;/EndNote&gt;</w:instrText>
      </w:r>
      <w:r w:rsidRPr="00344776">
        <w:fldChar w:fldCharType="separate"/>
      </w:r>
      <w:r w:rsidRPr="00344776">
        <w:rPr>
          <w:noProof/>
        </w:rPr>
        <w:t>(Ministry of Health 2022q)</w:t>
      </w:r>
      <w:r w:rsidRPr="00344776">
        <w:fldChar w:fldCharType="end"/>
      </w:r>
      <w:r w:rsidRPr="00344776">
        <w:t xml:space="preserve">. </w:t>
      </w:r>
    </w:p>
    <w:p w14:paraId="675A1A1B" w14:textId="77777777" w:rsidR="00452761" w:rsidRPr="00344776" w:rsidRDefault="00452761" w:rsidP="00452761"/>
    <w:p w14:paraId="06A87ED7" w14:textId="77777777" w:rsidR="00452761" w:rsidRPr="00344776" w:rsidRDefault="00452761" w:rsidP="00452761">
      <w:r w:rsidRPr="00344776">
        <w:t xml:space="preserve">The leading causes of death in 2019 were cancer, ischaemic heart diseases and cerebrovascular diseases. The leading causes of death for Māori were cancer, ischaemic heart diseases and chronic lower respiratory diseases </w:t>
      </w:r>
      <w:r w:rsidRPr="00344776">
        <w:fldChar w:fldCharType="begin"/>
      </w:r>
      <w:r>
        <w:instrText xml:space="preserve"> ADDIN EN.CITE &lt;EndNote&gt;&lt;Cite&gt;&lt;Author&gt;Ministry of Health&lt;/Author&gt;&lt;Year&gt;2022&lt;/Year&gt;&lt;RecNum&gt;31&lt;/RecNum&gt;&lt;DisplayText&gt;(Ministry of Health 2022q)&lt;/DisplayText&gt;&lt;record&gt;&lt;rec-number&gt;31&lt;/rec-number&gt;&lt;foreign-keys&gt;&lt;key app="EN" db-id="aaepvppzs5wtfse95vsp2wahsrtvva2vvdet" timestamp="1632282757"&gt;31&lt;/key&gt;&lt;/foreign-keys&gt;&lt;ref-type name="Web Page"&gt;12&lt;/ref-type&gt;&lt;contributors&gt;&lt;authors&gt;&lt;author&gt;Ministry of Health,&lt;/author&gt;&lt;/authors&gt;&lt;/contributors&gt;&lt;titles&gt;&lt;title&gt;Mortality web tool (Data file)&lt;/title&gt;&lt;/titles&gt;&lt;number&gt;31 October 2022&lt;/number&gt;&lt;dates&gt;&lt;year&gt;2022&lt;/year&gt;&lt;/dates&gt;&lt;urls&gt;&lt;related-urls&gt;&lt;url&gt;www.health.govt.nz/publication/mortality-web-tool&lt;/url&gt;&lt;/related-urls&gt;&lt;/urls&gt;&lt;/record&gt;&lt;/Cite&gt;&lt;/EndNote&gt;</w:instrText>
      </w:r>
      <w:r w:rsidRPr="00344776">
        <w:fldChar w:fldCharType="separate"/>
      </w:r>
      <w:r w:rsidRPr="00344776">
        <w:rPr>
          <w:noProof/>
        </w:rPr>
        <w:t>(Ministry of Health 2022q)</w:t>
      </w:r>
      <w:r w:rsidRPr="00344776">
        <w:fldChar w:fldCharType="end"/>
      </w:r>
      <w:r w:rsidRPr="00344776">
        <w:t>.</w:t>
      </w:r>
    </w:p>
    <w:p w14:paraId="0916A958" w14:textId="77777777" w:rsidR="00452761" w:rsidRPr="00344776" w:rsidRDefault="00452761" w:rsidP="00452761"/>
    <w:p w14:paraId="456B4107" w14:textId="4D33E551" w:rsidR="00452761" w:rsidRDefault="00452761" w:rsidP="00452761">
      <w:r w:rsidRPr="00344776">
        <w:t xml:space="preserve">Total mortality rate decreased over the </w:t>
      </w:r>
      <w:r>
        <w:t>10</w:t>
      </w:r>
      <w:r w:rsidRPr="00344776">
        <w:t xml:space="preserve"> years</w:t>
      </w:r>
      <w:r>
        <w:t xml:space="preserve"> between 2010 and 2019</w:t>
      </w:r>
      <w:r w:rsidRPr="00344776">
        <w:t xml:space="preserve">, from a rate of 395.6 deaths per 100,000 population to </w:t>
      </w:r>
      <w:r>
        <w:t xml:space="preserve">a rate of </w:t>
      </w:r>
      <w:r w:rsidRPr="00344776">
        <w:t>373.6 per 100,000.</w:t>
      </w:r>
    </w:p>
    <w:p w14:paraId="5AF13C93" w14:textId="245687F2" w:rsidR="003237D3" w:rsidRDefault="003237D3" w:rsidP="00452761">
      <w:pPr>
        <w:rPr>
          <w:rFonts w:cstheme="minorHAnsi"/>
        </w:rPr>
      </w:pPr>
    </w:p>
    <w:p w14:paraId="26AA1D97" w14:textId="64D7CC5F" w:rsidR="003237D3" w:rsidRPr="003237D3" w:rsidRDefault="003237D3" w:rsidP="00452761">
      <w:r w:rsidRPr="00344776">
        <w:t xml:space="preserve">Males continue to have a higher mortality rate than females </w:t>
      </w:r>
      <w:r>
        <w:t>(</w:t>
      </w:r>
      <w:r>
        <w:fldChar w:fldCharType="begin"/>
      </w:r>
      <w:r>
        <w:instrText xml:space="preserve"> REF _Ref118975455 \h </w:instrText>
      </w:r>
      <w:r>
        <w:fldChar w:fldCharType="separate"/>
      </w:r>
      <w:r w:rsidR="00F61845" w:rsidRPr="00344776">
        <w:t xml:space="preserve">Figure </w:t>
      </w:r>
      <w:r w:rsidR="00F61845">
        <w:rPr>
          <w:noProof/>
        </w:rPr>
        <w:t>4</w:t>
      </w:r>
      <w:r>
        <w:fldChar w:fldCharType="end"/>
      </w:r>
      <w:r>
        <w:t>).</w:t>
      </w:r>
      <w:r w:rsidRPr="00344776">
        <w:t xml:space="preserve"> In 2019 males had an age-standardised mortality rate of 438.3 per 100,000 population, compared with 315.0 per 100,000 for females. </w:t>
      </w:r>
    </w:p>
    <w:p w14:paraId="3EAA7BE4" w14:textId="77777777" w:rsidR="00452761" w:rsidRPr="00344776" w:rsidRDefault="00452761" w:rsidP="00452761">
      <w:pPr>
        <w:rPr>
          <w:rFonts w:cstheme="minorHAnsi"/>
        </w:rPr>
      </w:pPr>
    </w:p>
    <w:p w14:paraId="571F0784" w14:textId="77777777" w:rsidR="00757770" w:rsidRDefault="00757770" w:rsidP="00757770">
      <w:pPr>
        <w:sectPr w:rsidR="00757770" w:rsidSect="00B206F0">
          <w:pgSz w:w="11907" w:h="16840" w:code="9"/>
          <w:pgMar w:top="1418" w:right="1701" w:bottom="1134" w:left="1843" w:header="284" w:footer="425" w:gutter="284"/>
          <w:cols w:space="720"/>
        </w:sectPr>
      </w:pPr>
    </w:p>
    <w:p w14:paraId="61A7D367" w14:textId="60D05EF2" w:rsidR="00B206F0" w:rsidRPr="00344776" w:rsidRDefault="00B206F0" w:rsidP="005A18ED">
      <w:pPr>
        <w:pStyle w:val="Caption"/>
      </w:pPr>
      <w:bookmarkStart w:id="23" w:name="_Ref114825606"/>
      <w:bookmarkStart w:id="24" w:name="_Ref118975455"/>
      <w:bookmarkStart w:id="25" w:name="_Toc118446222"/>
      <w:bookmarkStart w:id="26" w:name="_Toc119047748"/>
      <w:r w:rsidRPr="00344776">
        <w:lastRenderedPageBreak/>
        <w:t xml:space="preserve">Figure </w:t>
      </w:r>
      <w:r w:rsidRPr="00344776">
        <w:fldChar w:fldCharType="begin"/>
      </w:r>
      <w:r w:rsidRPr="00344776">
        <w:instrText>SEQ Figure \* ARABIC</w:instrText>
      </w:r>
      <w:r w:rsidRPr="00344776">
        <w:fldChar w:fldCharType="separate"/>
      </w:r>
      <w:r w:rsidR="00F61845">
        <w:rPr>
          <w:noProof/>
        </w:rPr>
        <w:t>4</w:t>
      </w:r>
      <w:r w:rsidRPr="00344776">
        <w:fldChar w:fldCharType="end"/>
      </w:r>
      <w:bookmarkEnd w:id="23"/>
      <w:bookmarkEnd w:id="24"/>
      <w:r w:rsidRPr="00344776">
        <w:t>: Mortality rates</w:t>
      </w:r>
      <w:r>
        <w:t>,</w:t>
      </w:r>
      <w:r w:rsidRPr="00344776">
        <w:t xml:space="preserve"> by sex, 1948</w:t>
      </w:r>
      <w:r>
        <w:rPr>
          <w:rFonts w:cstheme="minorHAnsi"/>
        </w:rPr>
        <w:t>–</w:t>
      </w:r>
      <w:r w:rsidRPr="00344776">
        <w:t>2019</w:t>
      </w:r>
      <w:bookmarkEnd w:id="25"/>
      <w:bookmarkEnd w:id="26"/>
    </w:p>
    <w:p w14:paraId="7E660442" w14:textId="77777777" w:rsidR="00B206F0" w:rsidRPr="00344776" w:rsidRDefault="00B206F0" w:rsidP="00B206F0">
      <w:pPr>
        <w:spacing w:after="120"/>
        <w:rPr>
          <w:szCs w:val="21"/>
        </w:rPr>
      </w:pPr>
      <w:r w:rsidRPr="00344776">
        <w:rPr>
          <w:noProof/>
        </w:rPr>
        <w:drawing>
          <wp:inline distT="0" distB="0" distL="0" distR="0" wp14:anchorId="268C6ACC" wp14:editId="73E9EC5F">
            <wp:extent cx="5124450" cy="2732345"/>
            <wp:effectExtent l="0" t="0" r="0" b="0"/>
            <wp:docPr id="31" name="Picture 31" descr="This graph shows that mortality rates decreased for both men and women between 1948 and 2019. Men had a higher mortality rate than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graph shows that mortality rates decreased for both men and women between 1948 and 2019. Men had a higher mortality rate than women."/>
                    <pic:cNvPicPr>
                      <a:picLocks noChangeAspect="1" noChangeArrowheads="1"/>
                    </pic:cNvPicPr>
                  </pic:nvPicPr>
                  <pic:blipFill>
                    <a:blip r:embed="rId38"/>
                    <a:stretch>
                      <a:fillRect/>
                    </a:stretch>
                  </pic:blipFill>
                  <pic:spPr bwMode="auto">
                    <a:xfrm>
                      <a:off x="0" y="0"/>
                      <a:ext cx="5124450" cy="2732345"/>
                    </a:xfrm>
                    <a:prstGeom prst="rect">
                      <a:avLst/>
                    </a:prstGeom>
                    <a:noFill/>
                    <a:ln>
                      <a:noFill/>
                    </a:ln>
                  </pic:spPr>
                </pic:pic>
              </a:graphicData>
            </a:graphic>
          </wp:inline>
        </w:drawing>
      </w:r>
    </w:p>
    <w:p w14:paraId="64ED5B93" w14:textId="536E87A2" w:rsidR="00B206F0" w:rsidRPr="00344776" w:rsidRDefault="00B206F0" w:rsidP="004C0578">
      <w:pPr>
        <w:pStyle w:val="Note"/>
        <w:spacing w:before="240"/>
      </w:pPr>
      <w:r w:rsidRPr="00344776">
        <w:t xml:space="preserve">Note: </w:t>
      </w:r>
      <w:r w:rsidR="00452761" w:rsidRPr="00452761">
        <w:t>Rates are per 100,000 population and age-standardised to the World Health Organization’s standard world population. 2019 mortality data is preliminary</w:t>
      </w:r>
      <w:r w:rsidRPr="00344776">
        <w:t>.</w:t>
      </w:r>
    </w:p>
    <w:p w14:paraId="00DF02E7" w14:textId="68FDB4BF" w:rsidR="00B206F0" w:rsidRPr="00344776" w:rsidRDefault="00B206F0" w:rsidP="00B206F0">
      <w:pPr>
        <w:pStyle w:val="Note"/>
      </w:pPr>
      <w:r w:rsidRPr="00344776">
        <w:t xml:space="preserve">Source: </w:t>
      </w:r>
      <w:hyperlink r:id="rId39" w:history="1">
        <w:r w:rsidRPr="00344776">
          <w:rPr>
            <w:rStyle w:val="Hyperlink"/>
          </w:rPr>
          <w:t>Ministry of Health (2022q)</w:t>
        </w:r>
      </w:hyperlink>
      <w:r w:rsidRPr="00344776">
        <w:t xml:space="preserve"> </w:t>
      </w:r>
    </w:p>
    <w:p w14:paraId="067F0BFF" w14:textId="77777777" w:rsidR="00B206F0" w:rsidRPr="00344776" w:rsidRDefault="00B206F0" w:rsidP="00B206F0"/>
    <w:p w14:paraId="4C6D736C" w14:textId="286D8F64" w:rsidR="00B206F0" w:rsidRDefault="00B206F0" w:rsidP="00B206F0">
      <w:pPr>
        <w:rPr>
          <w:color w:val="000000"/>
          <w:lang w:eastAsia="en-NZ"/>
        </w:rPr>
      </w:pPr>
      <w:r>
        <w:fldChar w:fldCharType="begin"/>
      </w:r>
      <w:r>
        <w:instrText xml:space="preserve"> REF _Ref114825711 \h </w:instrText>
      </w:r>
      <w:r>
        <w:fldChar w:fldCharType="separate"/>
      </w:r>
      <w:r w:rsidR="00F61845" w:rsidRPr="00344776">
        <w:t xml:space="preserve">Figure </w:t>
      </w:r>
      <w:r w:rsidR="00F61845">
        <w:rPr>
          <w:noProof/>
        </w:rPr>
        <w:t>5</w:t>
      </w:r>
      <w:r>
        <w:fldChar w:fldCharType="end"/>
      </w:r>
      <w:r w:rsidRPr="00344776">
        <w:t xml:space="preserve"> </w:t>
      </w:r>
      <w:r w:rsidR="00452761" w:rsidRPr="00344776">
        <w:t xml:space="preserve">shows mortality rates for Māori and non-Māori. While the mortality rate for Māori decreased between 1996 and 2019 (from </w:t>
      </w:r>
      <w:r w:rsidR="00452761" w:rsidRPr="00344776">
        <w:rPr>
          <w:color w:val="000000"/>
          <w:lang w:eastAsia="en-NZ"/>
        </w:rPr>
        <w:t>1058.3 per 100,000 to 620.3 per 100,000), an equity gap remains. The mortality rate for non-Māori in 2019 was 344.5 per 100,000</w:t>
      </w:r>
      <w:r w:rsidRPr="00344776">
        <w:rPr>
          <w:color w:val="000000"/>
          <w:lang w:eastAsia="en-NZ"/>
        </w:rPr>
        <w:t xml:space="preserve">. </w:t>
      </w:r>
    </w:p>
    <w:p w14:paraId="07379FCB" w14:textId="5A77C2A2" w:rsidR="00B206F0" w:rsidRPr="00344776" w:rsidRDefault="00B206F0" w:rsidP="00253316">
      <w:pPr>
        <w:pStyle w:val="Figure"/>
      </w:pPr>
      <w:bookmarkStart w:id="27" w:name="_Ref114825711"/>
      <w:bookmarkStart w:id="28" w:name="_Toc118446223"/>
      <w:bookmarkStart w:id="29" w:name="_Toc119047749"/>
      <w:r w:rsidRPr="00344776">
        <w:t xml:space="preserve">Figure </w:t>
      </w:r>
      <w:r w:rsidRPr="00344776">
        <w:fldChar w:fldCharType="begin"/>
      </w:r>
      <w:r w:rsidRPr="00344776">
        <w:instrText>SEQ Figure \* ARABIC</w:instrText>
      </w:r>
      <w:r w:rsidRPr="00344776">
        <w:fldChar w:fldCharType="separate"/>
      </w:r>
      <w:r w:rsidR="00F61845">
        <w:rPr>
          <w:noProof/>
        </w:rPr>
        <w:t>5</w:t>
      </w:r>
      <w:r w:rsidRPr="00344776">
        <w:fldChar w:fldCharType="end"/>
      </w:r>
      <w:bookmarkEnd w:id="27"/>
      <w:r w:rsidRPr="00344776">
        <w:t>: Mortality rates, Māori and non-Māori, 1996</w:t>
      </w:r>
      <w:r>
        <w:rPr>
          <w:rFonts w:cstheme="minorHAnsi"/>
        </w:rPr>
        <w:t>–</w:t>
      </w:r>
      <w:r w:rsidRPr="00344776">
        <w:t>2019</w:t>
      </w:r>
      <w:bookmarkEnd w:id="28"/>
      <w:bookmarkEnd w:id="29"/>
    </w:p>
    <w:p w14:paraId="7BF9E01F" w14:textId="77777777" w:rsidR="00B206F0" w:rsidRPr="00344776" w:rsidRDefault="00B206F0" w:rsidP="00B206F0">
      <w:pPr>
        <w:rPr>
          <w:szCs w:val="21"/>
        </w:rPr>
      </w:pPr>
      <w:r w:rsidRPr="00344776">
        <w:rPr>
          <w:noProof/>
        </w:rPr>
        <w:drawing>
          <wp:inline distT="0" distB="0" distL="0" distR="0" wp14:anchorId="1DA95663" wp14:editId="0463CA84">
            <wp:extent cx="5124450" cy="2732345"/>
            <wp:effectExtent l="0" t="0" r="0" b="0"/>
            <wp:docPr id="32" name="Picture 32" descr="This line graph shows the mortality rates for Māori and non-Māori from 1996 to 2019. The mortality rate for Māori was higher than non-Māori and has declined for both over time, but the rate of decline has slowed in the last de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line graph shows the mortality rates for Māori and non-Māori from 1996 to 2019. The mortality rate for Māori was higher than non-Māori and has declined for both over time, but the rate of decline has slowed in the last decade."/>
                    <pic:cNvPicPr>
                      <a:picLocks noChangeAspect="1" noChangeArrowheads="1"/>
                    </pic:cNvPicPr>
                  </pic:nvPicPr>
                  <pic:blipFill>
                    <a:blip r:embed="rId40"/>
                    <a:stretch>
                      <a:fillRect/>
                    </a:stretch>
                  </pic:blipFill>
                  <pic:spPr bwMode="auto">
                    <a:xfrm>
                      <a:off x="0" y="0"/>
                      <a:ext cx="5124450" cy="2732345"/>
                    </a:xfrm>
                    <a:prstGeom prst="rect">
                      <a:avLst/>
                    </a:prstGeom>
                    <a:noFill/>
                    <a:ln>
                      <a:noFill/>
                    </a:ln>
                  </pic:spPr>
                </pic:pic>
              </a:graphicData>
            </a:graphic>
          </wp:inline>
        </w:drawing>
      </w:r>
    </w:p>
    <w:p w14:paraId="6B13AF53" w14:textId="680BFC9E" w:rsidR="004C0578" w:rsidRPr="00344776" w:rsidRDefault="004C0578" w:rsidP="004C0578">
      <w:pPr>
        <w:pStyle w:val="Source"/>
      </w:pPr>
      <w:r w:rsidRPr="00344776">
        <w:t xml:space="preserve">Source: </w:t>
      </w:r>
      <w:hyperlink r:id="rId41" w:history="1">
        <w:r w:rsidRPr="00344776">
          <w:rPr>
            <w:rStyle w:val="Hyperlink"/>
          </w:rPr>
          <w:t>Ministry of Health (2022q)</w:t>
        </w:r>
      </w:hyperlink>
    </w:p>
    <w:p w14:paraId="3C17FA00" w14:textId="0F0654DB" w:rsidR="00B206F0" w:rsidRPr="00344776" w:rsidRDefault="00B206F0" w:rsidP="004C0578">
      <w:pPr>
        <w:pStyle w:val="Note"/>
      </w:pPr>
      <w:r w:rsidRPr="00344776">
        <w:t xml:space="preserve">Notes: </w:t>
      </w:r>
    </w:p>
    <w:p w14:paraId="69B49EF0" w14:textId="66CED0BE" w:rsidR="00452761" w:rsidRPr="00452761" w:rsidRDefault="00452761" w:rsidP="00452761">
      <w:pPr>
        <w:pStyle w:val="Dash"/>
        <w:tabs>
          <w:tab w:val="clear" w:pos="567"/>
        </w:tabs>
        <w:ind w:left="364" w:hanging="238"/>
        <w:rPr>
          <w:sz w:val="17"/>
          <w:szCs w:val="17"/>
        </w:rPr>
      </w:pPr>
      <w:r w:rsidRPr="00452761">
        <w:rPr>
          <w:sz w:val="17"/>
          <w:szCs w:val="17"/>
        </w:rPr>
        <w:t>Rates are per 100,000 population and age-standardised to the World Health Organization’s standard world population.</w:t>
      </w:r>
    </w:p>
    <w:p w14:paraId="51424929" w14:textId="371F5DFD" w:rsidR="00452761" w:rsidRPr="00452761" w:rsidRDefault="00452761" w:rsidP="00452761">
      <w:pPr>
        <w:pStyle w:val="Dash"/>
        <w:ind w:left="364" w:hanging="238"/>
        <w:rPr>
          <w:sz w:val="17"/>
          <w:szCs w:val="17"/>
        </w:rPr>
      </w:pPr>
      <w:r w:rsidRPr="00452761">
        <w:rPr>
          <w:sz w:val="17"/>
          <w:szCs w:val="17"/>
        </w:rPr>
        <w:t>Ethnic breakdowns of mortality data are only shown from 1996 onwards because there was a significant change in the way ethnicity was defined and ethnicity data collected in 1995.</w:t>
      </w:r>
    </w:p>
    <w:p w14:paraId="3FF033D5" w14:textId="54C1D6DB" w:rsidR="00B206F0" w:rsidRPr="00452761" w:rsidRDefault="00452761" w:rsidP="00452761">
      <w:pPr>
        <w:pStyle w:val="Dash"/>
        <w:ind w:left="364" w:hanging="238"/>
        <w:rPr>
          <w:sz w:val="17"/>
          <w:szCs w:val="17"/>
        </w:rPr>
      </w:pPr>
      <w:r w:rsidRPr="00452761">
        <w:rPr>
          <w:sz w:val="17"/>
          <w:szCs w:val="17"/>
        </w:rPr>
        <w:t>2019 mortality data is preliminary.</w:t>
      </w:r>
    </w:p>
    <w:p w14:paraId="362EEE02" w14:textId="77777777" w:rsidR="00B206F0" w:rsidRPr="00344776" w:rsidRDefault="00B206F0" w:rsidP="00B206F0">
      <w:pPr>
        <w:pStyle w:val="Heading3"/>
      </w:pPr>
      <w:r w:rsidRPr="00344776">
        <w:lastRenderedPageBreak/>
        <w:t>Self-rated health</w:t>
      </w:r>
    </w:p>
    <w:p w14:paraId="4835C06D" w14:textId="77777777" w:rsidR="00452761" w:rsidRPr="00344776" w:rsidRDefault="00452761" w:rsidP="00452761">
      <w:r w:rsidRPr="00344776">
        <w:t>In the 2020/21 New Zealand Health Survey</w:t>
      </w:r>
      <w:r>
        <w:t xml:space="preserve"> (NZHS)</w:t>
      </w:r>
      <w:r w:rsidRPr="00344776">
        <w:t xml:space="preserve">, 88.0% of adults reported their health as being good, very good or excellent </w:t>
      </w:r>
      <w:r w:rsidRPr="00344776">
        <w:fldChar w:fldCharType="begin"/>
      </w:r>
      <w:r>
        <w:instrText xml:space="preserve"> ADDIN EN.CITE &lt;EndNote&gt;&lt;Cite&gt;&lt;Author&gt;Ministry of Health&lt;/Author&gt;&lt;Year&gt;2022&lt;/Year&gt;&lt;RecNum&gt;33&lt;/RecNum&gt;&lt;DisplayText&gt;(Ministry of Health 2022b)&lt;/DisplayText&gt;&lt;record&gt;&lt;rec-number&gt;33&lt;/rec-number&gt;&lt;foreign-keys&gt;&lt;key app="EN" db-id="aaepvppzs5wtfse95vsp2wahsrtvva2vvdet" timestamp="1632283821"&gt;33&lt;/key&gt;&lt;/foreign-keys&gt;&lt;ref-type name="Web Page"&gt;12&lt;/ref-type&gt;&lt;contributors&gt;&lt;authors&gt;&lt;author&gt;Ministry of Health,&lt;/author&gt;&lt;/authors&gt;&lt;/contributors&gt;&lt;titles&gt;&lt;title&gt;Annual Data Explorer 2020/21: New Zealand Health Survey (Data file)&lt;/title&gt;&lt;/titles&gt;&lt;number&gt;31 October 2022&lt;/number&gt;&lt;dates&gt;&lt;year&gt;2022&lt;/year&gt;&lt;/dates&gt;&lt;urls&gt;&lt;related-urls&gt;&lt;url&gt;https://minhealthnz.shinyapps.io/nz-health-survey-2020-21-annual-data-explorer/&lt;/url&gt;&lt;/related-urls&gt;&lt;/urls&gt;&lt;/record&gt;&lt;/Cite&gt;&lt;/EndNote&gt;</w:instrText>
      </w:r>
      <w:r w:rsidRPr="00344776">
        <w:fldChar w:fldCharType="separate"/>
      </w:r>
      <w:r w:rsidRPr="00344776">
        <w:rPr>
          <w:noProof/>
        </w:rPr>
        <w:t>(Ministry of Health 2022b)</w:t>
      </w:r>
      <w:r w:rsidRPr="00344776">
        <w:fldChar w:fldCharType="end"/>
      </w:r>
      <w:r w:rsidRPr="00344776">
        <w:t>. These categories are combined as ‘</w:t>
      </w:r>
      <w:r>
        <w:t xml:space="preserve">self-rated </w:t>
      </w:r>
      <w:r w:rsidRPr="00344776">
        <w:t xml:space="preserve">good health’ in the following narrative. </w:t>
      </w:r>
      <w:r>
        <w:t xml:space="preserve">This </w:t>
      </w:r>
      <w:r w:rsidRPr="00344776">
        <w:t xml:space="preserve">has fluctuated over the 10 years </w:t>
      </w:r>
      <w:r>
        <w:t xml:space="preserve">to 2020/21 </w:t>
      </w:r>
      <w:r w:rsidRPr="00344776">
        <w:t xml:space="preserve">between a low of 86.1% and a high of 91.4%. </w:t>
      </w:r>
    </w:p>
    <w:p w14:paraId="5123F68E" w14:textId="77777777" w:rsidR="00452761" w:rsidRPr="00344776" w:rsidRDefault="00452761" w:rsidP="00452761"/>
    <w:p w14:paraId="52CE8EBF" w14:textId="6BB68112" w:rsidR="00B206F0" w:rsidRPr="00344776" w:rsidRDefault="00452761" w:rsidP="00452761">
      <w:r w:rsidRPr="00344776">
        <w:t>Inequities occur between subgroups of the population for prevalence of self-rated good health. In 2020/21</w:t>
      </w:r>
      <w:r w:rsidR="00B206F0" w:rsidRPr="00344776">
        <w:t>:</w:t>
      </w:r>
    </w:p>
    <w:p w14:paraId="3BAB0BC2" w14:textId="77777777" w:rsidR="00452761" w:rsidRPr="00344776" w:rsidRDefault="00452761" w:rsidP="00452761">
      <w:pPr>
        <w:pStyle w:val="Bullet"/>
      </w:pPr>
      <w:r w:rsidRPr="00344776">
        <w:t xml:space="preserve">82.8% of adults living in the most deprived areas rated their health as good, compared with 92.3% of adults living in the least deprived areas. </w:t>
      </w:r>
    </w:p>
    <w:p w14:paraId="161D15E0" w14:textId="2BEEE0D4" w:rsidR="00B206F0" w:rsidRPr="00B206F0" w:rsidRDefault="00452761" w:rsidP="00452761">
      <w:pPr>
        <w:pStyle w:val="Bullet"/>
      </w:pPr>
      <w:r w:rsidRPr="00344776">
        <w:t>58.9% of disabled adults rated their health as good, compared with 90.9% of non-disabled adults</w:t>
      </w:r>
      <w:r w:rsidR="00B206F0" w:rsidRPr="00B206F0">
        <w:t>.</w:t>
      </w:r>
    </w:p>
    <w:p w14:paraId="053CB5A9" w14:textId="77777777" w:rsidR="00393660" w:rsidRDefault="00393660" w:rsidP="00B206F0"/>
    <w:p w14:paraId="08173BC2" w14:textId="58923600" w:rsidR="00B206F0" w:rsidRPr="00344776" w:rsidRDefault="00452761" w:rsidP="00B206F0">
      <w:r w:rsidRPr="00344776">
        <w:t>Over the 10 years</w:t>
      </w:r>
      <w:r>
        <w:t xml:space="preserve"> to 2020/21</w:t>
      </w:r>
      <w:r w:rsidRPr="00344776">
        <w:t xml:space="preserve">, Māori and Pacific peoples had lower self-rated good health in comparison to </w:t>
      </w:r>
      <w:r>
        <w:t xml:space="preserve">the </w:t>
      </w:r>
      <w:r w:rsidRPr="00344776">
        <w:t>Asian and European/other ethnic groups, as</w:t>
      </w:r>
      <w:r>
        <w:t xml:space="preserve"> </w:t>
      </w:r>
      <w:r>
        <w:fldChar w:fldCharType="begin"/>
      </w:r>
      <w:r>
        <w:instrText xml:space="preserve"> REF _Ref114826034 \h </w:instrText>
      </w:r>
      <w:r>
        <w:fldChar w:fldCharType="separate"/>
      </w:r>
      <w:r w:rsidR="00F61845" w:rsidRPr="00253316">
        <w:t xml:space="preserve">Figure </w:t>
      </w:r>
      <w:r w:rsidR="00F61845">
        <w:rPr>
          <w:noProof/>
        </w:rPr>
        <w:t>6</w:t>
      </w:r>
      <w:r>
        <w:fldChar w:fldCharType="end"/>
      </w:r>
      <w:r>
        <w:t xml:space="preserve"> </w:t>
      </w:r>
      <w:r w:rsidRPr="00344776">
        <w:t>show</w:t>
      </w:r>
      <w:r>
        <w:t>s</w:t>
      </w:r>
      <w:r w:rsidR="00B206F0" w:rsidRPr="00344776">
        <w:t>.</w:t>
      </w:r>
    </w:p>
    <w:p w14:paraId="7E5C42A9" w14:textId="79298C21" w:rsidR="00B206F0" w:rsidRPr="00253316" w:rsidRDefault="00B206F0" w:rsidP="00253316">
      <w:pPr>
        <w:pStyle w:val="Figure"/>
      </w:pPr>
      <w:bookmarkStart w:id="30" w:name="_Ref114826034"/>
      <w:bookmarkStart w:id="31" w:name="_Toc118446224"/>
      <w:bookmarkStart w:id="32" w:name="_Toc118730676"/>
      <w:bookmarkStart w:id="33" w:name="_Toc119047750"/>
      <w:r w:rsidRPr="00253316">
        <w:t xml:space="preserve">Figure </w:t>
      </w:r>
      <w:r w:rsidRPr="00253316">
        <w:fldChar w:fldCharType="begin"/>
      </w:r>
      <w:r w:rsidRPr="00253316">
        <w:instrText>SEQ Figure \* ARABIC</w:instrText>
      </w:r>
      <w:r w:rsidRPr="00253316">
        <w:fldChar w:fldCharType="separate"/>
      </w:r>
      <w:r w:rsidR="00F61845">
        <w:rPr>
          <w:noProof/>
        </w:rPr>
        <w:t>6</w:t>
      </w:r>
      <w:r w:rsidRPr="00253316">
        <w:fldChar w:fldCharType="end"/>
      </w:r>
      <w:bookmarkEnd w:id="30"/>
      <w:r w:rsidRPr="00253316">
        <w:t>: Prevalence of adults who reported good, very good or excellent health, by ethnic group, 2011/12–2020/21</w:t>
      </w:r>
      <w:bookmarkEnd w:id="31"/>
      <w:bookmarkEnd w:id="32"/>
      <w:bookmarkEnd w:id="33"/>
    </w:p>
    <w:p w14:paraId="34764EA6" w14:textId="77777777" w:rsidR="00B206F0" w:rsidRPr="00344776" w:rsidRDefault="00B206F0" w:rsidP="00B206F0">
      <w:r w:rsidRPr="00344776">
        <w:rPr>
          <w:noProof/>
        </w:rPr>
        <w:drawing>
          <wp:inline distT="0" distB="0" distL="0" distR="0" wp14:anchorId="035CE66D" wp14:editId="453AC2A7">
            <wp:extent cx="4619296" cy="3696063"/>
            <wp:effectExtent l="0" t="0" r="0" b="0"/>
            <wp:docPr id="33" name="Picture 33" descr="A time series chart showing the percentage of people who rated their health as good, very good or excellent by ethnic group between 2011/12 and 2020/21. The chart shows the total percentage of people who rated their health as good, very good or excellent has fallen from 89.2% in 2011/12 to 88.0% in 2020/21. Across the time series the Asian ethnic group have the highest self-rated health, followed by European/other, then Māori an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time series chart showing the percentage of people who rated their health as good, very good or excellent by ethnic group between 2011/12 and 2020/21. The chart shows the total percentage of people who rated their health as good, very good or excellent has fallen from 89.2% in 2011/12 to 88.0% in 2020/21. Across the time series the Asian ethnic group have the highest self-rated health, followed by European/other, then Māori and Pacific peoples."/>
                    <pic:cNvPicPr>
                      <a:picLocks noChangeAspect="1" noChangeArrowheads="1"/>
                    </pic:cNvPicPr>
                  </pic:nvPicPr>
                  <pic:blipFill>
                    <a:blip r:embed="rId42"/>
                    <a:stretch>
                      <a:fillRect/>
                    </a:stretch>
                  </pic:blipFill>
                  <pic:spPr bwMode="auto">
                    <a:xfrm>
                      <a:off x="0" y="0"/>
                      <a:ext cx="4629364" cy="3704119"/>
                    </a:xfrm>
                    <a:prstGeom prst="rect">
                      <a:avLst/>
                    </a:prstGeom>
                    <a:noFill/>
                    <a:ln>
                      <a:noFill/>
                    </a:ln>
                  </pic:spPr>
                </pic:pic>
              </a:graphicData>
            </a:graphic>
          </wp:inline>
        </w:drawing>
      </w:r>
    </w:p>
    <w:p w14:paraId="39B3F685" w14:textId="2EE7358E" w:rsidR="00B206F0" w:rsidRPr="00344776" w:rsidRDefault="00B206F0" w:rsidP="00B206F0">
      <w:pPr>
        <w:pStyle w:val="Source"/>
      </w:pPr>
      <w:r w:rsidRPr="00344776">
        <w:t xml:space="preserve">Source: </w:t>
      </w:r>
      <w:hyperlink r:id="rId43" w:anchor="!/" w:history="1">
        <w:r w:rsidRPr="00344776">
          <w:rPr>
            <w:rStyle w:val="Hyperlink"/>
          </w:rPr>
          <w:t>Ministry of Health (2022b)</w:t>
        </w:r>
      </w:hyperlink>
      <w:r w:rsidRPr="00344776">
        <w:t xml:space="preserve"> </w:t>
      </w:r>
    </w:p>
    <w:p w14:paraId="56BA172F" w14:textId="77777777" w:rsidR="00F65F2C" w:rsidRDefault="00F65F2C">
      <w:pPr>
        <w:sectPr w:rsidR="00F65F2C" w:rsidSect="00B206F0">
          <w:pgSz w:w="11907" w:h="16840" w:code="9"/>
          <w:pgMar w:top="1418" w:right="1701" w:bottom="1134" w:left="1843" w:header="284" w:footer="425" w:gutter="284"/>
          <w:cols w:space="720"/>
        </w:sectPr>
      </w:pPr>
      <w:bookmarkStart w:id="34" w:name="_Toc118452225"/>
    </w:p>
    <w:p w14:paraId="06AA1452" w14:textId="47B6E745" w:rsidR="00B206F0" w:rsidRPr="00344776" w:rsidRDefault="00B206F0" w:rsidP="00253316">
      <w:pPr>
        <w:pStyle w:val="Heading2"/>
        <w:spacing w:before="0"/>
      </w:pPr>
      <w:bookmarkStart w:id="35" w:name="_Toc119312986"/>
      <w:r w:rsidRPr="00344776">
        <w:lastRenderedPageBreak/>
        <w:t>Factors contributing to health loss</w:t>
      </w:r>
      <w:bookmarkEnd w:id="34"/>
      <w:bookmarkEnd w:id="35"/>
    </w:p>
    <w:p w14:paraId="45DA4EFA" w14:textId="77777777" w:rsidR="00B206F0" w:rsidRPr="00344776" w:rsidRDefault="00B206F0" w:rsidP="00B206F0">
      <w:r w:rsidRPr="00344776">
        <w:t xml:space="preserve">Many complex factors combine to affect the health of </w:t>
      </w:r>
      <w:r>
        <w:t xml:space="preserve">people </w:t>
      </w:r>
      <w:r w:rsidRPr="00344776">
        <w:t xml:space="preserve">and communities </w:t>
      </w:r>
      <w:r w:rsidRPr="00344776">
        <w:fldChar w:fldCharType="begin"/>
      </w:r>
      <w:r w:rsidRPr="00344776">
        <w:instrText xml:space="preserve"> ADDIN EN.CITE &lt;EndNote&gt;&lt;Cite&gt;&lt;Author&gt;World Health Organisation&lt;/Author&gt;&lt;Year&gt;2017&lt;/Year&gt;&lt;RecNum&gt;262&lt;/RecNum&gt;&lt;DisplayText&gt;(World Health Organisation 2017)&lt;/DisplayText&gt;&lt;record&gt;&lt;rec-number&gt;262&lt;/rec-number&gt;&lt;foreign-keys&gt;&lt;key app="EN" db-id="aaepvppzs5wtfse95vsp2wahsrtvva2vvdet" timestamp="1666047469"&gt;262&lt;/key&gt;&lt;/foreign-keys&gt;&lt;ref-type name="Web Page"&gt;12&lt;/ref-type&gt;&lt;contributors&gt;&lt;authors&gt;&lt;author&gt;World Health Organisation,&lt;/author&gt;&lt;/authors&gt;&lt;/contributors&gt;&lt;titles&gt;&lt;title&gt;Determinants of health&lt;/title&gt;&lt;/titles&gt;&lt;number&gt;18 October 2022&lt;/number&gt;&lt;dates&gt;&lt;year&gt;2017&lt;/year&gt;&lt;/dates&gt;&lt;urls&gt;&lt;related-urls&gt;&lt;url&gt;https://www.who.int/news-room/questions-and-answers/item/determinants-of-health&lt;/url&gt;&lt;/related-urls&gt;&lt;/urls&gt;&lt;/record&gt;&lt;/Cite&gt;&lt;/EndNote&gt;</w:instrText>
      </w:r>
      <w:r w:rsidRPr="00344776">
        <w:fldChar w:fldCharType="separate"/>
      </w:r>
      <w:r w:rsidRPr="00344776">
        <w:rPr>
          <w:noProof/>
        </w:rPr>
        <w:t>(World Health Organi</w:t>
      </w:r>
      <w:r>
        <w:rPr>
          <w:noProof/>
        </w:rPr>
        <w:t>z</w:t>
      </w:r>
      <w:r w:rsidRPr="00344776">
        <w:rPr>
          <w:noProof/>
        </w:rPr>
        <w:t>ation 2017)</w:t>
      </w:r>
      <w:r w:rsidRPr="00344776">
        <w:fldChar w:fldCharType="end"/>
      </w:r>
      <w:r w:rsidRPr="00344776">
        <w:t>. These determinants of health include</w:t>
      </w:r>
      <w:r>
        <w:t>:</w:t>
      </w:r>
    </w:p>
    <w:p w14:paraId="17306A64" w14:textId="77777777" w:rsidR="00452761" w:rsidRDefault="00452761" w:rsidP="00452761">
      <w:pPr>
        <w:pStyle w:val="Bullet"/>
      </w:pPr>
      <w:r>
        <w:t>socioeconomic factors (income, employment status, housing and education)</w:t>
      </w:r>
    </w:p>
    <w:p w14:paraId="376E3062" w14:textId="77777777" w:rsidR="00452761" w:rsidRDefault="00452761" w:rsidP="00452761">
      <w:pPr>
        <w:pStyle w:val="Bullet"/>
      </w:pPr>
      <w:r>
        <w:t>the physical environment</w:t>
      </w:r>
    </w:p>
    <w:p w14:paraId="0D06F70A" w14:textId="1942DFF8" w:rsidR="00B206F0" w:rsidRPr="00344776" w:rsidRDefault="00452761" w:rsidP="00452761">
      <w:pPr>
        <w:pStyle w:val="Bullet"/>
      </w:pPr>
      <w:r>
        <w:t>individual characteristics and behaviours</w:t>
      </w:r>
      <w:r w:rsidR="00B206F0">
        <w:t>.</w:t>
      </w:r>
    </w:p>
    <w:p w14:paraId="5F3FE7BD" w14:textId="77777777" w:rsidR="00B206F0" w:rsidRPr="00344776" w:rsidRDefault="00B206F0" w:rsidP="00B206F0"/>
    <w:p w14:paraId="31AA24D6" w14:textId="77777777" w:rsidR="00B206F0" w:rsidRPr="00344776" w:rsidRDefault="00B206F0" w:rsidP="00B206F0">
      <w:r w:rsidRPr="00344776">
        <w:t>This section of the report covers</w:t>
      </w:r>
    </w:p>
    <w:p w14:paraId="3CBF48CC" w14:textId="77777777" w:rsidR="00452761" w:rsidRDefault="00452761" w:rsidP="00452761">
      <w:pPr>
        <w:pStyle w:val="Bullet"/>
      </w:pPr>
      <w:r>
        <w:t>socioeconomic deprivation</w:t>
      </w:r>
    </w:p>
    <w:p w14:paraId="11588A10" w14:textId="77777777" w:rsidR="00452761" w:rsidRDefault="00452761" w:rsidP="00452761">
      <w:pPr>
        <w:pStyle w:val="Bullet"/>
      </w:pPr>
      <w:r>
        <w:t>tobacco use</w:t>
      </w:r>
    </w:p>
    <w:p w14:paraId="0CB53406" w14:textId="77777777" w:rsidR="00452761" w:rsidRDefault="00452761" w:rsidP="00452761">
      <w:pPr>
        <w:pStyle w:val="Bullet"/>
      </w:pPr>
      <w:r>
        <w:t>electronic cigarette (vaping) use</w:t>
      </w:r>
    </w:p>
    <w:p w14:paraId="1E99841A" w14:textId="77777777" w:rsidR="00452761" w:rsidRDefault="00452761" w:rsidP="00452761">
      <w:pPr>
        <w:pStyle w:val="Bullet"/>
      </w:pPr>
      <w:r>
        <w:t>body size</w:t>
      </w:r>
    </w:p>
    <w:p w14:paraId="026D9C96" w14:textId="77777777" w:rsidR="00452761" w:rsidRDefault="00452761" w:rsidP="00452761">
      <w:pPr>
        <w:pStyle w:val="Bullet"/>
      </w:pPr>
      <w:r>
        <w:t xml:space="preserve">obesity in children </w:t>
      </w:r>
    </w:p>
    <w:p w14:paraId="421CD061" w14:textId="77777777" w:rsidR="00452761" w:rsidRDefault="00452761" w:rsidP="00452761">
      <w:pPr>
        <w:pStyle w:val="Bullet"/>
      </w:pPr>
      <w:r>
        <w:t>alcohol use</w:t>
      </w:r>
    </w:p>
    <w:p w14:paraId="5B0AD738" w14:textId="304C6182" w:rsidR="00B206F0" w:rsidRPr="00344776" w:rsidRDefault="00452761" w:rsidP="00452761">
      <w:pPr>
        <w:pStyle w:val="Bullet"/>
      </w:pPr>
      <w:r>
        <w:t xml:space="preserve">physical activity. </w:t>
      </w:r>
      <w:r w:rsidR="00B206F0" w:rsidRPr="00344776">
        <w:t xml:space="preserve"> </w:t>
      </w:r>
    </w:p>
    <w:p w14:paraId="49EF53F1" w14:textId="77777777" w:rsidR="00B206F0" w:rsidRPr="00344776" w:rsidRDefault="00B206F0" w:rsidP="00B206F0">
      <w:pPr>
        <w:pStyle w:val="Heading3"/>
      </w:pPr>
      <w:r w:rsidRPr="00344776">
        <w:t xml:space="preserve">Socioeconomic </w:t>
      </w:r>
      <w:r>
        <w:t>d</w:t>
      </w:r>
      <w:r w:rsidRPr="00344776">
        <w:t>eprivation</w:t>
      </w:r>
    </w:p>
    <w:p w14:paraId="13D70201" w14:textId="77777777" w:rsidR="00452761" w:rsidRPr="00344776" w:rsidRDefault="00452761" w:rsidP="00452761">
      <w:r w:rsidRPr="00344776">
        <w:t>Higher income and social status are linked to better health. The greater the gap between the richest and poorest people, the greater the differences in health (World Health Organi</w:t>
      </w:r>
      <w:r>
        <w:t>z</w:t>
      </w:r>
      <w:r w:rsidRPr="00344776">
        <w:t>ation</w:t>
      </w:r>
      <w:r>
        <w:t xml:space="preserve"> 2017</w:t>
      </w:r>
      <w:r w:rsidRPr="00344776">
        <w:t xml:space="preserve">). </w:t>
      </w:r>
    </w:p>
    <w:p w14:paraId="3A749BA2" w14:textId="373341AA" w:rsidR="00452761" w:rsidRDefault="00452761" w:rsidP="00452761">
      <w:pPr>
        <w:spacing w:before="240"/>
      </w:pPr>
      <w:r w:rsidRPr="00344776">
        <w:t xml:space="preserve">The New Zealand Deprivation Index (NZDep) is an area-based measure of socioeconomic deprivation in New Zealand. It measures the level of deprivation for people in each small area based on </w:t>
      </w:r>
      <w:r>
        <w:t>9</w:t>
      </w:r>
      <w:r w:rsidRPr="00344776">
        <w:t xml:space="preserve"> census variables </w:t>
      </w:r>
      <w:r w:rsidRPr="00344776">
        <w:fldChar w:fldCharType="begin"/>
      </w:r>
      <w:r>
        <w:instrText xml:space="preserve"> ADDIN EN.CITE &lt;EndNote&gt;&lt;Cite&gt;&lt;Author&gt;Atkinson&lt;/Author&gt;&lt;Year&gt;2019&lt;/Year&gt;&lt;RecNum&gt;74&lt;/RecNum&gt;&lt;DisplayText&gt;(Atkinson et al 2019)&lt;/DisplayText&gt;&lt;record&gt;&lt;rec-number&gt;74&lt;/rec-number&gt;&lt;foreign-keys&gt;&lt;key app="EN" db-id="aaepvppzs5wtfse95vsp2wahsrtvva2vvdet" timestamp="1632435054"&gt;74&lt;/key&gt;&lt;/foreign-keys&gt;&lt;ref-type name="Web Page"&gt;12&lt;/ref-type&gt;&lt;contributors&gt;&lt;authors&gt;&lt;author&gt;Atkinson, June&lt;/author&gt;&lt;author&gt;Salmond, Clare&lt;/author&gt;&lt;author&gt;Crampton, Peter&lt;/author&gt;&lt;/authors&gt;&lt;/contributors&gt;&lt;titles&gt;&lt;title&gt;NZDep2018 Index of Deprivation&lt;/title&gt;&lt;secondary-title&gt;Wellington: University of Otago&lt;/secondary-title&gt;&lt;/titles&gt;&lt;periodical&gt;&lt;full-title&gt;Wellington: University of Otago&lt;/full-title&gt;&lt;/periodical&gt;&lt;number&gt;31 October 2021&lt;/number&gt;&lt;dates&gt;&lt;year&gt;2019&lt;/year&gt;&lt;/dates&gt;&lt;urls&gt;&lt;related-urls&gt;&lt;url&gt;www.otago.ac.nz/wellington/otago823833.pdf&lt;/url&gt;&lt;/related-urls&gt;&lt;/urls&gt;&lt;/record&gt;&lt;/Cite&gt;&lt;/EndNote&gt;</w:instrText>
      </w:r>
      <w:r w:rsidRPr="00344776">
        <w:fldChar w:fldCharType="separate"/>
      </w:r>
      <w:r w:rsidRPr="00344776">
        <w:rPr>
          <w:noProof/>
        </w:rPr>
        <w:t>(Atkinson et al 2019)</w:t>
      </w:r>
      <w:r w:rsidRPr="00344776">
        <w:fldChar w:fldCharType="end"/>
      </w:r>
      <w:r w:rsidRPr="00344776">
        <w:t xml:space="preserve">. </w:t>
      </w:r>
    </w:p>
    <w:p w14:paraId="446AD9D2" w14:textId="6EB32EB6" w:rsidR="007019B2" w:rsidRDefault="007019B2" w:rsidP="00452761">
      <w:pPr>
        <w:spacing w:before="240"/>
      </w:pPr>
      <w:r w:rsidRPr="00344776">
        <w:t xml:space="preserve">Deprivation is strongly linked to health outcomes </w:t>
      </w:r>
      <w:r w:rsidRPr="00344776">
        <w:fldChar w:fldCharType="begin"/>
      </w:r>
      <w:r>
        <w:instrText xml:space="preserve"> ADDIN EN.CITE &lt;EndNote&gt;&lt;Cite&gt;&lt;Author&gt;Ministry of Health&lt;/Author&gt;&lt;Year&gt;2002&lt;/Year&gt;&lt;RecNum&gt;252&lt;/RecNum&gt;&lt;DisplayText&gt;(Ministry of Health 2002)&lt;/DisplayText&gt;&lt;record&gt;&lt;rec-number&gt;252&lt;/rec-number&gt;&lt;foreign-keys&gt;&lt;key app="EN" db-id="aaepvppzs5wtfse95vsp2wahsrtvva2vvdet" timestamp="1664855461"&gt;252&lt;/key&gt;&lt;/foreign-keys&gt;&lt;ref-type name="Web Page"&gt;12&lt;/ref-type&gt;&lt;contributors&gt;&lt;authors&gt;&lt;author&gt;Ministry of Health,&lt;/author&gt;&lt;/authors&gt;&lt;/contributors&gt;&lt;titles&gt;&lt;title&gt;Reducing Inequalities in Health&lt;/title&gt;&lt;/titles&gt;&lt;number&gt;31 October 2022&lt;/number&gt;&lt;dates&gt;&lt;year&gt;2002&lt;/year&gt;&lt;/dates&gt;&lt;urls&gt;&lt;related-urls&gt;&lt;url&gt;https://www.health.govt.nz/system/files/documents/publications/reducineqal.pdf&lt;/url&gt;&lt;/related-urls&gt;&lt;/urls&gt;&lt;/record&gt;&lt;/Cite&gt;&lt;/EndNote&gt;</w:instrText>
      </w:r>
      <w:r w:rsidRPr="00344776">
        <w:fldChar w:fldCharType="separate"/>
      </w:r>
      <w:r w:rsidRPr="00344776">
        <w:rPr>
          <w:noProof/>
        </w:rPr>
        <w:t>(Ministry of Health 2002)</w:t>
      </w:r>
      <w:r w:rsidRPr="00344776">
        <w:fldChar w:fldCharType="end"/>
      </w:r>
      <w:r w:rsidRPr="00344776">
        <w:t xml:space="preserve">. </w:t>
      </w:r>
      <w:r>
        <w:fldChar w:fldCharType="begin"/>
      </w:r>
      <w:r>
        <w:instrText xml:space="preserve"> REF _Ref114825802 \h </w:instrText>
      </w:r>
      <w:r>
        <w:fldChar w:fldCharType="separate"/>
      </w:r>
      <w:r w:rsidR="00F61845" w:rsidRPr="00344776">
        <w:t xml:space="preserve">Figure </w:t>
      </w:r>
      <w:r w:rsidR="00F61845">
        <w:rPr>
          <w:noProof/>
        </w:rPr>
        <w:t>7</w:t>
      </w:r>
      <w:r>
        <w:fldChar w:fldCharType="end"/>
      </w:r>
      <w:r w:rsidRPr="00344776">
        <w:t xml:space="preserve"> below shows Māori and Pacific peoples are overrepresented in the most deprived areas </w:t>
      </w:r>
      <w:r w:rsidRPr="00344776">
        <w:fldChar w:fldCharType="begin"/>
      </w:r>
      <w:r w:rsidRPr="00344776">
        <w:instrText xml:space="preserve"> ADDIN EN.CITE &lt;EndNote&gt;&lt;Cite&gt;&lt;Author&gt;Atkinson&lt;/Author&gt;&lt;Year&gt;2021&lt;/Year&gt;&lt;RecNum&gt;124&lt;/RecNum&gt;&lt;DisplayText&gt;(Atkinson et al 2021)&lt;/DisplayText&gt;&lt;record&gt;&lt;rec-number&gt;124&lt;/rec-number&gt;&lt;foreign-keys&gt;&lt;key app="EN" db-id="aaepvppzs5wtfse95vsp2wahsrtvva2vvdet" timestamp="1634781792"&gt;124&lt;/key&gt;&lt;/foreign-keys&gt;&lt;ref-type name="Web Page"&gt;12&lt;/ref-type&gt;&lt;contributors&gt;&lt;authors&gt;&lt;author&gt;Atkinson, June&lt;/author&gt;&lt;author&gt;Crampton, Peter&lt;/author&gt;&lt;author&gt;Salmond, Clare&lt;/author&gt;&lt;/authors&gt;&lt;/contributors&gt;&lt;titles&gt;&lt;title&gt;NZDep2018 analysis of census 2018 variables - Overall (New Zealand)&lt;/title&gt;&lt;/titles&gt;&lt;number&gt;18 September 2022&lt;/number&gt;&lt;dates&gt;&lt;year&gt;2021&lt;/year&gt;&lt;/dates&gt;&lt;pub-location&gt;University of Otago&lt;/pub-location&gt;&lt;urls&gt;&lt;related-urls&gt;&lt;url&gt;http://hdl.handle.net/10523/12052&lt;/url&gt;&lt;/related-urls&gt;&lt;/urls&gt;&lt;/record&gt;&lt;/Cite&gt;&lt;/EndNote&gt;</w:instrText>
      </w:r>
      <w:r w:rsidRPr="00344776">
        <w:fldChar w:fldCharType="separate"/>
      </w:r>
      <w:r w:rsidRPr="00344776">
        <w:rPr>
          <w:noProof/>
        </w:rPr>
        <w:t>(Atkinson et al 2021)</w:t>
      </w:r>
      <w:r w:rsidRPr="00344776">
        <w:fldChar w:fldCharType="end"/>
      </w:r>
      <w:r w:rsidRPr="00344776">
        <w:t xml:space="preserve">. </w:t>
      </w:r>
    </w:p>
    <w:p w14:paraId="0CF5AB3F" w14:textId="77777777" w:rsidR="007019B2" w:rsidRPr="00344776" w:rsidRDefault="007019B2" w:rsidP="00452761">
      <w:pPr>
        <w:spacing w:before="240"/>
      </w:pPr>
    </w:p>
    <w:p w14:paraId="124B15B8" w14:textId="77777777" w:rsidR="00393660" w:rsidRDefault="00393660" w:rsidP="00452761">
      <w:pPr>
        <w:spacing w:before="240"/>
        <w:sectPr w:rsidR="00393660" w:rsidSect="00B206F0">
          <w:pgSz w:w="11907" w:h="16840" w:code="9"/>
          <w:pgMar w:top="1418" w:right="1701" w:bottom="1134" w:left="1843" w:header="284" w:footer="425" w:gutter="284"/>
          <w:cols w:space="720"/>
        </w:sectPr>
      </w:pPr>
    </w:p>
    <w:p w14:paraId="25DAD821" w14:textId="7A645CBB" w:rsidR="00B206F0" w:rsidRPr="00344776" w:rsidRDefault="00B206F0" w:rsidP="005A18ED">
      <w:pPr>
        <w:pStyle w:val="Caption"/>
      </w:pPr>
      <w:bookmarkStart w:id="36" w:name="_Ref114825802"/>
      <w:bookmarkStart w:id="37" w:name="_Toc118446225"/>
      <w:bookmarkStart w:id="38" w:name="_Toc119047751"/>
      <w:r w:rsidRPr="00344776">
        <w:lastRenderedPageBreak/>
        <w:t xml:space="preserve">Figure </w:t>
      </w:r>
      <w:r w:rsidRPr="00344776">
        <w:fldChar w:fldCharType="begin"/>
      </w:r>
      <w:r w:rsidRPr="00344776">
        <w:instrText>SEQ Figure \* ARABIC</w:instrText>
      </w:r>
      <w:r w:rsidRPr="00344776">
        <w:fldChar w:fldCharType="separate"/>
      </w:r>
      <w:r w:rsidR="00F61845">
        <w:rPr>
          <w:noProof/>
        </w:rPr>
        <w:t>7</w:t>
      </w:r>
      <w:r w:rsidRPr="00344776">
        <w:fldChar w:fldCharType="end"/>
      </w:r>
      <w:bookmarkEnd w:id="36"/>
      <w:r w:rsidRPr="00344776">
        <w:t>: Projected population</w:t>
      </w:r>
      <w:r>
        <w:t>,</w:t>
      </w:r>
      <w:r w:rsidRPr="00344776">
        <w:t xml:space="preserve"> by NZDep2018</w:t>
      </w:r>
      <w:r>
        <w:t xml:space="preserve"> </w:t>
      </w:r>
      <w:r w:rsidRPr="00344776">
        <w:t>deprivation quintile and prioritised ethnic group (NZDep2018), 2021</w:t>
      </w:r>
      <w:bookmarkEnd w:id="37"/>
      <w:bookmarkEnd w:id="38"/>
    </w:p>
    <w:p w14:paraId="57A23FB5" w14:textId="77777777" w:rsidR="00B206F0" w:rsidRPr="00344776" w:rsidRDefault="00B206F0" w:rsidP="00B206F0">
      <w:r w:rsidRPr="00344776">
        <w:rPr>
          <w:noProof/>
        </w:rPr>
        <w:drawing>
          <wp:inline distT="0" distB="0" distL="0" distR="0" wp14:anchorId="154C4120" wp14:editId="296B1715">
            <wp:extent cx="5124450" cy="4100254"/>
            <wp:effectExtent l="0" t="0" r="0" b="0"/>
            <wp:docPr id="36" name="Picture 36" descr="A series of 4 bar charts showing the projected population by deprivation quintile, split into 4 ethnic groups for 2021: Māori, Pacific peoples, Asian, and Europe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eries of 4 bar charts showing the projected population by deprivation quintile, split into 4 ethnic groups for 2021: Māori, Pacific peoples, Asian, and European/other."/>
                    <pic:cNvPicPr>
                      <a:picLocks noChangeAspect="1" noChangeArrowheads="1"/>
                    </pic:cNvPicPr>
                  </pic:nvPicPr>
                  <pic:blipFill>
                    <a:blip r:embed="rId44"/>
                    <a:stretch>
                      <a:fillRect/>
                    </a:stretch>
                  </pic:blipFill>
                  <pic:spPr bwMode="auto">
                    <a:xfrm>
                      <a:off x="0" y="0"/>
                      <a:ext cx="5124450" cy="4100254"/>
                    </a:xfrm>
                    <a:prstGeom prst="rect">
                      <a:avLst/>
                    </a:prstGeom>
                    <a:noFill/>
                    <a:ln>
                      <a:noFill/>
                    </a:ln>
                  </pic:spPr>
                </pic:pic>
              </a:graphicData>
            </a:graphic>
          </wp:inline>
        </w:drawing>
      </w:r>
    </w:p>
    <w:p w14:paraId="0672D4CE" w14:textId="77777777" w:rsidR="00B206F0" w:rsidRPr="00344776" w:rsidRDefault="00B206F0" w:rsidP="004C0578">
      <w:pPr>
        <w:pStyle w:val="Source"/>
        <w:rPr>
          <w:shd w:val="clear" w:color="auto" w:fill="FFFFFF"/>
        </w:rPr>
      </w:pPr>
      <w:r w:rsidRPr="00344776">
        <w:t xml:space="preserve">Source: </w:t>
      </w:r>
      <w:hyperlink r:id="rId45">
        <w:r w:rsidRPr="00344776">
          <w:rPr>
            <w:rStyle w:val="Hyperlink"/>
          </w:rPr>
          <w:t>Ministry of Health (2022w)</w:t>
        </w:r>
      </w:hyperlink>
    </w:p>
    <w:p w14:paraId="7E5A9256" w14:textId="77777777" w:rsidR="00B206F0" w:rsidRPr="00344776" w:rsidRDefault="00B206F0" w:rsidP="004C0578">
      <w:pPr>
        <w:pStyle w:val="Source"/>
      </w:pPr>
      <w:r w:rsidRPr="00344776">
        <w:t xml:space="preserve">Note: Quintile 1 </w:t>
      </w:r>
      <w:r>
        <w:t xml:space="preserve">is the </w:t>
      </w:r>
      <w:r w:rsidRPr="00344776">
        <w:t>least deprived</w:t>
      </w:r>
      <w:r>
        <w:t>;</w:t>
      </w:r>
      <w:r w:rsidRPr="00344776">
        <w:t xml:space="preserve"> quintile 5 </w:t>
      </w:r>
      <w:r>
        <w:t xml:space="preserve">the </w:t>
      </w:r>
      <w:r w:rsidRPr="00344776">
        <w:t>most deprived</w:t>
      </w:r>
      <w:r>
        <w:t>.</w:t>
      </w:r>
    </w:p>
    <w:p w14:paraId="73ACF396" w14:textId="32FBB12B" w:rsidR="00B206F0" w:rsidRPr="00344776" w:rsidRDefault="00B206F0" w:rsidP="00B206F0">
      <w:pPr>
        <w:pStyle w:val="Heading3"/>
      </w:pPr>
      <w:r w:rsidRPr="00344776">
        <w:t>Tobacco use</w:t>
      </w:r>
    </w:p>
    <w:p w14:paraId="4D09B58E" w14:textId="52EB8788" w:rsidR="00B206F0" w:rsidRPr="00344776" w:rsidRDefault="004C0578" w:rsidP="00B206F0">
      <w:r w:rsidRPr="00344776">
        <w:rPr>
          <w:noProof/>
        </w:rPr>
        <w:drawing>
          <wp:anchor distT="0" distB="0" distL="114300" distR="114300" simplePos="0" relativeHeight="251658244" behindDoc="0" locked="0" layoutInCell="1" allowOverlap="1" wp14:anchorId="0C614BC9" wp14:editId="242C1BD0">
            <wp:simplePos x="0" y="0"/>
            <wp:positionH relativeFrom="margin">
              <wp:align>right</wp:align>
            </wp:positionH>
            <wp:positionV relativeFrom="paragraph">
              <wp:posOffset>10795</wp:posOffset>
            </wp:positionV>
            <wp:extent cx="2371725" cy="1019175"/>
            <wp:effectExtent l="0" t="0" r="9525" b="9525"/>
            <wp:wrapSquare wrapText="bothSides"/>
            <wp:docPr id="14" name="Picture 14" descr="Over 1 in 11 adults are daily smo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ver 1 in 11 adults are daily smokers"/>
                    <pic:cNvPicPr/>
                  </pic:nvPicPr>
                  <pic:blipFill>
                    <a:blip r:embed="rId46"/>
                    <a:stretch>
                      <a:fillRect/>
                    </a:stretch>
                  </pic:blipFill>
                  <pic:spPr>
                    <a:xfrm>
                      <a:off x="0" y="0"/>
                      <a:ext cx="2371725" cy="1019175"/>
                    </a:xfrm>
                    <a:prstGeom prst="rect">
                      <a:avLst/>
                    </a:prstGeom>
                  </pic:spPr>
                </pic:pic>
              </a:graphicData>
            </a:graphic>
          </wp:anchor>
        </w:drawing>
      </w:r>
      <w:r w:rsidR="00452761" w:rsidRPr="00344776">
        <w:t>Tobacco use is the leading risk factor for loss of years of healthy life, measured in disability</w:t>
      </w:r>
      <w:r w:rsidR="00452761">
        <w:t>-</w:t>
      </w:r>
      <w:r w:rsidR="00452761" w:rsidRPr="00344776">
        <w:t xml:space="preserve">adjusted life years </w:t>
      </w:r>
      <w:r w:rsidR="00452761" w:rsidRPr="00344776">
        <w:fldChar w:fldCharType="begin"/>
      </w:r>
      <w:r w:rsidR="00452761">
        <w:instrText xml:space="preserve"> ADDIN EN.CITE &lt;EndNote&gt;&lt;Cite&gt;&lt;Author&gt;Institute for Health Metrics and Evaluation&lt;/Author&gt;&lt;Year&gt;2019&lt;/Year&gt;&lt;RecNum&gt;189&lt;/RecNum&gt;&lt;DisplayText&gt;(Institute for Health Metrics and Evaluation 2019)&lt;/DisplayText&gt;&lt;record&gt;&lt;rec-number&gt;189&lt;/rec-number&gt;&lt;foreign-keys&gt;&lt;key app="EN" db-id="aaepvppzs5wtfse95vsp2wahsrtvva2vvdet" timestamp="1663730556"&gt;189&lt;/key&gt;&lt;/foreign-keys&gt;&lt;ref-type name="Web Page"&gt;12&lt;/ref-type&gt;&lt;contributors&gt;&lt;authors&gt;&lt;author&gt;Institute for Health Metrics and Evaluation,&lt;/author&gt;&lt;/authors&gt;&lt;/contributors&gt;&lt;titles&gt;&lt;title&gt;New Zealand&lt;/title&gt;&lt;/titles&gt;&lt;number&gt;31 October 2022&lt;/number&gt;&lt;dates&gt;&lt;year&gt;2019&lt;/year&gt;&lt;/dates&gt;&lt;urls&gt;&lt;related-urls&gt;&lt;url&gt;https://www.healthdata.org/new-zealand&lt;/url&gt;&lt;/related-urls&gt;&lt;/urls&gt;&lt;/record&gt;&lt;/Cite&gt;&lt;/EndNote&gt;</w:instrText>
      </w:r>
      <w:r w:rsidR="00452761" w:rsidRPr="00344776">
        <w:fldChar w:fldCharType="separate"/>
      </w:r>
      <w:r w:rsidR="00452761" w:rsidRPr="00344776">
        <w:rPr>
          <w:noProof/>
        </w:rPr>
        <w:t>(Institute for Health Metrics and Evaluation 2019)</w:t>
      </w:r>
      <w:r w:rsidR="00452761" w:rsidRPr="00344776">
        <w:fldChar w:fldCharType="end"/>
      </w:r>
      <w:r w:rsidR="00452761" w:rsidRPr="00344776">
        <w:t>. In 2020</w:t>
      </w:r>
      <w:r w:rsidR="00452761">
        <w:t>/</w:t>
      </w:r>
      <w:r w:rsidR="00452761" w:rsidRPr="00344776">
        <w:t xml:space="preserve">21, 9.4% of adults were daily smokers </w:t>
      </w:r>
      <w:r w:rsidR="00452761" w:rsidRPr="00344776">
        <w:fldChar w:fldCharType="begin"/>
      </w:r>
      <w:r w:rsidR="00452761">
        <w:instrText xml:space="preserve"> ADDIN EN.CITE &lt;EndNote&gt;&lt;Cite&gt;&lt;Author&gt;Ministry of Health&lt;/Author&gt;&lt;Year&gt;2022&lt;/Year&gt;&lt;RecNum&gt;33&lt;/RecNum&gt;&lt;DisplayText&gt;(Ministry of Health 2022b)&lt;/DisplayText&gt;&lt;record&gt;&lt;rec-number&gt;33&lt;/rec-number&gt;&lt;foreign-keys&gt;&lt;key app="EN" db-id="aaepvppzs5wtfse95vsp2wahsrtvva2vvdet" timestamp="1632283821"&gt;33&lt;/key&gt;&lt;/foreign-keys&gt;&lt;ref-type name="Web Page"&gt;12&lt;/ref-type&gt;&lt;contributors&gt;&lt;authors&gt;&lt;author&gt;Ministry of Health,&lt;/author&gt;&lt;/authors&gt;&lt;/contributors&gt;&lt;titles&gt;&lt;title&gt;Annual Data Explorer 2020/21: New Zealand Health Survey (Data file)&lt;/title&gt;&lt;/titles&gt;&lt;number&gt;31 October 2022&lt;/number&gt;&lt;dates&gt;&lt;year&gt;2022&lt;/year&gt;&lt;/dates&gt;&lt;urls&gt;&lt;related-urls&gt;&lt;url&gt;https://minhealthnz.shinyapps.io/nz-health-survey-2020-21-annual-data-explorer/&lt;/url&gt;&lt;/related-urls&gt;&lt;/urls&gt;&lt;/record&gt;&lt;/Cite&gt;&lt;/EndNote&gt;</w:instrText>
      </w:r>
      <w:r w:rsidR="00452761" w:rsidRPr="00344776">
        <w:fldChar w:fldCharType="separate"/>
      </w:r>
      <w:r w:rsidR="00452761" w:rsidRPr="00344776">
        <w:rPr>
          <w:noProof/>
        </w:rPr>
        <w:t>(Ministry of Health 2022b)</w:t>
      </w:r>
      <w:r w:rsidR="00452761" w:rsidRPr="00344776">
        <w:fldChar w:fldCharType="end"/>
      </w:r>
      <w:r w:rsidR="00452761" w:rsidRPr="00344776">
        <w:t>. Daily smokers are current smokers aged 15+ years who smoke every day and have smoked more than 100 cigarettes in their whole life. The 100-cigarette threshold limits the indicator to people with established tobacco use</w:t>
      </w:r>
      <w:r w:rsidR="00B206F0" w:rsidRPr="00344776">
        <w:t>.</w:t>
      </w:r>
    </w:p>
    <w:p w14:paraId="0886F05E" w14:textId="77777777" w:rsidR="00B206F0" w:rsidRPr="00344776" w:rsidRDefault="00B206F0" w:rsidP="00B206F0"/>
    <w:p w14:paraId="6BA9AE67" w14:textId="77777777" w:rsidR="00393660" w:rsidRDefault="00393660" w:rsidP="00B206F0">
      <w:pPr>
        <w:sectPr w:rsidR="00393660" w:rsidSect="00B206F0">
          <w:pgSz w:w="11907" w:h="16840" w:code="9"/>
          <w:pgMar w:top="1418" w:right="1701" w:bottom="1134" w:left="1843" w:header="284" w:footer="425" w:gutter="284"/>
          <w:cols w:space="720"/>
        </w:sectPr>
      </w:pPr>
    </w:p>
    <w:p w14:paraId="3BBFE937" w14:textId="5B4C42D1" w:rsidR="00B206F0" w:rsidRPr="00344776" w:rsidRDefault="00452761" w:rsidP="00B206F0">
      <w:r w:rsidRPr="00344776">
        <w:lastRenderedPageBreak/>
        <w:t>Prevalence of daily smokers has declined over time</w:t>
      </w:r>
      <w:r>
        <w:t xml:space="preserve">: there was </w:t>
      </w:r>
      <w:r w:rsidRPr="00344776">
        <w:t xml:space="preserve">a high of 16.4% in 2011/12 </w:t>
      </w:r>
      <w:r>
        <w:t xml:space="preserve">and a </w:t>
      </w:r>
      <w:r w:rsidRPr="00344776">
        <w:t xml:space="preserve">low of 9.4% in 2020/21 </w:t>
      </w:r>
      <w:r w:rsidR="00B206F0" w:rsidRPr="00344776">
        <w:t>(</w:t>
      </w:r>
      <w:r w:rsidR="004C0578">
        <w:fldChar w:fldCharType="begin"/>
      </w:r>
      <w:r w:rsidR="004C0578">
        <w:instrText xml:space="preserve"> REF _Ref114826146 \h </w:instrText>
      </w:r>
      <w:r w:rsidR="004C0578">
        <w:fldChar w:fldCharType="separate"/>
      </w:r>
      <w:r w:rsidR="00F61845" w:rsidRPr="00344776">
        <w:t xml:space="preserve">Figure </w:t>
      </w:r>
      <w:r w:rsidR="00F61845">
        <w:rPr>
          <w:noProof/>
        </w:rPr>
        <w:t>8</w:t>
      </w:r>
      <w:r w:rsidR="004C0578">
        <w:fldChar w:fldCharType="end"/>
      </w:r>
      <w:r w:rsidR="00B206F0" w:rsidRPr="00344776">
        <w:t>).</w:t>
      </w:r>
    </w:p>
    <w:p w14:paraId="4C62BD1E" w14:textId="77777777" w:rsidR="00B206F0" w:rsidRPr="00344776" w:rsidRDefault="00B206F0" w:rsidP="00B206F0"/>
    <w:p w14:paraId="02FE1573" w14:textId="13E85E3C" w:rsidR="00B206F0" w:rsidRPr="00344776" w:rsidRDefault="00452761" w:rsidP="00B206F0">
      <w:r>
        <w:t>In this context there are i</w:t>
      </w:r>
      <w:r w:rsidRPr="00344776">
        <w:t xml:space="preserve">nequities between subgroups of the population </w:t>
      </w:r>
      <w:r w:rsidRPr="00344776">
        <w:fldChar w:fldCharType="begin"/>
      </w:r>
      <w:r>
        <w:instrText xml:space="preserve"> ADDIN EN.CITE &lt;EndNote&gt;&lt;Cite&gt;&lt;Author&gt;Ministry of Health&lt;/Author&gt;&lt;Year&gt;2022&lt;/Year&gt;&lt;RecNum&gt;33&lt;/RecNum&gt;&lt;DisplayText&gt;(Ministry of Health 2022b)&lt;/DisplayText&gt;&lt;record&gt;&lt;rec-number&gt;33&lt;/rec-number&gt;&lt;foreign-keys&gt;&lt;key app="EN" db-id="aaepvppzs5wtfse95vsp2wahsrtvva2vvdet" timestamp="1632283821"&gt;33&lt;/key&gt;&lt;/foreign-keys&gt;&lt;ref-type name="Web Page"&gt;12&lt;/ref-type&gt;&lt;contributors&gt;&lt;authors&gt;&lt;author&gt;Ministry of Health,&lt;/author&gt;&lt;/authors&gt;&lt;/contributors&gt;&lt;titles&gt;&lt;title&gt;Annual Data Explorer 2020/21: New Zealand Health Survey (Data file)&lt;/title&gt;&lt;/titles&gt;&lt;number&gt;31 October 2022&lt;/number&gt;&lt;dates&gt;&lt;year&gt;2022&lt;/year&gt;&lt;/dates&gt;&lt;urls&gt;&lt;related-urls&gt;&lt;url&gt;https://minhealthnz.shinyapps.io/nz-health-survey-2020-21-annual-data-explorer/&lt;/url&gt;&lt;/related-urls&gt;&lt;/urls&gt;&lt;/record&gt;&lt;/Cite&gt;&lt;/EndNote&gt;</w:instrText>
      </w:r>
      <w:r w:rsidRPr="00344776">
        <w:fldChar w:fldCharType="separate"/>
      </w:r>
      <w:r w:rsidRPr="00344776">
        <w:rPr>
          <w:noProof/>
        </w:rPr>
        <w:t>(Ministry of Health 2022b)</w:t>
      </w:r>
      <w:r w:rsidRPr="00344776">
        <w:fldChar w:fldCharType="end"/>
      </w:r>
      <w:r w:rsidRPr="00344776">
        <w:t>. In 2020/21</w:t>
      </w:r>
      <w:r w:rsidR="00B206F0" w:rsidRPr="00344776">
        <w:t>:</w:t>
      </w:r>
    </w:p>
    <w:p w14:paraId="736AFE34" w14:textId="77777777" w:rsidR="00452761" w:rsidRPr="00344776" w:rsidRDefault="00452761" w:rsidP="00452761">
      <w:pPr>
        <w:pStyle w:val="Bullet"/>
      </w:pPr>
      <w:r w:rsidRPr="00344776">
        <w:t xml:space="preserve">20% of adults living in the most deprived areas smoked daily, compared with 3.4% of adults living in the least deprived areas. </w:t>
      </w:r>
    </w:p>
    <w:p w14:paraId="7DE63C83" w14:textId="6AA709E6" w:rsidR="00B206F0" w:rsidRPr="004C0578" w:rsidRDefault="00452761" w:rsidP="00452761">
      <w:pPr>
        <w:pStyle w:val="Bullet"/>
      </w:pPr>
      <w:r w:rsidRPr="00344776">
        <w:t>13.5% of disabled adults smoked daily, compared with 8.9% of non-disabled adults</w:t>
      </w:r>
      <w:r w:rsidR="00B206F0" w:rsidRPr="004C0578">
        <w:t>.</w:t>
      </w:r>
    </w:p>
    <w:p w14:paraId="04AC68A0" w14:textId="77777777" w:rsidR="00B206F0" w:rsidRPr="00344776" w:rsidRDefault="00B206F0" w:rsidP="004C0578"/>
    <w:p w14:paraId="76C5D58B" w14:textId="3BCB7535" w:rsidR="00B206F0" w:rsidRPr="00344776" w:rsidRDefault="00452761" w:rsidP="00B206F0">
      <w:r w:rsidRPr="00344776">
        <w:t xml:space="preserve">Over the 10 </w:t>
      </w:r>
      <w:r w:rsidRPr="00F9228B">
        <w:t>years</w:t>
      </w:r>
      <w:r>
        <w:t xml:space="preserve"> to 2020/21</w:t>
      </w:r>
      <w:r w:rsidRPr="00F9228B">
        <w:t>, a higher proportion of Māori and Pacific adults have reported being daily smokers than people of</w:t>
      </w:r>
      <w:r w:rsidRPr="00344776">
        <w:t xml:space="preserve"> </w:t>
      </w:r>
      <w:r>
        <w:t xml:space="preserve">the </w:t>
      </w:r>
      <w:r w:rsidRPr="00344776">
        <w:t xml:space="preserve">Asian and European/other ethnic </w:t>
      </w:r>
      <w:bookmarkStart w:id="39" w:name="_Hlk118778934"/>
      <w:r w:rsidRPr="00344776">
        <w:t>groups</w:t>
      </w:r>
      <w:r>
        <w:t>:</w:t>
      </w:r>
      <w:r w:rsidRPr="00344776">
        <w:t xml:space="preserve"> see</w:t>
      </w:r>
      <w:bookmarkEnd w:id="39"/>
      <w:r w:rsidRPr="00344776">
        <w:t xml:space="preserve"> </w:t>
      </w:r>
      <w:r w:rsidR="004C0578">
        <w:fldChar w:fldCharType="begin"/>
      </w:r>
      <w:r w:rsidR="004C0578">
        <w:instrText xml:space="preserve"> REF _Ref114826146 \h </w:instrText>
      </w:r>
      <w:r w:rsidR="004C0578">
        <w:fldChar w:fldCharType="separate"/>
      </w:r>
      <w:r w:rsidR="00F61845" w:rsidRPr="00344776">
        <w:t xml:space="preserve">Figure </w:t>
      </w:r>
      <w:r w:rsidR="00F61845">
        <w:rPr>
          <w:noProof/>
        </w:rPr>
        <w:t>8</w:t>
      </w:r>
      <w:r w:rsidR="004C0578">
        <w:fldChar w:fldCharType="end"/>
      </w:r>
      <w:r w:rsidR="004C0578">
        <w:t xml:space="preserve"> </w:t>
      </w:r>
      <w:r w:rsidR="00B206F0" w:rsidRPr="00344776">
        <w:t xml:space="preserve">below. </w:t>
      </w:r>
    </w:p>
    <w:p w14:paraId="1E9E2E5C" w14:textId="5B430FAE" w:rsidR="00B206F0" w:rsidRPr="00344776" w:rsidRDefault="00B206F0" w:rsidP="00B206F0">
      <w:pPr>
        <w:pStyle w:val="Figure"/>
      </w:pPr>
      <w:bookmarkStart w:id="40" w:name="_Ref114835413"/>
      <w:bookmarkStart w:id="41" w:name="_Ref114826146"/>
      <w:bookmarkStart w:id="42" w:name="_Toc118446226"/>
      <w:bookmarkStart w:id="43" w:name="_Toc118730677"/>
      <w:bookmarkStart w:id="44" w:name="_Toc119047752"/>
      <w:r w:rsidRPr="00344776">
        <w:t>Figure</w:t>
      </w:r>
      <w:bookmarkEnd w:id="40"/>
      <w:r w:rsidRPr="00344776">
        <w:t xml:space="preserve"> </w:t>
      </w:r>
      <w:r w:rsidRPr="00344776">
        <w:fldChar w:fldCharType="begin"/>
      </w:r>
      <w:r w:rsidRPr="00344776">
        <w:instrText>SEQ Figure \* ARABIC</w:instrText>
      </w:r>
      <w:r w:rsidRPr="00344776">
        <w:fldChar w:fldCharType="separate"/>
      </w:r>
      <w:r w:rsidR="00F61845">
        <w:rPr>
          <w:noProof/>
        </w:rPr>
        <w:t>8</w:t>
      </w:r>
      <w:r w:rsidRPr="00344776">
        <w:fldChar w:fldCharType="end"/>
      </w:r>
      <w:bookmarkEnd w:id="41"/>
      <w:r w:rsidRPr="00344776">
        <w:t>: Prevalence of adults who were daily smokers, by ethnic group, 2011/12–2020/21</w:t>
      </w:r>
      <w:bookmarkEnd w:id="42"/>
      <w:bookmarkEnd w:id="43"/>
      <w:bookmarkEnd w:id="44"/>
    </w:p>
    <w:p w14:paraId="35653273" w14:textId="77777777" w:rsidR="00B206F0" w:rsidRPr="00344776" w:rsidRDefault="00B206F0" w:rsidP="00B206F0">
      <w:pPr>
        <w:rPr>
          <w:szCs w:val="21"/>
        </w:rPr>
      </w:pPr>
      <w:r w:rsidRPr="00344776">
        <w:rPr>
          <w:noProof/>
        </w:rPr>
        <w:drawing>
          <wp:inline distT="0" distB="0" distL="0" distR="0" wp14:anchorId="57AE1A85" wp14:editId="4D3C5834">
            <wp:extent cx="5124450" cy="4100254"/>
            <wp:effectExtent l="0" t="0" r="0" b="0"/>
            <wp:docPr id="37" name="Picture 37" descr="A time series chart showing the percentage of adults who were daily smokers by ethnic group between 2011/12 and 2020/21. The chart shows the total percentage of adults who were daily smokers has fallen from 16.4% in 2011/12 to 9.4% in 2020/21. Across the time series Māori had the highest c, followed by Pacific peoples, European/other, and then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time series chart showing the percentage of adults who were daily smokers by ethnic group between 2011/12 and 2020/21. The chart shows the total percentage of adults who were daily smokers has fallen from 16.4% in 2011/12 to 9.4% in 2020/21. Across the time series Māori had the highest c, followed by Pacific peoples, European/other, and then Asian."/>
                    <pic:cNvPicPr>
                      <a:picLocks noChangeAspect="1" noChangeArrowheads="1"/>
                    </pic:cNvPicPr>
                  </pic:nvPicPr>
                  <pic:blipFill>
                    <a:blip r:embed="rId47"/>
                    <a:stretch>
                      <a:fillRect/>
                    </a:stretch>
                  </pic:blipFill>
                  <pic:spPr bwMode="auto">
                    <a:xfrm>
                      <a:off x="0" y="0"/>
                      <a:ext cx="5124450" cy="4100254"/>
                    </a:xfrm>
                    <a:prstGeom prst="rect">
                      <a:avLst/>
                    </a:prstGeom>
                    <a:noFill/>
                    <a:ln>
                      <a:noFill/>
                    </a:ln>
                  </pic:spPr>
                </pic:pic>
              </a:graphicData>
            </a:graphic>
          </wp:inline>
        </w:drawing>
      </w:r>
    </w:p>
    <w:p w14:paraId="064D3402" w14:textId="77777777" w:rsidR="00B206F0" w:rsidRPr="00344776" w:rsidRDefault="00B206F0" w:rsidP="00B206F0"/>
    <w:p w14:paraId="5AD0D61D" w14:textId="76FE6199" w:rsidR="00B206F0" w:rsidRPr="00344776" w:rsidRDefault="00B206F0" w:rsidP="004C0578">
      <w:pPr>
        <w:pStyle w:val="Source"/>
      </w:pPr>
      <w:r w:rsidRPr="00344776">
        <w:t xml:space="preserve">Source: </w:t>
      </w:r>
      <w:hyperlink r:id="rId48" w:anchor="!/" w:history="1">
        <w:r w:rsidRPr="00344776">
          <w:rPr>
            <w:rStyle w:val="Hyperlink"/>
          </w:rPr>
          <w:t>Ministry of Health (2022b)</w:t>
        </w:r>
      </w:hyperlink>
      <w:r w:rsidRPr="00344776">
        <w:t xml:space="preserve"> </w:t>
      </w:r>
    </w:p>
    <w:p w14:paraId="18B308E1" w14:textId="77777777" w:rsidR="00B206F0" w:rsidRPr="00344776" w:rsidRDefault="00B206F0" w:rsidP="00B206F0"/>
    <w:p w14:paraId="27685A42" w14:textId="1BF8F133" w:rsidR="00B206F0" w:rsidRPr="00344776" w:rsidRDefault="00B206F0" w:rsidP="00B206F0">
      <w:r w:rsidRPr="00344776">
        <w:t xml:space="preserve">The </w:t>
      </w:r>
      <w:r w:rsidRPr="00344776">
        <w:rPr>
          <w:i/>
        </w:rPr>
        <w:t>Smokefree Aotearoa 2025 Action Plan</w:t>
      </w:r>
      <w:r>
        <w:rPr>
          <w:i/>
        </w:rPr>
        <w:t xml:space="preserve"> </w:t>
      </w:r>
      <w:r>
        <w:rPr>
          <w:iCs/>
        </w:rPr>
        <w:t>(Ministry of Health 2021b)</w:t>
      </w:r>
      <w:r w:rsidRPr="00344776">
        <w:t xml:space="preserve"> </w:t>
      </w:r>
      <w:r w:rsidR="00452761" w:rsidRPr="00344776">
        <w:t xml:space="preserve">sets out the actions </w:t>
      </w:r>
      <w:r w:rsidR="00452761">
        <w:t xml:space="preserve">we will </w:t>
      </w:r>
      <w:r w:rsidR="00452761" w:rsidRPr="00344776">
        <w:t>take to achieve Smokefree 2025. The outcomes of the plan are focused on eliminating inequities in smoking rates, increasing the number of children and young adults who remain smokefree and increasing the number of people who successfully quit smoking.</w:t>
      </w:r>
      <w:r w:rsidRPr="00344776">
        <w:t xml:space="preserve"> </w:t>
      </w:r>
    </w:p>
    <w:p w14:paraId="695B6A7E" w14:textId="77777777" w:rsidR="00B206F0" w:rsidRPr="00344776" w:rsidRDefault="00B206F0" w:rsidP="00B206F0">
      <w:pPr>
        <w:pStyle w:val="Heading3"/>
      </w:pPr>
      <w:r w:rsidRPr="00344776">
        <w:lastRenderedPageBreak/>
        <w:t>Electronic cigarette (vaping) use</w:t>
      </w:r>
    </w:p>
    <w:p w14:paraId="470C60C6" w14:textId="77777777" w:rsidR="00452761" w:rsidRPr="00344776" w:rsidRDefault="00452761" w:rsidP="00452761">
      <w:r w:rsidRPr="00344776">
        <w:t>The 2020/21 NZHS reported that daily use</w:t>
      </w:r>
      <w:r>
        <w:t>rs</w:t>
      </w:r>
      <w:r w:rsidRPr="00344776">
        <w:t xml:space="preserve"> of e</w:t>
      </w:r>
      <w:r>
        <w:t xml:space="preserve">lectronic </w:t>
      </w:r>
      <w:r w:rsidRPr="00344776">
        <w:t>cigarettes (vaping) increased from 0.9% of adults in 2015/16 to 6.2% in 2020/21. E</w:t>
      </w:r>
      <w:r>
        <w:t xml:space="preserve">lectronic </w:t>
      </w:r>
      <w:r w:rsidRPr="00344776">
        <w:t>cigarette (vaping) use was highest in the 18–24-year-old age group.</w:t>
      </w:r>
    </w:p>
    <w:p w14:paraId="7C9446BB" w14:textId="77777777" w:rsidR="00B206F0" w:rsidRPr="00344776" w:rsidRDefault="00B206F0" w:rsidP="00B206F0">
      <w:pPr>
        <w:pStyle w:val="Heading3"/>
      </w:pPr>
      <w:r w:rsidRPr="00344776">
        <w:t>Body size</w:t>
      </w:r>
    </w:p>
    <w:p w14:paraId="6D4105EC" w14:textId="77777777" w:rsidR="00452761" w:rsidRPr="00344776" w:rsidRDefault="00452761" w:rsidP="00452761">
      <w:r w:rsidRPr="00344776">
        <w:t xml:space="preserve">A healthy weight can help people stay active and well, and reduce the risk of developing type 2 diabetes, heart disease and some cancers </w:t>
      </w:r>
      <w:r w:rsidRPr="00344776">
        <w:fldChar w:fldCharType="begin"/>
      </w:r>
      <w:r>
        <w:instrText xml:space="preserve"> ADDIN EN.CITE &lt;EndNote&gt;&lt;Cite&gt;&lt;Author&gt;Ministry of Health&lt;/Author&gt;&lt;Year&gt;2020&lt;/Year&gt;&lt;RecNum&gt;49&lt;/RecNum&gt;&lt;DisplayText&gt;(Ministry of Health 2020b)&lt;/DisplayText&gt;&lt;record&gt;&lt;rec-number&gt;49&lt;/rec-number&gt;&lt;foreign-keys&gt;&lt;key app="EN" db-id="aaepvppzs5wtfse95vsp2wahsrtvva2vvdet" timestamp="1632345653"&gt;49&lt;/key&gt;&lt;/foreign-keys&gt;&lt;ref-type name="Web Page"&gt;12&lt;/ref-type&gt;&lt;contributors&gt;&lt;authors&gt;&lt;author&gt;Ministry of Health,&lt;/author&gt;&lt;/authors&gt;&lt;/contributors&gt;&lt;titles&gt;&lt;title&gt;Eating and Activity Guidelines for New Zealand Adults&lt;/title&gt;&lt;/titles&gt;&lt;number&gt;31 September 2022&lt;/number&gt;&lt;dates&gt;&lt;year&gt;2020&lt;/year&gt;&lt;/dates&gt;&lt;urls&gt;&lt;related-urls&gt;&lt;url&gt;www.health.govt.nz/publication/eating-and-activity-guidelines-new-zealand-adults&lt;/url&gt;&lt;/related-urls&gt;&lt;/urls&gt;&lt;/record&gt;&lt;/Cite&gt;&lt;/EndNote&gt;</w:instrText>
      </w:r>
      <w:r w:rsidRPr="00344776">
        <w:fldChar w:fldCharType="separate"/>
      </w:r>
      <w:r w:rsidRPr="00344776">
        <w:rPr>
          <w:noProof/>
        </w:rPr>
        <w:t>(Ministry of Health 2020b)</w:t>
      </w:r>
      <w:r w:rsidRPr="00344776">
        <w:fldChar w:fldCharType="end"/>
      </w:r>
      <w:r w:rsidRPr="00344776">
        <w:t xml:space="preserve">. </w:t>
      </w:r>
    </w:p>
    <w:p w14:paraId="66611AC9" w14:textId="2CF28313" w:rsidR="00B206F0" w:rsidRPr="00344776" w:rsidRDefault="00452761" w:rsidP="00452761">
      <w:r w:rsidRPr="00344776">
        <w:t xml:space="preserve">Having a high </w:t>
      </w:r>
      <w:r>
        <w:t>b</w:t>
      </w:r>
      <w:r w:rsidRPr="00344776">
        <w:t xml:space="preserve">ody </w:t>
      </w:r>
      <w:r>
        <w:t>m</w:t>
      </w:r>
      <w:r w:rsidRPr="00344776">
        <w:t xml:space="preserve">ass </w:t>
      </w:r>
      <w:r>
        <w:t>i</w:t>
      </w:r>
      <w:r w:rsidRPr="00344776">
        <w:t>ndex (BMI) increased from the fourth to the second leading risk factor for disability</w:t>
      </w:r>
      <w:r>
        <w:t>-</w:t>
      </w:r>
      <w:r w:rsidRPr="00344776">
        <w:t xml:space="preserve">adjusted life years from 2009 to 2019 </w:t>
      </w:r>
      <w:r w:rsidRPr="00344776">
        <w:fldChar w:fldCharType="begin"/>
      </w:r>
      <w:r>
        <w:instrText xml:space="preserve"> ADDIN EN.CITE &lt;EndNote&gt;&lt;Cite&gt;&lt;Author&gt;Institute for Health Metrics and Evaluation&lt;/Author&gt;&lt;Year&gt;2019&lt;/Year&gt;&lt;RecNum&gt;189&lt;/RecNum&gt;&lt;DisplayText&gt;(Institute for Health Metrics and Evaluation 2019)&lt;/DisplayText&gt;&lt;record&gt;&lt;rec-number&gt;189&lt;/rec-number&gt;&lt;foreign-keys&gt;&lt;key app="EN" db-id="aaepvppzs5wtfse95vsp2wahsrtvva2vvdet" timestamp="1663730556"&gt;189&lt;/key&gt;&lt;/foreign-keys&gt;&lt;ref-type name="Web Page"&gt;12&lt;/ref-type&gt;&lt;contributors&gt;&lt;authors&gt;&lt;author&gt;Institute for Health Metrics and Evaluation,&lt;/author&gt;&lt;/authors&gt;&lt;/contributors&gt;&lt;titles&gt;&lt;title&gt;New Zealand&lt;/title&gt;&lt;/titles&gt;&lt;number&gt;31 October 2022&lt;/number&gt;&lt;dates&gt;&lt;year&gt;2019&lt;/year&gt;&lt;/dates&gt;&lt;urls&gt;&lt;related-urls&gt;&lt;url&gt;https://www.healthdata.org/new-zealand&lt;/url&gt;&lt;/related-urls&gt;&lt;/urls&gt;&lt;/record&gt;&lt;/Cite&gt;&lt;/EndNote&gt;</w:instrText>
      </w:r>
      <w:r w:rsidRPr="00344776">
        <w:fldChar w:fldCharType="separate"/>
      </w:r>
      <w:r w:rsidRPr="00344776">
        <w:rPr>
          <w:noProof/>
        </w:rPr>
        <w:t>(Institute for Health Metrics and Evaluation 2019)</w:t>
      </w:r>
      <w:r w:rsidRPr="00344776">
        <w:fldChar w:fldCharType="end"/>
      </w:r>
      <w:r w:rsidR="00B206F0" w:rsidRPr="00344776">
        <w:t xml:space="preserve">. </w:t>
      </w:r>
    </w:p>
    <w:p w14:paraId="364D82FD" w14:textId="766D6535" w:rsidR="00B206F0" w:rsidRPr="00344776" w:rsidRDefault="00B206F0" w:rsidP="00B206F0"/>
    <w:p w14:paraId="56A6E1F3" w14:textId="7046AE81" w:rsidR="00B206F0" w:rsidRPr="00344776" w:rsidRDefault="004C0578" w:rsidP="00B206F0">
      <w:r w:rsidRPr="00344776">
        <w:rPr>
          <w:noProof/>
        </w:rPr>
        <w:drawing>
          <wp:anchor distT="0" distB="0" distL="114300" distR="114300" simplePos="0" relativeHeight="251658245" behindDoc="0" locked="0" layoutInCell="1" allowOverlap="1" wp14:anchorId="1F108E59" wp14:editId="27A7D781">
            <wp:simplePos x="0" y="0"/>
            <wp:positionH relativeFrom="margin">
              <wp:align>right</wp:align>
            </wp:positionH>
            <wp:positionV relativeFrom="paragraph">
              <wp:posOffset>12700</wp:posOffset>
            </wp:positionV>
            <wp:extent cx="2176145" cy="835025"/>
            <wp:effectExtent l="0" t="0" r="0" b="3175"/>
            <wp:wrapSquare wrapText="bothSides"/>
            <wp:docPr id="899" name="Picture 9" descr="1 in 3 adults are obese">
              <a:extLst xmlns:a="http://schemas.openxmlformats.org/drawingml/2006/main">
                <a:ext uri="{FF2B5EF4-FFF2-40B4-BE49-F238E27FC236}">
                  <a16:creationId xmlns:a16="http://schemas.microsoft.com/office/drawing/2014/main" id="{E3272730-70F3-4B39-921E-661FED37A9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Picture 9" descr="1 in 3 adults are obese">
                      <a:extLst>
                        <a:ext uri="{FF2B5EF4-FFF2-40B4-BE49-F238E27FC236}">
                          <a16:creationId xmlns:a16="http://schemas.microsoft.com/office/drawing/2014/main" id="{E3272730-70F3-4B39-921E-661FED37A945}"/>
                        </a:ext>
                      </a:extLst>
                    </pic:cNvPr>
                    <pic:cNvPicPr>
                      <a:picLocks noChangeAspect="1"/>
                    </pic:cNvPicPr>
                  </pic:nvPicPr>
                  <pic:blipFill>
                    <a:blip r:embed="rId49"/>
                    <a:stretch>
                      <a:fillRect/>
                    </a:stretch>
                  </pic:blipFill>
                  <pic:spPr>
                    <a:xfrm>
                      <a:off x="0" y="0"/>
                      <a:ext cx="2176145" cy="835025"/>
                    </a:xfrm>
                    <a:prstGeom prst="rect">
                      <a:avLst/>
                    </a:prstGeom>
                  </pic:spPr>
                </pic:pic>
              </a:graphicData>
            </a:graphic>
          </wp:anchor>
        </w:drawing>
      </w:r>
      <w:r w:rsidR="00452761" w:rsidRPr="00344776">
        <w:t xml:space="preserve">In 2020/21, 34.3% of adults were obese </w:t>
      </w:r>
      <w:r w:rsidR="00452761" w:rsidRPr="00344776">
        <w:fldChar w:fldCharType="begin"/>
      </w:r>
      <w:r w:rsidR="00452761">
        <w:instrText xml:space="preserve"> ADDIN EN.CITE &lt;EndNote&gt;&lt;Cite&gt;&lt;Author&gt;Ministry of Health&lt;/Author&gt;&lt;Year&gt;2022&lt;/Year&gt;&lt;RecNum&gt;33&lt;/RecNum&gt;&lt;DisplayText&gt;(Ministry of Health 2022b)&lt;/DisplayText&gt;&lt;record&gt;&lt;rec-number&gt;33&lt;/rec-number&gt;&lt;foreign-keys&gt;&lt;key app="EN" db-id="aaepvppzs5wtfse95vsp2wahsrtvva2vvdet" timestamp="1632283821"&gt;33&lt;/key&gt;&lt;/foreign-keys&gt;&lt;ref-type name="Web Page"&gt;12&lt;/ref-type&gt;&lt;contributors&gt;&lt;authors&gt;&lt;author&gt;Ministry of Health,&lt;/author&gt;&lt;/authors&gt;&lt;/contributors&gt;&lt;titles&gt;&lt;title&gt;Annual Data Explorer 2020/21: New Zealand Health Survey (Data file)&lt;/title&gt;&lt;/titles&gt;&lt;number&gt;31 October 2022&lt;/number&gt;&lt;dates&gt;&lt;year&gt;2022&lt;/year&gt;&lt;/dates&gt;&lt;urls&gt;&lt;related-urls&gt;&lt;url&gt;https://minhealthnz.shinyapps.io/nz-health-survey-2020-21-annual-data-explorer/&lt;/url&gt;&lt;/related-urls&gt;&lt;/urls&gt;&lt;/record&gt;&lt;/Cite&gt;&lt;/EndNote&gt;</w:instrText>
      </w:r>
      <w:r w:rsidR="00452761" w:rsidRPr="00344776">
        <w:fldChar w:fldCharType="separate"/>
      </w:r>
      <w:r w:rsidR="00452761" w:rsidRPr="00344776">
        <w:rPr>
          <w:noProof/>
        </w:rPr>
        <w:t>(Ministry of Health 2022b)</w:t>
      </w:r>
      <w:r w:rsidR="00452761" w:rsidRPr="00344776">
        <w:fldChar w:fldCharType="end"/>
      </w:r>
      <w:r w:rsidR="00452761" w:rsidRPr="00344776">
        <w:t xml:space="preserve">. Obesity in adults is measured as a BMI of 30 or higher </w:t>
      </w:r>
      <w:r w:rsidR="00452761" w:rsidRPr="00344776">
        <w:fldChar w:fldCharType="begin"/>
      </w:r>
      <w:r w:rsidR="00452761">
        <w:instrText xml:space="preserve"> ADDIN EN.CITE &lt;EndNote&gt;&lt;Cite&gt;&lt;Author&gt;World Health Organization&lt;/Author&gt;&lt;Year&gt;2021&lt;/Year&gt;&lt;RecNum&gt;195&lt;/RecNum&gt;&lt;DisplayText&gt;(World Health Organization 2021)&lt;/DisplayText&gt;&lt;record&gt;&lt;rec-number&gt;195&lt;/rec-number&gt;&lt;foreign-keys&gt;&lt;key app="EN" db-id="aaepvppzs5wtfse95vsp2wahsrtvva2vvdet" timestamp="1663733414"&gt;195&lt;/key&gt;&lt;/foreign-keys&gt;&lt;ref-type name="Web Page"&gt;12&lt;/ref-type&gt;&lt;contributors&gt;&lt;authors&gt;&lt;author&gt;World Health Organization,&lt;/author&gt;&lt;/authors&gt;&lt;/contributors&gt;&lt;titles&gt;&lt;title&gt;Obesity and overweight&lt;/title&gt;&lt;/titles&gt;&lt;number&gt;1 November 2022&lt;/number&gt;&lt;dates&gt;&lt;year&gt;2021&lt;/year&gt;&lt;/dates&gt;&lt;urls&gt;&lt;related-urls&gt;&lt;url&gt;https://www.who.int/news-room/fact-sheets/detail/obesity-and-overweight&lt;/url&gt;&lt;/related-urls&gt;&lt;/urls&gt;&lt;/record&gt;&lt;/Cite&gt;&lt;/EndNote&gt;</w:instrText>
      </w:r>
      <w:r w:rsidR="00452761" w:rsidRPr="00344776">
        <w:fldChar w:fldCharType="separate"/>
      </w:r>
      <w:r w:rsidR="00452761">
        <w:rPr>
          <w:noProof/>
        </w:rPr>
        <w:t>(World Health Organization 2021)</w:t>
      </w:r>
      <w:r w:rsidR="00452761" w:rsidRPr="00344776">
        <w:fldChar w:fldCharType="end"/>
      </w:r>
      <w:r w:rsidR="00B206F0" w:rsidRPr="00344776">
        <w:t>.</w:t>
      </w:r>
    </w:p>
    <w:p w14:paraId="5B371067" w14:textId="77777777" w:rsidR="00B206F0" w:rsidRPr="00344776" w:rsidRDefault="00B206F0" w:rsidP="00B206F0"/>
    <w:p w14:paraId="6A7D132F" w14:textId="640148E1" w:rsidR="00B206F0" w:rsidRDefault="00B206F0" w:rsidP="00253316">
      <w:r w:rsidRPr="00344776">
        <w:t>Prevalence of obesity has increased over time</w:t>
      </w:r>
      <w:r>
        <w:t>. It increased</w:t>
      </w:r>
      <w:r w:rsidRPr="00344776">
        <w:t xml:space="preserve"> from 28.8% in 2011/12 to 34.3% in 2020/21</w:t>
      </w:r>
      <w:r w:rsidR="00253316">
        <w:t xml:space="preserve"> (</w:t>
      </w:r>
      <w:r w:rsidR="00253316">
        <w:fldChar w:fldCharType="begin"/>
      </w:r>
      <w:r w:rsidR="00253316">
        <w:instrText xml:space="preserve"> REF _Ref119062400 \h  \* MERGEFORMAT </w:instrText>
      </w:r>
      <w:r w:rsidR="00253316">
        <w:fldChar w:fldCharType="separate"/>
      </w:r>
      <w:r w:rsidR="00F61845" w:rsidRPr="00344776">
        <w:t xml:space="preserve">Figure </w:t>
      </w:r>
      <w:r w:rsidR="00F61845">
        <w:rPr>
          <w:noProof/>
        </w:rPr>
        <w:t>9</w:t>
      </w:r>
      <w:r w:rsidR="00253316">
        <w:fldChar w:fldCharType="end"/>
      </w:r>
      <w:r w:rsidR="00253316">
        <w:t>)</w:t>
      </w:r>
      <w:r w:rsidR="00155FE7">
        <w:t>.</w:t>
      </w:r>
    </w:p>
    <w:p w14:paraId="6D62543E" w14:textId="77777777" w:rsidR="00253316" w:rsidRPr="00344776" w:rsidRDefault="00253316" w:rsidP="00253316"/>
    <w:p w14:paraId="0BA99A8E" w14:textId="77777777" w:rsidR="00B206F0" w:rsidRPr="00344776" w:rsidRDefault="00B206F0" w:rsidP="00B206F0">
      <w:r>
        <w:t>In this context, i</w:t>
      </w:r>
      <w:r w:rsidRPr="00344776">
        <w:t xml:space="preserve">nequities occur between subgroups of the population </w:t>
      </w:r>
      <w:r w:rsidRPr="00344776">
        <w:fldChar w:fldCharType="begin"/>
      </w:r>
      <w:r w:rsidRPr="00344776">
        <w:instrText xml:space="preserve"> ADDIN EN.CITE &lt;EndNote&gt;&lt;Cite&gt;&lt;Author&gt;Ministry of Health&lt;/Author&gt;&lt;Year&gt;2022&lt;/Year&gt;&lt;RecNum&gt;33&lt;/RecNum&gt;&lt;DisplayText&gt;(Ministry of Health 2022b)&lt;/DisplayText&gt;&lt;record&gt;&lt;rec-number&gt;33&lt;/rec-number&gt;&lt;foreign-keys&gt;&lt;key app="EN" db-id="aaepvppzs5wtfse95vsp2wahsrtvva2vvdet" timestamp="1632283821"&gt;33&lt;/key&gt;&lt;/foreign-keys&gt;&lt;ref-type name="Web Page"&gt;12&lt;/ref-type&gt;&lt;contributors&gt;&lt;authors&gt;&lt;author&gt;Ministry of Health,&lt;/author&gt;&lt;/authors&gt;&lt;/contributors&gt;&lt;titles&gt;&lt;title&gt;Annual Data Explorer 2020/21: New Zealand Health Survey (Data file)&lt;/title&gt;&lt;/titles&gt;&lt;number&gt;22 September 2022&lt;/number&gt;&lt;dates&gt;&lt;year&gt;2022&lt;/year&gt;&lt;/dates&gt;&lt;urls&gt;&lt;related-urls&gt;&lt;url&gt;https://minhealthnz.shinyapps.io/nz-health-survey-2020-21-annual-data-explorer/_w_871f0fb8/#!/&lt;/url&gt;&lt;/related-urls&gt;&lt;/urls&gt;&lt;/record&gt;&lt;/Cite&gt;&lt;/EndNote&gt;</w:instrText>
      </w:r>
      <w:r w:rsidRPr="00344776">
        <w:fldChar w:fldCharType="separate"/>
      </w:r>
      <w:r w:rsidRPr="00344776">
        <w:rPr>
          <w:noProof/>
        </w:rPr>
        <w:t>(Ministry of Health 2022b)</w:t>
      </w:r>
      <w:r w:rsidRPr="00344776">
        <w:fldChar w:fldCharType="end"/>
      </w:r>
      <w:r w:rsidRPr="00344776">
        <w:t>. In 2020/21:</w:t>
      </w:r>
    </w:p>
    <w:p w14:paraId="049AE978" w14:textId="77777777" w:rsidR="00B206F0" w:rsidRPr="004C0578" w:rsidRDefault="00B206F0" w:rsidP="004C0578">
      <w:pPr>
        <w:pStyle w:val="Bullet"/>
      </w:pPr>
      <w:r w:rsidRPr="004C0578">
        <w:t xml:space="preserve">46.6% of adults living in the most deprived areas were obese, compared with 26.8% of adults living in the least deprived areas </w:t>
      </w:r>
    </w:p>
    <w:p w14:paraId="45FB56B1" w14:textId="77777777" w:rsidR="00B206F0" w:rsidRPr="004C0578" w:rsidRDefault="00B206F0" w:rsidP="004C0578">
      <w:pPr>
        <w:pStyle w:val="Bullet"/>
      </w:pPr>
      <w:r w:rsidRPr="004C0578">
        <w:t>48.1% of disabled adults</w:t>
      </w:r>
      <w:r w:rsidRPr="004C0578" w:rsidDel="34146A8A">
        <w:t xml:space="preserve"> </w:t>
      </w:r>
      <w:r w:rsidRPr="004C0578">
        <w:t>were obese, compared with 33.0% of non-disabled adults.</w:t>
      </w:r>
    </w:p>
    <w:p w14:paraId="5639A3AF" w14:textId="77777777" w:rsidR="00B206F0" w:rsidRPr="00344776" w:rsidRDefault="00B206F0" w:rsidP="00B206F0"/>
    <w:p w14:paraId="7C49532D" w14:textId="7CA7BD97" w:rsidR="00B206F0" w:rsidRPr="00344776" w:rsidRDefault="00452761" w:rsidP="00B206F0">
      <w:pPr>
        <w:rPr>
          <w:rFonts w:eastAsia="Segoe UI"/>
          <w:color w:val="212121"/>
          <w:sz w:val="24"/>
          <w:szCs w:val="24"/>
        </w:rPr>
      </w:pPr>
      <w:r w:rsidRPr="00344776">
        <w:t>Over the 10 years</w:t>
      </w:r>
      <w:r>
        <w:t xml:space="preserve"> to 2020/21</w:t>
      </w:r>
      <w:r w:rsidRPr="00344776">
        <w:t xml:space="preserve">, Māori and Pacific adults had </w:t>
      </w:r>
      <w:r>
        <w:t xml:space="preserve">a </w:t>
      </w:r>
      <w:r w:rsidRPr="00344776">
        <w:t xml:space="preserve">higher prevalence of obesity in comparison to people of other ethnic groups. </w:t>
      </w:r>
      <w:r>
        <w:t xml:space="preserve">It should be noted that </w:t>
      </w:r>
      <w:r w:rsidRPr="00344776">
        <w:t xml:space="preserve">research shows that </w:t>
      </w:r>
      <w:r w:rsidRPr="00344776">
        <w:rPr>
          <w:szCs w:val="21"/>
        </w:rPr>
        <w:t xml:space="preserve">the same BMI may have different connotations of risk in different ethnic groups. BMI may be an inconsistent measure of obesity for Māori and Pacific people </w:t>
      </w:r>
      <w:r w:rsidRPr="00344776">
        <w:rPr>
          <w:szCs w:val="21"/>
        </w:rPr>
        <w:fldChar w:fldCharType="begin"/>
      </w:r>
      <w:r>
        <w:rPr>
          <w:szCs w:val="21"/>
        </w:rPr>
        <w:instrText xml:space="preserve"> ADDIN EN.CITE &lt;EndNote&gt;&lt;Cite&gt;&lt;Author&gt;Moharram&lt;/Author&gt;&lt;Year&gt;2020&lt;/Year&gt;&lt;RecNum&gt;251&lt;/RecNum&gt;&lt;DisplayText&gt;(Moharram et al 2020)&lt;/DisplayText&gt;&lt;record&gt;&lt;rec-number&gt;251&lt;/rec-number&gt;&lt;foreign-keys&gt;&lt;key app="EN" db-id="aaepvppzs5wtfse95vsp2wahsrtvva2vvdet" timestamp="1664834630"&gt;251&lt;/key&gt;&lt;/foreign-keys&gt;&lt;ref-type name="Journal Article"&gt;17&lt;/ref-type&gt;&lt;contributors&gt;&lt;authors&gt;&lt;author&gt;Moharram, Mohammed A&lt;/author&gt;&lt;author&gt;Aitken-Buck, Hamish M&lt;/author&gt;&lt;author&gt;Reijers, Robin&lt;/author&gt;&lt;author&gt;van Hout, Isabelle&lt;/author&gt;&lt;author&gt;Williams, Michael JA&lt;/author&gt;&lt;author&gt;Jones, Peter J&lt;/author&gt;&lt;author&gt;Whalley, Gillian A&lt;/author&gt;&lt;author&gt;Lamberts, Regis R&lt;/author&gt;&lt;author&gt;Coffey, Sean&lt;/author&gt;&lt;/authors&gt;&lt;/contributors&gt;&lt;titles&gt;&lt;title&gt;Correlation between epicardial adipose tissue and body mass index in New Zealand ethnic populations&lt;/title&gt;&lt;secondary-title&gt;New Zealand Medical Journal&lt;/secondary-title&gt;&lt;/titles&gt;&lt;periodical&gt;&lt;full-title&gt;New Zealand Medical Journal&lt;/full-title&gt;&lt;/periodical&gt;&lt;pages&gt;22–32&lt;/pages&gt;&lt;volume&gt;133&lt;/volume&gt;&lt;number&gt;1516&lt;/number&gt;&lt;dates&gt;&lt;year&gt;2020&lt;/year&gt;&lt;/dates&gt;&lt;urls&gt;&lt;related-urls&gt;&lt;url&gt;https://journal.nzma.org.nz/journal-articles/correlation-between-epicardial-adipose-tissue-and-body-mass-index-in-new-zealand-ethnic-populations&lt;/url&gt;&lt;/related-urls&gt;&lt;/urls&gt;&lt;/record&gt;&lt;/Cite&gt;&lt;/EndNote&gt;</w:instrText>
      </w:r>
      <w:r w:rsidRPr="00344776">
        <w:rPr>
          <w:szCs w:val="21"/>
        </w:rPr>
        <w:fldChar w:fldCharType="separate"/>
      </w:r>
      <w:r w:rsidRPr="00344776">
        <w:rPr>
          <w:noProof/>
          <w:szCs w:val="21"/>
        </w:rPr>
        <w:t>(Moharram et al 2020)</w:t>
      </w:r>
      <w:r w:rsidRPr="00344776">
        <w:rPr>
          <w:szCs w:val="21"/>
        </w:rPr>
        <w:fldChar w:fldCharType="end"/>
      </w:r>
      <w:r w:rsidRPr="00344776">
        <w:rPr>
          <w:szCs w:val="21"/>
        </w:rPr>
        <w:t xml:space="preserve">.  </w:t>
      </w:r>
    </w:p>
    <w:p w14:paraId="2408E70D" w14:textId="77777777" w:rsidR="00B206F0" w:rsidRPr="00344776" w:rsidRDefault="00B206F0" w:rsidP="00B206F0"/>
    <w:p w14:paraId="4CAE15FE" w14:textId="77777777" w:rsidR="00393660" w:rsidRDefault="00393660" w:rsidP="005A18ED">
      <w:pPr>
        <w:pStyle w:val="Caption"/>
        <w:sectPr w:rsidR="00393660" w:rsidSect="00B206F0">
          <w:pgSz w:w="11907" w:h="16840" w:code="9"/>
          <w:pgMar w:top="1418" w:right="1701" w:bottom="1134" w:left="1843" w:header="284" w:footer="425" w:gutter="284"/>
          <w:cols w:space="720"/>
        </w:sectPr>
      </w:pPr>
      <w:bookmarkStart w:id="45" w:name="_Ref114827580"/>
      <w:bookmarkStart w:id="46" w:name="_Toc118446227"/>
    </w:p>
    <w:p w14:paraId="0494A163" w14:textId="201372DF" w:rsidR="00B206F0" w:rsidRPr="00344776" w:rsidRDefault="00B206F0" w:rsidP="005A18ED">
      <w:pPr>
        <w:pStyle w:val="Caption"/>
      </w:pPr>
      <w:bookmarkStart w:id="47" w:name="_Ref119062400"/>
      <w:bookmarkStart w:id="48" w:name="_Toc119047753"/>
      <w:r w:rsidRPr="00344776">
        <w:lastRenderedPageBreak/>
        <w:t xml:space="preserve">Figure </w:t>
      </w:r>
      <w:r w:rsidRPr="00344776">
        <w:fldChar w:fldCharType="begin"/>
      </w:r>
      <w:r w:rsidRPr="00344776">
        <w:instrText>SEQ Figure \* ARABIC</w:instrText>
      </w:r>
      <w:r w:rsidRPr="00344776">
        <w:fldChar w:fldCharType="separate"/>
      </w:r>
      <w:r w:rsidR="00F61845">
        <w:rPr>
          <w:noProof/>
        </w:rPr>
        <w:t>9</w:t>
      </w:r>
      <w:r w:rsidRPr="00344776">
        <w:fldChar w:fldCharType="end"/>
      </w:r>
      <w:bookmarkEnd w:id="45"/>
      <w:bookmarkEnd w:id="47"/>
      <w:r w:rsidRPr="00344776">
        <w:t>: Prevalence of obesity in adults, by ethnic group, 2011/12–2020/21</w:t>
      </w:r>
      <w:bookmarkEnd w:id="46"/>
      <w:bookmarkEnd w:id="48"/>
    </w:p>
    <w:p w14:paraId="55000744" w14:textId="77777777" w:rsidR="00B206F0" w:rsidRPr="00344776" w:rsidRDefault="00B206F0" w:rsidP="00B206F0">
      <w:r w:rsidRPr="00344776">
        <w:rPr>
          <w:noProof/>
        </w:rPr>
        <w:drawing>
          <wp:inline distT="0" distB="0" distL="0" distR="0" wp14:anchorId="5F4B3FB0" wp14:editId="68EFAC2F">
            <wp:extent cx="4965298" cy="3972911"/>
            <wp:effectExtent l="0" t="0" r="6985" b="8890"/>
            <wp:docPr id="39" name="Picture 39" descr="A time series chart showing the percentage of adults who were obese by ethnic group, between 2011/12 and 2020/21. The chart shows the total percentage of adults who were obese has increased from 28.8% in 2011/12 to 34.3% in 2020/21. Across the time series, Pacific peoples had the highest percentage, followed by Māori, European/other, and then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time series chart showing the percentage of adults who were obese by ethnic group, between 2011/12 and 2020/21. The chart shows the total percentage of adults who were obese has increased from 28.8% in 2011/12 to 34.3% in 2020/21. Across the time series, Pacific peoples had the highest percentage, followed by Māori, European/other, and then Asian."/>
                    <pic:cNvPicPr>
                      <a:picLocks noChangeAspect="1" noChangeArrowheads="1"/>
                    </pic:cNvPicPr>
                  </pic:nvPicPr>
                  <pic:blipFill>
                    <a:blip r:embed="rId50"/>
                    <a:stretch>
                      <a:fillRect/>
                    </a:stretch>
                  </pic:blipFill>
                  <pic:spPr bwMode="auto">
                    <a:xfrm>
                      <a:off x="0" y="0"/>
                      <a:ext cx="4970509" cy="3977080"/>
                    </a:xfrm>
                    <a:prstGeom prst="rect">
                      <a:avLst/>
                    </a:prstGeom>
                    <a:noFill/>
                    <a:ln>
                      <a:noFill/>
                    </a:ln>
                  </pic:spPr>
                </pic:pic>
              </a:graphicData>
            </a:graphic>
          </wp:inline>
        </w:drawing>
      </w:r>
    </w:p>
    <w:p w14:paraId="7D238D4C" w14:textId="17F322B2" w:rsidR="00B206F0" w:rsidRPr="00344776" w:rsidRDefault="00B206F0" w:rsidP="004C0578">
      <w:pPr>
        <w:pStyle w:val="Source"/>
      </w:pPr>
      <w:r w:rsidRPr="00344776">
        <w:t xml:space="preserve">Source: </w:t>
      </w:r>
      <w:hyperlink r:id="rId51" w:anchor="!/" w:history="1">
        <w:r w:rsidRPr="00344776">
          <w:rPr>
            <w:rStyle w:val="Hyperlink"/>
          </w:rPr>
          <w:t>Ministry of Health (2022b)</w:t>
        </w:r>
      </w:hyperlink>
      <w:r w:rsidRPr="00344776">
        <w:t xml:space="preserve"> </w:t>
      </w:r>
    </w:p>
    <w:p w14:paraId="43A0160A" w14:textId="77777777" w:rsidR="00B206F0" w:rsidRPr="00344776" w:rsidRDefault="00B206F0" w:rsidP="00B206F0">
      <w:pPr>
        <w:pStyle w:val="Heading4"/>
      </w:pPr>
      <w:r w:rsidRPr="00344776">
        <w:t>Obesity in children</w:t>
      </w:r>
    </w:p>
    <w:p w14:paraId="6F7A4902" w14:textId="01DEBD37" w:rsidR="00B206F0" w:rsidRPr="00344776" w:rsidRDefault="00B206F0" w:rsidP="00B206F0">
      <w:r w:rsidRPr="00344776">
        <w:t>In 2020/21, 12.7% of children were obese. Obesity in children</w:t>
      </w:r>
      <w:r w:rsidRPr="00344776" w:rsidDel="003A79CA">
        <w:t xml:space="preserve"> is </w:t>
      </w:r>
      <w:r w:rsidRPr="00344776">
        <w:t xml:space="preserve">defined as children aged 2–14 years with a BMI equivalent to an adult BMI of 30 or greater. </w:t>
      </w:r>
    </w:p>
    <w:p w14:paraId="414FC797" w14:textId="25187120" w:rsidR="00B206F0" w:rsidRPr="00344776" w:rsidRDefault="00B206F0" w:rsidP="00B206F0"/>
    <w:p w14:paraId="2CA8BB0E" w14:textId="30D87F05" w:rsidR="00B206F0" w:rsidRPr="00344776" w:rsidRDefault="00B76C72" w:rsidP="00B206F0">
      <w:r w:rsidRPr="00344776">
        <w:rPr>
          <w:noProof/>
        </w:rPr>
        <w:drawing>
          <wp:anchor distT="0" distB="0" distL="114300" distR="114300" simplePos="0" relativeHeight="251658247" behindDoc="0" locked="0" layoutInCell="1" allowOverlap="1" wp14:anchorId="3031F985" wp14:editId="155018BE">
            <wp:simplePos x="0" y="0"/>
            <wp:positionH relativeFrom="margin">
              <wp:posOffset>2767965</wp:posOffset>
            </wp:positionH>
            <wp:positionV relativeFrom="paragraph">
              <wp:posOffset>12065</wp:posOffset>
            </wp:positionV>
            <wp:extent cx="2362200" cy="1057275"/>
            <wp:effectExtent l="0" t="0" r="0" b="9525"/>
            <wp:wrapSquare wrapText="bothSides"/>
            <wp:docPr id="9" name="Picture 9" descr="Over 1 in 8 children are ob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ver 1 in 8 children are obese"/>
                    <pic:cNvPicPr/>
                  </pic:nvPicPr>
                  <pic:blipFill>
                    <a:blip r:embed="rId52"/>
                    <a:stretch>
                      <a:fillRect/>
                    </a:stretch>
                  </pic:blipFill>
                  <pic:spPr>
                    <a:xfrm>
                      <a:off x="0" y="0"/>
                      <a:ext cx="2362200" cy="1057275"/>
                    </a:xfrm>
                    <a:prstGeom prst="rect">
                      <a:avLst/>
                    </a:prstGeom>
                  </pic:spPr>
                </pic:pic>
              </a:graphicData>
            </a:graphic>
          </wp:anchor>
        </w:drawing>
      </w:r>
      <w:r w:rsidR="00B206F0" w:rsidRPr="00344776">
        <w:t>Prevalence of obesity in children increased from 9.5</w:t>
      </w:r>
      <w:r w:rsidR="00B206F0">
        <w:t>%</w:t>
      </w:r>
      <w:r w:rsidR="00B206F0" w:rsidRPr="00344776">
        <w:t xml:space="preserve"> in 2019/20 to 12.7</w:t>
      </w:r>
      <w:r w:rsidR="00B206F0">
        <w:t>%</w:t>
      </w:r>
      <w:r w:rsidR="00B206F0" w:rsidRPr="00344776">
        <w:t xml:space="preserve"> in 2020/21. </w:t>
      </w:r>
    </w:p>
    <w:p w14:paraId="601CE1B3" w14:textId="77777777" w:rsidR="00B206F0" w:rsidRPr="00344776" w:rsidRDefault="00B206F0" w:rsidP="00B206F0"/>
    <w:p w14:paraId="7A8A7B7B" w14:textId="77777777" w:rsidR="00D60D6B" w:rsidRPr="00344776" w:rsidRDefault="00D60D6B" w:rsidP="00D60D6B">
      <w:r w:rsidRPr="00344776">
        <w:t>I</w:t>
      </w:r>
      <w:r>
        <w:t>n this context, i</w:t>
      </w:r>
      <w:r w:rsidRPr="00344776">
        <w:t xml:space="preserve">nequities occur between subgroups of the population </w:t>
      </w:r>
      <w:r w:rsidRPr="00344776">
        <w:fldChar w:fldCharType="begin"/>
      </w:r>
      <w:r>
        <w:instrText xml:space="preserve"> ADDIN EN.CITE &lt;EndNote&gt;&lt;Cite&gt;&lt;Author&gt;Ministry of Health&lt;/Author&gt;&lt;Year&gt;2022&lt;/Year&gt;&lt;RecNum&gt;33&lt;/RecNum&gt;&lt;DisplayText&gt;(Ministry of Health 2022b)&lt;/DisplayText&gt;&lt;record&gt;&lt;rec-number&gt;33&lt;/rec-number&gt;&lt;foreign-keys&gt;&lt;key app="EN" db-id="aaepvppzs5wtfse95vsp2wahsrtvva2vvdet" timestamp="1632283821"&gt;33&lt;/key&gt;&lt;/foreign-keys&gt;&lt;ref-type name="Web Page"&gt;12&lt;/ref-type&gt;&lt;contributors&gt;&lt;authors&gt;&lt;author&gt;Ministry of Health,&lt;/author&gt;&lt;/authors&gt;&lt;/contributors&gt;&lt;titles&gt;&lt;title&gt;Annual Data Explorer 2020/21: New Zealand Health Survey (Data file)&lt;/title&gt;&lt;/titles&gt;&lt;number&gt;31 October 2022&lt;/number&gt;&lt;dates&gt;&lt;year&gt;2022&lt;/year&gt;&lt;/dates&gt;&lt;urls&gt;&lt;related-urls&gt;&lt;url&gt;https://minhealthnz.shinyapps.io/nz-health-survey-2020-21-annual-data-explorer/&lt;/url&gt;&lt;/related-urls&gt;&lt;/urls&gt;&lt;/record&gt;&lt;/Cite&gt;&lt;/EndNote&gt;</w:instrText>
      </w:r>
      <w:r w:rsidRPr="00344776">
        <w:fldChar w:fldCharType="separate"/>
      </w:r>
      <w:r w:rsidRPr="00344776">
        <w:rPr>
          <w:noProof/>
        </w:rPr>
        <w:t>(Ministry of Health 2022b)</w:t>
      </w:r>
      <w:r w:rsidRPr="00344776">
        <w:fldChar w:fldCharType="end"/>
      </w:r>
      <w:r w:rsidRPr="00344776">
        <w:t>. In 2020/21:</w:t>
      </w:r>
    </w:p>
    <w:p w14:paraId="2EA642A0" w14:textId="77777777" w:rsidR="00D60D6B" w:rsidRDefault="00D60D6B" w:rsidP="00D60D6B">
      <w:pPr>
        <w:pStyle w:val="Bullet"/>
      </w:pPr>
      <w:r>
        <w:t xml:space="preserve">20.3% of children living in the most deprived areas were obese, compared with 7.2% of children living in the least deprived areas </w:t>
      </w:r>
    </w:p>
    <w:p w14:paraId="0FB0DCA0" w14:textId="6F30A697" w:rsidR="00B206F0" w:rsidRPr="004C0578" w:rsidRDefault="00D60D6B" w:rsidP="00D60D6B">
      <w:pPr>
        <w:pStyle w:val="Bullet"/>
      </w:pPr>
      <w:r>
        <w:t>35.3% of Pacific children were obese, compared with 17.8% of Māori children, 10.3% of European/other children and 6.6% of Asian children.</w:t>
      </w:r>
    </w:p>
    <w:p w14:paraId="6EFD5A68" w14:textId="7718FA76" w:rsidR="005048F3" w:rsidRPr="005048F3" w:rsidRDefault="005048F3" w:rsidP="005048F3">
      <w:pPr>
        <w:sectPr w:rsidR="005048F3" w:rsidRPr="005048F3" w:rsidSect="00B206F0">
          <w:pgSz w:w="11907" w:h="16840" w:code="9"/>
          <w:pgMar w:top="1418" w:right="1701" w:bottom="1134" w:left="1843" w:header="284" w:footer="425" w:gutter="284"/>
          <w:cols w:space="720"/>
        </w:sectPr>
      </w:pPr>
    </w:p>
    <w:p w14:paraId="511867ED" w14:textId="4D8E8126" w:rsidR="00B206F0" w:rsidRPr="00344776" w:rsidRDefault="00B206F0" w:rsidP="00393660">
      <w:pPr>
        <w:pStyle w:val="Heading3"/>
        <w:spacing w:before="0"/>
      </w:pPr>
      <w:r w:rsidRPr="00344776">
        <w:lastRenderedPageBreak/>
        <w:t>Alcohol use</w:t>
      </w:r>
    </w:p>
    <w:p w14:paraId="48A54DE1" w14:textId="77777777" w:rsidR="00D60D6B" w:rsidRPr="00344776" w:rsidRDefault="00D60D6B" w:rsidP="00D60D6B">
      <w:r w:rsidRPr="00344776">
        <w:t xml:space="preserve">Alcohol use decreased from the fifth to </w:t>
      </w:r>
      <w:r>
        <w:t xml:space="preserve">the </w:t>
      </w:r>
      <w:r w:rsidRPr="00344776">
        <w:t>sixth leading risk factor for disability</w:t>
      </w:r>
      <w:r>
        <w:t>-</w:t>
      </w:r>
      <w:r w:rsidRPr="00344776">
        <w:t xml:space="preserve">adjusted life years between 2009 </w:t>
      </w:r>
      <w:r>
        <w:t xml:space="preserve">and </w:t>
      </w:r>
      <w:r w:rsidRPr="00344776">
        <w:t xml:space="preserve">2019 </w:t>
      </w:r>
      <w:r w:rsidRPr="00344776">
        <w:fldChar w:fldCharType="begin"/>
      </w:r>
      <w:r>
        <w:instrText xml:space="preserve"> ADDIN EN.CITE &lt;EndNote&gt;&lt;Cite&gt;&lt;Author&gt;Institute for Health Metrics and Evaluation&lt;/Author&gt;&lt;Year&gt;2019&lt;/Year&gt;&lt;RecNum&gt;189&lt;/RecNum&gt;&lt;DisplayText&gt;(Institute for Health Metrics and Evaluation 2019)&lt;/DisplayText&gt;&lt;record&gt;&lt;rec-number&gt;189&lt;/rec-number&gt;&lt;foreign-keys&gt;&lt;key app="EN" db-id="aaepvppzs5wtfse95vsp2wahsrtvva2vvdet" timestamp="1663730556"&gt;189&lt;/key&gt;&lt;/foreign-keys&gt;&lt;ref-type name="Web Page"&gt;12&lt;/ref-type&gt;&lt;contributors&gt;&lt;authors&gt;&lt;author&gt;Institute for Health Metrics and Evaluation,&lt;/author&gt;&lt;/authors&gt;&lt;/contributors&gt;&lt;titles&gt;&lt;title&gt;New Zealand&lt;/title&gt;&lt;/titles&gt;&lt;number&gt;31 October 2022&lt;/number&gt;&lt;dates&gt;&lt;year&gt;2019&lt;/year&gt;&lt;/dates&gt;&lt;urls&gt;&lt;related-urls&gt;&lt;url&gt;https://www.healthdata.org/new-zealand&lt;/url&gt;&lt;/related-urls&gt;&lt;/urls&gt;&lt;/record&gt;&lt;/Cite&gt;&lt;/EndNote&gt;</w:instrText>
      </w:r>
      <w:r w:rsidRPr="00344776">
        <w:fldChar w:fldCharType="separate"/>
      </w:r>
      <w:r w:rsidRPr="00344776">
        <w:rPr>
          <w:noProof/>
        </w:rPr>
        <w:t>(Institute for Health Metrics and Evaluation 2019)</w:t>
      </w:r>
      <w:r w:rsidRPr="00344776">
        <w:fldChar w:fldCharType="end"/>
      </w:r>
      <w:r w:rsidRPr="00344776">
        <w:t xml:space="preserve">. </w:t>
      </w:r>
    </w:p>
    <w:p w14:paraId="3428E0D3" w14:textId="425D29EF" w:rsidR="00B206F0" w:rsidRPr="00344776" w:rsidRDefault="005A18ED" w:rsidP="00B206F0">
      <w:r w:rsidRPr="00344776">
        <w:rPr>
          <w:noProof/>
        </w:rPr>
        <w:drawing>
          <wp:anchor distT="0" distB="0" distL="114300" distR="114300" simplePos="0" relativeHeight="251658250" behindDoc="0" locked="0" layoutInCell="1" allowOverlap="1" wp14:anchorId="556128DA" wp14:editId="10BB1E48">
            <wp:simplePos x="0" y="0"/>
            <wp:positionH relativeFrom="margin">
              <wp:align>right</wp:align>
            </wp:positionH>
            <wp:positionV relativeFrom="paragraph">
              <wp:posOffset>112395</wp:posOffset>
            </wp:positionV>
            <wp:extent cx="2447925" cy="1085850"/>
            <wp:effectExtent l="0" t="0" r="9525" b="0"/>
            <wp:wrapSquare wrapText="bothSides"/>
            <wp:docPr id="12" name="Picture 12" descr="Almost 1 in 5 adults drink hazard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lmost 1 in 5 adults drink hazardously"/>
                    <pic:cNvPicPr/>
                  </pic:nvPicPr>
                  <pic:blipFill>
                    <a:blip r:embed="rId53"/>
                    <a:stretch>
                      <a:fillRect/>
                    </a:stretch>
                  </pic:blipFill>
                  <pic:spPr>
                    <a:xfrm>
                      <a:off x="0" y="0"/>
                      <a:ext cx="2447925" cy="1085850"/>
                    </a:xfrm>
                    <a:prstGeom prst="rect">
                      <a:avLst/>
                    </a:prstGeom>
                  </pic:spPr>
                </pic:pic>
              </a:graphicData>
            </a:graphic>
          </wp:anchor>
        </w:drawing>
      </w:r>
    </w:p>
    <w:p w14:paraId="1F45CBC2" w14:textId="4215C725" w:rsidR="00B206F0" w:rsidRPr="00344776" w:rsidRDefault="00D60D6B" w:rsidP="00B206F0">
      <w:r w:rsidRPr="00344776">
        <w:t xml:space="preserve">In 2020/21, 19.9% of adults were hazardous drinkers </w:t>
      </w:r>
      <w:r w:rsidRPr="00344776">
        <w:fldChar w:fldCharType="begin"/>
      </w:r>
      <w:r>
        <w:instrText xml:space="preserve"> ADDIN EN.CITE &lt;EndNote&gt;&lt;Cite&gt;&lt;Author&gt;Ministry of Health&lt;/Author&gt;&lt;Year&gt;2022&lt;/Year&gt;&lt;RecNum&gt;33&lt;/RecNum&gt;&lt;DisplayText&gt;(Ministry of Health 2022b)&lt;/DisplayText&gt;&lt;record&gt;&lt;rec-number&gt;33&lt;/rec-number&gt;&lt;foreign-keys&gt;&lt;key app="EN" db-id="aaepvppzs5wtfse95vsp2wahsrtvva2vvdet" timestamp="1632283821"&gt;33&lt;/key&gt;&lt;/foreign-keys&gt;&lt;ref-type name="Web Page"&gt;12&lt;/ref-type&gt;&lt;contributors&gt;&lt;authors&gt;&lt;author&gt;Ministry of Health,&lt;/author&gt;&lt;/authors&gt;&lt;/contributors&gt;&lt;titles&gt;&lt;title&gt;Annual Data Explorer 2020/21: New Zealand Health Survey (Data file)&lt;/title&gt;&lt;/titles&gt;&lt;number&gt;31 October 2022&lt;/number&gt;&lt;dates&gt;&lt;year&gt;2022&lt;/year&gt;&lt;/dates&gt;&lt;urls&gt;&lt;related-urls&gt;&lt;url&gt;https://minhealthnz.shinyapps.io/nz-health-survey-2020-21-annual-data-explorer/&lt;/url&gt;&lt;/related-urls&gt;&lt;/urls&gt;&lt;/record&gt;&lt;/Cite&gt;&lt;/EndNote&gt;</w:instrText>
      </w:r>
      <w:r w:rsidRPr="00344776">
        <w:fldChar w:fldCharType="separate"/>
      </w:r>
      <w:r w:rsidRPr="00344776">
        <w:rPr>
          <w:noProof/>
        </w:rPr>
        <w:t>(Ministry of Health 2022b)</w:t>
      </w:r>
      <w:r w:rsidRPr="00344776">
        <w:fldChar w:fldCharType="end"/>
      </w:r>
      <w:r w:rsidRPr="00344776">
        <w:t xml:space="preserve">. Hazardous drinkers are defined as those </w:t>
      </w:r>
      <w:r>
        <w:t xml:space="preserve">with </w:t>
      </w:r>
      <w:r w:rsidRPr="00344776">
        <w:t xml:space="preserve">an established pattern of drinking that carries a high risk of future damage to physical or mental health </w:t>
      </w:r>
      <w:r w:rsidR="00B206F0" w:rsidRPr="00344776">
        <w:fldChar w:fldCharType="begin"/>
      </w:r>
      <w:r w:rsidR="00B206F0" w:rsidRPr="00344776">
        <w:instrText xml:space="preserve"> ADDIN EN.CITE &lt;EndNote&gt;&lt;Cite&gt;&lt;Author&gt;World Health Organisation&lt;/Author&gt;&lt;Year&gt;2001&lt;/Year&gt;&lt;RecNum&gt;176&lt;/RecNum&gt;&lt;DisplayText&gt;(World Health Organisation 2001)&lt;/DisplayText&gt;&lt;record&gt;&lt;rec-number&gt;176&lt;/rec-number&gt;&lt;foreign-keys&gt;&lt;key app="EN" db-id="aaepvppzs5wtfse95vsp2wahsrtvva2vvdet" timestamp="1663727711"&gt;176&lt;/key&gt;&lt;/foreign-keys&gt;&lt;ref-type name="Web Page"&gt;12&lt;/ref-type&gt;&lt;contributors&gt;&lt;authors&gt;&lt;author&gt;World Health Organisation,&lt;/author&gt;&lt;/authors&gt;&lt;/contributors&gt;&lt;titles&gt;&lt;title&gt;AUDIT: The alcohol use disorder identification test: guidelines for use in primary health care&lt;/title&gt;&lt;/titles&gt;&lt;number&gt;21 September 2022&lt;/number&gt;&lt;dates&gt;&lt;year&gt;2001&lt;/year&gt;&lt;/dates&gt;&lt;urls&gt;&lt;related-urls&gt;&lt;url&gt;https://www.who.int/publications/i/item/WHO-MSD-MSB-01.6a&lt;/url&gt;&lt;/related-urls&gt;&lt;/urls&gt;&lt;/record&gt;&lt;/Cite&gt;&lt;/EndNote&gt;</w:instrText>
      </w:r>
      <w:r w:rsidR="00B206F0" w:rsidRPr="00344776">
        <w:fldChar w:fldCharType="separate"/>
      </w:r>
      <w:r w:rsidR="00B206F0" w:rsidRPr="00344776">
        <w:rPr>
          <w:noProof/>
        </w:rPr>
        <w:t>(World Health Organi</w:t>
      </w:r>
      <w:r w:rsidR="00B206F0">
        <w:rPr>
          <w:noProof/>
        </w:rPr>
        <w:t>z</w:t>
      </w:r>
      <w:r w:rsidR="00B206F0" w:rsidRPr="00344776">
        <w:rPr>
          <w:noProof/>
        </w:rPr>
        <w:t>ation 2001)</w:t>
      </w:r>
      <w:r w:rsidR="00B206F0" w:rsidRPr="00344776">
        <w:fldChar w:fldCharType="end"/>
      </w:r>
      <w:r w:rsidR="00B206F0" w:rsidRPr="00344776">
        <w:t xml:space="preserve">. </w:t>
      </w:r>
    </w:p>
    <w:p w14:paraId="53A6816E" w14:textId="77777777" w:rsidR="00B206F0" w:rsidRPr="00344776" w:rsidRDefault="00B206F0" w:rsidP="00B206F0"/>
    <w:p w14:paraId="2AC02916" w14:textId="4A23EE55" w:rsidR="00D60D6B" w:rsidRPr="00344776" w:rsidRDefault="00D60D6B" w:rsidP="00D60D6B">
      <w:r w:rsidRPr="00344776">
        <w:t>The prevalence of hazardous drinking has remained stable over time</w:t>
      </w:r>
      <w:r>
        <w:t xml:space="preserve">. In 2019/20, the figure was </w:t>
      </w:r>
      <w:r w:rsidRPr="00344776">
        <w:t>21.3%</w:t>
      </w:r>
      <w:r>
        <w:t>,</w:t>
      </w:r>
      <w:r w:rsidRPr="00344776">
        <w:t xml:space="preserve"> compared to 19.8% in 2016/17 (</w:t>
      </w:r>
      <w:r w:rsidR="00300598">
        <w:fldChar w:fldCharType="begin"/>
      </w:r>
      <w:r w:rsidR="00300598">
        <w:instrText>REF _Ref114827691 \* MERGEFORMAT</w:instrText>
      </w:r>
      <w:r w:rsidR="00300598">
        <w:fldChar w:fldCharType="separate"/>
      </w:r>
      <w:r w:rsidR="00F61845" w:rsidRPr="00344776">
        <w:t xml:space="preserve">Figure </w:t>
      </w:r>
      <w:r w:rsidR="00F61845">
        <w:rPr>
          <w:noProof/>
        </w:rPr>
        <w:t>10</w:t>
      </w:r>
      <w:r w:rsidR="00300598">
        <w:rPr>
          <w:noProof/>
        </w:rPr>
        <w:fldChar w:fldCharType="end"/>
      </w:r>
      <w:r w:rsidRPr="00344776">
        <w:t>).</w:t>
      </w:r>
    </w:p>
    <w:p w14:paraId="28F4EBAA" w14:textId="77777777" w:rsidR="00D60D6B" w:rsidRPr="00344776" w:rsidRDefault="00D60D6B" w:rsidP="00D60D6B"/>
    <w:p w14:paraId="7A65BAD5" w14:textId="570194D9" w:rsidR="00B206F0" w:rsidRPr="00344776" w:rsidRDefault="00D60D6B" w:rsidP="00D60D6B">
      <w:r w:rsidRPr="00344776">
        <w:t>I</w:t>
      </w:r>
      <w:r>
        <w:t>n this context, i</w:t>
      </w:r>
      <w:r w:rsidRPr="00344776">
        <w:t xml:space="preserve">nequities occur between subgroups of the population </w:t>
      </w:r>
      <w:r w:rsidRPr="00344776">
        <w:fldChar w:fldCharType="begin"/>
      </w:r>
      <w:r>
        <w:instrText xml:space="preserve"> ADDIN EN.CITE &lt;EndNote&gt;&lt;Cite&gt;&lt;Author&gt;Ministry of Health&lt;/Author&gt;&lt;Year&gt;2022&lt;/Year&gt;&lt;RecNum&gt;33&lt;/RecNum&gt;&lt;DisplayText&gt;(Ministry of Health 2022b)&lt;/DisplayText&gt;&lt;record&gt;&lt;rec-number&gt;33&lt;/rec-number&gt;&lt;foreign-keys&gt;&lt;key app="EN" db-id="aaepvppzs5wtfse95vsp2wahsrtvva2vvdet" timestamp="1632283821"&gt;33&lt;/key&gt;&lt;/foreign-keys&gt;&lt;ref-type name="Web Page"&gt;12&lt;/ref-type&gt;&lt;contributors&gt;&lt;authors&gt;&lt;author&gt;Ministry of Health,&lt;/author&gt;&lt;/authors&gt;&lt;/contributors&gt;&lt;titles&gt;&lt;title&gt;Annual Data Explorer 2020/21: New Zealand Health Survey (Data file)&lt;/title&gt;&lt;/titles&gt;&lt;number&gt;31 October 2022&lt;/number&gt;&lt;dates&gt;&lt;year&gt;2022&lt;/year&gt;&lt;/dates&gt;&lt;urls&gt;&lt;related-urls&gt;&lt;url&gt;https://minhealthnz.shinyapps.io/nz-health-survey-2020-21-annual-data-explorer/&lt;/url&gt;&lt;/related-urls&gt;&lt;/urls&gt;&lt;/record&gt;&lt;/Cite&gt;&lt;/EndNote&gt;</w:instrText>
      </w:r>
      <w:r w:rsidRPr="00344776">
        <w:fldChar w:fldCharType="separate"/>
      </w:r>
      <w:r w:rsidRPr="00344776">
        <w:rPr>
          <w:noProof/>
        </w:rPr>
        <w:t>(Ministry of Health 2022b)</w:t>
      </w:r>
      <w:r w:rsidRPr="00344776">
        <w:fldChar w:fldCharType="end"/>
      </w:r>
      <w:r w:rsidRPr="00344776">
        <w:t>. In 2020/21</w:t>
      </w:r>
      <w:r w:rsidR="00B206F0" w:rsidRPr="00344776">
        <w:t>:</w:t>
      </w:r>
    </w:p>
    <w:p w14:paraId="1237BAC6" w14:textId="77777777" w:rsidR="00D60D6B" w:rsidRDefault="00D60D6B" w:rsidP="00D60D6B">
      <w:pPr>
        <w:pStyle w:val="Bullet"/>
      </w:pPr>
      <w:r>
        <w:t xml:space="preserve">24.9% of adults living in the most deprived areas drank hazardously, compared with 17.3% of adults living in the least deprived areas </w:t>
      </w:r>
    </w:p>
    <w:p w14:paraId="7D8D7D0C" w14:textId="77777777" w:rsidR="00F65F2C" w:rsidRDefault="00D60D6B" w:rsidP="00F65F2C">
      <w:pPr>
        <w:pStyle w:val="Bullet"/>
      </w:pPr>
      <w:r>
        <w:t>17.9% of disabled adults drank hazardously, compared with 20.1% of non-disabled adults</w:t>
      </w:r>
      <w:r w:rsidR="00B206F0" w:rsidRPr="004C0578">
        <w:t>.</w:t>
      </w:r>
    </w:p>
    <w:p w14:paraId="5144625B" w14:textId="7B7DD87F" w:rsidR="00F65F2C" w:rsidRPr="00344776" w:rsidRDefault="00F65F2C" w:rsidP="00F65F2C">
      <w:pPr>
        <w:pStyle w:val="Bullet"/>
        <w:numPr>
          <w:ilvl w:val="0"/>
          <w:numId w:val="0"/>
        </w:numPr>
      </w:pPr>
      <w:r w:rsidRPr="00344776">
        <w:t xml:space="preserve">Over the last </w:t>
      </w:r>
      <w:r>
        <w:t>6</w:t>
      </w:r>
      <w:r w:rsidRPr="00344776">
        <w:t xml:space="preserve"> years, Māori adults had a higher prevalence of hazardous drinking in comparison to Pacific peoples and the European/other ethnic group, while </w:t>
      </w:r>
      <w:r>
        <w:t xml:space="preserve">the </w:t>
      </w:r>
      <w:r w:rsidRPr="00344776">
        <w:t xml:space="preserve">Asian </w:t>
      </w:r>
      <w:r>
        <w:t xml:space="preserve">ethnic group </w:t>
      </w:r>
      <w:r w:rsidRPr="00344776">
        <w:t xml:space="preserve">had </w:t>
      </w:r>
      <w:r>
        <w:t xml:space="preserve">a </w:t>
      </w:r>
      <w:r w:rsidRPr="00344776">
        <w:t>lower prevalence than all ethnic groups (</w:t>
      </w:r>
      <w:r>
        <w:fldChar w:fldCharType="begin"/>
      </w:r>
      <w:r>
        <w:instrText xml:space="preserve"> REF _Ref114827691 \h </w:instrText>
      </w:r>
      <w:r>
        <w:fldChar w:fldCharType="separate"/>
      </w:r>
      <w:r w:rsidR="00F61845" w:rsidRPr="00344776">
        <w:t xml:space="preserve">Figure </w:t>
      </w:r>
      <w:r w:rsidR="00F61845">
        <w:rPr>
          <w:noProof/>
        </w:rPr>
        <w:t>10</w:t>
      </w:r>
      <w:r>
        <w:fldChar w:fldCharType="end"/>
      </w:r>
      <w:r w:rsidRPr="00344776">
        <w:t xml:space="preserve">). </w:t>
      </w:r>
    </w:p>
    <w:p w14:paraId="0D10FCD1" w14:textId="77777777" w:rsidR="00B206F0" w:rsidRPr="00344776" w:rsidRDefault="00B206F0" w:rsidP="00B206F0"/>
    <w:p w14:paraId="04E5F034" w14:textId="77777777" w:rsidR="00393660" w:rsidRDefault="00393660" w:rsidP="00B206F0">
      <w:pPr>
        <w:sectPr w:rsidR="00393660" w:rsidSect="00B206F0">
          <w:pgSz w:w="11907" w:h="16840" w:code="9"/>
          <w:pgMar w:top="1418" w:right="1701" w:bottom="1134" w:left="1843" w:header="284" w:footer="425" w:gutter="284"/>
          <w:cols w:space="720"/>
        </w:sectPr>
      </w:pPr>
    </w:p>
    <w:p w14:paraId="117F957A" w14:textId="042019C8" w:rsidR="00B206F0" w:rsidRPr="00344776" w:rsidRDefault="00B206F0" w:rsidP="00B206F0">
      <w:pPr>
        <w:pStyle w:val="Figure"/>
      </w:pPr>
      <w:bookmarkStart w:id="49" w:name="_Ref114827691"/>
      <w:bookmarkStart w:id="50" w:name="_Toc118446228"/>
      <w:bookmarkStart w:id="51" w:name="_Toc118730678"/>
      <w:bookmarkStart w:id="52" w:name="_Toc119047754"/>
      <w:r w:rsidRPr="00344776">
        <w:lastRenderedPageBreak/>
        <w:t xml:space="preserve">Figure </w:t>
      </w:r>
      <w:r w:rsidRPr="00344776">
        <w:fldChar w:fldCharType="begin"/>
      </w:r>
      <w:r w:rsidRPr="00344776">
        <w:instrText>SEQ Figure \* ARABIC</w:instrText>
      </w:r>
      <w:r w:rsidRPr="00344776">
        <w:fldChar w:fldCharType="separate"/>
      </w:r>
      <w:r w:rsidR="00F61845">
        <w:rPr>
          <w:noProof/>
        </w:rPr>
        <w:t>10</w:t>
      </w:r>
      <w:r w:rsidRPr="00344776">
        <w:fldChar w:fldCharType="end"/>
      </w:r>
      <w:bookmarkEnd w:id="49"/>
      <w:r w:rsidRPr="00344776">
        <w:t>: Prevalence of hazardous drinking in adults, by ethnic group, 2015/16–2020/21</w:t>
      </w:r>
      <w:bookmarkEnd w:id="50"/>
      <w:bookmarkEnd w:id="51"/>
      <w:bookmarkEnd w:id="52"/>
    </w:p>
    <w:p w14:paraId="669617A0" w14:textId="77777777" w:rsidR="00B206F0" w:rsidRPr="00344776" w:rsidRDefault="00B206F0" w:rsidP="00B206F0">
      <w:r w:rsidRPr="00344776">
        <w:rPr>
          <w:noProof/>
        </w:rPr>
        <w:drawing>
          <wp:inline distT="0" distB="0" distL="0" distR="0" wp14:anchorId="5811C4D8" wp14:editId="3CB988B5">
            <wp:extent cx="5124450" cy="4100254"/>
            <wp:effectExtent l="0" t="0" r="0" b="0"/>
            <wp:docPr id="40" name="Picture 40" descr="A time series chart showing the percentage of adults who were hazardous drinkers by ethnic group, between 2015/16 and 2020/21. Māori had the highest percentage, followed by Pacific Peoples, European/other and then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time series chart showing the percentage of adults who were hazardous drinkers by ethnic group, between 2015/16 and 2020/21. Māori had the highest percentage, followed by Pacific Peoples, European/other and then Asian."/>
                    <pic:cNvPicPr>
                      <a:picLocks noChangeAspect="1" noChangeArrowheads="1"/>
                    </pic:cNvPicPr>
                  </pic:nvPicPr>
                  <pic:blipFill>
                    <a:blip r:embed="rId54"/>
                    <a:stretch>
                      <a:fillRect/>
                    </a:stretch>
                  </pic:blipFill>
                  <pic:spPr bwMode="auto">
                    <a:xfrm>
                      <a:off x="0" y="0"/>
                      <a:ext cx="5124450" cy="4100254"/>
                    </a:xfrm>
                    <a:prstGeom prst="rect">
                      <a:avLst/>
                    </a:prstGeom>
                    <a:noFill/>
                    <a:ln>
                      <a:noFill/>
                    </a:ln>
                  </pic:spPr>
                </pic:pic>
              </a:graphicData>
            </a:graphic>
          </wp:inline>
        </w:drawing>
      </w:r>
    </w:p>
    <w:p w14:paraId="271538B5" w14:textId="6586C0BB" w:rsidR="00B206F0" w:rsidRPr="00344776" w:rsidRDefault="00B206F0" w:rsidP="004C0578">
      <w:pPr>
        <w:pStyle w:val="Source"/>
      </w:pPr>
      <w:r w:rsidRPr="00344776">
        <w:t xml:space="preserve">Source: </w:t>
      </w:r>
      <w:hyperlink r:id="rId55" w:anchor="!/" w:history="1">
        <w:r w:rsidRPr="00344776">
          <w:rPr>
            <w:rStyle w:val="Hyperlink"/>
          </w:rPr>
          <w:t>Ministry of Health (2022b)</w:t>
        </w:r>
      </w:hyperlink>
      <w:r w:rsidRPr="00344776">
        <w:t xml:space="preserve"> </w:t>
      </w:r>
    </w:p>
    <w:p w14:paraId="742D3A96" w14:textId="52BD2F5F" w:rsidR="00B206F0" w:rsidRPr="00344776" w:rsidRDefault="00B206F0" w:rsidP="00B206F0">
      <w:pPr>
        <w:pStyle w:val="Heading3"/>
      </w:pPr>
      <w:r w:rsidRPr="00344776">
        <w:t xml:space="preserve">Physical </w:t>
      </w:r>
      <w:r>
        <w:t>a</w:t>
      </w:r>
      <w:r w:rsidRPr="00344776">
        <w:t>ctivity</w:t>
      </w:r>
    </w:p>
    <w:p w14:paraId="062D8D99" w14:textId="1FE1CBC1" w:rsidR="00B206F0" w:rsidRPr="00344776" w:rsidRDefault="00B76C72" w:rsidP="00B206F0">
      <w:r w:rsidRPr="00344776">
        <w:rPr>
          <w:noProof/>
        </w:rPr>
        <w:drawing>
          <wp:anchor distT="0" distB="0" distL="114300" distR="114300" simplePos="0" relativeHeight="251658246" behindDoc="0" locked="0" layoutInCell="1" allowOverlap="1" wp14:anchorId="34BE535C" wp14:editId="2B7DDE5D">
            <wp:simplePos x="0" y="0"/>
            <wp:positionH relativeFrom="margin">
              <wp:align>right</wp:align>
            </wp:positionH>
            <wp:positionV relativeFrom="paragraph">
              <wp:posOffset>19685</wp:posOffset>
            </wp:positionV>
            <wp:extent cx="2176461" cy="932769"/>
            <wp:effectExtent l="0" t="0" r="0" b="1270"/>
            <wp:wrapSquare wrapText="bothSides"/>
            <wp:docPr id="901" name="Picture 11" descr="Over 1 in 8 adults engage in little or no physical activity">
              <a:extLst xmlns:a="http://schemas.openxmlformats.org/drawingml/2006/main">
                <a:ext uri="{FF2B5EF4-FFF2-40B4-BE49-F238E27FC236}">
                  <a16:creationId xmlns:a16="http://schemas.microsoft.com/office/drawing/2014/main" id="{63CCD858-1D02-42A5-8F35-63031BFD9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Picture 11" descr="Over 1 in 8 adults engage in little or no physical activity">
                      <a:extLst>
                        <a:ext uri="{FF2B5EF4-FFF2-40B4-BE49-F238E27FC236}">
                          <a16:creationId xmlns:a16="http://schemas.microsoft.com/office/drawing/2014/main" id="{63CCD858-1D02-42A5-8F35-63031BFD9067}"/>
                        </a:ext>
                      </a:extLst>
                    </pic:cNvPr>
                    <pic:cNvPicPr>
                      <a:picLocks noChangeAspect="1"/>
                    </pic:cNvPicPr>
                  </pic:nvPicPr>
                  <pic:blipFill>
                    <a:blip r:embed="rId56"/>
                    <a:stretch>
                      <a:fillRect/>
                    </a:stretch>
                  </pic:blipFill>
                  <pic:spPr>
                    <a:xfrm>
                      <a:off x="0" y="0"/>
                      <a:ext cx="2176461" cy="932769"/>
                    </a:xfrm>
                    <a:prstGeom prst="rect">
                      <a:avLst/>
                    </a:prstGeom>
                  </pic:spPr>
                </pic:pic>
              </a:graphicData>
            </a:graphic>
          </wp:anchor>
        </w:drawing>
      </w:r>
      <w:r w:rsidR="00D60D6B" w:rsidRPr="00344776">
        <w:t xml:space="preserve">In 2020/21, according to the </w:t>
      </w:r>
      <w:r w:rsidR="00D60D6B">
        <w:t>NZHS</w:t>
      </w:r>
      <w:r w:rsidR="00D60D6B" w:rsidRPr="00344776">
        <w:t xml:space="preserve">, 12.8% of the adult population engaged in little or no physical activity </w:t>
      </w:r>
      <w:r w:rsidR="00D60D6B" w:rsidRPr="00344776">
        <w:fldChar w:fldCharType="begin"/>
      </w:r>
      <w:r w:rsidR="00D60D6B">
        <w:instrText xml:space="preserve"> ADDIN EN.CITE &lt;EndNote&gt;&lt;Cite&gt;&lt;Author&gt;Ministry of Health&lt;/Author&gt;&lt;Year&gt;2022&lt;/Year&gt;&lt;RecNum&gt;33&lt;/RecNum&gt;&lt;DisplayText&gt;(Ministry of Health 2022b)&lt;/DisplayText&gt;&lt;record&gt;&lt;rec-number&gt;33&lt;/rec-number&gt;&lt;foreign-keys&gt;&lt;key app="EN" db-id="aaepvppzs5wtfse95vsp2wahsrtvva2vvdet" timestamp="1632283821"&gt;33&lt;/key&gt;&lt;/foreign-keys&gt;&lt;ref-type name="Web Page"&gt;12&lt;/ref-type&gt;&lt;contributors&gt;&lt;authors&gt;&lt;author&gt;Ministry of Health,&lt;/author&gt;&lt;/authors&gt;&lt;/contributors&gt;&lt;titles&gt;&lt;title&gt;Annual Data Explorer 2020/21: New Zealand Health Survey (Data file)&lt;/title&gt;&lt;/titles&gt;&lt;number&gt;31 October 2022&lt;/number&gt;&lt;dates&gt;&lt;year&gt;2022&lt;/year&gt;&lt;/dates&gt;&lt;urls&gt;&lt;related-urls&gt;&lt;url&gt;https://minhealthnz.shinyapps.io/nz-health-survey-2020-21-annual-data-explorer/&lt;/url&gt;&lt;/related-urls&gt;&lt;/urls&gt;&lt;/record&gt;&lt;/Cite&gt;&lt;/EndNote&gt;</w:instrText>
      </w:r>
      <w:r w:rsidR="00D60D6B" w:rsidRPr="00344776">
        <w:fldChar w:fldCharType="separate"/>
      </w:r>
      <w:r w:rsidR="00D60D6B" w:rsidRPr="00344776">
        <w:rPr>
          <w:noProof/>
        </w:rPr>
        <w:t>(Ministry of Health 2022b)</w:t>
      </w:r>
      <w:r w:rsidR="00D60D6B" w:rsidRPr="00344776">
        <w:fldChar w:fldCharType="end"/>
      </w:r>
      <w:r w:rsidR="00D60D6B" w:rsidRPr="00344776">
        <w:t xml:space="preserve">. </w:t>
      </w:r>
      <w:r w:rsidR="00D60D6B">
        <w:t>‘</w:t>
      </w:r>
      <w:r w:rsidR="00D60D6B" w:rsidRPr="00344776">
        <w:t>Little or no physical activity</w:t>
      </w:r>
      <w:r w:rsidR="00D60D6B">
        <w:t>’</w:t>
      </w:r>
      <w:r w:rsidR="00D60D6B" w:rsidRPr="00344776">
        <w:t xml:space="preserve"> for adults (aged 15+ years) is defined as less than 30 minutes of physical activity in the past </w:t>
      </w:r>
      <w:r w:rsidR="00D60D6B">
        <w:t>7</w:t>
      </w:r>
      <w:r w:rsidR="00D60D6B" w:rsidRPr="00344776">
        <w:t xml:space="preserve"> days</w:t>
      </w:r>
      <w:r w:rsidR="00B206F0" w:rsidRPr="00344776">
        <w:t xml:space="preserve">. </w:t>
      </w:r>
    </w:p>
    <w:p w14:paraId="1C9DD8DD" w14:textId="77777777" w:rsidR="00B206F0" w:rsidRPr="00344776" w:rsidRDefault="00B206F0" w:rsidP="00B206F0"/>
    <w:p w14:paraId="6E954530" w14:textId="7BC241A5" w:rsidR="00B206F0" w:rsidRPr="00344776" w:rsidRDefault="00D60D6B" w:rsidP="00B206F0">
      <w:r w:rsidRPr="00344776">
        <w:t>The percentage of the population who engage in little or no physical activity has fluctuated over time</w:t>
      </w:r>
      <w:r>
        <w:t>:</w:t>
      </w:r>
      <w:r w:rsidRPr="00344776">
        <w:t xml:space="preserve"> </w:t>
      </w:r>
      <w:r>
        <w:t xml:space="preserve">there was </w:t>
      </w:r>
      <w:r w:rsidRPr="00344776">
        <w:t xml:space="preserve">a high of 15.3% in 2015/16 and a low of 11.4% in 2017/18 </w:t>
      </w:r>
      <w:r w:rsidR="00B206F0" w:rsidRPr="00344776">
        <w:t>(</w:t>
      </w:r>
      <w:r w:rsidR="004C0578">
        <w:fldChar w:fldCharType="begin"/>
      </w:r>
      <w:r w:rsidR="004C0578">
        <w:instrText xml:space="preserve"> REF _Ref114827821 \h </w:instrText>
      </w:r>
      <w:r w:rsidR="004C0578">
        <w:fldChar w:fldCharType="separate"/>
      </w:r>
      <w:r w:rsidR="00F61845" w:rsidRPr="00344776">
        <w:t xml:space="preserve">Figure </w:t>
      </w:r>
      <w:r w:rsidR="00F61845">
        <w:rPr>
          <w:noProof/>
        </w:rPr>
        <w:t>11</w:t>
      </w:r>
      <w:r w:rsidR="004C0578">
        <w:fldChar w:fldCharType="end"/>
      </w:r>
      <w:r w:rsidR="00B206F0" w:rsidRPr="00344776">
        <w:t>).</w:t>
      </w:r>
    </w:p>
    <w:p w14:paraId="6F8C3766" w14:textId="77777777" w:rsidR="00B206F0" w:rsidRPr="00344776" w:rsidRDefault="00B206F0" w:rsidP="00B206F0"/>
    <w:p w14:paraId="713632B9" w14:textId="7D931325" w:rsidR="00B206F0" w:rsidRPr="00344776" w:rsidRDefault="00D60D6B" w:rsidP="00B206F0">
      <w:r w:rsidRPr="00344776">
        <w:t xml:space="preserve">The prevalence of </w:t>
      </w:r>
      <w:r>
        <w:t xml:space="preserve">engagement in </w:t>
      </w:r>
      <w:r w:rsidRPr="00344776">
        <w:t xml:space="preserve">little or no physical activity varies between population groups </w:t>
      </w:r>
      <w:r w:rsidRPr="00344776">
        <w:fldChar w:fldCharType="begin"/>
      </w:r>
      <w:r>
        <w:instrText xml:space="preserve"> ADDIN EN.CITE &lt;EndNote&gt;&lt;Cite&gt;&lt;Author&gt;Ministry of Health&lt;/Author&gt;&lt;Year&gt;2022&lt;/Year&gt;&lt;RecNum&gt;33&lt;/RecNum&gt;&lt;DisplayText&gt;(Ministry of Health 2022b)&lt;/DisplayText&gt;&lt;record&gt;&lt;rec-number&gt;33&lt;/rec-number&gt;&lt;foreign-keys&gt;&lt;key app="EN" db-id="aaepvppzs5wtfse95vsp2wahsrtvva2vvdet" timestamp="1632283821"&gt;33&lt;/key&gt;&lt;/foreign-keys&gt;&lt;ref-type name="Web Page"&gt;12&lt;/ref-type&gt;&lt;contributors&gt;&lt;authors&gt;&lt;author&gt;Ministry of Health,&lt;/author&gt;&lt;/authors&gt;&lt;/contributors&gt;&lt;titles&gt;&lt;title&gt;Annual Data Explorer 2020/21: New Zealand Health Survey (Data file)&lt;/title&gt;&lt;/titles&gt;&lt;number&gt;31 October 2022&lt;/number&gt;&lt;dates&gt;&lt;year&gt;2022&lt;/year&gt;&lt;/dates&gt;&lt;urls&gt;&lt;related-urls&gt;&lt;url&gt;https://minhealthnz.shinyapps.io/nz-health-survey-2020-21-annual-data-explorer/&lt;/url&gt;&lt;/related-urls&gt;&lt;/urls&gt;&lt;/record&gt;&lt;/Cite&gt;&lt;/EndNote&gt;</w:instrText>
      </w:r>
      <w:r w:rsidRPr="00344776">
        <w:fldChar w:fldCharType="separate"/>
      </w:r>
      <w:r w:rsidRPr="00344776">
        <w:rPr>
          <w:noProof/>
        </w:rPr>
        <w:t>(Ministry of Health 2022b)</w:t>
      </w:r>
      <w:r w:rsidRPr="00344776">
        <w:fldChar w:fldCharType="end"/>
      </w:r>
      <w:r w:rsidRPr="00344776">
        <w:t>. In 2020/21</w:t>
      </w:r>
      <w:r w:rsidR="00B206F0" w:rsidRPr="00344776">
        <w:t>:</w:t>
      </w:r>
    </w:p>
    <w:p w14:paraId="797E0011" w14:textId="77777777" w:rsidR="00D60D6B" w:rsidRPr="00344776" w:rsidRDefault="00D60D6B" w:rsidP="00D60D6B">
      <w:pPr>
        <w:pStyle w:val="Bullet"/>
      </w:pPr>
      <w:r w:rsidRPr="00344776">
        <w:t xml:space="preserve">17.7% of adults living in the most deprived areas engaged in little or no physical activity, compared with 9.8% of adults living in the least deprived areas </w:t>
      </w:r>
    </w:p>
    <w:p w14:paraId="34B8F43A" w14:textId="71D57A2B" w:rsidR="00B206F0" w:rsidRPr="004C0578" w:rsidRDefault="00D60D6B" w:rsidP="00D60D6B">
      <w:pPr>
        <w:pStyle w:val="Bullet"/>
      </w:pPr>
      <w:r w:rsidRPr="00344776">
        <w:t>39.9% of disabled adults engaged in little or no physical activity, compared with 10.1% of non-disabled adults</w:t>
      </w:r>
      <w:r w:rsidR="00B206F0" w:rsidRPr="004C0578">
        <w:t>.</w:t>
      </w:r>
    </w:p>
    <w:p w14:paraId="367E1B34" w14:textId="77777777" w:rsidR="00B206F0" w:rsidRPr="00344776" w:rsidRDefault="00B206F0" w:rsidP="00B206F0">
      <w:pPr>
        <w:pStyle w:val="Bullet"/>
        <w:numPr>
          <w:ilvl w:val="0"/>
          <w:numId w:val="0"/>
        </w:numPr>
        <w:ind w:left="785"/>
      </w:pPr>
    </w:p>
    <w:p w14:paraId="450245D0" w14:textId="3DA4AA6E" w:rsidR="00587306" w:rsidRPr="00344776" w:rsidRDefault="00D60D6B" w:rsidP="00B206F0">
      <w:r w:rsidRPr="00344776">
        <w:lastRenderedPageBreak/>
        <w:t>Over the 10 years</w:t>
      </w:r>
      <w:r>
        <w:t xml:space="preserve"> to 2021/21,</w:t>
      </w:r>
      <w:r w:rsidRPr="00344776">
        <w:t xml:space="preserve"> Māori, Asian and Pacific adults had higher prevalence of little or no physical activity in comparison to other ethnic groups </w:t>
      </w:r>
      <w:r w:rsidR="00B206F0" w:rsidRPr="00344776">
        <w:t>(</w:t>
      </w:r>
      <w:r w:rsidR="004C0578">
        <w:fldChar w:fldCharType="begin"/>
      </w:r>
      <w:r w:rsidR="004C0578">
        <w:instrText xml:space="preserve"> REF _Ref114827821 \h </w:instrText>
      </w:r>
      <w:r w:rsidR="004C0578">
        <w:fldChar w:fldCharType="separate"/>
      </w:r>
      <w:r w:rsidR="00F61845" w:rsidRPr="00344776">
        <w:t xml:space="preserve">Figure </w:t>
      </w:r>
      <w:r w:rsidR="00F61845">
        <w:rPr>
          <w:noProof/>
        </w:rPr>
        <w:t>11</w:t>
      </w:r>
      <w:r w:rsidR="004C0578">
        <w:fldChar w:fldCharType="end"/>
      </w:r>
      <w:r w:rsidR="00B206F0" w:rsidRPr="00344776">
        <w:t xml:space="preserve">). </w:t>
      </w:r>
    </w:p>
    <w:p w14:paraId="0A099D93" w14:textId="01474D8E" w:rsidR="00B206F0" w:rsidRPr="00344776" w:rsidRDefault="00B206F0" w:rsidP="00253316">
      <w:pPr>
        <w:pStyle w:val="Figure"/>
      </w:pPr>
      <w:bookmarkStart w:id="53" w:name="_Ref114827821"/>
      <w:bookmarkStart w:id="54" w:name="_Toc118446229"/>
      <w:bookmarkStart w:id="55" w:name="_Toc119047755"/>
      <w:r w:rsidRPr="00344776">
        <w:t xml:space="preserve">Figure </w:t>
      </w:r>
      <w:r w:rsidRPr="00344776">
        <w:fldChar w:fldCharType="begin"/>
      </w:r>
      <w:r w:rsidRPr="00344776">
        <w:instrText>SEQ Figure \* ARABIC</w:instrText>
      </w:r>
      <w:r w:rsidRPr="00344776">
        <w:fldChar w:fldCharType="separate"/>
      </w:r>
      <w:r w:rsidR="00F61845">
        <w:rPr>
          <w:noProof/>
        </w:rPr>
        <w:t>11</w:t>
      </w:r>
      <w:r w:rsidRPr="00344776">
        <w:fldChar w:fldCharType="end"/>
      </w:r>
      <w:bookmarkEnd w:id="53"/>
      <w:r w:rsidRPr="00344776">
        <w:t xml:space="preserve">: Prevalence of </w:t>
      </w:r>
      <w:r>
        <w:t xml:space="preserve">engagement in </w:t>
      </w:r>
      <w:r w:rsidRPr="00344776">
        <w:t>little or no physical activity in adults</w:t>
      </w:r>
      <w:r>
        <w:t>,</w:t>
      </w:r>
      <w:r w:rsidRPr="00344776">
        <w:t xml:space="preserve"> by ethnic group, 2011/12–2020/21</w:t>
      </w:r>
      <w:bookmarkEnd w:id="54"/>
      <w:bookmarkEnd w:id="55"/>
    </w:p>
    <w:p w14:paraId="2DEEC8D3" w14:textId="77777777" w:rsidR="00B206F0" w:rsidRPr="00344776" w:rsidRDefault="00B206F0" w:rsidP="00253316">
      <w:pPr>
        <w:spacing w:after="120"/>
        <w:rPr>
          <w:szCs w:val="21"/>
        </w:rPr>
      </w:pPr>
      <w:r w:rsidRPr="00344776">
        <w:rPr>
          <w:noProof/>
        </w:rPr>
        <w:drawing>
          <wp:inline distT="0" distB="0" distL="0" distR="0" wp14:anchorId="3D81CDFE" wp14:editId="37C85D0B">
            <wp:extent cx="5124450" cy="4100254"/>
            <wp:effectExtent l="0" t="0" r="0" b="0"/>
            <wp:docPr id="41" name="Picture 41" descr="A time series chart showing the percentage of people who did little or no physical activity by ethnic group, between 2011/12 and 2020/21. The chart shows the total percentage of people who did little or no physical activity fluctuated between 11.4% and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time series chart showing the percentage of people who did little or no physical activity by ethnic group, between 2011/12 and 2020/21. The chart shows the total percentage of people who did little or no physical activity fluctuated between 11.4% and 15.3%."/>
                    <pic:cNvPicPr>
                      <a:picLocks noChangeAspect="1" noChangeArrowheads="1"/>
                    </pic:cNvPicPr>
                  </pic:nvPicPr>
                  <pic:blipFill>
                    <a:blip r:embed="rId57"/>
                    <a:stretch>
                      <a:fillRect/>
                    </a:stretch>
                  </pic:blipFill>
                  <pic:spPr bwMode="auto">
                    <a:xfrm>
                      <a:off x="0" y="0"/>
                      <a:ext cx="5124450" cy="4100254"/>
                    </a:xfrm>
                    <a:prstGeom prst="rect">
                      <a:avLst/>
                    </a:prstGeom>
                    <a:noFill/>
                    <a:ln>
                      <a:noFill/>
                    </a:ln>
                  </pic:spPr>
                </pic:pic>
              </a:graphicData>
            </a:graphic>
          </wp:inline>
        </w:drawing>
      </w:r>
    </w:p>
    <w:p w14:paraId="3C9B17E0" w14:textId="7D9CBD5E" w:rsidR="00B206F0" w:rsidRPr="00344776" w:rsidRDefault="00B206F0" w:rsidP="004C0578">
      <w:pPr>
        <w:pStyle w:val="Source"/>
      </w:pPr>
      <w:r w:rsidRPr="00344776">
        <w:t xml:space="preserve">Source: </w:t>
      </w:r>
      <w:hyperlink r:id="rId58" w:anchor="!/" w:history="1">
        <w:r w:rsidRPr="00344776">
          <w:rPr>
            <w:rStyle w:val="Hyperlink"/>
          </w:rPr>
          <w:t>Ministry of Health (2022b)</w:t>
        </w:r>
      </w:hyperlink>
      <w:r w:rsidRPr="00344776">
        <w:t xml:space="preserve"> </w:t>
      </w:r>
    </w:p>
    <w:p w14:paraId="24EFC252" w14:textId="77777777" w:rsidR="00B206F0" w:rsidRPr="00344776" w:rsidRDefault="00B206F0" w:rsidP="00B206F0">
      <w:r w:rsidRPr="00344776">
        <w:br w:type="page"/>
      </w:r>
    </w:p>
    <w:p w14:paraId="1CFE8461" w14:textId="23928E6F" w:rsidR="00B206F0" w:rsidRDefault="00B206F0" w:rsidP="00B206F0">
      <w:pPr>
        <w:pStyle w:val="Heading1"/>
      </w:pPr>
      <w:bookmarkStart w:id="56" w:name="_Toc118452226"/>
      <w:bookmarkStart w:id="57" w:name="_Toc119312987"/>
      <w:r w:rsidRPr="00344776">
        <w:lastRenderedPageBreak/>
        <w:t>Impacts of COVID-19 |</w:t>
      </w:r>
      <w:r>
        <w:t xml:space="preserve"> </w:t>
      </w:r>
      <w:r w:rsidRPr="00680E9C">
        <w:t xml:space="preserve">Ngā </w:t>
      </w:r>
      <w:r w:rsidR="004F6C77">
        <w:t>k</w:t>
      </w:r>
      <w:r w:rsidRPr="00680E9C">
        <w:t xml:space="preserve">awekawe o te Mate </w:t>
      </w:r>
      <w:r w:rsidR="004F6C77">
        <w:t>KOWHEORI</w:t>
      </w:r>
      <w:r w:rsidRPr="00680E9C">
        <w:t>-19</w:t>
      </w:r>
      <w:bookmarkEnd w:id="56"/>
      <w:bookmarkEnd w:id="57"/>
    </w:p>
    <w:p w14:paraId="298BC822" w14:textId="77777777" w:rsidR="00B206F0" w:rsidRPr="00344776" w:rsidRDefault="00B206F0" w:rsidP="00B206F0">
      <w:pPr>
        <w:pStyle w:val="Heading2"/>
      </w:pPr>
      <w:bookmarkStart w:id="58" w:name="_Toc118452227"/>
      <w:bookmarkStart w:id="59" w:name="_Toc119312988"/>
      <w:r w:rsidRPr="00344776">
        <w:t>COVID-19</w:t>
      </w:r>
      <w:bookmarkEnd w:id="58"/>
      <w:bookmarkEnd w:id="59"/>
    </w:p>
    <w:p w14:paraId="08F457D2" w14:textId="77777777" w:rsidR="00D60D6B" w:rsidRPr="00344776" w:rsidRDefault="00D60D6B" w:rsidP="00D60D6B">
      <w:r w:rsidRPr="00344776">
        <w:t xml:space="preserve">The COVID-19 pandemic started </w:t>
      </w:r>
      <w:r>
        <w:t xml:space="preserve">in </w:t>
      </w:r>
      <w:r w:rsidRPr="00344776">
        <w:t>late 2019, when the World Health Organi</w:t>
      </w:r>
      <w:r>
        <w:t>z</w:t>
      </w:r>
      <w:r w:rsidRPr="00344776">
        <w:t>ation was alerted by Chinese authorities to a mysterious viral pneumonia in Wuhan, China. The World Health Organi</w:t>
      </w:r>
      <w:r>
        <w:t>z</w:t>
      </w:r>
      <w:r w:rsidRPr="00344776">
        <w:t>ation declared a global pandemic on 11 March 2020.</w:t>
      </w:r>
    </w:p>
    <w:p w14:paraId="20D9D47B" w14:textId="77777777" w:rsidR="00D60D6B" w:rsidRPr="00344776" w:rsidRDefault="00D60D6B" w:rsidP="00D60D6B"/>
    <w:p w14:paraId="5FB92735" w14:textId="77777777" w:rsidR="00D60D6B" w:rsidRPr="00344776" w:rsidRDefault="00D60D6B" w:rsidP="00D60D6B">
      <w:r>
        <w:t xml:space="preserve">Between </w:t>
      </w:r>
      <w:r w:rsidRPr="00344776">
        <w:t xml:space="preserve">the </w:t>
      </w:r>
      <w:r>
        <w:t xml:space="preserve">start of the </w:t>
      </w:r>
      <w:r w:rsidRPr="00344776">
        <w:t xml:space="preserve">outbreak </w:t>
      </w:r>
      <w:r>
        <w:t xml:space="preserve">and </w:t>
      </w:r>
      <w:r w:rsidRPr="00344776">
        <w:t>December 2021, around 2</w:t>
      </w:r>
      <w:r>
        <w:t>87</w:t>
      </w:r>
      <w:r w:rsidRPr="00344776">
        <w:t xml:space="preserve"> million confirmed cases and nearly 5.5 million deaths </w:t>
      </w:r>
      <w:r>
        <w:t xml:space="preserve">were </w:t>
      </w:r>
      <w:r w:rsidRPr="00344776">
        <w:t xml:space="preserve">reported globally </w:t>
      </w:r>
      <w:r w:rsidRPr="00344776">
        <w:fldChar w:fldCharType="begin"/>
      </w:r>
      <w:r>
        <w:instrText xml:space="preserve"> ADDIN EN.CITE &lt;EndNote&gt;&lt;Cite&gt;&lt;Author&gt;World Health Organization&lt;/Author&gt;&lt;Year&gt;2022&lt;/Year&gt;&lt;RecNum&gt;273&lt;/RecNum&gt;&lt;DisplayText&gt;(World Health Organization 2022b)&lt;/DisplayText&gt;&lt;record&gt;&lt;rec-number&gt;273&lt;/rec-number&gt;&lt;foreign-keys&gt;&lt;key app="EN" db-id="aaepvppzs5wtfse95vsp2wahsrtvva2vvdet" timestamp="1666640687"&gt;273&lt;/key&gt;&lt;/foreign-keys&gt;&lt;ref-type name="Web Page"&gt;12&lt;/ref-type&gt;&lt;contributors&gt;&lt;authors&gt;&lt;author&gt;World Health Organization,&lt;/author&gt;&lt;/authors&gt;&lt;/contributors&gt;&lt;titles&gt;&lt;title&gt;WHO Coronavirus (COVID-19) Dashboard&lt;/title&gt;&lt;/titles&gt;&lt;number&gt;1 November 2022&lt;/number&gt;&lt;dates&gt;&lt;year&gt;2022&lt;/year&gt;&lt;/dates&gt;&lt;urls&gt;&lt;related-urls&gt;&lt;url&gt;https://covid19.who.int/&lt;/url&gt;&lt;/related-urls&gt;&lt;/urls&gt;&lt;/record&gt;&lt;/Cite&gt;&lt;/EndNote&gt;</w:instrText>
      </w:r>
      <w:r w:rsidRPr="00344776">
        <w:fldChar w:fldCharType="separate"/>
      </w:r>
      <w:r>
        <w:rPr>
          <w:noProof/>
        </w:rPr>
        <w:t>(World Health Organization 2022b)</w:t>
      </w:r>
      <w:r w:rsidRPr="00344776">
        <w:fldChar w:fldCharType="end"/>
      </w:r>
      <w:r w:rsidRPr="00344776">
        <w:t>. However, estimates from the World Health Organization show that the full death toll associated directly or indirectly with the COVID-19 pandemic (described as excess mortality</w:t>
      </w:r>
      <w:r>
        <w:t>)</w:t>
      </w:r>
      <w:r w:rsidRPr="00344776">
        <w:rPr>
          <w:rStyle w:val="FootnoteReference"/>
        </w:rPr>
        <w:footnoteReference w:id="2"/>
      </w:r>
      <w:r w:rsidRPr="00344776">
        <w:t xml:space="preserve"> between 1 January 2020 and 31 December 2021 was approximately 14.9 million </w:t>
      </w:r>
      <w:r w:rsidRPr="00344776">
        <w:fldChar w:fldCharType="begin"/>
      </w:r>
      <w:r>
        <w:instrText xml:space="preserve"> ADDIN EN.CITE &lt;EndNote&gt;&lt;Cite&gt;&lt;Author&gt;World Health Organization&lt;/Author&gt;&lt;Year&gt;2022&lt;/Year&gt;&lt;RecNum&gt;261&lt;/RecNum&gt;&lt;DisplayText&gt;(World Health Organization 2022a)&lt;/DisplayText&gt;&lt;record&gt;&lt;rec-number&gt;261&lt;/rec-number&gt;&lt;foreign-keys&gt;&lt;key app="EN" db-id="aaepvppzs5wtfse95vsp2wahsrtvva2vvdet" timestamp="1666047268"&gt;261&lt;/key&gt;&lt;/foreign-keys&gt;&lt;ref-type name="Web Page"&gt;12&lt;/ref-type&gt;&lt;contributors&gt;&lt;authors&gt;&lt;author&gt;World Health Organization,&lt;/author&gt;&lt;/authors&gt;&lt;/contributors&gt;&lt;titles&gt;&lt;title&gt;14.9 million excess deaths associated with the COVID-19 pandemic in 2020 and 2021&lt;/title&gt;&lt;/titles&gt;&lt;number&gt;31 October 2022&lt;/number&gt;&lt;dates&gt;&lt;year&gt;2022&lt;/year&gt;&lt;/dates&gt;&lt;urls&gt;&lt;related-urls&gt;&lt;url&gt;https://www.who.int/news/item/05-05-2022-14.9-million-excess-deaths-were-associated-with-the-covid-19-pandemic-in-2020-and-2021&lt;/url&gt;&lt;/related-urls&gt;&lt;/urls&gt;&lt;/record&gt;&lt;/Cite&gt;&lt;/EndNote&gt;</w:instrText>
      </w:r>
      <w:r w:rsidRPr="00344776">
        <w:fldChar w:fldCharType="separate"/>
      </w:r>
      <w:r>
        <w:rPr>
          <w:noProof/>
        </w:rPr>
        <w:t>(World Health Organization 2022a)</w:t>
      </w:r>
      <w:r w:rsidRPr="00344776">
        <w:fldChar w:fldCharType="end"/>
      </w:r>
      <w:r w:rsidRPr="00344776">
        <w:t xml:space="preserve">.  </w:t>
      </w:r>
    </w:p>
    <w:p w14:paraId="5D2202C1" w14:textId="77777777" w:rsidR="00D60D6B" w:rsidRPr="00344776" w:rsidRDefault="00D60D6B" w:rsidP="00D60D6B"/>
    <w:p w14:paraId="73E1FB4E" w14:textId="7CD09288" w:rsidR="00B206F0" w:rsidRPr="00344776" w:rsidRDefault="00D60D6B" w:rsidP="00D60D6B">
      <w:r w:rsidRPr="00344776">
        <w:t>In New Zealand in 2021, there were 10,908 confirmed community cases of COVID-19 and 25 deaths. These were locally acquired cases</w:t>
      </w:r>
      <w:r>
        <w:t>;</w:t>
      </w:r>
      <w:r w:rsidRPr="00344776">
        <w:t xml:space="preserve"> </w:t>
      </w:r>
      <w:r>
        <w:t xml:space="preserve">that is, they were </w:t>
      </w:r>
      <w:r w:rsidRPr="00344776">
        <w:t xml:space="preserve">not associated with overseas travel. In addition, 1,115 overseas-acquired (imported) cases of COVID-19 were detected and managed at the border </w:t>
      </w:r>
      <w:r w:rsidRPr="00344776">
        <w:fldChar w:fldCharType="begin"/>
      </w:r>
      <w:r>
        <w:instrText xml:space="preserve"> ADDIN EN.CITE &lt;EndNote&gt;&lt;Cite&gt;&lt;Author&gt;Ministry of Health&lt;/Author&gt;&lt;Year&gt;2022&lt;/Year&gt;&lt;RecNum&gt;197&lt;/RecNum&gt;&lt;DisplayText&gt;(Ministry of Health 2022d)&lt;/DisplayText&gt;&lt;record&gt;&lt;rec-number&gt;197&lt;/rec-number&gt;&lt;foreign-keys&gt;&lt;key app="EN" db-id="aaepvppzs5wtfse95vsp2wahsrtvva2vvdet" timestamp="1663734623"&gt;197&lt;/key&gt;&lt;/foreign-keys&gt;&lt;ref-type name="Web Page"&gt;12&lt;/ref-type&gt;&lt;contributors&gt;&lt;authors&gt;&lt;author&gt;Ministry of Health,&lt;/author&gt;&lt;/authors&gt;&lt;/contributors&gt;&lt;titles&gt;&lt;title&gt;COVID-19: Minimisation and protection strategy for Aotearoa New Zealand&lt;/title&gt;&lt;/titles&gt;&lt;number&gt;31 October 2022&lt;/number&gt;&lt;dates&gt;&lt;year&gt;2022&lt;/year&gt;&lt;/dates&gt;&lt;urls&gt;&lt;related-urls&gt;&lt;url&gt;https://www.health.govt.nz/covid-19-novel-coronavirus/covid-19-response-planning/covid-19-minimisation-and-protection-strategy-aotearoa-new-zealand&lt;/url&gt;&lt;/related-urls&gt;&lt;/urls&gt;&lt;/record&gt;&lt;/Cite&gt;&lt;/EndNote&gt;</w:instrText>
      </w:r>
      <w:r w:rsidRPr="00344776">
        <w:fldChar w:fldCharType="separate"/>
      </w:r>
      <w:r w:rsidRPr="00344776">
        <w:rPr>
          <w:noProof/>
        </w:rPr>
        <w:t>(Ministry of Health 2022d)</w:t>
      </w:r>
      <w:r w:rsidRPr="00344776">
        <w:fldChar w:fldCharType="end"/>
      </w:r>
      <w:r w:rsidRPr="00344776">
        <w:t xml:space="preserve">. </w:t>
      </w:r>
      <w:r>
        <w:t xml:space="preserve">It should be noted that </w:t>
      </w:r>
      <w:r w:rsidRPr="00344776">
        <w:t>the outbreak of the Omicron variant of COVID-19 did not start in the community in New Zealand until 2022</w:t>
      </w:r>
      <w:r w:rsidR="00B206F0" w:rsidRPr="00344776">
        <w:t xml:space="preserve">. </w:t>
      </w:r>
    </w:p>
    <w:p w14:paraId="3F72DD37" w14:textId="77777777" w:rsidR="00B206F0" w:rsidRPr="00344776" w:rsidRDefault="00B206F0" w:rsidP="00B206F0">
      <w:pPr>
        <w:pStyle w:val="Heading3"/>
      </w:pPr>
      <w:r w:rsidRPr="00344776">
        <w:t xml:space="preserve">The New Zealand COVID-19 management strategy </w:t>
      </w:r>
    </w:p>
    <w:p w14:paraId="6C592064" w14:textId="77777777" w:rsidR="00D60D6B" w:rsidRPr="00344776" w:rsidRDefault="00D60D6B" w:rsidP="00D60D6B">
      <w:r w:rsidRPr="00344776">
        <w:t xml:space="preserve">From the beginning of 2021 through to October </w:t>
      </w:r>
      <w:r>
        <w:t>that year</w:t>
      </w:r>
      <w:r w:rsidRPr="00344776">
        <w:t>, the New Zealand Government continued to employ the elimination strategy for COVID-19 that had been in place for most of 2020. This included using a range of control measures to stop the transmission of COVID</w:t>
      </w:r>
      <w:r>
        <w:t>-</w:t>
      </w:r>
      <w:r w:rsidRPr="00344776">
        <w:t>19</w:t>
      </w:r>
      <w:r>
        <w:t xml:space="preserve">: </w:t>
      </w:r>
      <w:r w:rsidRPr="00344776">
        <w:t>controlling entry at the border, physical distancing, hygiene measures, personal protective equipment (including masks), testing, contact tracing, and isolating cases and close contacts.</w:t>
      </w:r>
    </w:p>
    <w:p w14:paraId="323C8E98" w14:textId="77777777" w:rsidR="00D60D6B" w:rsidRPr="00344776" w:rsidRDefault="00D60D6B" w:rsidP="00D60D6B"/>
    <w:p w14:paraId="7DD33FEB" w14:textId="58373735" w:rsidR="00B206F0" w:rsidRPr="00344776" w:rsidRDefault="00D60D6B" w:rsidP="00D60D6B">
      <w:pPr>
        <w:rPr>
          <w:color w:val="0A6AB4"/>
          <w:spacing w:val="-5"/>
          <w:sz w:val="36"/>
        </w:rPr>
      </w:pPr>
      <w:r w:rsidRPr="00344776">
        <w:t xml:space="preserve">In October 2021, the </w:t>
      </w:r>
      <w:r>
        <w:t>G</w:t>
      </w:r>
      <w:r w:rsidRPr="00344776">
        <w:t xml:space="preserve">overnment transitioned to a minimisation and protection strategy, aimed at keeping the spread of COVID-19 as low as possible, protecting people most at risk of severe disease/outcomes from COVID-19, minimising the impact of COVID-19 on livelihoods and social connections, and supporting the health system to maintain health services </w:t>
      </w:r>
      <w:r w:rsidRPr="00344776">
        <w:fldChar w:fldCharType="begin"/>
      </w:r>
      <w:r>
        <w:instrText xml:space="preserve"> ADDIN EN.CITE &lt;EndNote&gt;&lt;Cite&gt;&lt;Author&gt;Ministry of Health&lt;/Author&gt;&lt;Year&gt;2022&lt;/Year&gt;&lt;RecNum&gt;197&lt;/RecNum&gt;&lt;DisplayText&gt;(Ministry of Health 2022d)&lt;/DisplayText&gt;&lt;record&gt;&lt;rec-number&gt;197&lt;/rec-number&gt;&lt;foreign-keys&gt;&lt;key app="EN" db-id="aaepvppzs5wtfse95vsp2wahsrtvva2vvdet" timestamp="1663734623"&gt;197&lt;/key&gt;&lt;/foreign-keys&gt;&lt;ref-type name="Web Page"&gt;12&lt;/ref-type&gt;&lt;contributors&gt;&lt;authors&gt;&lt;author&gt;Ministry of Health,&lt;/author&gt;&lt;/authors&gt;&lt;/contributors&gt;&lt;titles&gt;&lt;title&gt;COVID-19: Minimisation and protection strategy for Aotearoa New Zealand&lt;/title&gt;&lt;/titles&gt;&lt;number&gt;31 October 2022&lt;/number&gt;&lt;dates&gt;&lt;year&gt;2022&lt;/year&gt;&lt;/dates&gt;&lt;urls&gt;&lt;related-urls&gt;&lt;url&gt;https://www.health.govt.nz/covid-19-novel-coronavirus/covid-19-response-planning/covid-19-minimisation-and-protection-strategy-aotearoa-new-zealand&lt;/url&gt;&lt;/related-urls&gt;&lt;/urls&gt;&lt;/record&gt;&lt;/Cite&gt;&lt;/EndNote&gt;</w:instrText>
      </w:r>
      <w:r w:rsidRPr="00344776">
        <w:fldChar w:fldCharType="separate"/>
      </w:r>
      <w:r w:rsidRPr="00344776">
        <w:rPr>
          <w:noProof/>
        </w:rPr>
        <w:t>(Ministry of Health 2022d)</w:t>
      </w:r>
      <w:r w:rsidRPr="00344776">
        <w:fldChar w:fldCharType="end"/>
      </w:r>
      <w:r w:rsidR="00B206F0" w:rsidRPr="00344776">
        <w:t xml:space="preserve">. </w:t>
      </w:r>
    </w:p>
    <w:p w14:paraId="2C4825AA" w14:textId="77777777" w:rsidR="00B206F0" w:rsidRPr="00344776" w:rsidRDefault="00B206F0" w:rsidP="00B206F0">
      <w:pPr>
        <w:pStyle w:val="Heading3"/>
      </w:pPr>
      <w:r w:rsidRPr="00344776">
        <w:lastRenderedPageBreak/>
        <w:t xml:space="preserve">Timeline of events </w:t>
      </w:r>
    </w:p>
    <w:p w14:paraId="66D9B802" w14:textId="77EFD8C6" w:rsidR="00B206F0" w:rsidRDefault="00B206F0" w:rsidP="00B206F0">
      <w:r w:rsidRPr="00344776">
        <w:t xml:space="preserve">The following table shows New Zealand </w:t>
      </w:r>
      <w:r>
        <w:t xml:space="preserve">COVID-19-related </w:t>
      </w:r>
      <w:r w:rsidRPr="00344776">
        <w:t xml:space="preserve">events and responses throughout 2021. </w:t>
      </w:r>
    </w:p>
    <w:p w14:paraId="475C15BF" w14:textId="77777777" w:rsidR="00587306" w:rsidRPr="00344776" w:rsidRDefault="00587306" w:rsidP="00B206F0"/>
    <w:p w14:paraId="29E6605F" w14:textId="64654C74" w:rsidR="00B206F0" w:rsidRPr="00963565" w:rsidRDefault="00B206F0" w:rsidP="00963565">
      <w:pPr>
        <w:pStyle w:val="Caption"/>
      </w:pPr>
      <w:bookmarkStart w:id="60" w:name="_Toc118446264"/>
      <w:bookmarkStart w:id="61" w:name="_Toc119047794"/>
      <w:r w:rsidRPr="00963565">
        <w:t xml:space="preserve">Table </w:t>
      </w:r>
      <w:r w:rsidRPr="00963565">
        <w:fldChar w:fldCharType="begin"/>
      </w:r>
      <w:r w:rsidRPr="00963565">
        <w:instrText>SEQ Table \* ARABIC</w:instrText>
      </w:r>
      <w:r w:rsidRPr="00963565">
        <w:fldChar w:fldCharType="separate"/>
      </w:r>
      <w:r w:rsidR="00F61845">
        <w:rPr>
          <w:noProof/>
        </w:rPr>
        <w:t>3</w:t>
      </w:r>
      <w:r w:rsidRPr="00963565">
        <w:fldChar w:fldCharType="end"/>
      </w:r>
      <w:r w:rsidRPr="00963565">
        <w:t>: New Zealand timeline of major COVID-19 events, 2021</w:t>
      </w:r>
      <w:bookmarkEnd w:id="60"/>
      <w:bookmarkEnd w:id="61"/>
    </w:p>
    <w:tbl>
      <w:tblPr>
        <w:tblW w:w="4931" w:type="pct"/>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994"/>
        <w:gridCol w:w="1778"/>
        <w:gridCol w:w="2100"/>
        <w:gridCol w:w="2096"/>
      </w:tblGrid>
      <w:tr w:rsidR="00B206F0" w:rsidRPr="00587306" w14:paraId="08AF09F4" w14:textId="77777777" w:rsidTr="00B51E1F">
        <w:trPr>
          <w:cantSplit/>
        </w:trPr>
        <w:tc>
          <w:tcPr>
            <w:tcW w:w="1251" w:type="pct"/>
            <w:tcBorders>
              <w:top w:val="nil"/>
              <w:bottom w:val="nil"/>
            </w:tcBorders>
            <w:shd w:val="clear" w:color="auto" w:fill="D9D9D9" w:themeFill="background1" w:themeFillShade="D9"/>
            <w:noWrap/>
            <w:hideMark/>
          </w:tcPr>
          <w:p w14:paraId="060BF887" w14:textId="77777777" w:rsidR="00B206F0" w:rsidRPr="00587306" w:rsidRDefault="00B206F0" w:rsidP="00051D54">
            <w:pPr>
              <w:pStyle w:val="TableText"/>
              <w:ind w:right="57"/>
              <w:rPr>
                <w:b/>
                <w:szCs w:val="18"/>
                <w:lang w:eastAsia="en-NZ"/>
              </w:rPr>
            </w:pPr>
            <w:r w:rsidRPr="00587306">
              <w:rPr>
                <w:b/>
                <w:szCs w:val="18"/>
                <w:lang w:eastAsia="en-NZ"/>
              </w:rPr>
              <w:t>January</w:t>
            </w:r>
          </w:p>
        </w:tc>
        <w:tc>
          <w:tcPr>
            <w:tcW w:w="1116" w:type="pct"/>
            <w:tcBorders>
              <w:top w:val="nil"/>
              <w:bottom w:val="nil"/>
            </w:tcBorders>
            <w:shd w:val="clear" w:color="auto" w:fill="D9D9D9" w:themeFill="background1" w:themeFillShade="D9"/>
            <w:noWrap/>
            <w:hideMark/>
          </w:tcPr>
          <w:p w14:paraId="144A089F" w14:textId="77777777" w:rsidR="00B206F0" w:rsidRPr="00587306" w:rsidRDefault="00B206F0" w:rsidP="00051D54">
            <w:pPr>
              <w:pStyle w:val="TableText"/>
              <w:ind w:right="57"/>
              <w:rPr>
                <w:b/>
                <w:szCs w:val="18"/>
                <w:lang w:eastAsia="en-NZ"/>
              </w:rPr>
            </w:pPr>
            <w:r w:rsidRPr="00587306">
              <w:rPr>
                <w:b/>
                <w:szCs w:val="18"/>
                <w:lang w:eastAsia="en-NZ"/>
              </w:rPr>
              <w:t>February</w:t>
            </w:r>
          </w:p>
        </w:tc>
        <w:tc>
          <w:tcPr>
            <w:tcW w:w="1318" w:type="pct"/>
            <w:tcBorders>
              <w:top w:val="nil"/>
              <w:bottom w:val="nil"/>
            </w:tcBorders>
            <w:shd w:val="clear" w:color="auto" w:fill="D9D9D9" w:themeFill="background1" w:themeFillShade="D9"/>
            <w:noWrap/>
            <w:hideMark/>
          </w:tcPr>
          <w:p w14:paraId="77396A5D" w14:textId="77777777" w:rsidR="00B206F0" w:rsidRPr="00587306" w:rsidRDefault="00B206F0" w:rsidP="00051D54">
            <w:pPr>
              <w:pStyle w:val="TableText"/>
              <w:ind w:right="57"/>
              <w:rPr>
                <w:b/>
                <w:szCs w:val="18"/>
                <w:lang w:eastAsia="en-NZ"/>
              </w:rPr>
            </w:pPr>
            <w:r w:rsidRPr="00587306">
              <w:rPr>
                <w:b/>
                <w:szCs w:val="18"/>
                <w:lang w:eastAsia="en-NZ"/>
              </w:rPr>
              <w:t>March</w:t>
            </w:r>
          </w:p>
        </w:tc>
        <w:tc>
          <w:tcPr>
            <w:tcW w:w="1315" w:type="pct"/>
            <w:tcBorders>
              <w:top w:val="nil"/>
              <w:bottom w:val="nil"/>
            </w:tcBorders>
            <w:shd w:val="clear" w:color="auto" w:fill="D9D9D9" w:themeFill="background1" w:themeFillShade="D9"/>
            <w:noWrap/>
            <w:hideMark/>
          </w:tcPr>
          <w:p w14:paraId="70B2713C" w14:textId="77777777" w:rsidR="00B206F0" w:rsidRPr="00587306" w:rsidRDefault="00B206F0" w:rsidP="00051D54">
            <w:pPr>
              <w:pStyle w:val="TableText"/>
              <w:rPr>
                <w:b/>
                <w:szCs w:val="18"/>
                <w:lang w:eastAsia="en-NZ"/>
              </w:rPr>
            </w:pPr>
            <w:r w:rsidRPr="00587306">
              <w:rPr>
                <w:b/>
                <w:szCs w:val="18"/>
                <w:lang w:eastAsia="en-NZ"/>
              </w:rPr>
              <w:t>April</w:t>
            </w:r>
          </w:p>
        </w:tc>
      </w:tr>
      <w:tr w:rsidR="00B206F0" w:rsidRPr="00587306" w14:paraId="5E63CB2E" w14:textId="77777777" w:rsidTr="00B51E1F">
        <w:trPr>
          <w:cantSplit/>
        </w:trPr>
        <w:tc>
          <w:tcPr>
            <w:tcW w:w="1251" w:type="pct"/>
            <w:tcBorders>
              <w:top w:val="nil"/>
              <w:bottom w:val="nil"/>
            </w:tcBorders>
            <w:shd w:val="clear" w:color="auto" w:fill="auto"/>
            <w:noWrap/>
            <w:hideMark/>
          </w:tcPr>
          <w:p w14:paraId="3E1D928F" w14:textId="77777777" w:rsidR="00B206F0" w:rsidRPr="00587306" w:rsidRDefault="00B206F0" w:rsidP="00051D54">
            <w:pPr>
              <w:pStyle w:val="TableText"/>
              <w:ind w:right="57"/>
              <w:rPr>
                <w:szCs w:val="18"/>
                <w:lang w:eastAsia="en-NZ"/>
              </w:rPr>
            </w:pPr>
          </w:p>
        </w:tc>
        <w:tc>
          <w:tcPr>
            <w:tcW w:w="1116" w:type="pct"/>
            <w:tcBorders>
              <w:top w:val="nil"/>
              <w:bottom w:val="nil"/>
            </w:tcBorders>
            <w:shd w:val="clear" w:color="auto" w:fill="auto"/>
            <w:noWrap/>
          </w:tcPr>
          <w:p w14:paraId="0F8C4547" w14:textId="77777777" w:rsidR="00B206F0" w:rsidRPr="00587306" w:rsidRDefault="00B206F0" w:rsidP="00051D54">
            <w:pPr>
              <w:pStyle w:val="TableText"/>
              <w:ind w:right="57"/>
              <w:rPr>
                <w:szCs w:val="18"/>
                <w:lang w:eastAsia="en-NZ"/>
              </w:rPr>
            </w:pPr>
            <w:r w:rsidRPr="00587306">
              <w:rPr>
                <w:b/>
                <w:bCs/>
                <w:szCs w:val="18"/>
                <w:lang w:eastAsia="en-NZ"/>
              </w:rPr>
              <w:t>14:</w:t>
            </w:r>
            <w:r w:rsidRPr="00587306">
              <w:rPr>
                <w:szCs w:val="18"/>
                <w:lang w:eastAsia="en-NZ"/>
              </w:rPr>
              <w:t xml:space="preserve"> 3 new community cases</w:t>
            </w:r>
          </w:p>
          <w:p w14:paraId="134A79A8" w14:textId="77777777" w:rsidR="00B206F0" w:rsidRPr="00587306" w:rsidRDefault="00B206F0" w:rsidP="00051D54">
            <w:pPr>
              <w:pStyle w:val="TableText"/>
              <w:ind w:right="57"/>
              <w:rPr>
                <w:szCs w:val="18"/>
                <w:lang w:eastAsia="en-NZ"/>
              </w:rPr>
            </w:pPr>
            <w:r w:rsidRPr="00587306">
              <w:rPr>
                <w:b/>
                <w:bCs/>
                <w:szCs w:val="18"/>
                <w:lang w:eastAsia="en-NZ"/>
              </w:rPr>
              <w:t>14</w:t>
            </w:r>
            <w:r w:rsidRPr="00587306">
              <w:rPr>
                <w:b/>
                <w:szCs w:val="18"/>
                <w:lang w:eastAsia="en-NZ"/>
              </w:rPr>
              <w:t>:</w:t>
            </w:r>
            <w:r w:rsidRPr="00587306">
              <w:rPr>
                <w:szCs w:val="18"/>
                <w:lang w:eastAsia="en-NZ"/>
              </w:rPr>
              <w:t xml:space="preserve"> Auckland at alert level 3; rest of New Zealand at alert level 2 </w:t>
            </w:r>
          </w:p>
          <w:p w14:paraId="2B29D2BC" w14:textId="77777777" w:rsidR="00B206F0" w:rsidRPr="00587306" w:rsidRDefault="00B206F0" w:rsidP="00051D54">
            <w:pPr>
              <w:pStyle w:val="TableText"/>
              <w:ind w:right="57"/>
              <w:rPr>
                <w:szCs w:val="18"/>
                <w:lang w:eastAsia="en-NZ"/>
              </w:rPr>
            </w:pPr>
            <w:r w:rsidRPr="00587306">
              <w:rPr>
                <w:b/>
                <w:bCs/>
                <w:szCs w:val="18"/>
                <w:lang w:eastAsia="en-NZ"/>
              </w:rPr>
              <w:t xml:space="preserve">15: </w:t>
            </w:r>
            <w:r w:rsidRPr="00587306">
              <w:rPr>
                <w:szCs w:val="18"/>
                <w:lang w:eastAsia="en-NZ"/>
              </w:rPr>
              <w:t>First COVID-19 vaccine arrives in New Zealand</w:t>
            </w:r>
          </w:p>
        </w:tc>
        <w:tc>
          <w:tcPr>
            <w:tcW w:w="1318" w:type="pct"/>
            <w:tcBorders>
              <w:top w:val="nil"/>
              <w:bottom w:val="nil"/>
            </w:tcBorders>
            <w:shd w:val="clear" w:color="auto" w:fill="auto"/>
            <w:noWrap/>
          </w:tcPr>
          <w:p w14:paraId="7E8652AE" w14:textId="77777777" w:rsidR="00B206F0" w:rsidRPr="00587306" w:rsidRDefault="00B206F0" w:rsidP="00051D54">
            <w:pPr>
              <w:pStyle w:val="TableText"/>
              <w:ind w:right="57"/>
              <w:rPr>
                <w:szCs w:val="18"/>
                <w:lang w:eastAsia="en-NZ"/>
              </w:rPr>
            </w:pPr>
            <w:r w:rsidRPr="00587306">
              <w:rPr>
                <w:b/>
                <w:bCs/>
                <w:szCs w:val="18"/>
                <w:lang w:eastAsia="en-NZ"/>
              </w:rPr>
              <w:t>7:</w:t>
            </w:r>
            <w:r w:rsidRPr="00587306">
              <w:rPr>
                <w:szCs w:val="18"/>
                <w:lang w:eastAsia="en-NZ"/>
              </w:rPr>
              <w:t xml:space="preserve">  Auckland at level 2; rest of New Zealand at alert level 1</w:t>
            </w:r>
          </w:p>
          <w:p w14:paraId="021EDBFE" w14:textId="77777777" w:rsidR="00B206F0" w:rsidRPr="00587306" w:rsidRDefault="00B206F0" w:rsidP="00051D54">
            <w:pPr>
              <w:pStyle w:val="TableText"/>
              <w:ind w:right="57"/>
              <w:rPr>
                <w:szCs w:val="18"/>
                <w:lang w:eastAsia="en-NZ"/>
              </w:rPr>
            </w:pPr>
            <w:r w:rsidRPr="00587306">
              <w:rPr>
                <w:b/>
                <w:bCs/>
                <w:szCs w:val="18"/>
                <w:lang w:eastAsia="en-NZ"/>
              </w:rPr>
              <w:t>12:</w:t>
            </w:r>
            <w:r w:rsidRPr="00587306">
              <w:rPr>
                <w:szCs w:val="18"/>
                <w:lang w:eastAsia="en-NZ"/>
              </w:rPr>
              <w:t xml:space="preserve"> Auckland at alert level 1</w:t>
            </w:r>
          </w:p>
        </w:tc>
        <w:tc>
          <w:tcPr>
            <w:tcW w:w="1315" w:type="pct"/>
            <w:tcBorders>
              <w:top w:val="nil"/>
              <w:bottom w:val="nil"/>
            </w:tcBorders>
            <w:shd w:val="clear" w:color="auto" w:fill="auto"/>
            <w:noWrap/>
          </w:tcPr>
          <w:p w14:paraId="74EA5FA2" w14:textId="77777777" w:rsidR="00B206F0" w:rsidRPr="00587306" w:rsidRDefault="00B206F0" w:rsidP="00051D54">
            <w:pPr>
              <w:pStyle w:val="TableText"/>
              <w:rPr>
                <w:szCs w:val="18"/>
                <w:lang w:eastAsia="en-NZ"/>
              </w:rPr>
            </w:pPr>
            <w:r w:rsidRPr="00587306">
              <w:rPr>
                <w:b/>
                <w:bCs/>
                <w:szCs w:val="18"/>
                <w:lang w:eastAsia="en-NZ"/>
              </w:rPr>
              <w:t xml:space="preserve">19: </w:t>
            </w:r>
            <w:r w:rsidRPr="00587306">
              <w:rPr>
                <w:szCs w:val="18"/>
                <w:lang w:eastAsia="en-NZ"/>
              </w:rPr>
              <w:t xml:space="preserve">Quarantine-free travel starts from New Zealand to Australia </w:t>
            </w:r>
          </w:p>
        </w:tc>
      </w:tr>
      <w:tr w:rsidR="00B206F0" w:rsidRPr="00587306" w14:paraId="23255537" w14:textId="77777777" w:rsidTr="00B51E1F">
        <w:trPr>
          <w:cantSplit/>
        </w:trPr>
        <w:tc>
          <w:tcPr>
            <w:tcW w:w="1251" w:type="pct"/>
            <w:tcBorders>
              <w:top w:val="nil"/>
              <w:bottom w:val="nil"/>
            </w:tcBorders>
            <w:shd w:val="clear" w:color="auto" w:fill="D9D9D9" w:themeFill="background1" w:themeFillShade="D9"/>
            <w:noWrap/>
          </w:tcPr>
          <w:p w14:paraId="357681E6" w14:textId="77777777" w:rsidR="00B206F0" w:rsidRPr="00587306" w:rsidRDefault="00B206F0" w:rsidP="00051D54">
            <w:pPr>
              <w:pStyle w:val="TableText"/>
              <w:ind w:right="57"/>
              <w:rPr>
                <w:b/>
                <w:szCs w:val="18"/>
                <w:lang w:eastAsia="en-NZ"/>
              </w:rPr>
            </w:pPr>
            <w:r w:rsidRPr="00587306">
              <w:rPr>
                <w:b/>
                <w:szCs w:val="18"/>
                <w:lang w:eastAsia="en-NZ"/>
              </w:rPr>
              <w:t>May</w:t>
            </w:r>
          </w:p>
        </w:tc>
        <w:tc>
          <w:tcPr>
            <w:tcW w:w="1116" w:type="pct"/>
            <w:tcBorders>
              <w:top w:val="nil"/>
              <w:bottom w:val="nil"/>
            </w:tcBorders>
            <w:shd w:val="clear" w:color="auto" w:fill="D9D9D9" w:themeFill="background1" w:themeFillShade="D9"/>
            <w:noWrap/>
          </w:tcPr>
          <w:p w14:paraId="1E621465" w14:textId="77777777" w:rsidR="00B206F0" w:rsidRPr="00587306" w:rsidRDefault="00B206F0" w:rsidP="00051D54">
            <w:pPr>
              <w:pStyle w:val="TableText"/>
              <w:ind w:right="57"/>
              <w:rPr>
                <w:b/>
                <w:szCs w:val="18"/>
                <w:lang w:eastAsia="en-NZ"/>
              </w:rPr>
            </w:pPr>
            <w:r w:rsidRPr="00587306">
              <w:rPr>
                <w:b/>
                <w:szCs w:val="18"/>
                <w:lang w:eastAsia="en-NZ"/>
              </w:rPr>
              <w:t>June</w:t>
            </w:r>
          </w:p>
        </w:tc>
        <w:tc>
          <w:tcPr>
            <w:tcW w:w="1318" w:type="pct"/>
            <w:tcBorders>
              <w:top w:val="nil"/>
              <w:bottom w:val="nil"/>
            </w:tcBorders>
            <w:shd w:val="clear" w:color="auto" w:fill="D9D9D9" w:themeFill="background1" w:themeFillShade="D9"/>
            <w:noWrap/>
          </w:tcPr>
          <w:p w14:paraId="33B5373E" w14:textId="77777777" w:rsidR="00B206F0" w:rsidRPr="00587306" w:rsidRDefault="00B206F0" w:rsidP="00051D54">
            <w:pPr>
              <w:pStyle w:val="TableText"/>
              <w:ind w:right="57"/>
              <w:rPr>
                <w:b/>
                <w:szCs w:val="18"/>
                <w:lang w:eastAsia="en-NZ"/>
              </w:rPr>
            </w:pPr>
            <w:r w:rsidRPr="00587306">
              <w:rPr>
                <w:b/>
                <w:szCs w:val="18"/>
                <w:lang w:eastAsia="en-NZ"/>
              </w:rPr>
              <w:t>July</w:t>
            </w:r>
          </w:p>
        </w:tc>
        <w:tc>
          <w:tcPr>
            <w:tcW w:w="1315" w:type="pct"/>
            <w:tcBorders>
              <w:top w:val="nil"/>
              <w:bottom w:val="nil"/>
            </w:tcBorders>
            <w:shd w:val="clear" w:color="auto" w:fill="D9D9D9" w:themeFill="background1" w:themeFillShade="D9"/>
            <w:noWrap/>
          </w:tcPr>
          <w:p w14:paraId="4A15031D" w14:textId="77777777" w:rsidR="00B206F0" w:rsidRPr="00587306" w:rsidRDefault="00B206F0" w:rsidP="00051D54">
            <w:pPr>
              <w:pStyle w:val="TableText"/>
              <w:rPr>
                <w:b/>
                <w:szCs w:val="18"/>
                <w:lang w:eastAsia="en-NZ"/>
              </w:rPr>
            </w:pPr>
            <w:r w:rsidRPr="00587306">
              <w:rPr>
                <w:b/>
                <w:szCs w:val="18"/>
                <w:lang w:eastAsia="en-NZ"/>
              </w:rPr>
              <w:t>August</w:t>
            </w:r>
          </w:p>
        </w:tc>
      </w:tr>
      <w:tr w:rsidR="00B206F0" w:rsidRPr="00587306" w14:paraId="21508C22" w14:textId="77777777" w:rsidTr="00B51E1F">
        <w:trPr>
          <w:cantSplit/>
        </w:trPr>
        <w:tc>
          <w:tcPr>
            <w:tcW w:w="1251" w:type="pct"/>
            <w:tcBorders>
              <w:top w:val="nil"/>
              <w:bottom w:val="nil"/>
            </w:tcBorders>
            <w:shd w:val="clear" w:color="auto" w:fill="auto"/>
            <w:noWrap/>
          </w:tcPr>
          <w:p w14:paraId="6A42E51C" w14:textId="77777777" w:rsidR="00B206F0" w:rsidRPr="00587306" w:rsidRDefault="00B206F0" w:rsidP="00051D54">
            <w:pPr>
              <w:pStyle w:val="TableText"/>
              <w:ind w:right="57"/>
              <w:rPr>
                <w:szCs w:val="18"/>
                <w:lang w:eastAsia="en-NZ"/>
              </w:rPr>
            </w:pPr>
          </w:p>
        </w:tc>
        <w:tc>
          <w:tcPr>
            <w:tcW w:w="1116" w:type="pct"/>
            <w:tcBorders>
              <w:top w:val="nil"/>
              <w:bottom w:val="nil"/>
            </w:tcBorders>
            <w:shd w:val="clear" w:color="auto" w:fill="auto"/>
            <w:noWrap/>
          </w:tcPr>
          <w:p w14:paraId="235C63FA" w14:textId="77777777" w:rsidR="00B206F0" w:rsidRPr="00587306" w:rsidRDefault="00B206F0" w:rsidP="00051D54">
            <w:pPr>
              <w:pStyle w:val="TableText"/>
              <w:ind w:right="57"/>
              <w:rPr>
                <w:szCs w:val="18"/>
                <w:lang w:eastAsia="en-NZ"/>
              </w:rPr>
            </w:pPr>
            <w:r w:rsidRPr="00587306">
              <w:rPr>
                <w:b/>
                <w:bCs/>
                <w:szCs w:val="18"/>
                <w:lang w:eastAsia="en-NZ"/>
              </w:rPr>
              <w:t xml:space="preserve">23: </w:t>
            </w:r>
            <w:r w:rsidRPr="00587306">
              <w:rPr>
                <w:szCs w:val="18"/>
                <w:lang w:eastAsia="en-NZ"/>
              </w:rPr>
              <w:t>Wellington at alert level 2</w:t>
            </w:r>
          </w:p>
          <w:p w14:paraId="2A742A84" w14:textId="77777777" w:rsidR="00B206F0" w:rsidRPr="00587306" w:rsidRDefault="00B206F0" w:rsidP="00051D54">
            <w:pPr>
              <w:pStyle w:val="TableText"/>
              <w:ind w:right="57"/>
              <w:rPr>
                <w:szCs w:val="18"/>
                <w:lang w:eastAsia="en-NZ"/>
              </w:rPr>
            </w:pPr>
            <w:r w:rsidRPr="00587306">
              <w:rPr>
                <w:b/>
                <w:bCs/>
                <w:szCs w:val="18"/>
                <w:lang w:eastAsia="en-NZ"/>
              </w:rPr>
              <w:t xml:space="preserve">29: </w:t>
            </w:r>
            <w:r w:rsidRPr="00587306">
              <w:rPr>
                <w:szCs w:val="18"/>
                <w:lang w:eastAsia="en-NZ"/>
              </w:rPr>
              <w:t>Wellington joins rest of New Zealand on alert level 1</w:t>
            </w:r>
          </w:p>
        </w:tc>
        <w:tc>
          <w:tcPr>
            <w:tcW w:w="1318" w:type="pct"/>
            <w:tcBorders>
              <w:top w:val="nil"/>
              <w:bottom w:val="nil"/>
            </w:tcBorders>
            <w:shd w:val="clear" w:color="auto" w:fill="auto"/>
            <w:noWrap/>
          </w:tcPr>
          <w:p w14:paraId="458FC260" w14:textId="77777777" w:rsidR="00B206F0" w:rsidRPr="00587306" w:rsidRDefault="00B206F0" w:rsidP="00051D54">
            <w:pPr>
              <w:pStyle w:val="TableText"/>
              <w:ind w:right="57"/>
              <w:rPr>
                <w:szCs w:val="18"/>
                <w:lang w:eastAsia="en-NZ"/>
              </w:rPr>
            </w:pPr>
            <w:r w:rsidRPr="00587306">
              <w:rPr>
                <w:b/>
                <w:bCs/>
                <w:szCs w:val="18"/>
                <w:lang w:eastAsia="en-NZ"/>
              </w:rPr>
              <w:t xml:space="preserve">23: </w:t>
            </w:r>
            <w:r w:rsidRPr="00587306">
              <w:rPr>
                <w:szCs w:val="18"/>
                <w:lang w:eastAsia="en-NZ"/>
              </w:rPr>
              <w:t>New Zealand pauses quarantine-free travel with Australia</w:t>
            </w:r>
          </w:p>
        </w:tc>
        <w:tc>
          <w:tcPr>
            <w:tcW w:w="1315" w:type="pct"/>
            <w:tcBorders>
              <w:top w:val="nil"/>
              <w:bottom w:val="nil"/>
            </w:tcBorders>
            <w:shd w:val="clear" w:color="auto" w:fill="auto"/>
            <w:noWrap/>
          </w:tcPr>
          <w:p w14:paraId="3720AE19" w14:textId="77777777" w:rsidR="00B206F0" w:rsidRPr="00587306" w:rsidRDefault="00B206F0" w:rsidP="00051D54">
            <w:pPr>
              <w:pStyle w:val="TableText"/>
              <w:rPr>
                <w:szCs w:val="18"/>
                <w:lang w:eastAsia="en-NZ"/>
              </w:rPr>
            </w:pPr>
            <w:r w:rsidRPr="00587306">
              <w:rPr>
                <w:b/>
                <w:szCs w:val="18"/>
                <w:lang w:eastAsia="en-NZ"/>
              </w:rPr>
              <w:t>17</w:t>
            </w:r>
            <w:r w:rsidRPr="00587306">
              <w:rPr>
                <w:szCs w:val="18"/>
                <w:lang w:eastAsia="en-NZ"/>
              </w:rPr>
              <w:t>: All New Zealand at alert level 4 following community case of presumed Delta variant</w:t>
            </w:r>
          </w:p>
          <w:p w14:paraId="7BC3CB05" w14:textId="77777777" w:rsidR="00B206F0" w:rsidRPr="00587306" w:rsidRDefault="00B206F0" w:rsidP="00051D54">
            <w:pPr>
              <w:pStyle w:val="TableText"/>
              <w:ind w:right="57"/>
              <w:rPr>
                <w:szCs w:val="18"/>
                <w:lang w:eastAsia="en-NZ"/>
              </w:rPr>
            </w:pPr>
            <w:r w:rsidRPr="00587306">
              <w:rPr>
                <w:b/>
                <w:bCs/>
                <w:szCs w:val="18"/>
                <w:lang w:eastAsia="en-NZ"/>
              </w:rPr>
              <w:t>31:</w:t>
            </w:r>
            <w:r w:rsidRPr="00587306">
              <w:rPr>
                <w:szCs w:val="18"/>
                <w:lang w:eastAsia="en-NZ"/>
              </w:rPr>
              <w:t xml:space="preserve"> Auckland and Northland stay at alert level 4; rest of New Zealand at level 3</w:t>
            </w:r>
          </w:p>
        </w:tc>
      </w:tr>
      <w:tr w:rsidR="00B206F0" w:rsidRPr="00587306" w14:paraId="77B8A3FF" w14:textId="77777777" w:rsidTr="00B51E1F">
        <w:trPr>
          <w:cantSplit/>
        </w:trPr>
        <w:tc>
          <w:tcPr>
            <w:tcW w:w="1251" w:type="pct"/>
            <w:tcBorders>
              <w:top w:val="nil"/>
              <w:bottom w:val="nil"/>
            </w:tcBorders>
            <w:shd w:val="clear" w:color="auto" w:fill="D9D9D9" w:themeFill="background1" w:themeFillShade="D9"/>
            <w:noWrap/>
          </w:tcPr>
          <w:p w14:paraId="2A1CBE02" w14:textId="77777777" w:rsidR="00B206F0" w:rsidRPr="00587306" w:rsidRDefault="00B206F0" w:rsidP="00051D54">
            <w:pPr>
              <w:pStyle w:val="TableText"/>
              <w:ind w:right="57"/>
              <w:rPr>
                <w:b/>
                <w:szCs w:val="18"/>
                <w:lang w:eastAsia="en-NZ"/>
              </w:rPr>
            </w:pPr>
            <w:r w:rsidRPr="00587306">
              <w:rPr>
                <w:b/>
                <w:szCs w:val="18"/>
                <w:lang w:eastAsia="en-NZ"/>
              </w:rPr>
              <w:t>September</w:t>
            </w:r>
          </w:p>
        </w:tc>
        <w:tc>
          <w:tcPr>
            <w:tcW w:w="1116" w:type="pct"/>
            <w:tcBorders>
              <w:top w:val="nil"/>
              <w:bottom w:val="nil"/>
            </w:tcBorders>
            <w:shd w:val="clear" w:color="auto" w:fill="D9D9D9" w:themeFill="background1" w:themeFillShade="D9"/>
            <w:noWrap/>
          </w:tcPr>
          <w:p w14:paraId="2BB21B69" w14:textId="77777777" w:rsidR="00B206F0" w:rsidRPr="00587306" w:rsidRDefault="00B206F0" w:rsidP="00051D54">
            <w:pPr>
              <w:pStyle w:val="TableText"/>
              <w:ind w:right="57"/>
              <w:rPr>
                <w:b/>
                <w:szCs w:val="18"/>
                <w:lang w:eastAsia="en-NZ"/>
              </w:rPr>
            </w:pPr>
            <w:r w:rsidRPr="00587306">
              <w:rPr>
                <w:b/>
                <w:szCs w:val="18"/>
                <w:lang w:eastAsia="en-NZ"/>
              </w:rPr>
              <w:t>October</w:t>
            </w:r>
          </w:p>
        </w:tc>
        <w:tc>
          <w:tcPr>
            <w:tcW w:w="1318" w:type="pct"/>
            <w:tcBorders>
              <w:top w:val="nil"/>
              <w:bottom w:val="nil"/>
            </w:tcBorders>
            <w:shd w:val="clear" w:color="auto" w:fill="D9D9D9" w:themeFill="background1" w:themeFillShade="D9"/>
            <w:noWrap/>
          </w:tcPr>
          <w:p w14:paraId="6AD245F6" w14:textId="77777777" w:rsidR="00B206F0" w:rsidRPr="00587306" w:rsidRDefault="00B206F0" w:rsidP="00051D54">
            <w:pPr>
              <w:pStyle w:val="TableText"/>
              <w:ind w:right="57"/>
              <w:rPr>
                <w:b/>
                <w:szCs w:val="18"/>
                <w:lang w:eastAsia="en-NZ"/>
              </w:rPr>
            </w:pPr>
            <w:r w:rsidRPr="00587306">
              <w:rPr>
                <w:b/>
                <w:szCs w:val="18"/>
                <w:lang w:eastAsia="en-NZ"/>
              </w:rPr>
              <w:t>November</w:t>
            </w:r>
          </w:p>
        </w:tc>
        <w:tc>
          <w:tcPr>
            <w:tcW w:w="1315" w:type="pct"/>
            <w:tcBorders>
              <w:top w:val="nil"/>
              <w:bottom w:val="nil"/>
            </w:tcBorders>
            <w:shd w:val="clear" w:color="auto" w:fill="D9D9D9" w:themeFill="background1" w:themeFillShade="D9"/>
            <w:noWrap/>
          </w:tcPr>
          <w:p w14:paraId="1FD2DEC3" w14:textId="77777777" w:rsidR="00B206F0" w:rsidRPr="00587306" w:rsidRDefault="00B206F0" w:rsidP="00051D54">
            <w:pPr>
              <w:pStyle w:val="TableText"/>
              <w:rPr>
                <w:b/>
                <w:szCs w:val="18"/>
                <w:lang w:eastAsia="en-NZ"/>
              </w:rPr>
            </w:pPr>
            <w:r w:rsidRPr="00587306">
              <w:rPr>
                <w:b/>
                <w:szCs w:val="18"/>
                <w:lang w:eastAsia="en-NZ"/>
              </w:rPr>
              <w:t>December</w:t>
            </w:r>
          </w:p>
        </w:tc>
      </w:tr>
      <w:tr w:rsidR="00B206F0" w:rsidRPr="00587306" w14:paraId="2E5E599F" w14:textId="77777777" w:rsidTr="00B51E1F">
        <w:trPr>
          <w:cantSplit/>
        </w:trPr>
        <w:tc>
          <w:tcPr>
            <w:tcW w:w="1251" w:type="pct"/>
            <w:tcBorders>
              <w:top w:val="nil"/>
            </w:tcBorders>
            <w:shd w:val="clear" w:color="auto" w:fill="auto"/>
            <w:noWrap/>
          </w:tcPr>
          <w:p w14:paraId="01786095" w14:textId="77777777" w:rsidR="00B206F0" w:rsidRPr="00587306" w:rsidRDefault="00B206F0" w:rsidP="00051D54">
            <w:pPr>
              <w:pStyle w:val="TableText"/>
              <w:ind w:right="57"/>
              <w:rPr>
                <w:szCs w:val="18"/>
                <w:lang w:eastAsia="en-NZ"/>
              </w:rPr>
            </w:pPr>
            <w:r w:rsidRPr="00587306">
              <w:rPr>
                <w:b/>
                <w:bCs/>
                <w:szCs w:val="18"/>
                <w:lang w:eastAsia="en-NZ"/>
              </w:rPr>
              <w:t>7:</w:t>
            </w:r>
            <w:r w:rsidRPr="00587306">
              <w:rPr>
                <w:szCs w:val="18"/>
                <w:lang w:eastAsia="en-NZ"/>
              </w:rPr>
              <w:t xml:space="preserve"> All New Zealand except Auckland at alert level 2 </w:t>
            </w:r>
          </w:p>
          <w:p w14:paraId="021DD9D2" w14:textId="77777777" w:rsidR="00B206F0" w:rsidRPr="00587306" w:rsidRDefault="00B206F0" w:rsidP="00051D54">
            <w:pPr>
              <w:pStyle w:val="TableText"/>
              <w:ind w:right="57"/>
              <w:rPr>
                <w:szCs w:val="18"/>
                <w:lang w:eastAsia="en-NZ"/>
              </w:rPr>
            </w:pPr>
            <w:r w:rsidRPr="00587306">
              <w:rPr>
                <w:b/>
                <w:bCs/>
                <w:szCs w:val="18"/>
                <w:lang w:eastAsia="en-NZ"/>
              </w:rPr>
              <w:t>7:</w:t>
            </w:r>
            <w:r w:rsidRPr="00587306">
              <w:rPr>
                <w:b/>
                <w:szCs w:val="18"/>
                <w:lang w:eastAsia="en-NZ"/>
              </w:rPr>
              <w:t xml:space="preserve"> </w:t>
            </w:r>
            <w:r w:rsidRPr="00587306">
              <w:rPr>
                <w:szCs w:val="18"/>
                <w:lang w:eastAsia="en-NZ"/>
              </w:rPr>
              <w:t>Mandatory mask wearing and limits on indoor and outdoor gathering numbers</w:t>
            </w:r>
          </w:p>
          <w:p w14:paraId="4E3A0EC7" w14:textId="77777777" w:rsidR="00B206F0" w:rsidRPr="00587306" w:rsidRDefault="00B206F0" w:rsidP="00051D54">
            <w:pPr>
              <w:pStyle w:val="TableText"/>
              <w:ind w:right="57"/>
              <w:rPr>
                <w:szCs w:val="18"/>
                <w:lang w:eastAsia="en-NZ"/>
              </w:rPr>
            </w:pPr>
            <w:r w:rsidRPr="00587306">
              <w:rPr>
                <w:b/>
                <w:bCs/>
                <w:szCs w:val="18"/>
                <w:lang w:eastAsia="en-NZ"/>
              </w:rPr>
              <w:t>22:</w:t>
            </w:r>
            <w:r w:rsidRPr="00587306">
              <w:rPr>
                <w:szCs w:val="18"/>
                <w:lang w:eastAsia="en-NZ"/>
              </w:rPr>
              <w:t xml:space="preserve"> Auckland at alert level 3</w:t>
            </w:r>
          </w:p>
        </w:tc>
        <w:tc>
          <w:tcPr>
            <w:tcW w:w="1116" w:type="pct"/>
            <w:tcBorders>
              <w:top w:val="nil"/>
            </w:tcBorders>
            <w:shd w:val="clear" w:color="auto" w:fill="auto"/>
            <w:noWrap/>
          </w:tcPr>
          <w:p w14:paraId="2455C431" w14:textId="77777777" w:rsidR="00B206F0" w:rsidRPr="00587306" w:rsidRDefault="00B206F0" w:rsidP="00051D54">
            <w:pPr>
              <w:pStyle w:val="TableText"/>
              <w:ind w:right="57"/>
              <w:rPr>
                <w:szCs w:val="18"/>
                <w:lang w:eastAsia="en-NZ"/>
              </w:rPr>
            </w:pPr>
            <w:r w:rsidRPr="00587306">
              <w:rPr>
                <w:b/>
                <w:bCs/>
                <w:szCs w:val="18"/>
                <w:lang w:eastAsia="en-NZ"/>
              </w:rPr>
              <w:t>3:</w:t>
            </w:r>
            <w:r w:rsidRPr="00587306">
              <w:rPr>
                <w:szCs w:val="18"/>
                <w:lang w:eastAsia="en-NZ"/>
              </w:rPr>
              <w:t xml:space="preserve"> Part of the Waikato region at alert level 3</w:t>
            </w:r>
          </w:p>
          <w:p w14:paraId="09545981" w14:textId="77777777" w:rsidR="00B206F0" w:rsidRPr="00587306" w:rsidRDefault="00B206F0" w:rsidP="00051D54">
            <w:pPr>
              <w:pStyle w:val="TableText"/>
              <w:ind w:right="57"/>
              <w:rPr>
                <w:szCs w:val="18"/>
                <w:lang w:eastAsia="en-NZ"/>
              </w:rPr>
            </w:pPr>
            <w:r w:rsidRPr="00587306">
              <w:rPr>
                <w:b/>
                <w:bCs/>
                <w:szCs w:val="18"/>
                <w:lang w:eastAsia="en-NZ"/>
              </w:rPr>
              <w:t>8</w:t>
            </w:r>
            <w:r w:rsidRPr="00587306">
              <w:rPr>
                <w:szCs w:val="18"/>
                <w:lang w:eastAsia="en-NZ"/>
              </w:rPr>
              <w:t>: Northland at alert level 3</w:t>
            </w:r>
          </w:p>
          <w:p w14:paraId="03FA6B34" w14:textId="77777777" w:rsidR="00B206F0" w:rsidRPr="00587306" w:rsidRDefault="00B206F0" w:rsidP="00051D54">
            <w:pPr>
              <w:pStyle w:val="TableText"/>
              <w:ind w:right="57"/>
              <w:rPr>
                <w:szCs w:val="18"/>
                <w:lang w:eastAsia="en-NZ"/>
              </w:rPr>
            </w:pPr>
            <w:r w:rsidRPr="00587306">
              <w:rPr>
                <w:b/>
                <w:bCs/>
                <w:szCs w:val="18"/>
                <w:lang w:eastAsia="en-NZ"/>
              </w:rPr>
              <w:t xml:space="preserve">19: </w:t>
            </w:r>
            <w:r w:rsidRPr="00587306">
              <w:rPr>
                <w:szCs w:val="18"/>
                <w:lang w:eastAsia="en-NZ"/>
              </w:rPr>
              <w:t>Northland at alert level 2</w:t>
            </w:r>
          </w:p>
          <w:p w14:paraId="38EF6C5A" w14:textId="77777777" w:rsidR="00B206F0" w:rsidRPr="00587306" w:rsidRDefault="00B206F0" w:rsidP="00051D54">
            <w:pPr>
              <w:pStyle w:val="TableText"/>
              <w:ind w:right="57"/>
              <w:rPr>
                <w:szCs w:val="18"/>
                <w:lang w:eastAsia="en-NZ"/>
              </w:rPr>
            </w:pPr>
            <w:r w:rsidRPr="00587306">
              <w:rPr>
                <w:b/>
                <w:bCs/>
                <w:szCs w:val="18"/>
                <w:lang w:eastAsia="en-NZ"/>
              </w:rPr>
              <w:t xml:space="preserve">27: </w:t>
            </w:r>
            <w:r w:rsidRPr="00587306">
              <w:rPr>
                <w:szCs w:val="18"/>
                <w:lang w:eastAsia="en-NZ"/>
              </w:rPr>
              <w:t>Parts of Waikato and Auckland at step 1, alert level 3</w:t>
            </w:r>
          </w:p>
        </w:tc>
        <w:tc>
          <w:tcPr>
            <w:tcW w:w="1318" w:type="pct"/>
            <w:tcBorders>
              <w:top w:val="nil"/>
            </w:tcBorders>
            <w:shd w:val="clear" w:color="auto" w:fill="auto"/>
            <w:noWrap/>
          </w:tcPr>
          <w:p w14:paraId="541C96F4" w14:textId="77777777" w:rsidR="00B206F0" w:rsidRPr="00587306" w:rsidRDefault="00B206F0" w:rsidP="00051D54">
            <w:pPr>
              <w:pStyle w:val="TableText"/>
              <w:ind w:right="57"/>
              <w:rPr>
                <w:szCs w:val="18"/>
                <w:lang w:eastAsia="en-NZ"/>
              </w:rPr>
            </w:pPr>
            <w:r w:rsidRPr="00587306">
              <w:rPr>
                <w:b/>
                <w:bCs/>
                <w:szCs w:val="18"/>
                <w:lang w:eastAsia="en-NZ"/>
              </w:rPr>
              <w:t>2:</w:t>
            </w:r>
            <w:r w:rsidRPr="00587306">
              <w:rPr>
                <w:szCs w:val="18"/>
                <w:lang w:eastAsia="en-NZ"/>
              </w:rPr>
              <w:t xml:space="preserve"> Upper Northland at alert level 3 </w:t>
            </w:r>
          </w:p>
          <w:p w14:paraId="67D7FBCF" w14:textId="77777777" w:rsidR="00B206F0" w:rsidRPr="00587306" w:rsidRDefault="00B206F0" w:rsidP="00051D54">
            <w:pPr>
              <w:pStyle w:val="TableText"/>
              <w:ind w:right="57"/>
              <w:rPr>
                <w:szCs w:val="18"/>
                <w:lang w:eastAsia="en-NZ"/>
              </w:rPr>
            </w:pPr>
            <w:r w:rsidRPr="00587306">
              <w:rPr>
                <w:b/>
                <w:bCs/>
                <w:szCs w:val="18"/>
                <w:lang w:eastAsia="en-NZ"/>
              </w:rPr>
              <w:t>2:</w:t>
            </w:r>
            <w:r w:rsidRPr="00587306">
              <w:rPr>
                <w:b/>
                <w:szCs w:val="18"/>
                <w:lang w:eastAsia="en-NZ"/>
              </w:rPr>
              <w:t xml:space="preserve"> </w:t>
            </w:r>
            <w:r w:rsidRPr="00587306">
              <w:rPr>
                <w:szCs w:val="18"/>
                <w:lang w:eastAsia="en-NZ"/>
              </w:rPr>
              <w:t>Waikato at step 2, alert level 3</w:t>
            </w:r>
          </w:p>
          <w:p w14:paraId="63E426FD" w14:textId="77777777" w:rsidR="00B206F0" w:rsidRPr="00587306" w:rsidRDefault="00B206F0" w:rsidP="00051D54">
            <w:pPr>
              <w:pStyle w:val="TableText"/>
              <w:ind w:right="57"/>
              <w:rPr>
                <w:szCs w:val="18"/>
                <w:lang w:eastAsia="en-NZ"/>
              </w:rPr>
            </w:pPr>
            <w:r w:rsidRPr="00587306">
              <w:rPr>
                <w:b/>
                <w:bCs/>
                <w:szCs w:val="18"/>
                <w:lang w:eastAsia="en-NZ"/>
              </w:rPr>
              <w:t>9:</w:t>
            </w:r>
            <w:r w:rsidRPr="00587306">
              <w:rPr>
                <w:szCs w:val="18"/>
                <w:lang w:eastAsia="en-NZ"/>
              </w:rPr>
              <w:t xml:space="preserve"> Auckland at step 2, alert level 3</w:t>
            </w:r>
          </w:p>
          <w:p w14:paraId="42B89C3D" w14:textId="77777777" w:rsidR="00B206F0" w:rsidRPr="00587306" w:rsidRDefault="00B206F0" w:rsidP="00051D54">
            <w:pPr>
              <w:pStyle w:val="TableText"/>
              <w:ind w:right="57"/>
              <w:rPr>
                <w:szCs w:val="18"/>
                <w:lang w:eastAsia="en-NZ"/>
              </w:rPr>
            </w:pPr>
            <w:r w:rsidRPr="00587306">
              <w:rPr>
                <w:b/>
                <w:bCs/>
                <w:szCs w:val="18"/>
                <w:lang w:eastAsia="en-NZ"/>
              </w:rPr>
              <w:t xml:space="preserve">11: </w:t>
            </w:r>
            <w:r w:rsidRPr="00587306">
              <w:rPr>
                <w:szCs w:val="18"/>
                <w:lang w:eastAsia="en-NZ"/>
              </w:rPr>
              <w:t>Upper Northland at alert level 2</w:t>
            </w:r>
          </w:p>
          <w:p w14:paraId="3F4EB251" w14:textId="77777777" w:rsidR="00B206F0" w:rsidRPr="00587306" w:rsidRDefault="00B206F0" w:rsidP="00051D54">
            <w:pPr>
              <w:pStyle w:val="TableText"/>
              <w:ind w:right="57"/>
              <w:rPr>
                <w:b/>
                <w:bCs/>
                <w:szCs w:val="18"/>
                <w:lang w:eastAsia="en-NZ"/>
              </w:rPr>
            </w:pPr>
            <w:r w:rsidRPr="00587306">
              <w:rPr>
                <w:b/>
                <w:bCs/>
                <w:szCs w:val="18"/>
                <w:lang w:eastAsia="en-NZ"/>
              </w:rPr>
              <w:t xml:space="preserve">29: </w:t>
            </w:r>
            <w:r w:rsidRPr="00587306">
              <w:rPr>
                <w:szCs w:val="18"/>
                <w:lang w:eastAsia="en-NZ"/>
              </w:rPr>
              <w:t>Vaccine booster doses available</w:t>
            </w:r>
          </w:p>
        </w:tc>
        <w:tc>
          <w:tcPr>
            <w:tcW w:w="1315" w:type="pct"/>
            <w:tcBorders>
              <w:top w:val="nil"/>
            </w:tcBorders>
            <w:shd w:val="clear" w:color="auto" w:fill="auto"/>
            <w:noWrap/>
          </w:tcPr>
          <w:p w14:paraId="491BA551" w14:textId="77777777" w:rsidR="00B206F0" w:rsidRPr="00587306" w:rsidRDefault="00B206F0" w:rsidP="00051D54">
            <w:pPr>
              <w:pStyle w:val="TableText"/>
              <w:rPr>
                <w:szCs w:val="18"/>
                <w:lang w:eastAsia="en-NZ"/>
              </w:rPr>
            </w:pPr>
            <w:r w:rsidRPr="00587306">
              <w:rPr>
                <w:b/>
                <w:bCs/>
                <w:szCs w:val="18"/>
                <w:lang w:eastAsia="en-NZ"/>
              </w:rPr>
              <w:t>2:</w:t>
            </w:r>
            <w:r w:rsidRPr="00587306">
              <w:rPr>
                <w:szCs w:val="18"/>
                <w:lang w:eastAsia="en-NZ"/>
              </w:rPr>
              <w:t xml:space="preserve"> COVID-19 Alert Level System ends</w:t>
            </w:r>
          </w:p>
          <w:p w14:paraId="44A1F0BD" w14:textId="77777777" w:rsidR="00B206F0" w:rsidRPr="00587306" w:rsidRDefault="00B206F0" w:rsidP="00051D54">
            <w:pPr>
              <w:pStyle w:val="TableText"/>
              <w:rPr>
                <w:szCs w:val="18"/>
                <w:lang w:eastAsia="en-NZ"/>
              </w:rPr>
            </w:pPr>
            <w:r w:rsidRPr="00587306">
              <w:rPr>
                <w:b/>
                <w:bCs/>
                <w:szCs w:val="18"/>
                <w:lang w:eastAsia="en-NZ"/>
              </w:rPr>
              <w:t>2:</w:t>
            </w:r>
            <w:r w:rsidRPr="00587306">
              <w:rPr>
                <w:szCs w:val="18"/>
                <w:lang w:eastAsia="en-NZ"/>
              </w:rPr>
              <w:t xml:space="preserve"> COVID-19 Protection Framework (Traffic Light System) begins; Auckland and areas with lower vaccination start on red; rest of New Zealand on orange</w:t>
            </w:r>
          </w:p>
          <w:p w14:paraId="139D541C" w14:textId="77777777" w:rsidR="00B206F0" w:rsidRPr="00587306" w:rsidRDefault="00B206F0" w:rsidP="00051D54">
            <w:pPr>
              <w:pStyle w:val="TableText"/>
              <w:rPr>
                <w:szCs w:val="18"/>
                <w:lang w:eastAsia="en-NZ"/>
              </w:rPr>
            </w:pPr>
            <w:r w:rsidRPr="00587306">
              <w:rPr>
                <w:b/>
                <w:bCs/>
                <w:szCs w:val="18"/>
                <w:lang w:eastAsia="en-NZ"/>
              </w:rPr>
              <w:t>16:</w:t>
            </w:r>
            <w:r w:rsidRPr="00587306">
              <w:rPr>
                <w:szCs w:val="18"/>
                <w:lang w:eastAsia="en-NZ"/>
              </w:rPr>
              <w:t xml:space="preserve"> First confirmed Omicron border case</w:t>
            </w:r>
          </w:p>
          <w:p w14:paraId="15B07AA9" w14:textId="77777777" w:rsidR="00B206F0" w:rsidRPr="00587306" w:rsidRDefault="00B206F0" w:rsidP="00051D54">
            <w:pPr>
              <w:pStyle w:val="TableText"/>
              <w:rPr>
                <w:szCs w:val="18"/>
                <w:lang w:eastAsia="en-NZ"/>
              </w:rPr>
            </w:pPr>
            <w:r w:rsidRPr="00587306">
              <w:rPr>
                <w:b/>
                <w:szCs w:val="18"/>
                <w:lang w:eastAsia="en-NZ"/>
              </w:rPr>
              <w:t>31</w:t>
            </w:r>
            <w:r w:rsidRPr="00587306">
              <w:rPr>
                <w:szCs w:val="18"/>
                <w:lang w:eastAsia="en-NZ"/>
              </w:rPr>
              <w:t>: Areas on the Red setting, except for Northland, move to Orange</w:t>
            </w:r>
          </w:p>
        </w:tc>
      </w:tr>
    </w:tbl>
    <w:p w14:paraId="4EA49857" w14:textId="77777777" w:rsidR="00757770" w:rsidRDefault="00757770" w:rsidP="00B206F0">
      <w:pPr>
        <w:pStyle w:val="Heading3"/>
        <w:sectPr w:rsidR="00757770" w:rsidSect="00B206F0">
          <w:pgSz w:w="11907" w:h="16840" w:code="9"/>
          <w:pgMar w:top="1418" w:right="1701" w:bottom="1134" w:left="1843" w:header="284" w:footer="425" w:gutter="284"/>
          <w:cols w:space="720"/>
        </w:sectPr>
      </w:pPr>
    </w:p>
    <w:p w14:paraId="483B520F" w14:textId="5C3093D7" w:rsidR="00B206F0" w:rsidRPr="00344776" w:rsidRDefault="00B206F0" w:rsidP="00757770">
      <w:pPr>
        <w:pStyle w:val="Heading3"/>
        <w:spacing w:before="0"/>
      </w:pPr>
      <w:r w:rsidRPr="00344776">
        <w:lastRenderedPageBreak/>
        <w:t xml:space="preserve">COVID-19 </w:t>
      </w:r>
      <w:r>
        <w:t>t</w:t>
      </w:r>
      <w:r w:rsidRPr="00344776">
        <w:t xml:space="preserve">esting </w:t>
      </w:r>
    </w:p>
    <w:p w14:paraId="25E2CD80" w14:textId="3C73A8F7" w:rsidR="00587306" w:rsidRPr="00344776" w:rsidRDefault="00D60D6B" w:rsidP="00B206F0">
      <w:r w:rsidRPr="00344776">
        <w:t xml:space="preserve">During 2021, most of the testing for COVID-19 was nasopharyngeal </w:t>
      </w:r>
      <w:r>
        <w:t>p</w:t>
      </w:r>
      <w:r w:rsidRPr="00344776">
        <w:t xml:space="preserve">olymerase </w:t>
      </w:r>
      <w:r>
        <w:t>c</w:t>
      </w:r>
      <w:r w:rsidRPr="00344776">
        <w:t xml:space="preserve">hain </w:t>
      </w:r>
      <w:r>
        <w:t>r</w:t>
      </w:r>
      <w:r w:rsidRPr="00344776">
        <w:t xml:space="preserve">eaction (PCR) testing. </w:t>
      </w:r>
      <w:r>
        <w:t xml:space="preserve">As </w:t>
      </w:r>
      <w:r w:rsidR="00587306">
        <w:fldChar w:fldCharType="begin"/>
      </w:r>
      <w:r w:rsidR="00587306">
        <w:instrText xml:space="preserve"> REF _Ref114827928 \h </w:instrText>
      </w:r>
      <w:r w:rsidR="00587306">
        <w:fldChar w:fldCharType="separate"/>
      </w:r>
      <w:r w:rsidR="00F61845" w:rsidRPr="00344776">
        <w:t xml:space="preserve">Figure </w:t>
      </w:r>
      <w:r w:rsidR="00F61845">
        <w:rPr>
          <w:noProof/>
        </w:rPr>
        <w:t>12</w:t>
      </w:r>
      <w:r w:rsidR="00587306">
        <w:fldChar w:fldCharType="end"/>
      </w:r>
      <w:r w:rsidR="00587306">
        <w:t xml:space="preserve"> </w:t>
      </w:r>
      <w:r w:rsidR="00B206F0" w:rsidRPr="00344776">
        <w:t xml:space="preserve">shows, </w:t>
      </w:r>
      <w:r w:rsidRPr="00344776">
        <w:t xml:space="preserve">test numbers were relatively low and stable until August 2021, when community cases of the Delta variant were </w:t>
      </w:r>
      <w:proofErr w:type="gramStart"/>
      <w:r w:rsidRPr="00344776">
        <w:t>detected</w:t>
      </w:r>
      <w:proofErr w:type="gramEnd"/>
      <w:r w:rsidRPr="00344776">
        <w:t xml:space="preserve"> and the country moved to </w:t>
      </w:r>
      <w:r>
        <w:t>a</w:t>
      </w:r>
      <w:r w:rsidRPr="00344776">
        <w:t xml:space="preserve">lert </w:t>
      </w:r>
      <w:r>
        <w:t>l</w:t>
      </w:r>
      <w:r w:rsidRPr="00344776">
        <w:t>evel 4</w:t>
      </w:r>
      <w:r w:rsidR="00B206F0" w:rsidRPr="00344776">
        <w:t xml:space="preserve">. </w:t>
      </w:r>
    </w:p>
    <w:p w14:paraId="0D35B7C6" w14:textId="251C95EB" w:rsidR="00B206F0" w:rsidRPr="00344776" w:rsidRDefault="00B206F0" w:rsidP="00253316">
      <w:pPr>
        <w:pStyle w:val="Figure"/>
      </w:pPr>
      <w:bookmarkStart w:id="62" w:name="_Ref114827928"/>
      <w:bookmarkStart w:id="63" w:name="_Toc118446230"/>
      <w:bookmarkStart w:id="64" w:name="_Toc119047756"/>
      <w:r w:rsidRPr="00344776">
        <w:t xml:space="preserve">Figure </w:t>
      </w:r>
      <w:r w:rsidRPr="00344776">
        <w:fldChar w:fldCharType="begin"/>
      </w:r>
      <w:r w:rsidRPr="00344776">
        <w:instrText>SEQ Figure \* ARABIC</w:instrText>
      </w:r>
      <w:r w:rsidRPr="00344776">
        <w:fldChar w:fldCharType="separate"/>
      </w:r>
      <w:r w:rsidR="00F61845">
        <w:rPr>
          <w:noProof/>
        </w:rPr>
        <w:t>12</w:t>
      </w:r>
      <w:r w:rsidRPr="00344776">
        <w:fldChar w:fldCharType="end"/>
      </w:r>
      <w:bookmarkEnd w:id="62"/>
      <w:r w:rsidRPr="00344776">
        <w:t>: COVID-19 weekly community testing numbers and key events in the community, 2021</w:t>
      </w:r>
      <w:bookmarkEnd w:id="63"/>
      <w:bookmarkEnd w:id="64"/>
    </w:p>
    <w:p w14:paraId="60D7E14C" w14:textId="77777777" w:rsidR="00B206F0" w:rsidRPr="00344776" w:rsidRDefault="00B206F0" w:rsidP="00587306">
      <w:pPr>
        <w:spacing w:after="120"/>
      </w:pPr>
      <w:r w:rsidRPr="00344776">
        <w:rPr>
          <w:noProof/>
        </w:rPr>
        <w:drawing>
          <wp:inline distT="0" distB="0" distL="0" distR="0" wp14:anchorId="1CA64BAF" wp14:editId="32B24680">
            <wp:extent cx="5125318" cy="2562225"/>
            <wp:effectExtent l="0" t="0" r="0" b="0"/>
            <wp:docPr id="42" name="Picture 42" descr="A time-series bar chart showing the number of weekly COVID-19 tests over the 2021 year. The chart shows the number of tests largely remained under about 50,000 per week until August. In mid-August, Auckland moved to Alert Level 4. Shortly after, the number of tests peaked at about 200,000 per week, and largely remained above about 50,000 per week for the remainder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time-series bar chart showing the number of weekly COVID-19 tests over the 2021 year. The chart shows the number of tests largely remained under about 50,000 per week until August. In mid-August, Auckland moved to Alert Level 4. Shortly after, the number of tests peaked at about 200,000 per week, and largely remained above about 50,000 per week for the remainder of the year."/>
                    <pic:cNvPicPr>
                      <a:picLocks noChangeAspect="1" noChangeArrowheads="1"/>
                    </pic:cNvPicPr>
                  </pic:nvPicPr>
                  <pic:blipFill>
                    <a:blip r:embed="rId59"/>
                    <a:stretch>
                      <a:fillRect/>
                    </a:stretch>
                  </pic:blipFill>
                  <pic:spPr bwMode="auto">
                    <a:xfrm>
                      <a:off x="0" y="0"/>
                      <a:ext cx="5125318" cy="2562225"/>
                    </a:xfrm>
                    <a:prstGeom prst="rect">
                      <a:avLst/>
                    </a:prstGeom>
                    <a:noFill/>
                    <a:ln>
                      <a:noFill/>
                    </a:ln>
                  </pic:spPr>
                </pic:pic>
              </a:graphicData>
            </a:graphic>
          </wp:inline>
        </w:drawing>
      </w:r>
    </w:p>
    <w:p w14:paraId="54EB0D8E" w14:textId="77777777" w:rsidR="00B206F0" w:rsidRPr="00344776" w:rsidRDefault="00B206F0" w:rsidP="00587306">
      <w:pPr>
        <w:pStyle w:val="Source"/>
        <w:rPr>
          <w:rStyle w:val="Hyperlink"/>
        </w:rPr>
      </w:pPr>
      <w:r w:rsidRPr="00344776">
        <w:t xml:space="preserve">Source: </w:t>
      </w:r>
      <w:r w:rsidRPr="00C04F2E">
        <w:t>Institute of Environmental Science and Research</w:t>
      </w:r>
      <w:r w:rsidRPr="00344776">
        <w:t xml:space="preserve"> </w:t>
      </w:r>
      <w:r>
        <w:t>(</w:t>
      </w:r>
      <w:r w:rsidRPr="00344776">
        <w:t>ESR</w:t>
      </w:r>
      <w:r>
        <w:t>)</w:t>
      </w:r>
      <w:r w:rsidRPr="00344776">
        <w:t xml:space="preserve"> (2022)</w:t>
      </w:r>
    </w:p>
    <w:p w14:paraId="5873DE78" w14:textId="77777777" w:rsidR="00B206F0" w:rsidRPr="00344776" w:rsidRDefault="00B206F0" w:rsidP="00B206F0">
      <w:pPr>
        <w:rPr>
          <w:rStyle w:val="Hyperlink"/>
        </w:rPr>
      </w:pPr>
    </w:p>
    <w:p w14:paraId="782CB083" w14:textId="713DB6EF" w:rsidR="00587306" w:rsidRPr="00344776" w:rsidRDefault="00D60D6B" w:rsidP="00253316">
      <w:r w:rsidRPr="00344776">
        <w:t xml:space="preserve">Testing rates differed between ethnic groups. Overall, Pacific peoples had higher rates of COVID-19 testing than other ethnic groups </w:t>
      </w:r>
      <w:r w:rsidR="00B206F0">
        <w:t>(</w:t>
      </w:r>
      <w:r w:rsidR="00587306">
        <w:fldChar w:fldCharType="begin"/>
      </w:r>
      <w:r w:rsidR="00587306">
        <w:instrText xml:space="preserve"> REF _Ref118726647 \h </w:instrText>
      </w:r>
      <w:r w:rsidR="00587306">
        <w:fldChar w:fldCharType="separate"/>
      </w:r>
      <w:r w:rsidR="00F61845" w:rsidRPr="00344776">
        <w:t xml:space="preserve">Figure </w:t>
      </w:r>
      <w:r w:rsidR="00F61845">
        <w:rPr>
          <w:noProof/>
        </w:rPr>
        <w:t>13</w:t>
      </w:r>
      <w:r w:rsidR="00587306">
        <w:fldChar w:fldCharType="end"/>
      </w:r>
      <w:r w:rsidR="00B206F0">
        <w:t>)</w:t>
      </w:r>
      <w:r w:rsidR="00B206F0" w:rsidRPr="00344776">
        <w:t xml:space="preserve">. </w:t>
      </w:r>
    </w:p>
    <w:p w14:paraId="690592C0" w14:textId="3A882DC1" w:rsidR="00B206F0" w:rsidRPr="00344776" w:rsidRDefault="00B206F0" w:rsidP="00253316">
      <w:pPr>
        <w:pStyle w:val="Figure"/>
      </w:pPr>
      <w:bookmarkStart w:id="65" w:name="_Ref118726647"/>
      <w:bookmarkStart w:id="66" w:name="_Toc118446231"/>
      <w:bookmarkStart w:id="67" w:name="_Toc119047757"/>
      <w:r w:rsidRPr="00344776">
        <w:t xml:space="preserve">Figure </w:t>
      </w:r>
      <w:r w:rsidRPr="00344776">
        <w:fldChar w:fldCharType="begin"/>
      </w:r>
      <w:r w:rsidRPr="00344776">
        <w:instrText>SEQ Figure \* ARABIC</w:instrText>
      </w:r>
      <w:r w:rsidRPr="00344776">
        <w:fldChar w:fldCharType="separate"/>
      </w:r>
      <w:r w:rsidR="00F61845">
        <w:rPr>
          <w:noProof/>
        </w:rPr>
        <w:t>13</w:t>
      </w:r>
      <w:r w:rsidRPr="00344776">
        <w:fldChar w:fldCharType="end"/>
      </w:r>
      <w:bookmarkEnd w:id="65"/>
      <w:r w:rsidRPr="00344776">
        <w:t>: COVID-19 weekly community testing rates, by prioritised ethnic group, 2021</w:t>
      </w:r>
      <w:bookmarkEnd w:id="66"/>
      <w:bookmarkEnd w:id="67"/>
    </w:p>
    <w:p w14:paraId="15DBCA7C" w14:textId="77777777" w:rsidR="00B206F0" w:rsidRPr="00344776" w:rsidRDefault="00B206F0" w:rsidP="00587306">
      <w:pPr>
        <w:spacing w:after="120"/>
      </w:pPr>
      <w:r w:rsidRPr="00344776">
        <w:rPr>
          <w:noProof/>
        </w:rPr>
        <w:drawing>
          <wp:inline distT="0" distB="0" distL="0" distR="0" wp14:anchorId="7C4772BD" wp14:editId="5C09BF7C">
            <wp:extent cx="5130162" cy="2564647"/>
            <wp:effectExtent l="0" t="0" r="0" b="7620"/>
            <wp:docPr id="754" name="Picture 754" descr="This line chart shows the COVID-19 testing rates by ethnic group over the 2021 year. Testing rates peaked in mid-August and remained elevated for the rest of the year for all ethnic groups. In general, testing rates were highest for Pacific Peoples, followed by the Asian ethnic group and were lowest for European/other an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Picture 754" descr="This line chart shows the COVID-19 testing rates by ethnic group over the 2021 year. Testing rates peaked in mid-August and remained elevated for the rest of the year for all ethnic groups. In general, testing rates were highest for Pacific Peoples, followed by the Asian ethnic group and were lowest for European/other and Māori."/>
                    <pic:cNvPicPr/>
                  </pic:nvPicPr>
                  <pic:blipFill>
                    <a:blip r:embed="rId60"/>
                    <a:stretch>
                      <a:fillRect/>
                    </a:stretch>
                  </pic:blipFill>
                  <pic:spPr>
                    <a:xfrm>
                      <a:off x="0" y="0"/>
                      <a:ext cx="5130162" cy="2564647"/>
                    </a:xfrm>
                    <a:prstGeom prst="rect">
                      <a:avLst/>
                    </a:prstGeom>
                  </pic:spPr>
                </pic:pic>
              </a:graphicData>
            </a:graphic>
          </wp:inline>
        </w:drawing>
      </w:r>
    </w:p>
    <w:p w14:paraId="2BF3BEC1" w14:textId="4F2BA1A9" w:rsidR="00B206F0" w:rsidRDefault="00B206F0" w:rsidP="00587306">
      <w:pPr>
        <w:pStyle w:val="Source"/>
      </w:pPr>
      <w:r w:rsidRPr="00344776">
        <w:t xml:space="preserve">Source: </w:t>
      </w:r>
      <w:r w:rsidRPr="00C04F2E">
        <w:t>Institute of Environmental Science and Research</w:t>
      </w:r>
      <w:r w:rsidRPr="00344776">
        <w:t xml:space="preserve"> </w:t>
      </w:r>
      <w:r>
        <w:t>(</w:t>
      </w:r>
      <w:r w:rsidRPr="00344776">
        <w:t>ESR</w:t>
      </w:r>
      <w:r>
        <w:t>)</w:t>
      </w:r>
      <w:r w:rsidRPr="00344776">
        <w:t xml:space="preserve"> (2022)</w:t>
      </w:r>
    </w:p>
    <w:p w14:paraId="57E5B5FF" w14:textId="77777777" w:rsidR="00253316" w:rsidRPr="00253316" w:rsidRDefault="00253316" w:rsidP="00253316"/>
    <w:p w14:paraId="40E9C56F" w14:textId="77777777" w:rsidR="00B206F0" w:rsidRPr="00344776" w:rsidRDefault="00B206F0" w:rsidP="00B206F0">
      <w:pPr>
        <w:pStyle w:val="Heading3"/>
      </w:pPr>
      <w:r w:rsidRPr="00344776">
        <w:lastRenderedPageBreak/>
        <w:t xml:space="preserve">Case information </w:t>
      </w:r>
    </w:p>
    <w:p w14:paraId="63480C90" w14:textId="77777777" w:rsidR="00B206F0" w:rsidRPr="00344776" w:rsidRDefault="00B206F0" w:rsidP="00B206F0">
      <w:pPr>
        <w:rPr>
          <w:szCs w:val="21"/>
        </w:rPr>
      </w:pPr>
      <w:r>
        <w:rPr>
          <w:szCs w:val="21"/>
        </w:rPr>
        <w:t xml:space="preserve">Figures 14–16 </w:t>
      </w:r>
      <w:r w:rsidRPr="00344776">
        <w:rPr>
          <w:szCs w:val="21"/>
        </w:rPr>
        <w:t>show that community cases of COVID-19 were</w:t>
      </w:r>
      <w:r w:rsidRPr="00344776" w:rsidDel="00D45B34">
        <w:rPr>
          <w:szCs w:val="21"/>
        </w:rPr>
        <w:t xml:space="preserve"> </w:t>
      </w:r>
      <w:r w:rsidRPr="00344776">
        <w:rPr>
          <w:szCs w:val="21"/>
        </w:rPr>
        <w:t xml:space="preserve">higher for </w:t>
      </w:r>
    </w:p>
    <w:p w14:paraId="5E16D6F6" w14:textId="248C2D39" w:rsidR="00B206F0" w:rsidRPr="00344776" w:rsidRDefault="00B206F0" w:rsidP="005A18ED">
      <w:pPr>
        <w:pStyle w:val="Bullet"/>
      </w:pPr>
      <w:r w:rsidRPr="00344776">
        <w:t xml:space="preserve">Pacific peoples and Māori, compared to non-Māori, non-Pacific </w:t>
      </w:r>
      <w:r>
        <w:t xml:space="preserve">peoples </w:t>
      </w:r>
      <w:r w:rsidRPr="00344776">
        <w:t>(</w:t>
      </w:r>
      <w:r w:rsidR="00587306">
        <w:fldChar w:fldCharType="begin"/>
      </w:r>
      <w:r w:rsidR="00587306">
        <w:instrText xml:space="preserve"> REF _Ref117069366 \h </w:instrText>
      </w:r>
      <w:r w:rsidR="005A18ED">
        <w:instrText xml:space="preserve"> \* MERGEFORMAT </w:instrText>
      </w:r>
      <w:r w:rsidR="00587306">
        <w:fldChar w:fldCharType="separate"/>
      </w:r>
      <w:r w:rsidR="00F61845" w:rsidRPr="00344776">
        <w:t xml:space="preserve">Figure </w:t>
      </w:r>
      <w:r w:rsidR="00F61845">
        <w:rPr>
          <w:noProof/>
        </w:rPr>
        <w:t>14</w:t>
      </w:r>
      <w:r w:rsidR="00587306">
        <w:fldChar w:fldCharType="end"/>
      </w:r>
      <w:r w:rsidRPr="00344776">
        <w:t>)</w:t>
      </w:r>
    </w:p>
    <w:p w14:paraId="2D4195BA" w14:textId="0D9C5C10" w:rsidR="00B206F0" w:rsidRPr="00344776" w:rsidRDefault="00D60D6B" w:rsidP="005A18ED">
      <w:pPr>
        <w:pStyle w:val="Bullet"/>
      </w:pPr>
      <w:r w:rsidRPr="00344776">
        <w:rPr>
          <w:rFonts w:cs="Segoe UI"/>
          <w:szCs w:val="21"/>
        </w:rPr>
        <w:t xml:space="preserve">children under </w:t>
      </w:r>
      <w:r>
        <w:rPr>
          <w:rFonts w:cs="Segoe UI"/>
          <w:szCs w:val="21"/>
        </w:rPr>
        <w:t>10</w:t>
      </w:r>
      <w:r w:rsidRPr="00344776">
        <w:rPr>
          <w:rFonts w:cs="Segoe UI"/>
          <w:szCs w:val="21"/>
        </w:rPr>
        <w:t xml:space="preserve"> years of age</w:t>
      </w:r>
      <w:r>
        <w:rPr>
          <w:rFonts w:cs="Segoe UI"/>
          <w:szCs w:val="21"/>
        </w:rPr>
        <w:t xml:space="preserve"> and people aged 20-29</w:t>
      </w:r>
      <w:r w:rsidRPr="00344776">
        <w:rPr>
          <w:rFonts w:cs="Segoe UI"/>
          <w:szCs w:val="21"/>
        </w:rPr>
        <w:t xml:space="preserve"> </w:t>
      </w:r>
      <w:r w:rsidR="00B206F0" w:rsidRPr="00344776">
        <w:t>(</w:t>
      </w:r>
      <w:r w:rsidR="00587306">
        <w:fldChar w:fldCharType="begin"/>
      </w:r>
      <w:r w:rsidR="00587306">
        <w:instrText xml:space="preserve"> REF _Ref117069383 \h </w:instrText>
      </w:r>
      <w:r w:rsidR="005A18ED">
        <w:instrText xml:space="preserve"> \* MERGEFORMAT </w:instrText>
      </w:r>
      <w:r w:rsidR="00587306">
        <w:fldChar w:fldCharType="separate"/>
      </w:r>
      <w:r w:rsidR="00F61845" w:rsidRPr="00344776">
        <w:t xml:space="preserve">Figure </w:t>
      </w:r>
      <w:r w:rsidR="00F61845">
        <w:rPr>
          <w:noProof/>
        </w:rPr>
        <w:t>15</w:t>
      </w:r>
      <w:r w:rsidR="00587306">
        <w:fldChar w:fldCharType="end"/>
      </w:r>
      <w:r w:rsidR="00B206F0" w:rsidRPr="00344776">
        <w:t>)</w:t>
      </w:r>
    </w:p>
    <w:p w14:paraId="20AC390A" w14:textId="2993428D" w:rsidR="00B206F0" w:rsidRPr="00253316" w:rsidRDefault="00B206F0" w:rsidP="00B206F0">
      <w:pPr>
        <w:pStyle w:val="Bullet"/>
      </w:pPr>
      <w:r w:rsidRPr="00344776">
        <w:t>people living in the highest deprivation areas (</w:t>
      </w:r>
      <w:r w:rsidR="00587306">
        <w:fldChar w:fldCharType="begin"/>
      </w:r>
      <w:r w:rsidR="00587306">
        <w:instrText xml:space="preserve"> REF _Ref118726703 \h </w:instrText>
      </w:r>
      <w:r w:rsidR="005A18ED">
        <w:instrText xml:space="preserve"> \* MERGEFORMAT </w:instrText>
      </w:r>
      <w:r w:rsidR="00587306">
        <w:fldChar w:fldCharType="separate"/>
      </w:r>
      <w:r w:rsidR="00F61845" w:rsidRPr="00253316">
        <w:t xml:space="preserve">Figure </w:t>
      </w:r>
      <w:r w:rsidR="00F61845">
        <w:rPr>
          <w:noProof/>
        </w:rPr>
        <w:t>16</w:t>
      </w:r>
      <w:r w:rsidR="00587306">
        <w:fldChar w:fldCharType="end"/>
      </w:r>
      <w:r w:rsidRPr="003666DB">
        <w:t xml:space="preserve">).  </w:t>
      </w:r>
    </w:p>
    <w:p w14:paraId="0A14E5A4" w14:textId="1AB8E944" w:rsidR="00B206F0" w:rsidRPr="00344776" w:rsidRDefault="00B206F0" w:rsidP="00253316">
      <w:pPr>
        <w:pStyle w:val="Figure"/>
        <w:spacing w:before="240"/>
      </w:pPr>
      <w:bookmarkStart w:id="68" w:name="_Ref117069366"/>
      <w:bookmarkStart w:id="69" w:name="_Toc118446232"/>
      <w:bookmarkStart w:id="70" w:name="_Toc119047758"/>
      <w:r w:rsidRPr="00344776">
        <w:t xml:space="preserve">Figure </w:t>
      </w:r>
      <w:r w:rsidRPr="00344776">
        <w:fldChar w:fldCharType="begin"/>
      </w:r>
      <w:r w:rsidRPr="00344776">
        <w:instrText>SEQ Figure \* ARABIC</w:instrText>
      </w:r>
      <w:r w:rsidRPr="00344776">
        <w:fldChar w:fldCharType="separate"/>
      </w:r>
      <w:r w:rsidR="00F61845">
        <w:rPr>
          <w:noProof/>
        </w:rPr>
        <w:t>14</w:t>
      </w:r>
      <w:r w:rsidRPr="00344776">
        <w:fldChar w:fldCharType="end"/>
      </w:r>
      <w:bookmarkEnd w:id="68"/>
      <w:r w:rsidRPr="00344776">
        <w:t>: COVID-19 community case rates</w:t>
      </w:r>
      <w:r>
        <w:t>,</w:t>
      </w:r>
      <w:r w:rsidRPr="00344776">
        <w:t xml:space="preserve"> by prioritised ethnicity, 2021</w:t>
      </w:r>
      <w:bookmarkEnd w:id="69"/>
      <w:bookmarkEnd w:id="70"/>
    </w:p>
    <w:p w14:paraId="5EBA701C" w14:textId="77777777" w:rsidR="00B206F0" w:rsidRPr="00344776" w:rsidRDefault="00B206F0" w:rsidP="00587306">
      <w:pPr>
        <w:spacing w:after="120"/>
      </w:pPr>
      <w:r w:rsidRPr="00344776">
        <w:rPr>
          <w:noProof/>
        </w:rPr>
        <w:drawing>
          <wp:inline distT="0" distB="0" distL="0" distR="0" wp14:anchorId="7D03D794" wp14:editId="33AEECB7">
            <wp:extent cx="5123373" cy="1077128"/>
            <wp:effectExtent l="0" t="0" r="1270" b="8890"/>
            <wp:docPr id="43" name="Picture 43" descr="This bar chart shows the COVID-19 case rate by ethnic group in 2021. Pacific peoples had a rate of 871 cases per 100,000, Māori 646 cases per 100,000 and non-Māori / non-Pacific 72 cases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is bar chart shows the COVID-19 case rate by ethnic group in 2021. Pacific peoples had a rate of 871 cases per 100,000, Māori 646 cases per 100,000 and non-Māori / non-Pacific 72 cases per 100,000."/>
                    <pic:cNvPicPr>
                      <a:picLocks noChangeAspect="1" noChangeArrowheads="1"/>
                    </pic:cNvPicPr>
                  </pic:nvPicPr>
                  <pic:blipFill rotWithShape="1">
                    <a:blip r:embed="rId61"/>
                    <a:srcRect t="21141"/>
                    <a:stretch/>
                  </pic:blipFill>
                  <pic:spPr bwMode="auto">
                    <a:xfrm>
                      <a:off x="0" y="0"/>
                      <a:ext cx="5124450" cy="1077354"/>
                    </a:xfrm>
                    <a:prstGeom prst="rect">
                      <a:avLst/>
                    </a:prstGeom>
                    <a:noFill/>
                    <a:ln>
                      <a:noFill/>
                    </a:ln>
                    <a:extLst>
                      <a:ext uri="{53640926-AAD7-44D8-BBD7-CCE9431645EC}">
                        <a14:shadowObscured xmlns:a14="http://schemas.microsoft.com/office/drawing/2010/main"/>
                      </a:ext>
                    </a:extLst>
                  </pic:spPr>
                </pic:pic>
              </a:graphicData>
            </a:graphic>
          </wp:inline>
        </w:drawing>
      </w:r>
    </w:p>
    <w:p w14:paraId="316BD078" w14:textId="77777777" w:rsidR="00B206F0" w:rsidRDefault="00B206F0" w:rsidP="00587306">
      <w:pPr>
        <w:pStyle w:val="Source"/>
      </w:pPr>
      <w:r w:rsidRPr="00344776">
        <w:t xml:space="preserve">Source: </w:t>
      </w:r>
      <w:r w:rsidRPr="00C04F2E">
        <w:t>Institute of Environmental Science and Research</w:t>
      </w:r>
      <w:r w:rsidRPr="00344776">
        <w:t xml:space="preserve"> </w:t>
      </w:r>
      <w:r>
        <w:t>(</w:t>
      </w:r>
      <w:r w:rsidRPr="00344776">
        <w:t>ESR</w:t>
      </w:r>
      <w:r>
        <w:t>)</w:t>
      </w:r>
      <w:r w:rsidRPr="00344776">
        <w:t xml:space="preserve"> (2022)</w:t>
      </w:r>
    </w:p>
    <w:p w14:paraId="1B8D4E62" w14:textId="64378C65" w:rsidR="00B206F0" w:rsidRPr="00344776" w:rsidRDefault="00B206F0" w:rsidP="00253316">
      <w:pPr>
        <w:pStyle w:val="Figure"/>
        <w:spacing w:before="240"/>
      </w:pPr>
      <w:bookmarkStart w:id="71" w:name="_Ref117069383"/>
      <w:bookmarkStart w:id="72" w:name="_Toc118446233"/>
      <w:bookmarkStart w:id="73" w:name="_Toc119047759"/>
      <w:r w:rsidRPr="00344776">
        <w:t xml:space="preserve">Figure </w:t>
      </w:r>
      <w:r w:rsidRPr="00344776">
        <w:fldChar w:fldCharType="begin"/>
      </w:r>
      <w:r w:rsidRPr="00344776">
        <w:instrText>SEQ Figure \* ARABIC</w:instrText>
      </w:r>
      <w:r w:rsidRPr="00344776">
        <w:fldChar w:fldCharType="separate"/>
      </w:r>
      <w:r w:rsidR="00F61845">
        <w:rPr>
          <w:noProof/>
        </w:rPr>
        <w:t>15</w:t>
      </w:r>
      <w:r w:rsidRPr="00344776">
        <w:fldChar w:fldCharType="end"/>
      </w:r>
      <w:bookmarkEnd w:id="71"/>
      <w:r w:rsidRPr="00344776">
        <w:t>: COVID-19 community case rates</w:t>
      </w:r>
      <w:r>
        <w:t>,</w:t>
      </w:r>
      <w:r w:rsidRPr="00344776">
        <w:t xml:space="preserve"> by age group, 2021</w:t>
      </w:r>
      <w:bookmarkEnd w:id="72"/>
      <w:bookmarkEnd w:id="73"/>
    </w:p>
    <w:p w14:paraId="1704C704" w14:textId="77777777" w:rsidR="00B206F0" w:rsidRPr="00344776" w:rsidRDefault="00B206F0" w:rsidP="00587306">
      <w:pPr>
        <w:spacing w:after="120"/>
      </w:pPr>
      <w:r w:rsidRPr="00344776">
        <w:rPr>
          <w:noProof/>
        </w:rPr>
        <w:drawing>
          <wp:inline distT="0" distB="0" distL="0" distR="0" wp14:anchorId="140D5EF3" wp14:editId="01319486">
            <wp:extent cx="5129357" cy="2458192"/>
            <wp:effectExtent l="0" t="0" r="0" b="0"/>
            <wp:docPr id="44" name="Picture 44" descr="This bar chart shows COVID-19 case rates in age bands for 2021. Case rates generally decreased with age. A notable exception was the 20–29-year age band, where case rates were higher than 10–19-year-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bar chart shows COVID-19 case rates in age bands for 2021. Case rates generally decreased with age. A notable exception was the 20–29-year age band, where case rates were higher than 10–19-year-olds."/>
                    <pic:cNvPicPr>
                      <a:picLocks noChangeAspect="1" noChangeArrowheads="1"/>
                    </pic:cNvPicPr>
                  </pic:nvPicPr>
                  <pic:blipFill rotWithShape="1">
                    <a:blip r:embed="rId62"/>
                    <a:srcRect t="10120"/>
                    <a:stretch/>
                  </pic:blipFill>
                  <pic:spPr bwMode="auto">
                    <a:xfrm>
                      <a:off x="0" y="0"/>
                      <a:ext cx="5140191" cy="2463384"/>
                    </a:xfrm>
                    <a:prstGeom prst="rect">
                      <a:avLst/>
                    </a:prstGeom>
                    <a:noFill/>
                    <a:ln>
                      <a:noFill/>
                    </a:ln>
                    <a:extLst>
                      <a:ext uri="{53640926-AAD7-44D8-BBD7-CCE9431645EC}">
                        <a14:shadowObscured xmlns:a14="http://schemas.microsoft.com/office/drawing/2010/main"/>
                      </a:ext>
                    </a:extLst>
                  </pic:spPr>
                </pic:pic>
              </a:graphicData>
            </a:graphic>
          </wp:inline>
        </w:drawing>
      </w:r>
    </w:p>
    <w:p w14:paraId="2D53ADE2" w14:textId="77777777" w:rsidR="00B206F0" w:rsidRPr="00344776" w:rsidRDefault="00B206F0" w:rsidP="00587306">
      <w:pPr>
        <w:pStyle w:val="Source"/>
        <w:rPr>
          <w:rStyle w:val="Hyperlink"/>
        </w:rPr>
      </w:pPr>
      <w:r w:rsidRPr="00344776">
        <w:t xml:space="preserve">Source: </w:t>
      </w:r>
      <w:r w:rsidRPr="00C04F2E">
        <w:t>Institute of Environmental Science and Research</w:t>
      </w:r>
      <w:r w:rsidRPr="00344776">
        <w:t xml:space="preserve"> </w:t>
      </w:r>
      <w:r>
        <w:t>(</w:t>
      </w:r>
      <w:r w:rsidRPr="00344776">
        <w:t>ESR</w:t>
      </w:r>
      <w:r>
        <w:t>)</w:t>
      </w:r>
      <w:r w:rsidRPr="00344776">
        <w:t xml:space="preserve"> (2022)</w:t>
      </w:r>
    </w:p>
    <w:p w14:paraId="5ACABEB4" w14:textId="6E0A3400" w:rsidR="00B206F0" w:rsidRPr="00253316" w:rsidRDefault="00B206F0" w:rsidP="00253316">
      <w:pPr>
        <w:pStyle w:val="Figure"/>
        <w:spacing w:before="240"/>
      </w:pPr>
      <w:bookmarkStart w:id="74" w:name="_Ref117069394"/>
      <w:bookmarkStart w:id="75" w:name="_Ref118726703"/>
      <w:bookmarkStart w:id="76" w:name="_Toc118446234"/>
      <w:bookmarkStart w:id="77" w:name="_Toc118730679"/>
      <w:bookmarkStart w:id="78" w:name="_Toc119047760"/>
      <w:r w:rsidRPr="00253316">
        <w:t xml:space="preserve">Figure </w:t>
      </w:r>
      <w:r w:rsidRPr="00253316">
        <w:fldChar w:fldCharType="begin"/>
      </w:r>
      <w:r w:rsidRPr="00253316">
        <w:instrText>SEQ Figure \* ARABIC</w:instrText>
      </w:r>
      <w:r w:rsidRPr="00253316">
        <w:fldChar w:fldCharType="separate"/>
      </w:r>
      <w:r w:rsidR="00F61845">
        <w:rPr>
          <w:noProof/>
        </w:rPr>
        <w:t>16</w:t>
      </w:r>
      <w:r w:rsidRPr="00253316">
        <w:fldChar w:fldCharType="end"/>
      </w:r>
      <w:bookmarkEnd w:id="74"/>
      <w:bookmarkEnd w:id="75"/>
      <w:r w:rsidRPr="00253316">
        <w:t>: COVID-19 community case rates, by NZDep2018 deprivation quintile, 2021</w:t>
      </w:r>
      <w:bookmarkEnd w:id="76"/>
      <w:bookmarkEnd w:id="77"/>
      <w:bookmarkEnd w:id="78"/>
    </w:p>
    <w:p w14:paraId="2F02EECF" w14:textId="77777777" w:rsidR="00B206F0" w:rsidRPr="00344776" w:rsidRDefault="00B206F0" w:rsidP="00B206F0">
      <w:r w:rsidRPr="00344776">
        <w:rPr>
          <w:noProof/>
        </w:rPr>
        <w:drawing>
          <wp:inline distT="0" distB="0" distL="0" distR="0" wp14:anchorId="0411C1DA" wp14:editId="0F7FA137">
            <wp:extent cx="5072682" cy="1876425"/>
            <wp:effectExtent l="0" t="0" r="0" b="0"/>
            <wp:docPr id="45" name="Picture 45" descr="This bar chart shows COVID-19 case rates by deprivation for 2021. Case rates were at 574 cases per 100,000 for the most deprived quintile, decreasing to 59 cases per 100,000 for the least deprived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bar chart shows COVID-19 case rates by deprivation for 2021. Case rates were at 574 cases per 100,000 for the most deprived quintile, decreasing to 59 cases per 100,000 for the least deprived quintile."/>
                    <pic:cNvPicPr>
                      <a:picLocks noChangeAspect="1" noChangeArrowheads="1"/>
                    </pic:cNvPicPr>
                  </pic:nvPicPr>
                  <pic:blipFill rotWithShape="1">
                    <a:blip r:embed="rId63"/>
                    <a:srcRect t="7539"/>
                    <a:stretch/>
                  </pic:blipFill>
                  <pic:spPr bwMode="auto">
                    <a:xfrm>
                      <a:off x="0" y="0"/>
                      <a:ext cx="5103808" cy="1887939"/>
                    </a:xfrm>
                    <a:prstGeom prst="rect">
                      <a:avLst/>
                    </a:prstGeom>
                    <a:noFill/>
                    <a:ln>
                      <a:noFill/>
                    </a:ln>
                    <a:extLst>
                      <a:ext uri="{53640926-AAD7-44D8-BBD7-CCE9431645EC}">
                        <a14:shadowObscured xmlns:a14="http://schemas.microsoft.com/office/drawing/2010/main"/>
                      </a:ext>
                    </a:extLst>
                  </pic:spPr>
                </pic:pic>
              </a:graphicData>
            </a:graphic>
          </wp:inline>
        </w:drawing>
      </w:r>
    </w:p>
    <w:p w14:paraId="1F5B3F82" w14:textId="77777777" w:rsidR="00587306" w:rsidRPr="00344776" w:rsidRDefault="00587306" w:rsidP="00587306">
      <w:pPr>
        <w:pStyle w:val="Source"/>
        <w:rPr>
          <w:rStyle w:val="Hyperlink"/>
        </w:rPr>
      </w:pPr>
      <w:r w:rsidRPr="00344776">
        <w:t xml:space="preserve">Source: </w:t>
      </w:r>
      <w:r w:rsidRPr="00C04F2E">
        <w:t>Institute of Environmental Science and Research</w:t>
      </w:r>
      <w:r w:rsidRPr="00344776">
        <w:t xml:space="preserve"> </w:t>
      </w:r>
      <w:r>
        <w:t>(</w:t>
      </w:r>
      <w:r w:rsidRPr="00344776">
        <w:t>ESR</w:t>
      </w:r>
      <w:r>
        <w:t>)</w:t>
      </w:r>
      <w:r w:rsidRPr="00344776">
        <w:t xml:space="preserve"> (2022)</w:t>
      </w:r>
    </w:p>
    <w:p w14:paraId="1E9058DD" w14:textId="4CDAD08F" w:rsidR="00B206F0" w:rsidRPr="00344776" w:rsidRDefault="00B206F0" w:rsidP="00587306">
      <w:pPr>
        <w:pStyle w:val="Note"/>
      </w:pPr>
      <w:r w:rsidRPr="00344776">
        <w:rPr>
          <w:bCs/>
        </w:rPr>
        <w:t>Note:</w:t>
      </w:r>
      <w:r w:rsidRPr="00344776">
        <w:t xml:space="preserve"> Quintile 1</w:t>
      </w:r>
      <w:r>
        <w:t xml:space="preserve"> is the</w:t>
      </w:r>
      <w:r w:rsidRPr="00344776">
        <w:t xml:space="preserve"> least deprived</w:t>
      </w:r>
      <w:r>
        <w:t>;</w:t>
      </w:r>
      <w:r w:rsidRPr="00344776">
        <w:t xml:space="preserve"> quintile 5 </w:t>
      </w:r>
      <w:r>
        <w:t xml:space="preserve">the </w:t>
      </w:r>
      <w:r w:rsidRPr="00344776">
        <w:t>most deprived</w:t>
      </w:r>
    </w:p>
    <w:p w14:paraId="006CCC27" w14:textId="77777777" w:rsidR="00B206F0" w:rsidRPr="00344776" w:rsidRDefault="00B206F0" w:rsidP="00B206F0">
      <w:pPr>
        <w:pStyle w:val="Heading3"/>
      </w:pPr>
      <w:r w:rsidRPr="00344776">
        <w:lastRenderedPageBreak/>
        <w:t>Deaths with COVID-19</w:t>
      </w:r>
    </w:p>
    <w:p w14:paraId="5A61A886" w14:textId="77777777" w:rsidR="00D60D6B" w:rsidRPr="00344776" w:rsidRDefault="00D60D6B" w:rsidP="00D60D6B">
      <w:r w:rsidRPr="00344776">
        <w:t xml:space="preserve">In 2021, 25 people died with COVID-19 in New Zealand </w:t>
      </w:r>
      <w:r w:rsidRPr="00344776">
        <w:fldChar w:fldCharType="begin"/>
      </w:r>
      <w:r>
        <w:instrText xml:space="preserve"> ADDIN EN.CITE &lt;EndNote&gt;&lt;Cite&gt;&lt;Author&gt;ESR&lt;/Author&gt;&lt;Year&gt;2022&lt;/Year&gt;&lt;RecNum&gt;227&lt;/RecNum&gt;&lt;DisplayText&gt;(ESR 2022)&lt;/DisplayText&gt;&lt;record&gt;&lt;rec-number&gt;227&lt;/rec-number&gt;&lt;foreign-keys&gt;&lt;key app="EN" db-id="aaepvppzs5wtfse95vsp2wahsrtvva2vvdet" timestamp="1663810493"&gt;227&lt;/key&gt;&lt;/foreign-keys&gt;&lt;ref-type name="Web Page"&gt;12&lt;/ref-type&gt;&lt;contributors&gt;&lt;authors&gt;&lt;author&gt;ESR,&lt;/author&gt;&lt;/authors&gt;&lt;/contributors&gt;&lt;titles&gt;&lt;title&gt;EpiSurv (Data file)&lt;/title&gt;&lt;/titles&gt;&lt;number&gt;31 October 2022&lt;/number&gt;&lt;dates&gt;&lt;year&gt;2022&lt;/year&gt;&lt;/dates&gt;&lt;urls&gt;&lt;related-urls&gt;&lt;url&gt;https://surv.esr.cri.nz/episurv/index.php&lt;/url&gt;&lt;/related-urls&gt;&lt;/urls&gt;&lt;/record&gt;&lt;/Cite&gt;&lt;/EndNote&gt;</w:instrText>
      </w:r>
      <w:r w:rsidRPr="00344776">
        <w:fldChar w:fldCharType="separate"/>
      </w:r>
      <w:r w:rsidRPr="00344776">
        <w:rPr>
          <w:noProof/>
        </w:rPr>
        <w:t>(ESR 2022)</w:t>
      </w:r>
      <w:r w:rsidRPr="00344776">
        <w:fldChar w:fldCharType="end"/>
      </w:r>
      <w:r w:rsidRPr="00344776">
        <w:t xml:space="preserve">. Those not fully vaccinated accounted for 80% of deaths. All deaths below the age of 60 were in unvaccinated </w:t>
      </w:r>
      <w:r>
        <w:t>people</w:t>
      </w:r>
      <w:r w:rsidRPr="00344776">
        <w:t xml:space="preserve">. </w:t>
      </w:r>
      <w:r>
        <w:t>It should be n</w:t>
      </w:r>
      <w:r w:rsidRPr="00344776">
        <w:t>ote</w:t>
      </w:r>
      <w:r>
        <w:t>d that</w:t>
      </w:r>
      <w:r w:rsidRPr="00344776">
        <w:t xml:space="preserve"> the period covered in this report is prior to the Omicron outbreak in New Zealand. The first community case of Omicron in New Zealand occurred in January 2022.</w:t>
      </w:r>
    </w:p>
    <w:p w14:paraId="0EABA9AF" w14:textId="77777777" w:rsidR="00B206F0" w:rsidRPr="00344776" w:rsidRDefault="00B206F0" w:rsidP="00B206F0">
      <w:pPr>
        <w:pStyle w:val="Heading3"/>
        <w:spacing w:line="259" w:lineRule="auto"/>
      </w:pPr>
      <w:r w:rsidRPr="00344776">
        <w:t xml:space="preserve">COVID-19 </w:t>
      </w:r>
      <w:r>
        <w:t>v</w:t>
      </w:r>
      <w:r w:rsidRPr="00344776">
        <w:t>accinations</w:t>
      </w:r>
    </w:p>
    <w:p w14:paraId="6A9966F4" w14:textId="0F1E2647" w:rsidR="00B206F0" w:rsidRPr="00344776" w:rsidRDefault="00D60D6B" w:rsidP="00B206F0">
      <w:r w:rsidRPr="00344776">
        <w:t>In 2021, vaccinations for COVID-19 became available in New Zealand. There was a staged approach to COVID-19 vaccinations</w:t>
      </w:r>
      <w:r>
        <w:t>,</w:t>
      </w:r>
      <w:r w:rsidRPr="00344776">
        <w:t xml:space="preserve"> to</w:t>
      </w:r>
      <w:r w:rsidR="00B206F0">
        <w:t>:</w:t>
      </w:r>
    </w:p>
    <w:p w14:paraId="2F337968" w14:textId="77777777" w:rsidR="00D60D6B" w:rsidRPr="00344776" w:rsidRDefault="00D60D6B" w:rsidP="00D60D6B">
      <w:pPr>
        <w:pStyle w:val="Bullet"/>
      </w:pPr>
      <w:r w:rsidRPr="00344776">
        <w:t>manage the demand for vaccination to meet the level of supply in vaccine and vaccinators available</w:t>
      </w:r>
    </w:p>
    <w:p w14:paraId="64C55D20" w14:textId="77777777" w:rsidR="00D60D6B" w:rsidRPr="00344776" w:rsidRDefault="00D60D6B" w:rsidP="00D60D6B">
      <w:pPr>
        <w:pStyle w:val="Bullet"/>
      </w:pPr>
      <w:r w:rsidRPr="00344776">
        <w:t>reach the population groups at highest risk first.</w:t>
      </w:r>
    </w:p>
    <w:p w14:paraId="0828666E" w14:textId="77777777" w:rsidR="00B206F0" w:rsidRPr="00344776" w:rsidRDefault="00B206F0" w:rsidP="00B206F0"/>
    <w:p w14:paraId="04414682" w14:textId="77777777" w:rsidR="00D60D6B" w:rsidRPr="00344776" w:rsidRDefault="00D60D6B" w:rsidP="00D60D6B">
      <w:r w:rsidRPr="00344776">
        <w:t xml:space="preserve">COVID-19 vaccination started </w:t>
      </w:r>
      <w:r>
        <w:t xml:space="preserve">for </w:t>
      </w:r>
      <w:r w:rsidRPr="00344776">
        <w:t>border</w:t>
      </w:r>
      <w:r>
        <w:t xml:space="preserve"> workers</w:t>
      </w:r>
      <w:r w:rsidRPr="00344776">
        <w:t xml:space="preserve">, Managed Isolation and Quarantine (MIQ) workers and their household contacts in February 2021. This was followed with vaccination </w:t>
      </w:r>
      <w:r>
        <w:t xml:space="preserve">for </w:t>
      </w:r>
      <w:r w:rsidRPr="00344776">
        <w:t xml:space="preserve">front-line workers, people living in high-risk settings and priority populations </w:t>
      </w:r>
      <w:r w:rsidRPr="00344776">
        <w:fldChar w:fldCharType="begin"/>
      </w:r>
      <w:r>
        <w:instrText xml:space="preserve"> ADDIN EN.CITE &lt;EndNote&gt;&lt;Cite&gt;&lt;Author&gt;Unite against COVID-19&lt;/Author&gt;&lt;Year&gt;2021&lt;/Year&gt;&lt;RecNum&gt;270&lt;/RecNum&gt;&lt;DisplayText&gt;(Unite against COVID-19 2021)&lt;/DisplayText&gt;&lt;record&gt;&lt;rec-number&gt;270&lt;/rec-number&gt;&lt;foreign-keys&gt;&lt;key app="EN" db-id="aaepvppzs5wtfse95vsp2wahsrtvva2vvdet" timestamp="1666124769"&gt;270&lt;/key&gt;&lt;/foreign-keys&gt;&lt;ref-type name="Web Page"&gt;12&lt;/ref-type&gt;&lt;contributors&gt;&lt;authors&gt;&lt;author&gt;Unite against COVID-19,&lt;/author&gt;&lt;/authors&gt;&lt;/contributors&gt;&lt;titles&gt;&lt;title&gt;COVID-19 vaccine rollout plan&lt;/title&gt;&lt;/titles&gt;&lt;number&gt;31 October 2022&lt;/number&gt;&lt;dates&gt;&lt;year&gt;2021&lt;/year&gt;&lt;/dates&gt;&lt;urls&gt;&lt;related-urls&gt;&lt;url&gt;https://covid19.govt.nz/news-and-data/latest-news/covid-19-vaccine-rollout-plan/&lt;/url&gt;&lt;/related-urls&gt;&lt;/urls&gt;&lt;/record&gt;&lt;/Cite&gt;&lt;/EndNote&gt;</w:instrText>
      </w:r>
      <w:r w:rsidRPr="00344776">
        <w:fldChar w:fldCharType="separate"/>
      </w:r>
      <w:r w:rsidRPr="00344776">
        <w:rPr>
          <w:noProof/>
        </w:rPr>
        <w:t>(Unite against COVID-19 2021)</w:t>
      </w:r>
      <w:r w:rsidRPr="00344776">
        <w:fldChar w:fldCharType="end"/>
      </w:r>
      <w:r w:rsidRPr="00344776">
        <w:t xml:space="preserve">. </w:t>
      </w:r>
    </w:p>
    <w:p w14:paraId="573AA970" w14:textId="77777777" w:rsidR="00D60D6B" w:rsidRPr="00344776" w:rsidRDefault="00D60D6B" w:rsidP="00D60D6B"/>
    <w:p w14:paraId="00832115" w14:textId="2F155347" w:rsidR="00D60D6B" w:rsidRDefault="00D60D6B" w:rsidP="00D60D6B">
      <w:r>
        <w:t>Next, the government offered v</w:t>
      </w:r>
      <w:r w:rsidRPr="00344776">
        <w:t>accination</w:t>
      </w:r>
      <w:r>
        <w:t xml:space="preserve"> to the remaining eligible population, progressing from older to younger age gr</w:t>
      </w:r>
      <w:r w:rsidRPr="00344776">
        <w:t>oup</w:t>
      </w:r>
      <w:r>
        <w:t>s. By September 2021, vaccination bookings were open to everyone aged 12 and over.</w:t>
      </w:r>
    </w:p>
    <w:p w14:paraId="60289053" w14:textId="77777777" w:rsidR="00DA00B9" w:rsidRPr="00344776" w:rsidRDefault="00DA00B9" w:rsidP="00D60D6B"/>
    <w:p w14:paraId="7C75C831" w14:textId="58A285D4" w:rsidR="00B206F0" w:rsidRPr="00344776" w:rsidRDefault="00D60D6B" w:rsidP="00D60D6B">
      <w:r w:rsidRPr="00344776">
        <w:t>The following figure shows the COVID-19 vaccination status of confirmed community cases</w:t>
      </w:r>
      <w:r w:rsidR="00B206F0" w:rsidRPr="00344776">
        <w:t xml:space="preserve">. </w:t>
      </w:r>
    </w:p>
    <w:p w14:paraId="4D8DF5AA" w14:textId="22652488" w:rsidR="00B206F0" w:rsidRPr="00344776" w:rsidRDefault="00B206F0" w:rsidP="00B206F0">
      <w:pPr>
        <w:pStyle w:val="Figure"/>
      </w:pPr>
      <w:bookmarkStart w:id="79" w:name="_Toc118446235"/>
      <w:bookmarkStart w:id="80" w:name="_Toc118730680"/>
      <w:bookmarkStart w:id="81" w:name="_Toc119047761"/>
      <w:r w:rsidRPr="00344776">
        <w:t xml:space="preserve">Figure </w:t>
      </w:r>
      <w:r w:rsidRPr="00344776">
        <w:fldChar w:fldCharType="begin"/>
      </w:r>
      <w:r w:rsidRPr="00344776">
        <w:instrText>SEQ Figure \* ARABIC</w:instrText>
      </w:r>
      <w:r w:rsidRPr="00344776">
        <w:fldChar w:fldCharType="separate"/>
      </w:r>
      <w:r w:rsidR="00F61845">
        <w:rPr>
          <w:noProof/>
        </w:rPr>
        <w:t>17</w:t>
      </w:r>
      <w:r w:rsidRPr="00344776">
        <w:fldChar w:fldCharType="end"/>
      </w:r>
      <w:r w:rsidRPr="00344776">
        <w:t>: Vaccination status of COVID-19 cases in the community, 2021</w:t>
      </w:r>
      <w:bookmarkEnd w:id="79"/>
      <w:bookmarkEnd w:id="80"/>
      <w:bookmarkEnd w:id="81"/>
    </w:p>
    <w:p w14:paraId="5A1649F5" w14:textId="77777777" w:rsidR="00B206F0" w:rsidRPr="00344776" w:rsidRDefault="00B206F0" w:rsidP="00587306">
      <w:pPr>
        <w:spacing w:after="120"/>
      </w:pPr>
      <w:r w:rsidRPr="00344776">
        <w:rPr>
          <w:noProof/>
        </w:rPr>
        <w:drawing>
          <wp:inline distT="0" distB="0" distL="0" distR="0" wp14:anchorId="0214B1E5" wp14:editId="6EF94DFE">
            <wp:extent cx="5129154" cy="2642224"/>
            <wp:effectExtent l="0" t="0" r="0" b="6350"/>
            <wp:docPr id="758" name="Picture 758" descr="This stacked bar chart shows the vaccination status of people when they were reported as a case. Over 75% of people were either partially vaccinated, not vaccinated or not eligible (younger than 12 years) when they were reported as a case. Less than 25% of people were fully vaccinated when they were reported as a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Picture 758" descr="This stacked bar chart shows the vaccination status of people when they were reported as a case. Over 75% of people were either partially vaccinated, not vaccinated or not eligible (younger than 12 years) when they were reported as a case. Less than 25% of people were fully vaccinated when they were reported as a case."/>
                    <pic:cNvPicPr/>
                  </pic:nvPicPr>
                  <pic:blipFill rotWithShape="1">
                    <a:blip r:embed="rId64"/>
                    <a:srcRect t="4696" b="-1311"/>
                    <a:stretch/>
                  </pic:blipFill>
                  <pic:spPr bwMode="auto">
                    <a:xfrm>
                      <a:off x="0" y="0"/>
                      <a:ext cx="5130165" cy="2642745"/>
                    </a:xfrm>
                    <a:prstGeom prst="rect">
                      <a:avLst/>
                    </a:prstGeom>
                    <a:ln>
                      <a:noFill/>
                    </a:ln>
                    <a:extLst>
                      <a:ext uri="{53640926-AAD7-44D8-BBD7-CCE9431645EC}">
                        <a14:shadowObscured xmlns:a14="http://schemas.microsoft.com/office/drawing/2010/main"/>
                      </a:ext>
                    </a:extLst>
                  </pic:spPr>
                </pic:pic>
              </a:graphicData>
            </a:graphic>
          </wp:inline>
        </w:drawing>
      </w:r>
    </w:p>
    <w:p w14:paraId="2420159F" w14:textId="77777777" w:rsidR="00B206F0" w:rsidRPr="00344776" w:rsidRDefault="00B206F0" w:rsidP="00587306">
      <w:pPr>
        <w:pStyle w:val="Source"/>
        <w:rPr>
          <w:color w:val="595959" w:themeColor="text1" w:themeTint="A6"/>
        </w:rPr>
      </w:pPr>
      <w:r w:rsidRPr="00344776">
        <w:t xml:space="preserve">Source: </w:t>
      </w:r>
      <w:r w:rsidRPr="00C04F2E">
        <w:t>Institute of Environmental Science and Research</w:t>
      </w:r>
      <w:r w:rsidRPr="00344776">
        <w:t xml:space="preserve"> </w:t>
      </w:r>
      <w:r>
        <w:t>(</w:t>
      </w:r>
      <w:r w:rsidRPr="00344776">
        <w:t>ESR</w:t>
      </w:r>
      <w:r>
        <w:t>)</w:t>
      </w:r>
      <w:r w:rsidRPr="00344776">
        <w:t xml:space="preserve"> (2022)</w:t>
      </w:r>
    </w:p>
    <w:p w14:paraId="7DEA3186" w14:textId="77777777" w:rsidR="00B206F0" w:rsidRPr="00344776" w:rsidRDefault="00B206F0" w:rsidP="00B206F0">
      <w:pPr>
        <w:pStyle w:val="Heading4"/>
      </w:pPr>
      <w:r w:rsidRPr="00344776">
        <w:lastRenderedPageBreak/>
        <w:t>Vaccinator numbers</w:t>
      </w:r>
    </w:p>
    <w:p w14:paraId="02B95ED9" w14:textId="4469EB99" w:rsidR="00D60D6B" w:rsidRPr="00344776" w:rsidRDefault="00D60D6B" w:rsidP="00D60D6B">
      <w:r w:rsidRPr="00344776">
        <w:t xml:space="preserve">To help </w:t>
      </w:r>
      <w:r>
        <w:t>administer</w:t>
      </w:r>
      <w:r w:rsidRPr="00344776">
        <w:t xml:space="preserve"> COVID-19 vaccines,</w:t>
      </w:r>
      <w:r>
        <w:t xml:space="preserve"> Manatū Hauora created</w:t>
      </w:r>
      <w:r w:rsidRPr="00344776">
        <w:t xml:space="preserve"> new roles for vaccinators. By 26 December 2021, there were 15,547 trained vaccinators </w:t>
      </w:r>
      <w:r>
        <w:t xml:space="preserve">and </w:t>
      </w:r>
      <w:r w:rsidRPr="00344776">
        <w:t>11,184 active vaccinators, and 8,111,196 vaccinations had been administered</w:t>
      </w:r>
      <w:r>
        <w:t>.</w:t>
      </w:r>
    </w:p>
    <w:p w14:paraId="3301785D" w14:textId="77777777" w:rsidR="00B206F0" w:rsidRPr="00344776" w:rsidRDefault="00B206F0" w:rsidP="00B206F0">
      <w:pPr>
        <w:pStyle w:val="Heading4"/>
      </w:pPr>
      <w:r w:rsidRPr="00344776">
        <w:t>Vaccination rates</w:t>
      </w:r>
    </w:p>
    <w:p w14:paraId="1704A7F0" w14:textId="77777777" w:rsidR="00D60D6B" w:rsidRPr="00344776" w:rsidRDefault="00D60D6B" w:rsidP="00D60D6B">
      <w:r w:rsidRPr="00344776">
        <w:t>The aim of the COVID-19 vaccination programme was to vaccinate at least 90% of the eligible population by the end of 2021. This was achieved</w:t>
      </w:r>
      <w:r>
        <w:t xml:space="preserve">: the </w:t>
      </w:r>
      <w:r w:rsidRPr="00344776">
        <w:t>o</w:t>
      </w:r>
      <w:r w:rsidRPr="00344776">
        <w:rPr>
          <w:color w:val="242424"/>
          <w:szCs w:val="21"/>
          <w:shd w:val="clear" w:color="auto" w:fill="FFFFFF"/>
        </w:rPr>
        <w:t xml:space="preserve">verall vaccination rate for the eligible population </w:t>
      </w:r>
      <w:r>
        <w:rPr>
          <w:color w:val="242424"/>
          <w:szCs w:val="21"/>
          <w:shd w:val="clear" w:color="auto" w:fill="FFFFFF"/>
        </w:rPr>
        <w:t xml:space="preserve">was </w:t>
      </w:r>
      <w:r w:rsidRPr="00344776">
        <w:rPr>
          <w:color w:val="242424"/>
          <w:szCs w:val="21"/>
          <w:shd w:val="clear" w:color="auto" w:fill="FFFFFF"/>
        </w:rPr>
        <w:t xml:space="preserve">92.8% at 31 December 2021 </w:t>
      </w:r>
      <w:r w:rsidRPr="00344776">
        <w:fldChar w:fldCharType="begin"/>
      </w:r>
      <w:r>
        <w:instrText xml:space="preserve"> ADDIN EN.CITE &lt;EndNote&gt;&lt;Cite&gt;&lt;Author&gt;Ministry of Health&lt;/Author&gt;&lt;Year&gt;2022&lt;/Year&gt;&lt;RecNum&gt;197&lt;/RecNum&gt;&lt;DisplayText&gt;(Ministry of Health 2022d)&lt;/DisplayText&gt;&lt;record&gt;&lt;rec-number&gt;197&lt;/rec-number&gt;&lt;foreign-keys&gt;&lt;key app="EN" db-id="aaepvppzs5wtfse95vsp2wahsrtvva2vvdet" timestamp="1663734623"&gt;197&lt;/key&gt;&lt;/foreign-keys&gt;&lt;ref-type name="Web Page"&gt;12&lt;/ref-type&gt;&lt;contributors&gt;&lt;authors&gt;&lt;author&gt;Ministry of Health,&lt;/author&gt;&lt;/authors&gt;&lt;/contributors&gt;&lt;titles&gt;&lt;title&gt;COVID-19: Minimisation and protection strategy for Aotearoa New Zealand&lt;/title&gt;&lt;/titles&gt;&lt;number&gt;31 October 2022&lt;/number&gt;&lt;dates&gt;&lt;year&gt;2022&lt;/year&gt;&lt;/dates&gt;&lt;urls&gt;&lt;related-urls&gt;&lt;url&gt;https://www.health.govt.nz/covid-19-novel-coronavirus/covid-19-response-planning/covid-19-minimisation-and-protection-strategy-aotearoa-new-zealand&lt;/url&gt;&lt;/related-urls&gt;&lt;/urls&gt;&lt;/record&gt;&lt;/Cite&gt;&lt;/EndNote&gt;</w:instrText>
      </w:r>
      <w:r w:rsidRPr="00344776">
        <w:fldChar w:fldCharType="separate"/>
      </w:r>
      <w:r w:rsidRPr="00344776">
        <w:rPr>
          <w:noProof/>
        </w:rPr>
        <w:t>(Ministry of Health 2022d)</w:t>
      </w:r>
      <w:r w:rsidRPr="00344776">
        <w:fldChar w:fldCharType="end"/>
      </w:r>
      <w:r w:rsidRPr="00344776">
        <w:t>.</w:t>
      </w:r>
    </w:p>
    <w:p w14:paraId="28AB58AA" w14:textId="77777777" w:rsidR="00D60D6B" w:rsidRPr="00344776" w:rsidRDefault="00D60D6B" w:rsidP="00D60D6B"/>
    <w:p w14:paraId="50752742" w14:textId="77777777" w:rsidR="00D60D6B" w:rsidRPr="00D60D6B" w:rsidRDefault="00D60D6B" w:rsidP="00D60D6B">
      <w:r w:rsidRPr="00D60D6B">
        <w:t>COVID-19 vaccination rates differed between population groups: Māori, Pacific peoples and people living in highly deprived neighbourhoods had lower vaccination rates.</w:t>
      </w:r>
    </w:p>
    <w:p w14:paraId="396FDCFA" w14:textId="77777777" w:rsidR="00D60D6B" w:rsidRPr="00D60D6B" w:rsidRDefault="00D60D6B" w:rsidP="00D60D6B"/>
    <w:p w14:paraId="137D4009" w14:textId="5A53694A" w:rsidR="00D60D6B" w:rsidRPr="00D60D6B" w:rsidRDefault="00D60D6B" w:rsidP="00D60D6B">
      <w:r w:rsidRPr="00D60D6B">
        <w:t>Māori had the lowest COVID-19 vaccination rate: 81.3% of Māori aged 12 years and over had completed a primary course by the end of 2021. The Asian population group had the highest rate, of 104.4% (rates could exceed 100%, as sometimes more people were vaccinated in an ethnic group or a region than were identified in the 2020 HSU (</w:t>
      </w:r>
      <w:r w:rsidRPr="00D60D6B">
        <w:fldChar w:fldCharType="begin"/>
      </w:r>
      <w:r w:rsidRPr="00D60D6B">
        <w:instrText xml:space="preserve"> REF _Ref116981887 \h  \* MERGEFORMAT </w:instrText>
      </w:r>
      <w:r w:rsidRPr="00D60D6B">
        <w:fldChar w:fldCharType="separate"/>
      </w:r>
      <w:r w:rsidR="00F61845" w:rsidRPr="00344776">
        <w:t xml:space="preserve">Figure </w:t>
      </w:r>
      <w:r w:rsidR="00F61845">
        <w:rPr>
          <w:noProof/>
        </w:rPr>
        <w:t>18</w:t>
      </w:r>
      <w:r w:rsidRPr="00D60D6B">
        <w:fldChar w:fldCharType="end"/>
      </w:r>
      <w:r w:rsidRPr="00D60D6B">
        <w:t>).</w:t>
      </w:r>
    </w:p>
    <w:p w14:paraId="470E4B3F" w14:textId="77777777" w:rsidR="00D60D6B" w:rsidRPr="00D60D6B" w:rsidRDefault="00D60D6B" w:rsidP="00D60D6B"/>
    <w:p w14:paraId="0A698FA6" w14:textId="77777777" w:rsidR="00D60D6B" w:rsidRPr="00D60D6B" w:rsidRDefault="00D60D6B" w:rsidP="00D60D6B">
      <w:r w:rsidRPr="00D60D6B">
        <w:t xml:space="preserve">It should be noted that data used in this section of the report is the 2020 HSU dataset (as mentioned above, we used the HSU 2020 for COVID-19 reporting in this report for consistency with data we reported in 2021). The 2021 HSU was updated to include those vaccinated in 2021 </w:t>
      </w:r>
      <w:r w:rsidRPr="00D60D6B">
        <w:fldChar w:fldCharType="begin"/>
      </w:r>
      <w:r w:rsidRPr="00D60D6B">
        <w:instrText xml:space="preserve"> ADDIN EN.CITE &lt;EndNote&gt;&lt;Cite&gt;&lt;Author&gt;Stats NZ&lt;/Author&gt;&lt;Year&gt;2022&lt;/Year&gt;&lt;RecNum&gt;186&lt;/RecNum&gt;&lt;DisplayText&gt;(Stats NZ 2022c)&lt;/DisplayText&gt;&lt;record&gt;&lt;rec-number&gt;186&lt;/rec-number&gt;&lt;foreign-keys&gt;&lt;key app="EN" db-id="aaepvppzs5wtfse95vsp2wahsrtvva2vvdet" timestamp="1663730051"&gt;186&lt;/key&gt;&lt;/foreign-keys&gt;&lt;ref-type name="Web Page"&gt;12&lt;/ref-type&gt;&lt;contributors&gt;&lt;authors&gt;&lt;author&gt;Stats NZ,&lt;/author&gt;&lt;/authors&gt;&lt;/contributors&gt;&lt;titles&gt;&lt;title&gt;Review of Health Service User population methodology&lt;/title&gt;&lt;/titles&gt;&lt;number&gt;28 October 2022&lt;/number&gt;&lt;dates&gt;&lt;year&gt;2022&lt;/year&gt;&lt;/dates&gt;&lt;urls&gt;&lt;related-urls&gt;&lt;url&gt;https://www.stats.govt.nz/reports/review-of-health-service-user-population-methodology/&lt;/url&gt;&lt;/related-urls&gt;&lt;/urls&gt;&lt;/record&gt;&lt;/Cite&gt;&lt;/EndNote&gt;</w:instrText>
      </w:r>
      <w:r w:rsidRPr="00D60D6B">
        <w:fldChar w:fldCharType="separate"/>
      </w:r>
      <w:r w:rsidRPr="00D60D6B">
        <w:rPr>
          <w:noProof/>
        </w:rPr>
        <w:t>(Stats NZ 2022c)</w:t>
      </w:r>
      <w:r w:rsidRPr="00D60D6B">
        <w:fldChar w:fldCharType="end"/>
      </w:r>
      <w:r w:rsidRPr="00D60D6B">
        <w:t>.</w:t>
      </w:r>
    </w:p>
    <w:p w14:paraId="0EB88C07" w14:textId="77777777" w:rsidR="00D60D6B" w:rsidRPr="00D60D6B" w:rsidRDefault="00D60D6B" w:rsidP="00D60D6B"/>
    <w:p w14:paraId="7C3F5775" w14:textId="58E0AF46" w:rsidR="00B206F0" w:rsidRPr="00D60D6B" w:rsidRDefault="00D60D6B" w:rsidP="00D60D6B">
      <w:pPr>
        <w:spacing w:line="259" w:lineRule="auto"/>
      </w:pPr>
      <w:r w:rsidRPr="00D60D6B">
        <w:t xml:space="preserve">Disabled people had higher rates of vaccination (at least one dose) than non-disabled people at November 2021, according to analysis carried out by the Social Wellbeing Agency </w:t>
      </w:r>
      <w:r w:rsidRPr="00D60D6B">
        <w:fldChar w:fldCharType="begin"/>
      </w:r>
      <w:r w:rsidRPr="00D60D6B">
        <w:instrText xml:space="preserve"> ADDIN EN.CITE &lt;EndNote&gt;&lt;Cite&gt;&lt;Author&gt;Office for Disability Issues&lt;/Author&gt;&lt;Year&gt;2022&lt;/Year&gt;&lt;RecNum&gt;203&lt;/RecNum&gt;&lt;DisplayText&gt;(Office for Disability Issues 2022)&lt;/DisplayText&gt;&lt;record&gt;&lt;rec-number&gt;203&lt;/rec-number&gt;&lt;foreign-keys&gt;&lt;key app="EN" db-id="aaepvppzs5wtfse95vsp2wahsrtvva2vvdet" timestamp="1663736567"&gt;203&lt;/key&gt;&lt;/foreign-keys&gt;&lt;ref-type name="Web Page"&gt;12&lt;/ref-type&gt;&lt;contributors&gt;&lt;authors&gt;&lt;author&gt;Office for Disability Issues,&lt;/author&gt;&lt;/authors&gt;&lt;/contributors&gt;&lt;titles&gt;&lt;title&gt;COVID-19 data analysis&lt;/title&gt;&lt;/titles&gt;&lt;number&gt;31 October 2022&lt;/number&gt;&lt;dates&gt;&lt;year&gt;2022&lt;/year&gt;&lt;/dates&gt;&lt;urls&gt;&lt;related-urls&gt;&lt;url&gt;https://www.odi.govt.nz/guidance-and-resources/covid-19-data-analysis/&lt;/url&gt;&lt;/related-urls&gt;&lt;/urls&gt;&lt;/record&gt;&lt;/Cite&gt;&lt;/EndNote&gt;</w:instrText>
      </w:r>
      <w:r w:rsidRPr="00D60D6B">
        <w:fldChar w:fldCharType="separate"/>
      </w:r>
      <w:r w:rsidRPr="00D60D6B">
        <w:rPr>
          <w:noProof/>
        </w:rPr>
        <w:t>(Office for Disability Issues 2022)</w:t>
      </w:r>
      <w:r w:rsidRPr="00D60D6B">
        <w:fldChar w:fldCharType="end"/>
      </w:r>
      <w:r w:rsidRPr="00D60D6B">
        <w:t>. 90% of disabled people had at least one dose, compared with 83% of non-disabled people</w:t>
      </w:r>
      <w:r w:rsidR="00B206F0" w:rsidRPr="00D60D6B">
        <w:t>.</w:t>
      </w:r>
    </w:p>
    <w:p w14:paraId="34D645FD" w14:textId="4D8225A1" w:rsidR="00B206F0" w:rsidRPr="00344776" w:rsidRDefault="00B206F0" w:rsidP="00B206F0">
      <w:pPr>
        <w:pStyle w:val="Figure"/>
      </w:pPr>
      <w:bookmarkStart w:id="82" w:name="_Ref116981887"/>
      <w:bookmarkStart w:id="83" w:name="_Toc118446236"/>
      <w:bookmarkStart w:id="84" w:name="_Toc118730681"/>
      <w:bookmarkStart w:id="85" w:name="_Toc119047762"/>
      <w:r w:rsidRPr="00344776">
        <w:t xml:space="preserve">Figure </w:t>
      </w:r>
      <w:r w:rsidRPr="00344776">
        <w:fldChar w:fldCharType="begin"/>
      </w:r>
      <w:r w:rsidRPr="00344776">
        <w:instrText>SEQ Figure \* ARABIC</w:instrText>
      </w:r>
      <w:r w:rsidRPr="00344776">
        <w:fldChar w:fldCharType="separate"/>
      </w:r>
      <w:r w:rsidR="00F61845">
        <w:rPr>
          <w:noProof/>
        </w:rPr>
        <w:t>18</w:t>
      </w:r>
      <w:r w:rsidRPr="00344776">
        <w:fldChar w:fldCharType="end"/>
      </w:r>
      <w:bookmarkEnd w:id="82"/>
      <w:r w:rsidRPr="00344776">
        <w:t>: COVID-19 vaccination uptake</w:t>
      </w:r>
      <w:r>
        <w:t>,</w:t>
      </w:r>
      <w:r w:rsidRPr="00344776">
        <w:t xml:space="preserve"> by ethnic group, 2021</w:t>
      </w:r>
      <w:bookmarkEnd w:id="83"/>
      <w:bookmarkEnd w:id="84"/>
      <w:bookmarkEnd w:id="85"/>
    </w:p>
    <w:p w14:paraId="1B47C7CA" w14:textId="77777777" w:rsidR="00B206F0" w:rsidRPr="00344776" w:rsidRDefault="00B206F0" w:rsidP="00587306">
      <w:pPr>
        <w:spacing w:after="120"/>
      </w:pPr>
      <w:r w:rsidRPr="00344776">
        <w:rPr>
          <w:noProof/>
        </w:rPr>
        <w:drawing>
          <wp:inline distT="0" distB="0" distL="0" distR="0" wp14:anchorId="6D320521" wp14:editId="32FBBD7F">
            <wp:extent cx="5118820" cy="2047875"/>
            <wp:effectExtent l="0" t="0" r="5715" b="0"/>
            <wp:docPr id="46" name="Picture 46" descr="This stacked bar chart shows COVID-19 vaccination uptake rates by ethnic group in 2021. The chart shows vaccination rates were highest for the Asian ethnic group, followed by European/other, Pacific peoples and then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stacked bar chart shows COVID-19 vaccination uptake rates by ethnic group in 2021. The chart shows vaccination rates were highest for the Asian ethnic group, followed by European/other, Pacific peoples and then Māori."/>
                    <pic:cNvPicPr>
                      <a:picLocks noChangeAspect="1" noChangeArrowheads="1"/>
                    </pic:cNvPicPr>
                  </pic:nvPicPr>
                  <pic:blipFill>
                    <a:blip r:embed="rId65"/>
                    <a:stretch>
                      <a:fillRect/>
                    </a:stretch>
                  </pic:blipFill>
                  <pic:spPr bwMode="auto">
                    <a:xfrm>
                      <a:off x="0" y="0"/>
                      <a:ext cx="5118820" cy="2047875"/>
                    </a:xfrm>
                    <a:prstGeom prst="rect">
                      <a:avLst/>
                    </a:prstGeom>
                    <a:noFill/>
                    <a:ln>
                      <a:noFill/>
                    </a:ln>
                  </pic:spPr>
                </pic:pic>
              </a:graphicData>
            </a:graphic>
          </wp:inline>
        </w:drawing>
      </w:r>
    </w:p>
    <w:p w14:paraId="2BC851CC" w14:textId="77777777" w:rsidR="00B206F0" w:rsidRPr="00344776" w:rsidRDefault="00B206F0" w:rsidP="00587306">
      <w:pPr>
        <w:pStyle w:val="Source"/>
      </w:pPr>
      <w:r w:rsidRPr="00344776">
        <w:t xml:space="preserve">Source: Ministry of Health unpublished </w:t>
      </w:r>
      <w:r>
        <w:t xml:space="preserve">data </w:t>
      </w:r>
      <w:r w:rsidRPr="00344776">
        <w:t>(2022)</w:t>
      </w:r>
    </w:p>
    <w:p w14:paraId="3EF6C88A" w14:textId="77777777" w:rsidR="00B206F0" w:rsidRPr="00344776" w:rsidRDefault="00B206F0" w:rsidP="00B206F0"/>
    <w:p w14:paraId="68D9FCD9" w14:textId="77777777" w:rsidR="00472B3D" w:rsidRDefault="00472B3D">
      <w:pPr>
        <w:rPr>
          <w:b/>
          <w:iCs/>
          <w:sz w:val="20"/>
          <w:szCs w:val="18"/>
        </w:rPr>
      </w:pPr>
      <w:bookmarkStart w:id="86" w:name="_Ref116981928"/>
      <w:bookmarkStart w:id="87" w:name="_Toc118446237"/>
      <w:r>
        <w:br w:type="page"/>
      </w:r>
    </w:p>
    <w:p w14:paraId="1C783046" w14:textId="44A22FC3" w:rsidR="00B206F0" w:rsidRPr="00344776" w:rsidRDefault="00B206F0" w:rsidP="006A75E6">
      <w:pPr>
        <w:pStyle w:val="Caption"/>
      </w:pPr>
      <w:bookmarkStart w:id="88" w:name="_Ref119062744"/>
      <w:bookmarkStart w:id="89" w:name="_Toc119047763"/>
      <w:r w:rsidRPr="00344776">
        <w:lastRenderedPageBreak/>
        <w:t xml:space="preserve">Figure </w:t>
      </w:r>
      <w:r w:rsidRPr="00344776">
        <w:fldChar w:fldCharType="begin"/>
      </w:r>
      <w:r w:rsidRPr="00344776">
        <w:instrText>SEQ Figure \* ARABIC</w:instrText>
      </w:r>
      <w:r w:rsidRPr="00344776">
        <w:fldChar w:fldCharType="separate"/>
      </w:r>
      <w:r w:rsidR="00F61845">
        <w:rPr>
          <w:noProof/>
        </w:rPr>
        <w:t>19</w:t>
      </w:r>
      <w:r w:rsidRPr="00344776">
        <w:fldChar w:fldCharType="end"/>
      </w:r>
      <w:bookmarkEnd w:id="86"/>
      <w:bookmarkEnd w:id="88"/>
      <w:r w:rsidRPr="00344776">
        <w:t>: COVID-19 vaccination uptake</w:t>
      </w:r>
      <w:r>
        <w:t>,</w:t>
      </w:r>
      <w:r w:rsidRPr="00344776">
        <w:t xml:space="preserve"> by NZDep2018 deprivation quintile, 2021</w:t>
      </w:r>
      <w:bookmarkEnd w:id="87"/>
      <w:bookmarkEnd w:id="89"/>
    </w:p>
    <w:p w14:paraId="49E0B49C" w14:textId="77777777" w:rsidR="00B206F0" w:rsidRPr="00344776" w:rsidRDefault="00B206F0" w:rsidP="00587306">
      <w:pPr>
        <w:spacing w:after="120"/>
      </w:pPr>
      <w:r w:rsidRPr="00344776">
        <w:rPr>
          <w:noProof/>
        </w:rPr>
        <w:drawing>
          <wp:inline distT="0" distB="0" distL="0" distR="0" wp14:anchorId="7EA18A5F" wp14:editId="54895CFD">
            <wp:extent cx="5118735" cy="1849434"/>
            <wp:effectExtent l="0" t="0" r="5715" b="0"/>
            <wp:docPr id="47" name="Picture 47" descr="This stacked bar chart shows COVID-19 vaccination uptake rates by deprivation quintile in 2021.  Vaccination rates were highest for the least deprived areas and lowest for the most depriv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stacked bar chart shows COVID-19 vaccination uptake rates by deprivation quintile in 2021.  Vaccination rates were highest for the least deprived areas and lowest for the most deprived areas."/>
                    <pic:cNvPicPr>
                      <a:picLocks noChangeAspect="1" noChangeArrowheads="1"/>
                    </pic:cNvPicPr>
                  </pic:nvPicPr>
                  <pic:blipFill rotWithShape="1">
                    <a:blip r:embed="rId66"/>
                    <a:srcRect t="9689"/>
                    <a:stretch/>
                  </pic:blipFill>
                  <pic:spPr bwMode="auto">
                    <a:xfrm>
                      <a:off x="0" y="0"/>
                      <a:ext cx="5118820" cy="1849465"/>
                    </a:xfrm>
                    <a:prstGeom prst="rect">
                      <a:avLst/>
                    </a:prstGeom>
                    <a:noFill/>
                    <a:ln>
                      <a:noFill/>
                    </a:ln>
                    <a:extLst>
                      <a:ext uri="{53640926-AAD7-44D8-BBD7-CCE9431645EC}">
                        <a14:shadowObscured xmlns:a14="http://schemas.microsoft.com/office/drawing/2010/main"/>
                      </a:ext>
                    </a:extLst>
                  </pic:spPr>
                </pic:pic>
              </a:graphicData>
            </a:graphic>
          </wp:inline>
        </w:drawing>
      </w:r>
    </w:p>
    <w:p w14:paraId="149D2DF3" w14:textId="77777777" w:rsidR="00587306" w:rsidRPr="00344776" w:rsidRDefault="00587306" w:rsidP="00587306">
      <w:pPr>
        <w:pStyle w:val="Source"/>
      </w:pPr>
      <w:r w:rsidRPr="00344776">
        <w:t xml:space="preserve">Source: Ministry of Health unpublished </w:t>
      </w:r>
      <w:r>
        <w:t xml:space="preserve">data </w:t>
      </w:r>
      <w:r w:rsidRPr="00344776">
        <w:t>(2022)</w:t>
      </w:r>
    </w:p>
    <w:p w14:paraId="4C7DB3F1" w14:textId="6E4E9A1F" w:rsidR="00B206F0" w:rsidRPr="00344776" w:rsidRDefault="00B206F0" w:rsidP="00587306">
      <w:pPr>
        <w:pStyle w:val="Note"/>
      </w:pPr>
      <w:r w:rsidRPr="00344776">
        <w:rPr>
          <w:bCs/>
        </w:rPr>
        <w:t>Note</w:t>
      </w:r>
      <w:r w:rsidRPr="00D23713">
        <w:rPr>
          <w:bCs/>
        </w:rPr>
        <w:t>:</w:t>
      </w:r>
      <w:r w:rsidRPr="00344776">
        <w:t xml:space="preserve"> Quintile 1 </w:t>
      </w:r>
      <w:r>
        <w:t xml:space="preserve">is the </w:t>
      </w:r>
      <w:r w:rsidRPr="00344776">
        <w:t>least deprived</w:t>
      </w:r>
      <w:r>
        <w:t>;</w:t>
      </w:r>
      <w:r w:rsidRPr="00344776">
        <w:t xml:space="preserve"> quintile 5 </w:t>
      </w:r>
      <w:r>
        <w:t xml:space="preserve">the </w:t>
      </w:r>
      <w:r w:rsidRPr="00344776">
        <w:t>most deprived</w:t>
      </w:r>
      <w:r>
        <w:t>.</w:t>
      </w:r>
    </w:p>
    <w:p w14:paraId="27E40576" w14:textId="77777777" w:rsidR="00B206F0" w:rsidRPr="00344776" w:rsidRDefault="00B206F0" w:rsidP="00B206F0"/>
    <w:p w14:paraId="71B24626" w14:textId="4B0CABDE" w:rsidR="00B206F0" w:rsidRDefault="00590B82" w:rsidP="00B206F0">
      <w:r w:rsidRPr="00344776">
        <w:t>Those living in the most deprived areas (quintile 5) had the lowest vaccination uptake</w:t>
      </w:r>
      <w:r>
        <w:t>: in this quintile,</w:t>
      </w:r>
      <w:r w:rsidRPr="00344776">
        <w:t xml:space="preserve"> 86.6% of people 12 years and over </w:t>
      </w:r>
      <w:r>
        <w:t xml:space="preserve">had </w:t>
      </w:r>
      <w:r w:rsidRPr="00344776">
        <w:t>completed their primary course at the end of 2021. People living in the least deprived areas (quintile 1) had the highest rate</w:t>
      </w:r>
      <w:r>
        <w:t>,</w:t>
      </w:r>
      <w:r w:rsidRPr="00344776">
        <w:t xml:space="preserve"> at 98.0% </w:t>
      </w:r>
      <w:r w:rsidR="00253316">
        <w:t>(</w:t>
      </w:r>
      <w:r w:rsidR="00253316">
        <w:fldChar w:fldCharType="begin"/>
      </w:r>
      <w:r w:rsidR="00253316">
        <w:instrText xml:space="preserve"> REF _Ref119062744 \h </w:instrText>
      </w:r>
      <w:r w:rsidR="00253316">
        <w:fldChar w:fldCharType="separate"/>
      </w:r>
      <w:r w:rsidR="00F61845" w:rsidRPr="00344776">
        <w:t xml:space="preserve">Figure </w:t>
      </w:r>
      <w:r w:rsidR="00F61845">
        <w:rPr>
          <w:noProof/>
        </w:rPr>
        <w:t>19</w:t>
      </w:r>
      <w:r w:rsidR="00253316">
        <w:fldChar w:fldCharType="end"/>
      </w:r>
      <w:r w:rsidR="00253316">
        <w:t>)</w:t>
      </w:r>
      <w:r w:rsidR="00B206F0" w:rsidRPr="00344776">
        <w:t>.</w:t>
      </w:r>
    </w:p>
    <w:p w14:paraId="3755A580" w14:textId="6BBAFFA1" w:rsidR="007E13BA" w:rsidRDefault="007E13BA" w:rsidP="00B206F0"/>
    <w:p w14:paraId="5058A799" w14:textId="3B9B2B41" w:rsidR="00B206F0" w:rsidRPr="00344776" w:rsidRDefault="00590B82" w:rsidP="00B206F0">
      <w:r w:rsidRPr="00344776">
        <w:t>Young people aged 12–17</w:t>
      </w:r>
      <w:r>
        <w:t xml:space="preserve"> </w:t>
      </w:r>
      <w:r w:rsidRPr="00344776">
        <w:t>years of age had the lowest vaccination uptake</w:t>
      </w:r>
      <w:r>
        <w:t>:</w:t>
      </w:r>
      <w:r w:rsidRPr="00344776">
        <w:t xml:space="preserve"> 75.6% </w:t>
      </w:r>
      <w:r>
        <w:t xml:space="preserve">had </w:t>
      </w:r>
      <w:r w:rsidRPr="00344776">
        <w:t xml:space="preserve">completed their primary course at the end of 2021. </w:t>
      </w:r>
      <w:r>
        <w:t>V</w:t>
      </w:r>
      <w:r w:rsidRPr="00344776">
        <w:t xml:space="preserve">accination was not made available for under 12-year-olds until early 2022 </w:t>
      </w:r>
      <w:r w:rsidRPr="00344776">
        <w:fldChar w:fldCharType="begin"/>
      </w:r>
      <w:r>
        <w:instrText xml:space="preserve"> ADDIN EN.CITE &lt;EndNote&gt;&lt;Cite&gt;&lt;Author&gt;The Immunisation Advisory Centre&lt;/Author&gt;&lt;Year&gt;2021&lt;/Year&gt;&lt;RecNum&gt;258&lt;/RecNum&gt;&lt;DisplayText&gt;(The Immunisation Advisory Centre 2021)&lt;/DisplayText&gt;&lt;record&gt;&lt;rec-number&gt;258&lt;/rec-number&gt;&lt;foreign-keys&gt;&lt;key app="EN" db-id="aaepvppzs5wtfse95vsp2wahsrtvva2vvdet" timestamp="1666042996"&gt;258&lt;/key&gt;&lt;/foreign-keys&gt;&lt;ref-type name="Web Page"&gt;12&lt;/ref-type&gt;&lt;contributors&gt;&lt;authors&gt;&lt;author&gt;The Immunisation Advisory Centre,&lt;/author&gt;&lt;/authors&gt;&lt;/contributors&gt;&lt;titles&gt;&lt;title&gt;5 to 11 years old COVID resources&lt;/title&gt;&lt;/titles&gt;&lt;number&gt;31 October 2022&lt;/number&gt;&lt;dates&gt;&lt;year&gt;2021&lt;/year&gt;&lt;/dates&gt;&lt;urls&gt;&lt;related-urls&gt;&lt;url&gt;https://covid.immune.org.nz/covid-19-vaccines-nz/getting-vaccinated/5-11-years-old-covid-resources&lt;/url&gt;&lt;/related-urls&gt;&lt;/urls&gt;&lt;/record&gt;&lt;/Cite&gt;&lt;/EndNote&gt;</w:instrText>
      </w:r>
      <w:r w:rsidRPr="00344776">
        <w:fldChar w:fldCharType="separate"/>
      </w:r>
      <w:r w:rsidRPr="00344776">
        <w:rPr>
          <w:noProof/>
        </w:rPr>
        <w:t>(The Immunisation Advisory Centre 2021)</w:t>
      </w:r>
      <w:r w:rsidRPr="00344776">
        <w:fldChar w:fldCharType="end"/>
      </w:r>
      <w:r w:rsidRPr="00344776">
        <w:t>.</w:t>
      </w:r>
      <w:r w:rsidRPr="003D6CAA">
        <w:t xml:space="preserve"> </w:t>
      </w:r>
      <w:r w:rsidRPr="00344776">
        <w:t xml:space="preserve">People </w:t>
      </w:r>
      <w:r>
        <w:t xml:space="preserve">aged </w:t>
      </w:r>
      <w:r w:rsidRPr="00344776">
        <w:t xml:space="preserve">65 years and over had the highest </w:t>
      </w:r>
      <w:r>
        <w:t xml:space="preserve">uptake, </w:t>
      </w:r>
      <w:r w:rsidRPr="00344776">
        <w:t>at 10</w:t>
      </w:r>
      <w:r>
        <w:t>3</w:t>
      </w:r>
      <w:r w:rsidRPr="00344776">
        <w:t>.</w:t>
      </w:r>
      <w:r>
        <w:t>6</w:t>
      </w:r>
      <w:r w:rsidRPr="00344776">
        <w:t xml:space="preserve">% </w:t>
      </w:r>
      <w:r w:rsidR="00B06A3A">
        <w:t>(</w:t>
      </w:r>
      <w:r w:rsidR="00B06A3A">
        <w:fldChar w:fldCharType="begin"/>
      </w:r>
      <w:r w:rsidR="00B06A3A">
        <w:instrText xml:space="preserve"> REF _Ref116981970 \h </w:instrText>
      </w:r>
      <w:r w:rsidR="00B06A3A">
        <w:fldChar w:fldCharType="separate"/>
      </w:r>
      <w:r w:rsidR="00F61845" w:rsidRPr="00344776">
        <w:t xml:space="preserve">Figure </w:t>
      </w:r>
      <w:r w:rsidR="00F61845">
        <w:rPr>
          <w:noProof/>
        </w:rPr>
        <w:t>20</w:t>
      </w:r>
      <w:r w:rsidR="00B06A3A">
        <w:fldChar w:fldCharType="end"/>
      </w:r>
      <w:r w:rsidR="00B06A3A">
        <w:t>).</w:t>
      </w:r>
    </w:p>
    <w:p w14:paraId="74227F15" w14:textId="340F87B0" w:rsidR="00B206F0" w:rsidRPr="00344776" w:rsidRDefault="00B206F0" w:rsidP="00B206F0">
      <w:pPr>
        <w:pStyle w:val="Figure"/>
      </w:pPr>
      <w:bookmarkStart w:id="90" w:name="_Ref116981970"/>
      <w:bookmarkStart w:id="91" w:name="_Toc118446238"/>
      <w:bookmarkStart w:id="92" w:name="_Toc118730682"/>
      <w:bookmarkStart w:id="93" w:name="_Toc119047764"/>
      <w:r w:rsidRPr="00344776">
        <w:t xml:space="preserve">Figure </w:t>
      </w:r>
      <w:r w:rsidRPr="00344776">
        <w:fldChar w:fldCharType="begin"/>
      </w:r>
      <w:r w:rsidRPr="00344776">
        <w:instrText>SEQ Figure \* ARABIC</w:instrText>
      </w:r>
      <w:r w:rsidRPr="00344776">
        <w:fldChar w:fldCharType="separate"/>
      </w:r>
      <w:r w:rsidR="00F61845">
        <w:rPr>
          <w:noProof/>
        </w:rPr>
        <w:t>20</w:t>
      </w:r>
      <w:r w:rsidRPr="00344776">
        <w:fldChar w:fldCharType="end"/>
      </w:r>
      <w:bookmarkEnd w:id="90"/>
      <w:r w:rsidRPr="00344776">
        <w:t>: COVID-19 vaccination uptake</w:t>
      </w:r>
      <w:r>
        <w:t>,</w:t>
      </w:r>
      <w:r w:rsidRPr="00344776">
        <w:t xml:space="preserve"> by eligible age groups, 2021</w:t>
      </w:r>
      <w:bookmarkEnd w:id="91"/>
      <w:bookmarkEnd w:id="92"/>
      <w:bookmarkEnd w:id="93"/>
    </w:p>
    <w:p w14:paraId="6A72350C" w14:textId="77777777" w:rsidR="00B206F0" w:rsidRPr="00344776" w:rsidRDefault="00B206F0" w:rsidP="008069B5">
      <w:pPr>
        <w:spacing w:after="120"/>
      </w:pPr>
      <w:r w:rsidRPr="00344776">
        <w:rPr>
          <w:noProof/>
        </w:rPr>
        <w:drawing>
          <wp:inline distT="0" distB="0" distL="0" distR="0" wp14:anchorId="2697EE30" wp14:editId="2D99809B">
            <wp:extent cx="5118820" cy="2047875"/>
            <wp:effectExtent l="0" t="0" r="5715" b="0"/>
            <wp:docPr id="48" name="Picture 48" descr="This stacked bar chart shows COVID-19 vaccination uptake rates by age band in 2021.  Vaccination rates were highest for the oldest age band (65+) and lowest for the youngest eligible age band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stacked bar chart shows COVID-19 vaccination uptake rates by age band in 2021.  Vaccination rates were highest for the oldest age band (65+) and lowest for the youngest eligible age band 12-17."/>
                    <pic:cNvPicPr>
                      <a:picLocks noChangeAspect="1" noChangeArrowheads="1"/>
                    </pic:cNvPicPr>
                  </pic:nvPicPr>
                  <pic:blipFill>
                    <a:blip r:embed="rId67"/>
                    <a:stretch>
                      <a:fillRect/>
                    </a:stretch>
                  </pic:blipFill>
                  <pic:spPr bwMode="auto">
                    <a:xfrm>
                      <a:off x="0" y="0"/>
                      <a:ext cx="5118820" cy="2047875"/>
                    </a:xfrm>
                    <a:prstGeom prst="rect">
                      <a:avLst/>
                    </a:prstGeom>
                    <a:noFill/>
                    <a:ln>
                      <a:noFill/>
                    </a:ln>
                  </pic:spPr>
                </pic:pic>
              </a:graphicData>
            </a:graphic>
          </wp:inline>
        </w:drawing>
      </w:r>
    </w:p>
    <w:p w14:paraId="3A6A0745" w14:textId="77777777" w:rsidR="00B206F0" w:rsidRPr="00344776" w:rsidRDefault="00B206F0" w:rsidP="00587306">
      <w:pPr>
        <w:pStyle w:val="Source"/>
      </w:pPr>
      <w:r w:rsidRPr="00344776">
        <w:t xml:space="preserve">Source: Ministry of Health unpublished </w:t>
      </w:r>
      <w:r>
        <w:t xml:space="preserve">data </w:t>
      </w:r>
      <w:r w:rsidRPr="00344776">
        <w:t>(2022)</w:t>
      </w:r>
    </w:p>
    <w:p w14:paraId="10A5A9DA" w14:textId="77777777" w:rsidR="00B206F0" w:rsidRPr="00344776" w:rsidRDefault="00B206F0" w:rsidP="00B206F0"/>
    <w:p w14:paraId="38C8CDF6" w14:textId="77777777" w:rsidR="007E13BA" w:rsidRDefault="007E13BA">
      <w:pPr>
        <w:rPr>
          <w:color w:val="0A6AB4"/>
          <w:sz w:val="28"/>
        </w:rPr>
      </w:pPr>
      <w:r>
        <w:br w:type="page"/>
      </w:r>
    </w:p>
    <w:p w14:paraId="2D7DAE62" w14:textId="664D2672" w:rsidR="00B206F0" w:rsidRPr="00344776" w:rsidRDefault="00B206F0" w:rsidP="00B206F0">
      <w:pPr>
        <w:pStyle w:val="Heading4"/>
      </w:pPr>
      <w:r w:rsidRPr="00344776">
        <w:lastRenderedPageBreak/>
        <w:t>Vaccination by area</w:t>
      </w:r>
    </w:p>
    <w:p w14:paraId="59D24F2D" w14:textId="5AA27E40" w:rsidR="00B206F0" w:rsidRPr="00344776" w:rsidRDefault="00590B82" w:rsidP="00B206F0">
      <w:r w:rsidRPr="00344776">
        <w:t>Northland had the lowest vaccination uptake</w:t>
      </w:r>
      <w:r>
        <w:t>:</w:t>
      </w:r>
      <w:r w:rsidRPr="00344776">
        <w:t xml:space="preserve"> 84.7% of eligible people </w:t>
      </w:r>
      <w:r>
        <w:t xml:space="preserve">in that region had </w:t>
      </w:r>
      <w:r w:rsidRPr="00344776">
        <w:t>completed their primary course at the end of 2021</w:t>
      </w:r>
      <w:r>
        <w:t>.</w:t>
      </w:r>
      <w:r w:rsidRPr="00344776">
        <w:t xml:space="preserve"> Canterbury had the highest </w:t>
      </w:r>
      <w:r>
        <w:t xml:space="preserve">uptake, </w:t>
      </w:r>
      <w:r w:rsidRPr="00344776">
        <w:t xml:space="preserve">at 96.9% </w:t>
      </w:r>
      <w:r w:rsidR="00B06A3A">
        <w:t>(</w:t>
      </w:r>
      <w:r w:rsidR="00B06A3A">
        <w:fldChar w:fldCharType="begin"/>
      </w:r>
      <w:r w:rsidR="00B06A3A">
        <w:instrText xml:space="preserve"> REF _Ref116981997 \h </w:instrText>
      </w:r>
      <w:r w:rsidR="00B06A3A">
        <w:fldChar w:fldCharType="separate"/>
      </w:r>
      <w:r w:rsidR="00F61845" w:rsidRPr="00344776">
        <w:t xml:space="preserve">Figure </w:t>
      </w:r>
      <w:r w:rsidR="00F61845">
        <w:rPr>
          <w:noProof/>
        </w:rPr>
        <w:t>21</w:t>
      </w:r>
      <w:r w:rsidR="00B06A3A">
        <w:fldChar w:fldCharType="end"/>
      </w:r>
      <w:r w:rsidR="00B206F0" w:rsidRPr="00344776">
        <w:t>).</w:t>
      </w:r>
    </w:p>
    <w:p w14:paraId="74344E55" w14:textId="404BDD1A" w:rsidR="00B206F0" w:rsidRPr="00344776" w:rsidRDefault="00B206F0" w:rsidP="00253316">
      <w:pPr>
        <w:pStyle w:val="Figure"/>
      </w:pPr>
      <w:bookmarkStart w:id="94" w:name="_Ref116981997"/>
      <w:bookmarkStart w:id="95" w:name="_Toc118446239"/>
      <w:bookmarkStart w:id="96" w:name="_Toc119047765"/>
      <w:r w:rsidRPr="00344776">
        <w:t xml:space="preserve">Figure </w:t>
      </w:r>
      <w:r w:rsidRPr="00344776">
        <w:fldChar w:fldCharType="begin"/>
      </w:r>
      <w:r w:rsidRPr="00344776">
        <w:instrText>SEQ Figure \* ARABIC</w:instrText>
      </w:r>
      <w:r w:rsidRPr="00344776">
        <w:fldChar w:fldCharType="separate"/>
      </w:r>
      <w:r w:rsidR="00F61845">
        <w:rPr>
          <w:noProof/>
        </w:rPr>
        <w:t>21</w:t>
      </w:r>
      <w:r w:rsidRPr="00344776">
        <w:fldChar w:fldCharType="end"/>
      </w:r>
      <w:bookmarkEnd w:id="94"/>
      <w:r w:rsidRPr="00344776">
        <w:t>: COVID-19 vaccination uptake</w:t>
      </w:r>
      <w:r>
        <w:t>,</w:t>
      </w:r>
      <w:r w:rsidRPr="00344776">
        <w:t xml:space="preserve"> by </w:t>
      </w:r>
      <w:r>
        <w:t>district health board</w:t>
      </w:r>
      <w:r w:rsidRPr="00344776">
        <w:t>, 2021</w:t>
      </w:r>
      <w:bookmarkEnd w:id="95"/>
      <w:bookmarkEnd w:id="96"/>
    </w:p>
    <w:p w14:paraId="15ADFCAE" w14:textId="77777777" w:rsidR="00B206F0" w:rsidRPr="00344776" w:rsidRDefault="00B206F0" w:rsidP="008069B5">
      <w:pPr>
        <w:spacing w:after="120"/>
      </w:pPr>
      <w:r w:rsidRPr="00344776">
        <w:rPr>
          <w:noProof/>
        </w:rPr>
        <w:drawing>
          <wp:inline distT="0" distB="0" distL="0" distR="0" wp14:anchorId="74E773A0" wp14:editId="6CF1C76C">
            <wp:extent cx="5124376" cy="3799944"/>
            <wp:effectExtent l="0" t="0" r="635" b="0"/>
            <wp:docPr id="49" name="Picture 49" descr="This stacked bar chart shows COVID-19 vaccination uptake rates by DHB in 2021.  Two-dose vaccination uptake rates were highest in Canterbury, Auckland, and Capital and Coast DHB. Rates were lowest in Northland, Tairāwhiti, and Whanganui DH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is stacked bar chart shows COVID-19 vaccination uptake rates by DHB in 2021.  Two-dose vaccination uptake rates were highest in Canterbury, Auckland, and Capital and Coast DHB. Rates were lowest in Northland, Tairāwhiti, and Whanganui DHBs."/>
                    <pic:cNvPicPr>
                      <a:picLocks noChangeAspect="1" noChangeArrowheads="1"/>
                    </pic:cNvPicPr>
                  </pic:nvPicPr>
                  <pic:blipFill rotWithShape="1">
                    <a:blip r:embed="rId68"/>
                    <a:srcRect t="7323"/>
                    <a:stretch/>
                  </pic:blipFill>
                  <pic:spPr bwMode="auto">
                    <a:xfrm>
                      <a:off x="0" y="0"/>
                      <a:ext cx="5124450" cy="3799999"/>
                    </a:xfrm>
                    <a:prstGeom prst="rect">
                      <a:avLst/>
                    </a:prstGeom>
                    <a:noFill/>
                    <a:ln>
                      <a:noFill/>
                    </a:ln>
                    <a:extLst>
                      <a:ext uri="{53640926-AAD7-44D8-BBD7-CCE9431645EC}">
                        <a14:shadowObscured xmlns:a14="http://schemas.microsoft.com/office/drawing/2010/main"/>
                      </a:ext>
                    </a:extLst>
                  </pic:spPr>
                </pic:pic>
              </a:graphicData>
            </a:graphic>
          </wp:inline>
        </w:drawing>
      </w:r>
    </w:p>
    <w:p w14:paraId="4EC364F8" w14:textId="77777777" w:rsidR="00B206F0" w:rsidRPr="00344776" w:rsidRDefault="00B206F0" w:rsidP="008069B5">
      <w:pPr>
        <w:pStyle w:val="Source"/>
      </w:pPr>
      <w:r w:rsidRPr="00344776">
        <w:t xml:space="preserve">Source: Ministry of Health unpublished </w:t>
      </w:r>
      <w:r>
        <w:t xml:space="preserve">data </w:t>
      </w:r>
      <w:r w:rsidRPr="00344776">
        <w:t>(2022)</w:t>
      </w:r>
    </w:p>
    <w:p w14:paraId="26164336" w14:textId="77777777" w:rsidR="00C4539B" w:rsidRDefault="00C4539B">
      <w:pPr>
        <w:rPr>
          <w:b/>
          <w:color w:val="23305D"/>
          <w:spacing w:val="-10"/>
          <w:sz w:val="72"/>
        </w:rPr>
      </w:pPr>
      <w:bookmarkStart w:id="97" w:name="_Toc118452228"/>
      <w:r>
        <w:br w:type="page"/>
      </w:r>
    </w:p>
    <w:p w14:paraId="3061F9EE" w14:textId="27D80A77" w:rsidR="00924A79" w:rsidRPr="00344776" w:rsidRDefault="00924A79" w:rsidP="00924A79">
      <w:pPr>
        <w:pStyle w:val="Heading1"/>
      </w:pPr>
      <w:bookmarkStart w:id="98" w:name="_Toc119312989"/>
      <w:r w:rsidRPr="00344776">
        <w:lastRenderedPageBreak/>
        <w:t xml:space="preserve">Health </w:t>
      </w:r>
      <w:r>
        <w:t>m</w:t>
      </w:r>
      <w:r w:rsidRPr="00344776">
        <w:t>easures |</w:t>
      </w:r>
      <w:r>
        <w:t xml:space="preserve"> </w:t>
      </w:r>
      <w:proofErr w:type="spellStart"/>
      <w:r w:rsidRPr="00680E9C">
        <w:t>Ngā</w:t>
      </w:r>
      <w:proofErr w:type="spellEnd"/>
      <w:r w:rsidRPr="00680E9C">
        <w:t xml:space="preserve"> </w:t>
      </w:r>
      <w:proofErr w:type="spellStart"/>
      <w:r w:rsidR="004F6C77">
        <w:t>i</w:t>
      </w:r>
      <w:r w:rsidRPr="00680E9C">
        <w:t>nenga</w:t>
      </w:r>
      <w:proofErr w:type="spellEnd"/>
      <w:r w:rsidRPr="00680E9C">
        <w:t xml:space="preserve"> </w:t>
      </w:r>
      <w:proofErr w:type="spellStart"/>
      <w:r w:rsidR="004F6C77">
        <w:t>h</w:t>
      </w:r>
      <w:r w:rsidRPr="00680E9C">
        <w:t>auora</w:t>
      </w:r>
      <w:bookmarkEnd w:id="97"/>
      <w:bookmarkEnd w:id="98"/>
      <w:proofErr w:type="spellEnd"/>
    </w:p>
    <w:p w14:paraId="39BDDD21" w14:textId="77777777" w:rsidR="00924A79" w:rsidRPr="00344776" w:rsidRDefault="00924A79" w:rsidP="00924A79">
      <w:pPr>
        <w:rPr>
          <w:szCs w:val="21"/>
        </w:rPr>
      </w:pPr>
      <w:r w:rsidRPr="00344776">
        <w:rPr>
          <w:szCs w:val="21"/>
        </w:rPr>
        <w:t>This section of the report provides information on various health topics</w:t>
      </w:r>
      <w:r>
        <w:rPr>
          <w:szCs w:val="21"/>
        </w:rPr>
        <w:t>, including:</w:t>
      </w:r>
    </w:p>
    <w:p w14:paraId="43D90145" w14:textId="77777777" w:rsidR="00924A79" w:rsidRPr="00344776" w:rsidRDefault="00924A79" w:rsidP="00924A79">
      <w:pPr>
        <w:pStyle w:val="Bullet"/>
        <w:rPr>
          <w:spacing w:val="-5"/>
        </w:rPr>
      </w:pPr>
      <w:r>
        <w:t>m</w:t>
      </w:r>
      <w:r w:rsidRPr="00344776">
        <w:t>aternity care</w:t>
      </w:r>
    </w:p>
    <w:p w14:paraId="77129C70" w14:textId="77777777" w:rsidR="00924A79" w:rsidRPr="00344776" w:rsidRDefault="00924A79" w:rsidP="00924A79">
      <w:pPr>
        <w:pStyle w:val="Bullet"/>
        <w:rPr>
          <w:spacing w:val="-5"/>
        </w:rPr>
      </w:pPr>
      <w:r>
        <w:t>e</w:t>
      </w:r>
      <w:r w:rsidRPr="00344776">
        <w:t xml:space="preserve">nrolment with </w:t>
      </w:r>
      <w:r>
        <w:t>a PHO</w:t>
      </w:r>
    </w:p>
    <w:p w14:paraId="200875DE" w14:textId="77777777" w:rsidR="00924A79" w:rsidRPr="00344776" w:rsidRDefault="00924A79" w:rsidP="00924A79">
      <w:pPr>
        <w:pStyle w:val="Bullet"/>
        <w:rPr>
          <w:spacing w:val="-5"/>
        </w:rPr>
      </w:pPr>
      <w:r>
        <w:t>b</w:t>
      </w:r>
      <w:r w:rsidRPr="00344776">
        <w:t>arriers to accessing health care</w:t>
      </w:r>
    </w:p>
    <w:p w14:paraId="7F9E7ED1" w14:textId="77777777" w:rsidR="00924A79" w:rsidRPr="00344776" w:rsidRDefault="00924A79" w:rsidP="00924A79">
      <w:pPr>
        <w:pStyle w:val="Bullet"/>
        <w:rPr>
          <w:spacing w:val="-5"/>
        </w:rPr>
      </w:pPr>
      <w:r>
        <w:t>o</w:t>
      </w:r>
      <w:r w:rsidRPr="00344776">
        <w:t>ral health for children</w:t>
      </w:r>
    </w:p>
    <w:p w14:paraId="7E740877" w14:textId="77777777" w:rsidR="00924A79" w:rsidRPr="00344776" w:rsidRDefault="00924A79" w:rsidP="00924A79">
      <w:pPr>
        <w:pStyle w:val="Bullet"/>
        <w:rPr>
          <w:spacing w:val="-5"/>
        </w:rPr>
      </w:pPr>
      <w:r>
        <w:t>i</w:t>
      </w:r>
      <w:r w:rsidRPr="00344776">
        <w:t>mmunisation</w:t>
      </w:r>
    </w:p>
    <w:p w14:paraId="4475B6D7" w14:textId="77777777" w:rsidR="00924A79" w:rsidRPr="00344776" w:rsidRDefault="00924A79" w:rsidP="00924A79">
      <w:pPr>
        <w:pStyle w:val="Bullet"/>
        <w:rPr>
          <w:spacing w:val="-5"/>
        </w:rPr>
      </w:pPr>
      <w:r>
        <w:t>c</w:t>
      </w:r>
      <w:r w:rsidRPr="00344776">
        <w:t>ancer</w:t>
      </w:r>
    </w:p>
    <w:p w14:paraId="72F42873" w14:textId="77777777" w:rsidR="00924A79" w:rsidRPr="00344776" w:rsidRDefault="00924A79" w:rsidP="00924A79">
      <w:pPr>
        <w:pStyle w:val="Bullet"/>
        <w:rPr>
          <w:spacing w:val="-5"/>
        </w:rPr>
      </w:pPr>
      <w:r>
        <w:t>m</w:t>
      </w:r>
      <w:r w:rsidRPr="00344776">
        <w:t>ental wellbeing</w:t>
      </w:r>
    </w:p>
    <w:p w14:paraId="1BC0B585" w14:textId="77777777" w:rsidR="00924A79" w:rsidRPr="00344776" w:rsidRDefault="00924A79" w:rsidP="00924A79">
      <w:pPr>
        <w:pStyle w:val="Bullet"/>
        <w:rPr>
          <w:spacing w:val="-5"/>
        </w:rPr>
      </w:pPr>
      <w:r>
        <w:t>l</w:t>
      </w:r>
      <w:r w:rsidRPr="00344776">
        <w:t>ong-term conditions</w:t>
      </w:r>
    </w:p>
    <w:p w14:paraId="4B007EF7" w14:textId="77777777" w:rsidR="00924A79" w:rsidRPr="00344776" w:rsidRDefault="00924A79" w:rsidP="00924A79">
      <w:pPr>
        <w:pStyle w:val="Bullet"/>
        <w:rPr>
          <w:spacing w:val="-5"/>
        </w:rPr>
      </w:pPr>
      <w:r>
        <w:t>h</w:t>
      </w:r>
      <w:r w:rsidRPr="00344776">
        <w:t>ospitalisations</w:t>
      </w:r>
    </w:p>
    <w:p w14:paraId="6D13A6CA" w14:textId="77777777" w:rsidR="00924A79" w:rsidRPr="00344776" w:rsidRDefault="00924A79" w:rsidP="00924A79">
      <w:pPr>
        <w:pStyle w:val="Bullet"/>
        <w:rPr>
          <w:spacing w:val="-5"/>
        </w:rPr>
      </w:pPr>
      <w:r>
        <w:t>the h</w:t>
      </w:r>
      <w:r w:rsidRPr="00344776">
        <w:t>ealth workforce</w:t>
      </w:r>
      <w:r>
        <w:t>.</w:t>
      </w:r>
    </w:p>
    <w:p w14:paraId="25F28427" w14:textId="77777777" w:rsidR="00924A79" w:rsidRPr="00344776" w:rsidRDefault="00924A79" w:rsidP="00924A79">
      <w:pPr>
        <w:pStyle w:val="Heading2"/>
      </w:pPr>
      <w:bookmarkStart w:id="99" w:name="_Toc118452229"/>
      <w:bookmarkStart w:id="100" w:name="_Toc119312990"/>
      <w:r w:rsidRPr="00344776">
        <w:t>Maternity care</w:t>
      </w:r>
      <w:bookmarkEnd w:id="99"/>
      <w:bookmarkEnd w:id="100"/>
    </w:p>
    <w:p w14:paraId="63C48DE1" w14:textId="1915D9A4" w:rsidR="00924A79" w:rsidRPr="00344776" w:rsidRDefault="00924A79" w:rsidP="00924A79">
      <w:r w:rsidRPr="00344776">
        <w:t xml:space="preserve">In </w:t>
      </w:r>
      <w:r w:rsidR="00590B82" w:rsidRPr="00344776">
        <w:t xml:space="preserve">2021, 58,659 live births </w:t>
      </w:r>
      <w:r w:rsidR="00590B82">
        <w:t xml:space="preserve">were </w:t>
      </w:r>
      <w:r w:rsidR="00590B82" w:rsidRPr="00344776">
        <w:t xml:space="preserve">registered in Aotearoa New Zealand. This was 1,086 more births (1.9%) than 2020 </w:t>
      </w:r>
      <w:r w:rsidR="00590B82" w:rsidRPr="00344776">
        <w:fldChar w:fldCharType="begin"/>
      </w:r>
      <w:r w:rsidR="00590B82" w:rsidRPr="00344776">
        <w:instrText xml:space="preserve"> ADDIN EN.CITE &lt;EndNote&gt;&lt;Cite&gt;&lt;Author&gt;Stats NZ&lt;/Author&gt;&lt;Year&gt;2022&lt;/Year&gt;&lt;RecNum&gt;206&lt;/RecNum&gt;&lt;DisplayText&gt;(Stats NZ 2022a)&lt;/DisplayText&gt;&lt;record&gt;&lt;rec-number&gt;206&lt;/rec-number&gt;&lt;foreign-keys&gt;&lt;key app="EN" db-id="aaepvppzs5wtfse95vsp2wahsrtvva2vvdet" timestamp="1663737964"&gt;206&lt;/key&gt;&lt;/foreign-keys&gt;&lt;ref-type name="Web Page"&gt;12&lt;/ref-type&gt;&lt;contributors&gt;&lt;authors&gt;&lt;author&gt;Stats NZ,&lt;/author&gt;&lt;/authors&gt;&lt;/contributors&gt;&lt;titles&gt;&lt;title&gt;Births and deaths: Year ended December 2021 (including abridged period life table)&lt;/title&gt;&lt;/titles&gt;&lt;number&gt;21 September 2022&lt;/number&gt;&lt;dates&gt;&lt;year&gt;2022&lt;/year&gt;&lt;/dates&gt;&lt;urls&gt;&lt;related-urls&gt;&lt;url&gt;https://www.stats.govt.nz/information-releases/births-and-deaths-year-ended-december-2021-including-abridged-period-life-table/&lt;/url&gt;&lt;/related-urls&gt;&lt;/urls&gt;&lt;/record&gt;&lt;/Cite&gt;&lt;/EndNote&gt;</w:instrText>
      </w:r>
      <w:r w:rsidR="00590B82" w:rsidRPr="00344776">
        <w:fldChar w:fldCharType="separate"/>
      </w:r>
      <w:r w:rsidR="00590B82" w:rsidRPr="00344776">
        <w:t>(Stats NZ 2022a)</w:t>
      </w:r>
      <w:r w:rsidR="00590B82" w:rsidRPr="00344776">
        <w:fldChar w:fldCharType="end"/>
      </w:r>
      <w:r w:rsidRPr="00344776">
        <w:t xml:space="preserve">. </w:t>
      </w:r>
    </w:p>
    <w:p w14:paraId="0683D60C" w14:textId="77777777" w:rsidR="00924A79" w:rsidRPr="00344776" w:rsidRDefault="00924A79" w:rsidP="00924A79">
      <w:pPr>
        <w:pStyle w:val="Heading3"/>
      </w:pPr>
      <w:r w:rsidRPr="00344776">
        <w:t>Primary maternity care</w:t>
      </w:r>
    </w:p>
    <w:p w14:paraId="7C993472" w14:textId="77777777" w:rsidR="00590B82" w:rsidRPr="00344776" w:rsidRDefault="00590B82" w:rsidP="00590B82">
      <w:r w:rsidRPr="00344776">
        <w:t xml:space="preserve">Maternity care is fully funded for eligible women in Aotearoa New Zealand </w:t>
      </w:r>
      <w:r w:rsidRPr="00344776">
        <w:fldChar w:fldCharType="begin"/>
      </w:r>
      <w:r>
        <w:instrText xml:space="preserve"> ADDIN EN.CITE &lt;EndNote&gt;&lt;Cite&gt;&lt;Author&gt;Ministry of Health&lt;/Author&gt;&lt;Year&gt;2018&lt;/Year&gt;&lt;RecNum&gt;236&lt;/RecNum&gt;&lt;DisplayText&gt;(Ministry of Health 2018)&lt;/DisplayText&gt;&lt;record&gt;&lt;rec-number&gt;236&lt;/rec-number&gt;&lt;foreign-keys&gt;&lt;key app="EN" db-id="aaepvppzs5wtfse95vsp2wahsrtvva2vvdet" timestamp="1664326661"&gt;236&lt;/key&gt;&lt;/foreign-keys&gt;&lt;ref-type name="Web Page"&gt;12&lt;/ref-type&gt;&lt;contributors&gt;&lt;authors&gt;&lt;author&gt;Ministry of Health,&lt;/author&gt;&lt;/authors&gt;&lt;/contributors&gt;&lt;titles&gt;&lt;title&gt;Pregnancy services&lt;/title&gt;&lt;/titles&gt;&lt;number&gt;31 October 2022&lt;/number&gt;&lt;dates&gt;&lt;year&gt;2018&lt;/year&gt;&lt;/dates&gt;&lt;urls&gt;&lt;related-urls&gt;&lt;url&gt;https://www.health.govt.nz/new-zealand-health-system/publicly-funded-health-and-disability-services/pregnancy-services&lt;/url&gt;&lt;/related-urls&gt;&lt;/urls&gt;&lt;/record&gt;&lt;/Cite&gt;&lt;/EndNote&gt;</w:instrText>
      </w:r>
      <w:r w:rsidRPr="00344776">
        <w:fldChar w:fldCharType="separate"/>
      </w:r>
      <w:r w:rsidRPr="00344776">
        <w:rPr>
          <w:noProof/>
        </w:rPr>
        <w:t>(Ministry of Health 2018)</w:t>
      </w:r>
      <w:r w:rsidRPr="00344776">
        <w:fldChar w:fldCharType="end"/>
      </w:r>
      <w:r w:rsidRPr="00344776">
        <w:t xml:space="preserve">. </w:t>
      </w:r>
    </w:p>
    <w:p w14:paraId="1C7E0336" w14:textId="77777777" w:rsidR="00590B82" w:rsidRPr="00344776" w:rsidRDefault="00590B82" w:rsidP="00590B82"/>
    <w:p w14:paraId="294DE398" w14:textId="77777777" w:rsidR="00590B82" w:rsidRPr="00344776" w:rsidRDefault="00590B82" w:rsidP="00590B82">
      <w:pPr>
        <w:rPr>
          <w:color w:val="212121"/>
          <w:shd w:val="clear" w:color="auto" w:fill="FFFFFF"/>
        </w:rPr>
      </w:pPr>
      <w:r w:rsidRPr="00344776">
        <w:t xml:space="preserve">There is an increasing trend for women to register with a Lead Maternity Carer </w:t>
      </w:r>
      <w:r>
        <w:t xml:space="preserve">(LMC) </w:t>
      </w:r>
      <w:r w:rsidRPr="00344776">
        <w:t>(</w:t>
      </w:r>
      <w:r>
        <w:t>such as a</w:t>
      </w:r>
      <w:r w:rsidRPr="00344776">
        <w:t xml:space="preserve"> midwife, general practitioner </w:t>
      </w:r>
      <w:r>
        <w:t xml:space="preserve">(GP) </w:t>
      </w:r>
      <w:r w:rsidRPr="00344776">
        <w:t xml:space="preserve">or obstetrician) in the first trimester (the first </w:t>
      </w:r>
      <w:r>
        <w:t>12</w:t>
      </w:r>
      <w:r w:rsidRPr="00344776">
        <w:t xml:space="preserve"> weeks) of pregnancy </w:t>
      </w:r>
      <w:r w:rsidRPr="00344776">
        <w:fldChar w:fldCharType="begin"/>
      </w:r>
      <w:r>
        <w:instrText xml:space="preserve"> ADDIN EN.CITE &lt;EndNote&gt;&lt;Cite&gt;&lt;Author&gt;Ministry of Health&lt;/Author&gt;&lt;Year&gt;2022&lt;/Year&gt;&lt;RecNum&gt;207&lt;/RecNum&gt;&lt;DisplayText&gt;(Ministry of Health 2022o)&lt;/DisplayText&gt;&lt;record&gt;&lt;rec-number&gt;207&lt;/rec-number&gt;&lt;foreign-keys&gt;&lt;key app="EN" db-id="aaepvppzs5wtfse95vsp2wahsrtvva2vvdet" timestamp="1663738062"&gt;207&lt;/key&gt;&lt;/foreign-keys&gt;&lt;ref-type name="Web Page"&gt;12&lt;/ref-type&gt;&lt;contributors&gt;&lt;authors&gt;&lt;author&gt;Ministry of Health,&lt;/author&gt;&lt;/authors&gt;&lt;/contributors&gt;&lt;titles&gt;&lt;title&gt;Maternity web tool (Data file)&lt;/title&gt;&lt;/titles&gt;&lt;number&gt;28 October 2022&lt;/number&gt;&lt;dates&gt;&lt;year&gt;2022&lt;/year&gt;&lt;/dates&gt;&lt;urls&gt;&lt;related-urls&gt;&lt;url&gt;https://minhealthnz.shinyapps.io/report-on-maternity-web-tool/&lt;/url&gt;&lt;/related-urls&gt;&lt;/urls&gt;&lt;/record&gt;&lt;/Cite&gt;&lt;/EndNote&gt;</w:instrText>
      </w:r>
      <w:r w:rsidRPr="00344776">
        <w:fldChar w:fldCharType="separate"/>
      </w:r>
      <w:r w:rsidRPr="00344776">
        <w:rPr>
          <w:noProof/>
        </w:rPr>
        <w:t>(Ministry of Health 2022o)</w:t>
      </w:r>
      <w:r w:rsidRPr="00344776">
        <w:fldChar w:fldCharType="end"/>
      </w:r>
      <w:r w:rsidRPr="00344776">
        <w:t xml:space="preserve">. </w:t>
      </w:r>
      <w:r>
        <w:t xml:space="preserve">There is evidence that this </w:t>
      </w:r>
      <w:r w:rsidRPr="00344776">
        <w:t xml:space="preserve">early engagement </w:t>
      </w:r>
      <w:r>
        <w:rPr>
          <w:color w:val="212121"/>
          <w:shd w:val="clear" w:color="auto" w:fill="FFFFFF"/>
        </w:rPr>
        <w:t xml:space="preserve">has </w:t>
      </w:r>
      <w:r w:rsidRPr="00344776">
        <w:rPr>
          <w:color w:val="212121"/>
          <w:shd w:val="clear" w:color="auto" w:fill="FFFFFF"/>
        </w:rPr>
        <w:t xml:space="preserve">the potential to reduce inequities in maternal and child health outcomes </w:t>
      </w:r>
      <w:r w:rsidRPr="00344776">
        <w:rPr>
          <w:color w:val="212121"/>
          <w:shd w:val="clear" w:color="auto" w:fill="FFFFFF"/>
        </w:rPr>
        <w:fldChar w:fldCharType="begin"/>
      </w:r>
      <w:r w:rsidRPr="00344776">
        <w:rPr>
          <w:color w:val="212121"/>
          <w:shd w:val="clear" w:color="auto" w:fill="FFFFFF"/>
        </w:rPr>
        <w:instrText xml:space="preserve"> ADDIN EN.CITE &lt;EndNote&gt;&lt;Cite&gt;&lt;Author&gt;Bartholomew&lt;/Author&gt;&lt;Year&gt;2015&lt;/Year&gt;&lt;RecNum&gt;260&lt;/RecNum&gt;&lt;DisplayText&gt;(Bartholomew et al 2015)&lt;/DisplayText&gt;&lt;record&gt;&lt;rec-number&gt;260&lt;/rec-number&gt;&lt;foreign-keys&gt;&lt;key app="EN" db-id="aaepvppzs5wtfse95vsp2wahsrtvva2vvdet" timestamp="1666047133"&gt;260&lt;/key&gt;&lt;/foreign-keys&gt;&lt;ref-type name="Journal Article"&gt;17&lt;/ref-type&gt;&lt;contributors&gt;&lt;authors&gt;&lt;author&gt;Bartholomew, Karen&lt;/author&gt;&lt;author&gt;Morton, Susan MB&lt;/author&gt;&lt;author&gt;Carr, Polly EA&lt;/author&gt;&lt;author&gt;Bandara, Dinusha K&lt;/author&gt;&lt;author&gt;Grant, Cameron C&lt;/author&gt;&lt;/authors&gt;&lt;/contributors&gt;&lt;titles&gt;&lt;title&gt;Early engagement with a Lead Maternity Carer: Results from Growing Up in New Zealand&lt;/title&gt;&lt;secondary-title&gt;Australian and New Zealand Journal of Obstetrics and Gynaecology&lt;/secondary-title&gt;&lt;/titles&gt;&lt;periodical&gt;&lt;full-title&gt;Australian and New Zealand Journal of Obstetrics and Gynaecology&lt;/full-title&gt;&lt;/periodical&gt;&lt;pages&gt;227-232&lt;/pages&gt;&lt;volume&gt;55&lt;/volume&gt;&lt;number&gt;3&lt;/number&gt;&lt;dates&gt;&lt;year&gt;2015&lt;/year&gt;&lt;/dates&gt;&lt;urls&gt;&lt;related-urls&gt;&lt;url&gt;https://obgyn.onlinelibrary.wiley.com/doi/abs/10.1111/ajo.12291&lt;/url&gt;&lt;/related-urls&gt;&lt;/urls&gt;&lt;/record&gt;&lt;/Cite&gt;&lt;/EndNote&gt;</w:instrText>
      </w:r>
      <w:r w:rsidRPr="00344776">
        <w:rPr>
          <w:color w:val="212121"/>
          <w:shd w:val="clear" w:color="auto" w:fill="FFFFFF"/>
        </w:rPr>
        <w:fldChar w:fldCharType="separate"/>
      </w:r>
      <w:r w:rsidRPr="00344776">
        <w:rPr>
          <w:noProof/>
          <w:color w:val="212121"/>
          <w:shd w:val="clear" w:color="auto" w:fill="FFFFFF"/>
        </w:rPr>
        <w:t>(Bartholomew et al 2015)</w:t>
      </w:r>
      <w:r w:rsidRPr="00344776">
        <w:rPr>
          <w:color w:val="212121"/>
          <w:shd w:val="clear" w:color="auto" w:fill="FFFFFF"/>
        </w:rPr>
        <w:fldChar w:fldCharType="end"/>
      </w:r>
      <w:r w:rsidRPr="00344776">
        <w:rPr>
          <w:color w:val="212121"/>
          <w:shd w:val="clear" w:color="auto" w:fill="FFFFFF"/>
        </w:rPr>
        <w:t xml:space="preserve">. This maternity </w:t>
      </w:r>
      <w:r w:rsidRPr="00344776">
        <w:rPr>
          <w:color w:val="242424"/>
          <w:szCs w:val="21"/>
          <w:shd w:val="clear" w:color="auto" w:fill="FFFFFF"/>
        </w:rPr>
        <w:t xml:space="preserve">section uses 2020 data, as this is the most recently published data available </w:t>
      </w:r>
      <w:r w:rsidRPr="00344776">
        <w:rPr>
          <w:color w:val="242424"/>
          <w:szCs w:val="21"/>
          <w:shd w:val="clear" w:color="auto" w:fill="FFFFFF"/>
        </w:rPr>
        <w:fldChar w:fldCharType="begin"/>
      </w:r>
      <w:r>
        <w:rPr>
          <w:color w:val="242424"/>
          <w:szCs w:val="21"/>
          <w:shd w:val="clear" w:color="auto" w:fill="FFFFFF"/>
        </w:rPr>
        <w:instrText xml:space="preserve"> ADDIN EN.CITE &lt;EndNote&gt;&lt;Cite&gt;&lt;Author&gt;Ministry of Health&lt;/Author&gt;&lt;Year&gt;2022&lt;/Year&gt;&lt;RecNum&gt;207&lt;/RecNum&gt;&lt;DisplayText&gt;(Ministry of Health 2022o)&lt;/DisplayText&gt;&lt;record&gt;&lt;rec-number&gt;207&lt;/rec-number&gt;&lt;foreign-keys&gt;&lt;key app="EN" db-id="aaepvppzs5wtfse95vsp2wahsrtvva2vvdet" timestamp="1663738062"&gt;207&lt;/key&gt;&lt;/foreign-keys&gt;&lt;ref-type name="Web Page"&gt;12&lt;/ref-type&gt;&lt;contributors&gt;&lt;authors&gt;&lt;author&gt;Ministry of Health,&lt;/author&gt;&lt;/authors&gt;&lt;/contributors&gt;&lt;titles&gt;&lt;title&gt;Maternity web tool (Data file)&lt;/title&gt;&lt;/titles&gt;&lt;number&gt;28 October 2022&lt;/number&gt;&lt;dates&gt;&lt;year&gt;2022&lt;/year&gt;&lt;/dates&gt;&lt;urls&gt;&lt;related-urls&gt;&lt;url&gt;https://minhealthnz.shinyapps.io/report-on-maternity-web-tool/&lt;/url&gt;&lt;/related-urls&gt;&lt;/urls&gt;&lt;/record&gt;&lt;/Cite&gt;&lt;/EndNote&gt;</w:instrText>
      </w:r>
      <w:r w:rsidRPr="00344776">
        <w:rPr>
          <w:color w:val="242424"/>
          <w:szCs w:val="21"/>
          <w:shd w:val="clear" w:color="auto" w:fill="FFFFFF"/>
        </w:rPr>
        <w:fldChar w:fldCharType="separate"/>
      </w:r>
      <w:r w:rsidRPr="00344776">
        <w:rPr>
          <w:noProof/>
          <w:color w:val="242424"/>
          <w:szCs w:val="21"/>
          <w:shd w:val="clear" w:color="auto" w:fill="FFFFFF"/>
        </w:rPr>
        <w:t>(Ministry of Health 2022o)</w:t>
      </w:r>
      <w:r w:rsidRPr="00344776">
        <w:rPr>
          <w:color w:val="242424"/>
          <w:szCs w:val="21"/>
          <w:shd w:val="clear" w:color="auto" w:fill="FFFFFF"/>
        </w:rPr>
        <w:fldChar w:fldCharType="end"/>
      </w:r>
      <w:r w:rsidRPr="00344776">
        <w:rPr>
          <w:color w:val="242424"/>
          <w:szCs w:val="21"/>
          <w:shd w:val="clear" w:color="auto" w:fill="FFFFFF"/>
        </w:rPr>
        <w:t>.</w:t>
      </w:r>
    </w:p>
    <w:p w14:paraId="2C2101CE" w14:textId="77777777" w:rsidR="00590B82" w:rsidRPr="00344776" w:rsidRDefault="00590B82" w:rsidP="00590B82">
      <w:pPr>
        <w:rPr>
          <w:color w:val="212121"/>
          <w:shd w:val="clear" w:color="auto" w:fill="FFFFFF"/>
        </w:rPr>
      </w:pPr>
    </w:p>
    <w:p w14:paraId="094F0F89" w14:textId="77777777" w:rsidR="00590B82" w:rsidRPr="00344776" w:rsidRDefault="00590B82" w:rsidP="00590B82">
      <w:pPr>
        <w:rPr>
          <w:color w:val="212121"/>
          <w:shd w:val="clear" w:color="auto" w:fill="FFFFFF"/>
        </w:rPr>
      </w:pPr>
      <w:r w:rsidRPr="00344776">
        <w:t xml:space="preserve">In 2020, 96.3% of women giving birth registered for lead maternity care. Of these, 69.3% registered in the first trimester, up from 53.8% in 2011 </w:t>
      </w:r>
      <w:r w:rsidRPr="00344776">
        <w:fldChar w:fldCharType="begin"/>
      </w:r>
      <w:r>
        <w:instrText xml:space="preserve"> ADDIN EN.CITE &lt;EndNote&gt;&lt;Cite&gt;&lt;Author&gt;Ministry of Health&lt;/Author&gt;&lt;Year&gt;2022&lt;/Year&gt;&lt;RecNum&gt;207&lt;/RecNum&gt;&lt;DisplayText&gt;(Ministry of Health 2022o)&lt;/DisplayText&gt;&lt;record&gt;&lt;rec-number&gt;207&lt;/rec-number&gt;&lt;foreign-keys&gt;&lt;key app="EN" db-id="aaepvppzs5wtfse95vsp2wahsrtvva2vvdet" timestamp="1663738062"&gt;207&lt;/key&gt;&lt;/foreign-keys&gt;&lt;ref-type name="Web Page"&gt;12&lt;/ref-type&gt;&lt;contributors&gt;&lt;authors&gt;&lt;author&gt;Ministry of Health,&lt;/author&gt;&lt;/authors&gt;&lt;/contributors&gt;&lt;titles&gt;&lt;title&gt;Maternity web tool (Data file)&lt;/title&gt;&lt;/titles&gt;&lt;number&gt;28 October 2022&lt;/number&gt;&lt;dates&gt;&lt;year&gt;2022&lt;/year&gt;&lt;/dates&gt;&lt;urls&gt;&lt;related-urls&gt;&lt;url&gt;https://minhealthnz.shinyapps.io/report-on-maternity-web-tool/&lt;/url&gt;&lt;/related-urls&gt;&lt;/urls&gt;&lt;/record&gt;&lt;/Cite&gt;&lt;/EndNote&gt;</w:instrText>
      </w:r>
      <w:r w:rsidRPr="00344776">
        <w:fldChar w:fldCharType="separate"/>
      </w:r>
      <w:r w:rsidRPr="00344776">
        <w:rPr>
          <w:noProof/>
        </w:rPr>
        <w:t>(Ministry of Health 2022o)</w:t>
      </w:r>
      <w:r w:rsidRPr="00344776">
        <w:fldChar w:fldCharType="end"/>
      </w:r>
      <w:r w:rsidRPr="00344776">
        <w:t>.</w:t>
      </w:r>
    </w:p>
    <w:p w14:paraId="3913AA20" w14:textId="77777777" w:rsidR="00590B82" w:rsidRPr="00344776" w:rsidRDefault="00590B82" w:rsidP="00590B82">
      <w:pPr>
        <w:rPr>
          <w:color w:val="212121"/>
          <w:shd w:val="clear" w:color="auto" w:fill="FFFFFF"/>
        </w:rPr>
      </w:pPr>
    </w:p>
    <w:p w14:paraId="42725FAC" w14:textId="77777777" w:rsidR="00590B82" w:rsidRPr="00344776" w:rsidRDefault="00590B82" w:rsidP="00590B82">
      <w:r w:rsidRPr="00344776">
        <w:t xml:space="preserve">There are differences in LMC registration patterns between age groups, ethnic groups, and deprivation levels. </w:t>
      </w:r>
      <w:r>
        <w:t>Figures 22–24 display t</w:t>
      </w:r>
      <w:r w:rsidRPr="00344776">
        <w:t>hese patterns</w:t>
      </w:r>
      <w:r>
        <w:t>,</w:t>
      </w:r>
      <w:r w:rsidRPr="00344776">
        <w:t xml:space="preserve"> </w:t>
      </w:r>
      <w:r>
        <w:t xml:space="preserve">and </w:t>
      </w:r>
      <w:r w:rsidRPr="00344776">
        <w:t>cover the period 2011</w:t>
      </w:r>
      <w:r>
        <w:rPr>
          <w:rStyle w:val="normaltextrun"/>
          <w:szCs w:val="21"/>
        </w:rPr>
        <w:t>–</w:t>
      </w:r>
      <w:r w:rsidRPr="00344776">
        <w:t>2020.</w:t>
      </w:r>
    </w:p>
    <w:p w14:paraId="68A4B0A6" w14:textId="199E6C6D" w:rsidR="00924A79" w:rsidRPr="00344776" w:rsidRDefault="00924A79" w:rsidP="00924A79"/>
    <w:p w14:paraId="149E68E8" w14:textId="0BB830FF" w:rsidR="00924A79" w:rsidRPr="00344776" w:rsidRDefault="00924A79" w:rsidP="00924A79">
      <w:r>
        <w:lastRenderedPageBreak/>
        <w:fldChar w:fldCharType="begin"/>
      </w:r>
      <w:r>
        <w:instrText xml:space="preserve"> REF _Ref117607059 \h </w:instrText>
      </w:r>
      <w:r>
        <w:fldChar w:fldCharType="separate"/>
      </w:r>
      <w:r w:rsidR="00F61845" w:rsidRPr="00344776">
        <w:t xml:space="preserve">Figure </w:t>
      </w:r>
      <w:r w:rsidR="00F61845">
        <w:rPr>
          <w:noProof/>
        </w:rPr>
        <w:t>22</w:t>
      </w:r>
      <w:r>
        <w:fldChar w:fldCharType="end"/>
      </w:r>
      <w:r>
        <w:t xml:space="preserve"> </w:t>
      </w:r>
      <w:r w:rsidR="00590B82" w:rsidRPr="00344776">
        <w:t xml:space="preserve">shows </w:t>
      </w:r>
      <w:r w:rsidR="00590B82">
        <w:t xml:space="preserve">that, in the 10 years to 2020, a lower percentage of </w:t>
      </w:r>
      <w:r w:rsidR="00590B82" w:rsidRPr="00344776">
        <w:t xml:space="preserve">younger women </w:t>
      </w:r>
      <w:r w:rsidR="00590B82">
        <w:t xml:space="preserve">registered </w:t>
      </w:r>
      <w:r w:rsidR="00590B82" w:rsidRPr="00344776">
        <w:t>with an LMC in the first trimester.</w:t>
      </w:r>
    </w:p>
    <w:p w14:paraId="1C2B5869" w14:textId="4F5A74EB" w:rsidR="00924A79" w:rsidRPr="00344776" w:rsidRDefault="00924A79" w:rsidP="00253316">
      <w:pPr>
        <w:pStyle w:val="Figure"/>
      </w:pPr>
      <w:bookmarkStart w:id="101" w:name="_Ref117607059"/>
      <w:bookmarkStart w:id="102" w:name="_Toc119047766"/>
      <w:r w:rsidRPr="00344776">
        <w:t xml:space="preserve">Figure </w:t>
      </w:r>
      <w:r w:rsidRPr="00344776">
        <w:fldChar w:fldCharType="begin"/>
      </w:r>
      <w:r w:rsidRPr="00344776">
        <w:instrText>SEQ Figure \* ARABIC</w:instrText>
      </w:r>
      <w:r w:rsidRPr="00344776">
        <w:fldChar w:fldCharType="separate"/>
      </w:r>
      <w:r w:rsidR="00F61845">
        <w:rPr>
          <w:noProof/>
        </w:rPr>
        <w:t>22</w:t>
      </w:r>
      <w:r w:rsidRPr="00344776">
        <w:fldChar w:fldCharType="end"/>
      </w:r>
      <w:bookmarkEnd w:id="101"/>
      <w:r w:rsidRPr="00344776">
        <w:t xml:space="preserve">: Proportion of women registering with </w:t>
      </w:r>
      <w:r>
        <w:t xml:space="preserve">a lead maternity carer </w:t>
      </w:r>
      <w:r w:rsidRPr="00344776">
        <w:t>in the first trimester</w:t>
      </w:r>
      <w:r>
        <w:t>,</w:t>
      </w:r>
      <w:r w:rsidRPr="00344776">
        <w:t xml:space="preserve"> by age, 2011</w:t>
      </w:r>
      <w:r>
        <w:t>–</w:t>
      </w:r>
      <w:r w:rsidRPr="00344776">
        <w:t>2020</w:t>
      </w:r>
      <w:bookmarkEnd w:id="102"/>
    </w:p>
    <w:p w14:paraId="45EB7C9A" w14:textId="77777777" w:rsidR="00924A79" w:rsidRPr="00344776" w:rsidRDefault="00924A79" w:rsidP="00924A79">
      <w:pPr>
        <w:spacing w:after="120"/>
      </w:pPr>
      <w:r w:rsidRPr="00344776">
        <w:rPr>
          <w:noProof/>
        </w:rPr>
        <w:drawing>
          <wp:inline distT="0" distB="0" distL="0" distR="0" wp14:anchorId="1102B46A" wp14:editId="2FCFFE41">
            <wp:extent cx="5124450" cy="2732345"/>
            <wp:effectExtent l="0" t="0" r="0" b="0"/>
            <wp:docPr id="50" name="Picture 50" descr="This time series chart shows the percentage of women registered with an LMC in the first trimester, by age group between 2011 and 2020. The percentage of women registered increased for all age bands between 2011 and 2020, though for women aged &lt;20 the percentage decreased aft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time series chart shows the percentage of women registered with an LMC in the first trimester, by age group between 2011 and 2020. The percentage of women registered increased for all age bands between 2011 and 2020, though for women aged &lt;20 the percentage decreased after 2016."/>
                    <pic:cNvPicPr>
                      <a:picLocks noChangeAspect="1" noChangeArrowheads="1"/>
                    </pic:cNvPicPr>
                  </pic:nvPicPr>
                  <pic:blipFill>
                    <a:blip r:embed="rId69"/>
                    <a:stretch>
                      <a:fillRect/>
                    </a:stretch>
                  </pic:blipFill>
                  <pic:spPr bwMode="auto">
                    <a:xfrm>
                      <a:off x="0" y="0"/>
                      <a:ext cx="5124450" cy="2732345"/>
                    </a:xfrm>
                    <a:prstGeom prst="rect">
                      <a:avLst/>
                    </a:prstGeom>
                    <a:noFill/>
                    <a:ln>
                      <a:noFill/>
                    </a:ln>
                  </pic:spPr>
                </pic:pic>
              </a:graphicData>
            </a:graphic>
          </wp:inline>
        </w:drawing>
      </w:r>
    </w:p>
    <w:p w14:paraId="7617EC38" w14:textId="0119AD86" w:rsidR="00924A79" w:rsidRPr="00344776" w:rsidRDefault="00924A79" w:rsidP="00924A79">
      <w:pPr>
        <w:pStyle w:val="Source"/>
      </w:pPr>
      <w:r w:rsidRPr="00344776">
        <w:t xml:space="preserve">Source: </w:t>
      </w:r>
      <w:hyperlink r:id="rId70" w:history="1">
        <w:r w:rsidRPr="00344776">
          <w:rPr>
            <w:rStyle w:val="Hyperlink"/>
          </w:rPr>
          <w:t>Ministry of Health (2022o)</w:t>
        </w:r>
      </w:hyperlink>
    </w:p>
    <w:p w14:paraId="0ECE1D1A" w14:textId="77777777" w:rsidR="00924A79" w:rsidRPr="00344776" w:rsidRDefault="00924A79" w:rsidP="00924A79"/>
    <w:p w14:paraId="5DA857A3" w14:textId="4E726561" w:rsidR="00924A79" w:rsidRPr="00344776" w:rsidRDefault="00924A79" w:rsidP="00924A79">
      <w:r>
        <w:fldChar w:fldCharType="begin"/>
      </w:r>
      <w:r>
        <w:instrText xml:space="preserve"> REF _Ref117607092 \h </w:instrText>
      </w:r>
      <w:r>
        <w:fldChar w:fldCharType="separate"/>
      </w:r>
      <w:r w:rsidR="00F61845" w:rsidRPr="00344776">
        <w:t xml:space="preserve">Figure </w:t>
      </w:r>
      <w:r w:rsidR="00F61845">
        <w:rPr>
          <w:noProof/>
        </w:rPr>
        <w:t>23</w:t>
      </w:r>
      <w:r>
        <w:fldChar w:fldCharType="end"/>
      </w:r>
      <w:r w:rsidRPr="00344776">
        <w:t xml:space="preserve"> </w:t>
      </w:r>
      <w:r w:rsidR="00590B82" w:rsidRPr="00344776">
        <w:t>displays the difference in registering with an LMC in the first trimester by ethnicity.</w:t>
      </w:r>
    </w:p>
    <w:p w14:paraId="5B0B1DE3" w14:textId="4CBD2A56" w:rsidR="00963565" w:rsidRDefault="00924A79" w:rsidP="00253316">
      <w:pPr>
        <w:pStyle w:val="Figure"/>
      </w:pPr>
      <w:bookmarkStart w:id="103" w:name="_Ref117607092"/>
      <w:bookmarkStart w:id="104" w:name="_Toc119047767"/>
      <w:r w:rsidRPr="00344776">
        <w:t xml:space="preserve">Figure </w:t>
      </w:r>
      <w:r w:rsidRPr="00344776">
        <w:fldChar w:fldCharType="begin"/>
      </w:r>
      <w:r w:rsidRPr="00344776">
        <w:instrText>SEQ Figure \* ARABIC</w:instrText>
      </w:r>
      <w:r w:rsidRPr="00344776">
        <w:fldChar w:fldCharType="separate"/>
      </w:r>
      <w:r w:rsidR="00F61845">
        <w:rPr>
          <w:noProof/>
        </w:rPr>
        <w:t>23</w:t>
      </w:r>
      <w:r w:rsidRPr="00344776">
        <w:fldChar w:fldCharType="end"/>
      </w:r>
      <w:bookmarkEnd w:id="103"/>
      <w:r w:rsidRPr="00344776">
        <w:t xml:space="preserve">: Proportion of women registering with </w:t>
      </w:r>
      <w:r>
        <w:t xml:space="preserve">a lead maternity carer </w:t>
      </w:r>
      <w:r w:rsidRPr="00344776">
        <w:t>in the first trimester</w:t>
      </w:r>
      <w:r>
        <w:t>,</w:t>
      </w:r>
      <w:r w:rsidRPr="00344776">
        <w:t xml:space="preserve"> by ethnicity, 2011</w:t>
      </w:r>
      <w:r>
        <w:t>–</w:t>
      </w:r>
      <w:r w:rsidRPr="00344776">
        <w:t>2020</w:t>
      </w:r>
      <w:bookmarkEnd w:id="104"/>
    </w:p>
    <w:p w14:paraId="3DD61FC9" w14:textId="435653AB" w:rsidR="00963565" w:rsidRDefault="00963565" w:rsidP="00963565">
      <w:r w:rsidRPr="00344776">
        <w:rPr>
          <w:noProof/>
        </w:rPr>
        <w:drawing>
          <wp:inline distT="0" distB="0" distL="0" distR="0" wp14:anchorId="61D4951F" wp14:editId="3369A379">
            <wp:extent cx="5124450" cy="2732345"/>
            <wp:effectExtent l="0" t="0" r="0" b="0"/>
            <wp:docPr id="51" name="Picture 51" descr="This time series chart shows the percentage of women registered with an LMC in the first trimester, by ethnic group between 2011 and 2020. The percentage of women registered was highest for European/other, followed by Asian, Indian, Māori, and then Pacific peoples. The percentage of women registered increased over time for all ethnic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time series chart shows the percentage of women registered with an LMC in the first trimester, by ethnic group between 2011 and 2020. The percentage of women registered was highest for European/other, followed by Asian, Indian, Māori, and then Pacific peoples. The percentage of women registered increased over time for all ethnic groups."/>
                    <pic:cNvPicPr>
                      <a:picLocks noChangeAspect="1" noChangeArrowheads="1"/>
                    </pic:cNvPicPr>
                  </pic:nvPicPr>
                  <pic:blipFill>
                    <a:blip r:embed="rId71"/>
                    <a:stretch>
                      <a:fillRect/>
                    </a:stretch>
                  </pic:blipFill>
                  <pic:spPr bwMode="auto">
                    <a:xfrm>
                      <a:off x="0" y="0"/>
                      <a:ext cx="5124450" cy="2732345"/>
                    </a:xfrm>
                    <a:prstGeom prst="rect">
                      <a:avLst/>
                    </a:prstGeom>
                    <a:noFill/>
                    <a:ln>
                      <a:noFill/>
                    </a:ln>
                  </pic:spPr>
                </pic:pic>
              </a:graphicData>
            </a:graphic>
          </wp:inline>
        </w:drawing>
      </w:r>
    </w:p>
    <w:p w14:paraId="63953EE5" w14:textId="0A165BE3" w:rsidR="00924A79" w:rsidRPr="00344776" w:rsidRDefault="00924A79" w:rsidP="00963565"/>
    <w:p w14:paraId="6F9AD239" w14:textId="51229039" w:rsidR="00924A79" w:rsidRDefault="00924A79" w:rsidP="00924A79">
      <w:pPr>
        <w:pStyle w:val="Source"/>
        <w:rPr>
          <w:rStyle w:val="Hyperlink"/>
        </w:rPr>
      </w:pPr>
      <w:r w:rsidRPr="00344776">
        <w:t xml:space="preserve">Source: </w:t>
      </w:r>
      <w:hyperlink r:id="rId72" w:history="1">
        <w:r w:rsidRPr="00344776">
          <w:rPr>
            <w:rStyle w:val="Hyperlink"/>
          </w:rPr>
          <w:t>Ministry of Health (2022o)</w:t>
        </w:r>
      </w:hyperlink>
    </w:p>
    <w:p w14:paraId="217FB84A" w14:textId="79BDA21A" w:rsidR="00924A79" w:rsidRDefault="00924A79" w:rsidP="00924A79">
      <w:pPr>
        <w:pStyle w:val="Note"/>
      </w:pPr>
      <w:r w:rsidRPr="00EE69CB">
        <w:t xml:space="preserve">Note: </w:t>
      </w:r>
      <w:r>
        <w:rPr>
          <w:shd w:val="clear" w:color="auto" w:fill="FFFFFF"/>
        </w:rPr>
        <w:t>The Indian ethnic group is sometimes presented separately from the Asian ethnic</w:t>
      </w:r>
      <w:r>
        <w:br/>
      </w:r>
      <w:r>
        <w:rPr>
          <w:shd w:val="clear" w:color="auto" w:fill="FFFFFF"/>
        </w:rPr>
        <w:t xml:space="preserve">group due to a more complex pregnancy profile. In general, women in the Indian ethnic group have a higher rate of interventions, and babies have lower birth weight than the Asian ethnic group excluding Indian </w:t>
      </w:r>
      <w:r w:rsidRPr="00344776">
        <w:fldChar w:fldCharType="begin"/>
      </w:r>
      <w:r w:rsidRPr="00344776">
        <w:instrText xml:space="preserve"> ADDIN EN.CITE &lt;EndNote&gt;&lt;Cite&gt;&lt;Author&gt;Ministry of Health&lt;/Author&gt;&lt;Year&gt;2022&lt;/Year&gt;&lt;RecNum&gt;207&lt;/RecNum&gt;&lt;DisplayText&gt;(Ministry of Health 2022o)&lt;/DisplayText&gt;&lt;record&gt;&lt;rec-number&gt;207&lt;/rec-number&gt;&lt;foreign-keys&gt;&lt;key app="EN" db-id="aaepvppzs5wtfse95vsp2wahsrtvva2vvdet" timestamp="1663738062"&gt;207&lt;/key&gt;&lt;/foreign-keys&gt;&lt;ref-type name="Web Page"&gt;12&lt;/ref-type&gt;&lt;contributors&gt;&lt;authors&gt;&lt;author&gt;Ministry of Health,&lt;/author&gt;&lt;/authors&gt;&lt;/contributors&gt;&lt;titles&gt;&lt;title&gt;Maternity web tool (Data file)&lt;/title&gt;&lt;/titles&gt;&lt;number&gt;21 September 2022&lt;/number&gt;&lt;dates&gt;&lt;year&gt;2022&lt;/year&gt;&lt;/dates&gt;&lt;urls&gt;&lt;related-urls&gt;&lt;url&gt;https://minhealthnz.shinyapps.io/report-on-maternity-web-tool/&lt;/url&gt;&lt;/related-urls&gt;&lt;/urls&gt;&lt;/record&gt;&lt;/Cite&gt;&lt;/EndNote&gt;</w:instrText>
      </w:r>
      <w:r w:rsidRPr="00344776">
        <w:fldChar w:fldCharType="separate"/>
      </w:r>
      <w:r w:rsidRPr="00344776">
        <w:rPr>
          <w:noProof/>
        </w:rPr>
        <w:t>(Ministry of Health 2022o)</w:t>
      </w:r>
      <w:r w:rsidRPr="00344776">
        <w:fldChar w:fldCharType="end"/>
      </w:r>
      <w:r w:rsidRPr="00344776">
        <w:t>.</w:t>
      </w:r>
    </w:p>
    <w:p w14:paraId="7B00B7B4" w14:textId="77777777" w:rsidR="00924A79" w:rsidRPr="00924A79" w:rsidRDefault="00924A79" w:rsidP="00924A79"/>
    <w:p w14:paraId="3BCDB1CB" w14:textId="012C0FBE" w:rsidR="00924A79" w:rsidRPr="00344776" w:rsidRDefault="00924A79" w:rsidP="00924A79">
      <w:r>
        <w:lastRenderedPageBreak/>
        <w:fldChar w:fldCharType="begin"/>
      </w:r>
      <w:r>
        <w:instrText xml:space="preserve"> REF _Ref117607143 \h  \* MERGEFORMAT </w:instrText>
      </w:r>
      <w:r>
        <w:fldChar w:fldCharType="separate"/>
      </w:r>
      <w:r w:rsidR="00F61845" w:rsidRPr="00344776">
        <w:t xml:space="preserve">Figure </w:t>
      </w:r>
      <w:r w:rsidR="00F61845">
        <w:t>24</w:t>
      </w:r>
      <w:r>
        <w:fldChar w:fldCharType="end"/>
      </w:r>
      <w:r w:rsidRPr="00344776">
        <w:t xml:space="preserve"> shows </w:t>
      </w:r>
      <w:r>
        <w:t xml:space="preserve">that, in the 10 years to 2020, </w:t>
      </w:r>
      <w:r w:rsidRPr="00344776">
        <w:t xml:space="preserve">women living in the highest deprivation areas </w:t>
      </w:r>
      <w:r>
        <w:t xml:space="preserve">had </w:t>
      </w:r>
      <w:r w:rsidRPr="00344776">
        <w:t>lower rates of LMC registration in the first trimester of pregnancy.</w:t>
      </w:r>
    </w:p>
    <w:p w14:paraId="5D2A9A73" w14:textId="4A3F46CA" w:rsidR="00924A79" w:rsidRPr="00344776" w:rsidRDefault="00924A79" w:rsidP="00253316">
      <w:pPr>
        <w:pStyle w:val="Figure"/>
        <w:rPr>
          <w:noProof/>
        </w:rPr>
      </w:pPr>
      <w:bookmarkStart w:id="105" w:name="_Ref117607143"/>
      <w:bookmarkStart w:id="106" w:name="_Toc119047768"/>
      <w:r w:rsidRPr="00344776">
        <w:t xml:space="preserve">Figure </w:t>
      </w:r>
      <w:r w:rsidRPr="00344776">
        <w:fldChar w:fldCharType="begin"/>
      </w:r>
      <w:r w:rsidRPr="00344776">
        <w:instrText>SEQ Figure \* ARABIC</w:instrText>
      </w:r>
      <w:r w:rsidRPr="00344776">
        <w:fldChar w:fldCharType="separate"/>
      </w:r>
      <w:r w:rsidR="00F61845">
        <w:rPr>
          <w:noProof/>
        </w:rPr>
        <w:t>24</w:t>
      </w:r>
      <w:r w:rsidRPr="00344776">
        <w:fldChar w:fldCharType="end"/>
      </w:r>
      <w:bookmarkEnd w:id="105"/>
      <w:r w:rsidRPr="00344776">
        <w:t xml:space="preserve">: Proportion of women registering with </w:t>
      </w:r>
      <w:r>
        <w:t xml:space="preserve">a lead maternity carer </w:t>
      </w:r>
      <w:r w:rsidRPr="00344776">
        <w:t>in the first trimester</w:t>
      </w:r>
      <w:r>
        <w:t>,</w:t>
      </w:r>
      <w:r w:rsidRPr="00344776">
        <w:t xml:space="preserve"> by NZDep2018</w:t>
      </w:r>
      <w:r>
        <w:t xml:space="preserve"> </w:t>
      </w:r>
      <w:r w:rsidRPr="00344776">
        <w:t xml:space="preserve">deprivation </w:t>
      </w:r>
      <w:r>
        <w:t xml:space="preserve">quintile, </w:t>
      </w:r>
      <w:r w:rsidRPr="00344776">
        <w:t>20</w:t>
      </w:r>
      <w:r>
        <w:t>11–20</w:t>
      </w:r>
      <w:r w:rsidRPr="00344776">
        <w:t>20</w:t>
      </w:r>
      <w:bookmarkEnd w:id="106"/>
    </w:p>
    <w:p w14:paraId="46742896" w14:textId="77777777" w:rsidR="00924A79" w:rsidRPr="00344776" w:rsidRDefault="00924A79" w:rsidP="00924A79">
      <w:pPr>
        <w:spacing w:after="120"/>
      </w:pPr>
      <w:r w:rsidRPr="00344776">
        <w:rPr>
          <w:noProof/>
        </w:rPr>
        <w:drawing>
          <wp:inline distT="0" distB="0" distL="0" distR="0" wp14:anchorId="573BD914" wp14:editId="2E03BD77">
            <wp:extent cx="5124450" cy="2732345"/>
            <wp:effectExtent l="0" t="0" r="0" b="0"/>
            <wp:docPr id="52" name="Picture 52" descr="This time series chart shows the percentage of women registered with an LMC in the first trimester, by deprivation quintile between 2011 and 2020. The percentage of women registered increases as deprivation decreases. The percentage of women registered has increased over time for all levels of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time series chart shows the percentage of women registered with an LMC in the first trimester, by deprivation quintile between 2011 and 2020. The percentage of women registered increases as deprivation decreases. The percentage of women registered has increased over time for all levels of deprivation."/>
                    <pic:cNvPicPr>
                      <a:picLocks noChangeAspect="1" noChangeArrowheads="1"/>
                    </pic:cNvPicPr>
                  </pic:nvPicPr>
                  <pic:blipFill>
                    <a:blip r:embed="rId73"/>
                    <a:stretch>
                      <a:fillRect/>
                    </a:stretch>
                  </pic:blipFill>
                  <pic:spPr bwMode="auto">
                    <a:xfrm>
                      <a:off x="0" y="0"/>
                      <a:ext cx="5124450" cy="2732345"/>
                    </a:xfrm>
                    <a:prstGeom prst="rect">
                      <a:avLst/>
                    </a:prstGeom>
                    <a:noFill/>
                    <a:ln>
                      <a:noFill/>
                    </a:ln>
                  </pic:spPr>
                </pic:pic>
              </a:graphicData>
            </a:graphic>
          </wp:inline>
        </w:drawing>
      </w:r>
    </w:p>
    <w:p w14:paraId="7145D12A" w14:textId="3603AA6F" w:rsidR="00924A79" w:rsidRPr="00344776" w:rsidRDefault="00924A79" w:rsidP="00924A79">
      <w:pPr>
        <w:pStyle w:val="Source"/>
      </w:pPr>
      <w:r w:rsidRPr="00344776">
        <w:t xml:space="preserve">Source: </w:t>
      </w:r>
      <w:hyperlink r:id="rId74" w:history="1">
        <w:r w:rsidRPr="00344776">
          <w:rPr>
            <w:rStyle w:val="Hyperlink"/>
          </w:rPr>
          <w:t>Ministry of Health (2022o)</w:t>
        </w:r>
      </w:hyperlink>
    </w:p>
    <w:p w14:paraId="1E762DD3" w14:textId="77777777" w:rsidR="00924A79" w:rsidRPr="00344776" w:rsidRDefault="00924A79" w:rsidP="00051D54">
      <w:pPr>
        <w:pStyle w:val="Heading3"/>
        <w:spacing w:before="320"/>
      </w:pPr>
      <w:r w:rsidRPr="00344776">
        <w:t>Interventions during birth</w:t>
      </w:r>
    </w:p>
    <w:p w14:paraId="4D2637BE" w14:textId="101749F0" w:rsidR="00051D54" w:rsidRPr="00344776" w:rsidRDefault="00051D54" w:rsidP="00924A79">
      <w:r>
        <w:fldChar w:fldCharType="begin"/>
      </w:r>
      <w:r>
        <w:instrText xml:space="preserve"> REF _Ref117607252 \h </w:instrText>
      </w:r>
      <w:r>
        <w:fldChar w:fldCharType="separate"/>
      </w:r>
      <w:r w:rsidR="00F61845" w:rsidRPr="00344776">
        <w:t xml:space="preserve">Figure </w:t>
      </w:r>
      <w:r w:rsidR="00F61845">
        <w:rPr>
          <w:noProof/>
        </w:rPr>
        <w:t>25</w:t>
      </w:r>
      <w:r>
        <w:fldChar w:fldCharType="end"/>
      </w:r>
      <w:r w:rsidR="00924A79">
        <w:t xml:space="preserve"> </w:t>
      </w:r>
      <w:r w:rsidR="00590B82">
        <w:t>shows that, b</w:t>
      </w:r>
      <w:r w:rsidR="00590B82" w:rsidRPr="00344776">
        <w:t>etween 2011 and 2020 there were changes in the percentage and type of interventions</w:t>
      </w:r>
      <w:r w:rsidR="00590B82" w:rsidRPr="00344776" w:rsidDel="00730E1D">
        <w:t xml:space="preserve"> </w:t>
      </w:r>
      <w:r w:rsidR="00590B82">
        <w:t xml:space="preserve">women </w:t>
      </w:r>
      <w:r w:rsidR="00590B82" w:rsidRPr="00344776">
        <w:t xml:space="preserve">experienced during labour and birth </w:t>
      </w:r>
      <w:r w:rsidR="00590B82" w:rsidRPr="00344776">
        <w:fldChar w:fldCharType="begin"/>
      </w:r>
      <w:r w:rsidR="00590B82">
        <w:instrText xml:space="preserve"> ADDIN EN.CITE &lt;EndNote&gt;&lt;Cite&gt;&lt;Author&gt;Ministry of Health&lt;/Author&gt;&lt;Year&gt;2022&lt;/Year&gt;&lt;RecNum&gt;207&lt;/RecNum&gt;&lt;DisplayText&gt;(Ministry of Health 2022o)&lt;/DisplayText&gt;&lt;record&gt;&lt;rec-number&gt;207&lt;/rec-number&gt;&lt;foreign-keys&gt;&lt;key app="EN" db-id="aaepvppzs5wtfse95vsp2wahsrtvva2vvdet" timestamp="1663738062"&gt;207&lt;/key&gt;&lt;/foreign-keys&gt;&lt;ref-type name="Web Page"&gt;12&lt;/ref-type&gt;&lt;contributors&gt;&lt;authors&gt;&lt;author&gt;Ministry of Health,&lt;/author&gt;&lt;/authors&gt;&lt;/contributors&gt;&lt;titles&gt;&lt;title&gt;Maternity web tool (Data file)&lt;/title&gt;&lt;/titles&gt;&lt;number&gt;28 October 2022&lt;/number&gt;&lt;dates&gt;&lt;year&gt;2022&lt;/year&gt;&lt;/dates&gt;&lt;urls&gt;&lt;related-urls&gt;&lt;url&gt;https://minhealthnz.shinyapps.io/report-on-maternity-web-tool/&lt;/url&gt;&lt;/related-urls&gt;&lt;/urls&gt;&lt;/record&gt;&lt;/Cite&gt;&lt;/EndNote&gt;</w:instrText>
      </w:r>
      <w:r w:rsidR="00590B82" w:rsidRPr="00344776">
        <w:fldChar w:fldCharType="separate"/>
      </w:r>
      <w:r w:rsidR="00590B82" w:rsidRPr="00344776">
        <w:rPr>
          <w:noProof/>
        </w:rPr>
        <w:t>(Ministry of Health 2022o)</w:t>
      </w:r>
      <w:r w:rsidR="00590B82" w:rsidRPr="00344776">
        <w:fldChar w:fldCharType="end"/>
      </w:r>
      <w:r w:rsidR="00590B82" w:rsidRPr="00344776">
        <w:t xml:space="preserve">. </w:t>
      </w:r>
      <w:r w:rsidR="00590B82">
        <w:t>It should be noted that any one birth may have involved</w:t>
      </w:r>
      <w:r w:rsidR="00590B82" w:rsidRPr="00344776">
        <w:t xml:space="preserve"> more than one intervention. For more detail on these interventions, </w:t>
      </w:r>
      <w:r w:rsidR="00590B82">
        <w:t>see Ministry of Health 2022o</w:t>
      </w:r>
      <w:r w:rsidR="00924A79">
        <w:t>.</w:t>
      </w:r>
    </w:p>
    <w:p w14:paraId="4B5422EB" w14:textId="5ADCD006" w:rsidR="00924A79" w:rsidRPr="00344776" w:rsidRDefault="00924A79" w:rsidP="00924A79">
      <w:pPr>
        <w:pStyle w:val="Figure"/>
      </w:pPr>
      <w:bookmarkStart w:id="107" w:name="_Ref117607252"/>
      <w:bookmarkStart w:id="108" w:name="_Toc118446240"/>
      <w:bookmarkStart w:id="109" w:name="_Toc118730683"/>
      <w:bookmarkStart w:id="110" w:name="_Toc119047769"/>
      <w:r w:rsidRPr="00344776">
        <w:t xml:space="preserve">Figure </w:t>
      </w:r>
      <w:r w:rsidRPr="00344776">
        <w:fldChar w:fldCharType="begin"/>
      </w:r>
      <w:r w:rsidRPr="00344776">
        <w:instrText>SEQ Figure \* ARABIC</w:instrText>
      </w:r>
      <w:r w:rsidRPr="00344776">
        <w:fldChar w:fldCharType="separate"/>
      </w:r>
      <w:r w:rsidR="00F61845">
        <w:rPr>
          <w:noProof/>
        </w:rPr>
        <w:t>25</w:t>
      </w:r>
      <w:r w:rsidRPr="00344776">
        <w:fldChar w:fldCharType="end"/>
      </w:r>
      <w:bookmarkEnd w:id="107"/>
      <w:r w:rsidRPr="00344776">
        <w:t xml:space="preserve">: Proportion of women </w:t>
      </w:r>
      <w:r>
        <w:t xml:space="preserve">who </w:t>
      </w:r>
      <w:r w:rsidRPr="00344776">
        <w:t>received an intervention during birth, 2011</w:t>
      </w:r>
      <w:r>
        <w:t>–</w:t>
      </w:r>
      <w:r w:rsidRPr="00344776">
        <w:t>2020</w:t>
      </w:r>
      <w:bookmarkEnd w:id="108"/>
      <w:bookmarkEnd w:id="109"/>
      <w:bookmarkEnd w:id="110"/>
    </w:p>
    <w:p w14:paraId="75CC7300" w14:textId="77777777" w:rsidR="00924A79" w:rsidRPr="00344776" w:rsidRDefault="00924A79" w:rsidP="00924A79">
      <w:pPr>
        <w:spacing w:after="120"/>
      </w:pPr>
      <w:r w:rsidRPr="00344776">
        <w:rPr>
          <w:rFonts w:asciiTheme="minorHAnsi" w:eastAsiaTheme="minorHAnsi" w:hAnsiTheme="minorHAnsi" w:cstheme="minorBidi"/>
          <w:noProof/>
          <w:sz w:val="16"/>
          <w:szCs w:val="16"/>
          <w:lang w:eastAsia="en-US"/>
        </w:rPr>
        <w:drawing>
          <wp:inline distT="0" distB="0" distL="0" distR="0" wp14:anchorId="608858F8" wp14:editId="1A2C5C5D">
            <wp:extent cx="4476307" cy="2685481"/>
            <wp:effectExtent l="0" t="0" r="635" b="635"/>
            <wp:docPr id="53" name="Picture 53" descr="A time series chart showing the percentage of women giving birth that required an intervention between 2011 and 2020. The chart shows the percentage of women that required an epidural, induction, or episiotomy intervention has increased. The percentage of women that required augmentation interventions has de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time series chart showing the percentage of women giving birth that required an intervention between 2011 and 2020. The chart shows the percentage of women that required an epidural, induction, or episiotomy intervention has increased. The percentage of women that required augmentation interventions has decreased."/>
                    <pic:cNvPicPr>
                      <a:picLocks noChangeAspect="1" noChangeArrowheads="1"/>
                    </pic:cNvPicPr>
                  </pic:nvPicPr>
                  <pic:blipFill>
                    <a:blip r:embed="rId75"/>
                    <a:stretch>
                      <a:fillRect/>
                    </a:stretch>
                  </pic:blipFill>
                  <pic:spPr bwMode="auto">
                    <a:xfrm>
                      <a:off x="0" y="0"/>
                      <a:ext cx="4498604" cy="2698858"/>
                    </a:xfrm>
                    <a:prstGeom prst="rect">
                      <a:avLst/>
                    </a:prstGeom>
                    <a:noFill/>
                    <a:ln>
                      <a:noFill/>
                    </a:ln>
                  </pic:spPr>
                </pic:pic>
              </a:graphicData>
            </a:graphic>
          </wp:inline>
        </w:drawing>
      </w:r>
    </w:p>
    <w:p w14:paraId="3F64BAD7" w14:textId="45AE2D74" w:rsidR="00924A79" w:rsidRPr="00344776" w:rsidRDefault="00924A79" w:rsidP="00924A79">
      <w:pPr>
        <w:pStyle w:val="Source"/>
      </w:pPr>
      <w:r w:rsidRPr="00344776">
        <w:t xml:space="preserve">Source: </w:t>
      </w:r>
      <w:hyperlink r:id="rId76" w:history="1">
        <w:r w:rsidRPr="00344776">
          <w:rPr>
            <w:rStyle w:val="Hyperlink"/>
          </w:rPr>
          <w:t>Ministry of Health (2022o)</w:t>
        </w:r>
      </w:hyperlink>
    </w:p>
    <w:p w14:paraId="16609D0E" w14:textId="77777777" w:rsidR="00924A79" w:rsidRPr="00344776" w:rsidRDefault="00924A79" w:rsidP="00924A79">
      <w:pPr>
        <w:pStyle w:val="Heading2"/>
      </w:pPr>
      <w:bookmarkStart w:id="111" w:name="_Toc118452230"/>
      <w:bookmarkStart w:id="112" w:name="_Toc119312991"/>
      <w:r w:rsidRPr="00344776">
        <w:lastRenderedPageBreak/>
        <w:t xml:space="preserve">Enrolment with </w:t>
      </w:r>
      <w:r>
        <w:t>a p</w:t>
      </w:r>
      <w:r w:rsidRPr="00344776">
        <w:t xml:space="preserve">rimary </w:t>
      </w:r>
      <w:r>
        <w:t>h</w:t>
      </w:r>
      <w:r w:rsidRPr="00344776">
        <w:t xml:space="preserve">ealth </w:t>
      </w:r>
      <w:r>
        <w:t>o</w:t>
      </w:r>
      <w:r w:rsidRPr="00344776">
        <w:t>rganisation</w:t>
      </w:r>
      <w:bookmarkEnd w:id="111"/>
      <w:bookmarkEnd w:id="112"/>
      <w:r w:rsidRPr="00344776">
        <w:t xml:space="preserve"> </w:t>
      </w:r>
    </w:p>
    <w:p w14:paraId="1375D87D" w14:textId="508A7D1C" w:rsidR="00924A79" w:rsidRPr="00344776" w:rsidRDefault="00590B82" w:rsidP="00924A79">
      <w:r w:rsidRPr="00344776">
        <w:t>Primary health organisations and general practice have important roles in providing preventive health</w:t>
      </w:r>
      <w:r>
        <w:t xml:space="preserve"> </w:t>
      </w:r>
      <w:r w:rsidRPr="00344776">
        <w:t xml:space="preserve">care to the general population and reducing the need for more costly specialised and hospital care </w:t>
      </w:r>
      <w:r w:rsidR="00924A79" w:rsidRPr="00344776">
        <w:fldChar w:fldCharType="begin"/>
      </w:r>
      <w:r w:rsidR="00924A79" w:rsidRPr="00344776">
        <w:instrText xml:space="preserve"> ADDIN EN.CITE &lt;EndNote&gt;&lt;Cite&gt;&lt;Author&gt;OECD&lt;/Author&gt;&lt;Year&gt;2022&lt;/Year&gt;&lt;RecNum&gt;228&lt;/RecNum&gt;&lt;DisplayText&gt;(OECD 2022)&lt;/DisplayText&gt;&lt;record&gt;&lt;rec-number&gt;228&lt;/rec-number&gt;&lt;foreign-keys&gt;&lt;key app="EN" db-id="aaepvppzs5wtfse95vsp2wahsrtvva2vvdet" timestamp="1663810681"&gt;228&lt;/key&gt;&lt;/foreign-keys&gt;&lt;ref-type name="Web Page"&gt;12&lt;/ref-type&gt;&lt;contributors&gt;&lt;authors&gt;&lt;author&gt;OECD,&lt;/author&gt;&lt;/authors&gt;&lt;/contributors&gt;&lt;titles&gt;&lt;title&gt;Realising the potential for primary health care&lt;/title&gt;&lt;/titles&gt;&lt;number&gt;22 September 2022&lt;/number&gt;&lt;dates&gt;&lt;year&gt;2022&lt;/year&gt;&lt;/dates&gt;&lt;urls&gt;&lt;related-urls&gt;&lt;url&gt;https://www.oecd.org/health/realising-the-potential-of-primary-health-care-a92adee4-en.htm&lt;/url&gt;&lt;/related-urls&gt;&lt;/urls&gt;&lt;/record&gt;&lt;/Cite&gt;&lt;/EndNote&gt;</w:instrText>
      </w:r>
      <w:r w:rsidR="00924A79" w:rsidRPr="00344776">
        <w:fldChar w:fldCharType="separate"/>
      </w:r>
      <w:r w:rsidR="00924A79" w:rsidRPr="00344776">
        <w:rPr>
          <w:noProof/>
        </w:rPr>
        <w:t>(OECD 2022)</w:t>
      </w:r>
      <w:r w:rsidR="00924A79" w:rsidRPr="00344776">
        <w:fldChar w:fldCharType="end"/>
      </w:r>
      <w:r w:rsidR="00924A79" w:rsidRPr="00344776">
        <w:t xml:space="preserve">.  </w:t>
      </w:r>
    </w:p>
    <w:p w14:paraId="2AFEE1F1" w14:textId="77777777" w:rsidR="00924A79" w:rsidRPr="00344776" w:rsidRDefault="00924A79" w:rsidP="00924A79">
      <w:pPr>
        <w:pStyle w:val="Heading3"/>
      </w:pPr>
      <w:r w:rsidRPr="00344776">
        <w:t>Enrolled population</w:t>
      </w:r>
    </w:p>
    <w:p w14:paraId="1757B9AC" w14:textId="77777777" w:rsidR="00590B82" w:rsidRPr="00344776" w:rsidRDefault="00590B82" w:rsidP="00590B82">
      <w:r w:rsidRPr="00344776">
        <w:t>On 31 December 2021, 93.9%</w:t>
      </w:r>
      <w:r w:rsidRPr="00344776">
        <w:rPr>
          <w:b/>
        </w:rPr>
        <w:t xml:space="preserve"> </w:t>
      </w:r>
      <w:r w:rsidRPr="00344776">
        <w:t xml:space="preserve">of the New Zealand population were enrolled with a PHO through a general practice </w:t>
      </w:r>
      <w:r w:rsidRPr="00344776">
        <w:fldChar w:fldCharType="begin"/>
      </w:r>
      <w:r>
        <w:instrText xml:space="preserve"> ADDIN EN.CITE &lt;EndNote&gt;&lt;Cite&gt;&lt;Author&gt;Ministry of Health&lt;/Author&gt;&lt;Year&gt;2022&lt;/Year&gt;&lt;RecNum&gt;259&lt;/RecNum&gt;&lt;DisplayText&gt;(Ministry of Health 2022h)&lt;/DisplayText&gt;&lt;record&gt;&lt;rec-number&gt;259&lt;/rec-number&gt;&lt;foreign-keys&gt;&lt;key app="EN" db-id="aaepvppzs5wtfse95vsp2wahsrtvva2vvdet" timestamp="1666044273"&gt;259&lt;/key&gt;&lt;/foreign-keys&gt;&lt;ref-type name="Web Page"&gt;12&lt;/ref-type&gt;&lt;contributors&gt;&lt;authors&gt;&lt;author&gt;Ministry of Health,&lt;/author&gt;&lt;/authors&gt;&lt;/contributors&gt;&lt;titles&gt;&lt;title&gt;Enrolment with a general practice and primary health organisation&lt;/title&gt;&lt;/titles&gt;&lt;number&gt;31 October 2022&lt;/number&gt;&lt;dates&gt;&lt;year&gt;2022&lt;/year&gt;&lt;/dates&gt;&lt;urls&gt;&lt;related-urls&gt;&lt;url&gt;https://www.health.govt.nz/our-work/primary-health-care/about-primary-health-organisations/enrolment-general-practice-and-primary-health-organisation&lt;/url&gt;&lt;/related-urls&gt;&lt;/urls&gt;&lt;/record&gt;&lt;/Cite&gt;&lt;/EndNote&gt;</w:instrText>
      </w:r>
      <w:r w:rsidRPr="00344776">
        <w:fldChar w:fldCharType="separate"/>
      </w:r>
      <w:r w:rsidRPr="00344776">
        <w:rPr>
          <w:noProof/>
        </w:rPr>
        <w:t>(Ministry of Health 2022h)</w:t>
      </w:r>
      <w:r w:rsidRPr="00344776">
        <w:fldChar w:fldCharType="end"/>
      </w:r>
      <w:r w:rsidRPr="00344776">
        <w:t>.</w:t>
      </w:r>
    </w:p>
    <w:p w14:paraId="1B7AAF90" w14:textId="77777777" w:rsidR="00590B82" w:rsidRPr="00344776" w:rsidRDefault="00590B82" w:rsidP="00590B82"/>
    <w:p w14:paraId="4CADE401" w14:textId="77777777" w:rsidR="00590B82" w:rsidRPr="00344776" w:rsidRDefault="00590B82" w:rsidP="00590B82">
      <w:r w:rsidRPr="00344776">
        <w:t xml:space="preserve">Not being enrolled with a PHO could indicate someone is not getting the support they need to manage their health and wellbeing </w:t>
      </w:r>
      <w:r w:rsidRPr="00344776">
        <w:fldChar w:fldCharType="begin"/>
      </w:r>
      <w:r w:rsidRPr="00344776">
        <w:instrText xml:space="preserve"> ADDIN EN.CITE &lt;EndNote&gt;&lt;Cite&gt;&lt;Author&gt;Irurzun-Lopez&lt;/Author&gt;&lt;Year&gt;2021&lt;/Year&gt;&lt;RecNum&gt;211&lt;/RecNum&gt;&lt;DisplayText&gt;(Irurzun-Lopez et al 2021)&lt;/DisplayText&gt;&lt;record&gt;&lt;rec-number&gt;211&lt;/rec-number&gt;&lt;foreign-keys&gt;&lt;key app="EN" db-id="aaepvppzs5wtfse95vsp2wahsrtvva2vvdet" timestamp="1663798852"&gt;211&lt;/key&gt;&lt;/foreign-keys&gt;&lt;ref-type name="Journal Article"&gt;17&lt;/ref-type&gt;&lt;contributors&gt;&lt;authors&gt;&lt;author&gt;Irurzun-Lopez, Maite&lt;/author&gt;&lt;author&gt;Jeffreys, Mona&lt;/author&gt;&lt;author&gt;Cumming, Jacqueline&lt;/author&gt;&lt;/authors&gt;&lt;/contributors&gt;&lt;titles&gt;&lt;title&gt;The enrolment gap: Who is not enrolling with primary health organizations in Aotearoa New Zealand and what are the implications? An exploration of 2015–2019 administrative data&lt;/title&gt;&lt;secondary-title&gt;International Journal for Equity in Health&lt;/secondary-title&gt;&lt;/titles&gt;&lt;periodical&gt;&lt;full-title&gt;International Journal for Equity in Health&lt;/full-title&gt;&lt;/periodical&gt;&lt;pages&gt;93&lt;/pages&gt;&lt;volume&gt;20&lt;/volume&gt;&lt;dates&gt;&lt;year&gt;2021&lt;/year&gt;&lt;/dates&gt;&lt;urls&gt;&lt;related-urls&gt;&lt;url&gt;https://equityhealthj.biomedcentral.com/articles/10.1186/s12939-021-01423-4&lt;/url&gt;&lt;/related-urls&gt;&lt;/urls&gt;&lt;/record&gt;&lt;/Cite&gt;&lt;/EndNote&gt;</w:instrText>
      </w:r>
      <w:r w:rsidRPr="00344776">
        <w:fldChar w:fldCharType="separate"/>
      </w:r>
      <w:r w:rsidRPr="00344776">
        <w:rPr>
          <w:noProof/>
        </w:rPr>
        <w:t>(Irurzun-Lopez et al 2021)</w:t>
      </w:r>
      <w:r w:rsidRPr="00344776">
        <w:fldChar w:fldCharType="end"/>
      </w:r>
      <w:r w:rsidRPr="00344776">
        <w:t>.</w:t>
      </w:r>
    </w:p>
    <w:p w14:paraId="4610D926" w14:textId="77777777" w:rsidR="00590B82" w:rsidRPr="00344776" w:rsidRDefault="00590B82" w:rsidP="00590B82"/>
    <w:p w14:paraId="43D32955" w14:textId="0F675808" w:rsidR="00924A79" w:rsidRPr="00344776" w:rsidRDefault="00590B82" w:rsidP="00590B82">
      <w:r w:rsidRPr="00344776">
        <w:t>There are differences in rates of enrolment across the population</w:t>
      </w:r>
      <w:r>
        <w:t>, as follows</w:t>
      </w:r>
      <w:r w:rsidR="00924A79" w:rsidRPr="00344776">
        <w:t>.</w:t>
      </w:r>
    </w:p>
    <w:p w14:paraId="6D64DD64" w14:textId="77777777" w:rsidR="00590B82" w:rsidRDefault="00590B82" w:rsidP="00590B82">
      <w:pPr>
        <w:pStyle w:val="Bullet"/>
      </w:pPr>
      <w:r>
        <w:t>People living in the least deprived areas had higher rates of enrolment (close to 100%), compared to people living in the most deprived areas (85.4%).</w:t>
      </w:r>
    </w:p>
    <w:p w14:paraId="518E2E27" w14:textId="77777777" w:rsidR="00590B82" w:rsidRDefault="00590B82" w:rsidP="00590B82">
      <w:pPr>
        <w:pStyle w:val="Bullet"/>
      </w:pPr>
      <w:r>
        <w:t xml:space="preserve">The European/other ethnic group (99.3%) and Pacific peoples (97.3%) had higher levels of enrolment than Māori (83.1%) and Asian (83.7%) peoples.  </w:t>
      </w:r>
    </w:p>
    <w:p w14:paraId="568D6C80" w14:textId="77777777" w:rsidR="00590B82" w:rsidRDefault="00590B82" w:rsidP="00590B82">
      <w:pPr>
        <w:pStyle w:val="Bullet"/>
      </w:pPr>
      <w:r>
        <w:t>Females (95.9%) had higher levels of enrolment than males (91.5%).</w:t>
      </w:r>
    </w:p>
    <w:p w14:paraId="0A885EA4" w14:textId="77777777" w:rsidR="00590B82" w:rsidRDefault="00590B82" w:rsidP="00590B82">
      <w:pPr>
        <w:pStyle w:val="Bullet"/>
      </w:pPr>
      <w:r>
        <w:t>Manatū Hauora does not currently have PHO enrolment figures for disabled people.</w:t>
      </w:r>
    </w:p>
    <w:p w14:paraId="5B3878A5" w14:textId="167C1B9A" w:rsidR="009D589F" w:rsidRDefault="00590B82" w:rsidP="009D589F">
      <w:pPr>
        <w:pStyle w:val="Bullet"/>
      </w:pPr>
      <w:r>
        <w:t xml:space="preserve">Enrolment rates change with age, decreasing for those aged 10–24 then gradually increasing with age until 85 </w:t>
      </w:r>
      <w:r w:rsidR="00924A79" w:rsidRPr="00924A79">
        <w:t>(</w:t>
      </w:r>
      <w:bookmarkStart w:id="113" w:name="_Ref115424736"/>
      <w:bookmarkStart w:id="114" w:name="_Ref118731264"/>
      <w:bookmarkStart w:id="115" w:name="_Toc118446241"/>
      <w:r w:rsidR="00031F14">
        <w:fldChar w:fldCharType="begin"/>
      </w:r>
      <w:r w:rsidR="00031F14">
        <w:instrText xml:space="preserve"> REF _Ref118782655 \h </w:instrText>
      </w:r>
      <w:r w:rsidR="00031F14">
        <w:fldChar w:fldCharType="separate"/>
      </w:r>
      <w:r w:rsidR="00F61845" w:rsidRPr="00344776">
        <w:t xml:space="preserve">Figure </w:t>
      </w:r>
      <w:r w:rsidR="00F61845">
        <w:rPr>
          <w:noProof/>
        </w:rPr>
        <w:t>26</w:t>
      </w:r>
      <w:r w:rsidR="00031F14">
        <w:fldChar w:fldCharType="end"/>
      </w:r>
      <w:r w:rsidR="00031F14">
        <w:t>).</w:t>
      </w:r>
    </w:p>
    <w:p w14:paraId="2C03CE1D" w14:textId="1FEB5A33" w:rsidR="00924A79" w:rsidRPr="00344776" w:rsidRDefault="00924A79" w:rsidP="00253316">
      <w:pPr>
        <w:pStyle w:val="Figure"/>
      </w:pPr>
      <w:bookmarkStart w:id="116" w:name="_Ref118782655"/>
      <w:bookmarkStart w:id="117" w:name="_Toc119047770"/>
      <w:r w:rsidRPr="00344776">
        <w:t xml:space="preserve">Figure </w:t>
      </w:r>
      <w:r w:rsidRPr="00344776">
        <w:fldChar w:fldCharType="begin"/>
      </w:r>
      <w:r w:rsidRPr="00344776">
        <w:instrText>SEQ Figure \* ARABIC</w:instrText>
      </w:r>
      <w:r w:rsidRPr="00344776">
        <w:fldChar w:fldCharType="separate"/>
      </w:r>
      <w:r w:rsidR="00F61845">
        <w:rPr>
          <w:noProof/>
        </w:rPr>
        <w:t>26</w:t>
      </w:r>
      <w:r w:rsidRPr="00344776">
        <w:fldChar w:fldCharType="end"/>
      </w:r>
      <w:bookmarkEnd w:id="113"/>
      <w:bookmarkEnd w:id="114"/>
      <w:bookmarkEnd w:id="116"/>
      <w:r w:rsidRPr="00344776">
        <w:t xml:space="preserve">: Proportion of New Zealand residents enrolled with a </w:t>
      </w:r>
      <w:r>
        <w:t xml:space="preserve">primary health organisation, </w:t>
      </w:r>
      <w:r w:rsidRPr="00344776">
        <w:t>by age group, 2021</w:t>
      </w:r>
      <w:bookmarkEnd w:id="115"/>
      <w:bookmarkEnd w:id="117"/>
    </w:p>
    <w:p w14:paraId="2906EA54" w14:textId="77777777" w:rsidR="00924A79" w:rsidRPr="00344776" w:rsidRDefault="00924A79" w:rsidP="00051D54">
      <w:pPr>
        <w:spacing w:after="120"/>
      </w:pPr>
      <w:r w:rsidRPr="00344776">
        <w:rPr>
          <w:noProof/>
        </w:rPr>
        <w:drawing>
          <wp:inline distT="0" distB="0" distL="0" distR="0" wp14:anchorId="04A1F3B3" wp14:editId="7E4C2255">
            <wp:extent cx="5123972" cy="2861384"/>
            <wp:effectExtent l="0" t="0" r="635" b="0"/>
            <wp:docPr id="54" name="Picture 54" descr="This bar chart shows the percentage of health service users enrolled with a PHO by 5-year age bands in 2021. The percentage of 0 to 4-year-olds enrolled is 97%, this increases to 98% for the 5 to 9-year-old age band. The percentage enrolled then falls to 86% by 20-24 age band, before steadily increasing again to 99% for those aged 80 to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is bar chart shows the percentage of health service users enrolled with a PHO by 5-year age bands in 2021. The percentage of 0 to 4-year-olds enrolled is 97%, this increases to 98% for the 5 to 9-year-old age band. The percentage enrolled then falls to 86% by 20-24 age band, before steadily increasing again to 99% for those aged 80 to 84."/>
                    <pic:cNvPicPr>
                      <a:picLocks noChangeAspect="1" noChangeArrowheads="1"/>
                    </pic:cNvPicPr>
                  </pic:nvPicPr>
                  <pic:blipFill rotWithShape="1">
                    <a:blip r:embed="rId77"/>
                    <a:srcRect t="6918"/>
                    <a:stretch/>
                  </pic:blipFill>
                  <pic:spPr bwMode="auto">
                    <a:xfrm>
                      <a:off x="0" y="0"/>
                      <a:ext cx="5124450" cy="2861651"/>
                    </a:xfrm>
                    <a:prstGeom prst="rect">
                      <a:avLst/>
                    </a:prstGeom>
                    <a:noFill/>
                    <a:ln>
                      <a:noFill/>
                    </a:ln>
                    <a:extLst>
                      <a:ext uri="{53640926-AAD7-44D8-BBD7-CCE9431645EC}">
                        <a14:shadowObscured xmlns:a14="http://schemas.microsoft.com/office/drawing/2010/main"/>
                      </a:ext>
                    </a:extLst>
                  </pic:spPr>
                </pic:pic>
              </a:graphicData>
            </a:graphic>
          </wp:inline>
        </w:drawing>
      </w:r>
    </w:p>
    <w:p w14:paraId="09587069" w14:textId="77777777" w:rsidR="00924A79" w:rsidRPr="00344776" w:rsidRDefault="00924A79" w:rsidP="00924A79">
      <w:pPr>
        <w:pStyle w:val="Source"/>
      </w:pPr>
      <w:r w:rsidRPr="00344776">
        <w:t>Source: Ministry of Health unpublished data (2022)</w:t>
      </w:r>
    </w:p>
    <w:p w14:paraId="20DD2218" w14:textId="77777777" w:rsidR="00924A79" w:rsidRPr="00344776" w:rsidRDefault="00924A79" w:rsidP="00924A79">
      <w:pPr>
        <w:pStyle w:val="Heading3"/>
      </w:pPr>
      <w:r w:rsidRPr="00344776">
        <w:lastRenderedPageBreak/>
        <w:t>Engagement with enrolling general practice</w:t>
      </w:r>
    </w:p>
    <w:p w14:paraId="17EB88C7" w14:textId="77777777" w:rsidR="00590B82" w:rsidRPr="00344776" w:rsidRDefault="00590B82" w:rsidP="00590B82">
      <w:pPr>
        <w:rPr>
          <w:i/>
          <w:iCs/>
        </w:rPr>
      </w:pPr>
      <w:r>
        <w:rPr>
          <w:color w:val="242424"/>
          <w:shd w:val="clear" w:color="auto" w:fill="FFFFFF"/>
        </w:rPr>
        <w:t>We define e</w:t>
      </w:r>
      <w:r w:rsidRPr="00344776">
        <w:rPr>
          <w:color w:val="242424"/>
          <w:shd w:val="clear" w:color="auto" w:fill="FFFFFF"/>
        </w:rPr>
        <w:t>ngagement with general practice as a range of interactions between a patient and the general practice they are enrolled with. The</w:t>
      </w:r>
      <w:r>
        <w:rPr>
          <w:color w:val="242424"/>
          <w:shd w:val="clear" w:color="auto" w:fill="FFFFFF"/>
        </w:rPr>
        <w:t>se</w:t>
      </w:r>
      <w:r w:rsidRPr="00344776">
        <w:rPr>
          <w:color w:val="242424"/>
          <w:shd w:val="clear" w:color="auto" w:fill="FFFFFF"/>
        </w:rPr>
        <w:t xml:space="preserve"> </w:t>
      </w:r>
      <w:r>
        <w:rPr>
          <w:color w:val="242424"/>
          <w:shd w:val="clear" w:color="auto" w:fill="FFFFFF"/>
        </w:rPr>
        <w:t xml:space="preserve">interactions </w:t>
      </w:r>
      <w:r w:rsidRPr="00344776">
        <w:rPr>
          <w:color w:val="242424"/>
          <w:shd w:val="clear" w:color="auto" w:fill="FFFFFF"/>
        </w:rPr>
        <w:t>include doctor and nurse consultations (face-to-face and remote), follow-up communications, prescription requests and immunisations.</w:t>
      </w:r>
    </w:p>
    <w:p w14:paraId="41EAF2CA" w14:textId="77777777" w:rsidR="00590B82" w:rsidRPr="00344776" w:rsidRDefault="00590B82" w:rsidP="00590B82"/>
    <w:p w14:paraId="6D710792" w14:textId="77777777" w:rsidR="00590B82" w:rsidRPr="00344776" w:rsidRDefault="00590B82" w:rsidP="00590B82">
      <w:r w:rsidRPr="00344776">
        <w:t>Of the people who were enrolled with a PHO on 31 December 2021</w:t>
      </w:r>
      <w:r>
        <w:t>,</w:t>
      </w:r>
      <w:r w:rsidRPr="00344776">
        <w:t xml:space="preserve"> 79.8% engaged with their usual general practice in</w:t>
      </w:r>
      <w:r>
        <w:t xml:space="preserve"> </w:t>
      </w:r>
      <w:r w:rsidRPr="00344776">
        <w:t xml:space="preserve">person or virtually during 2021. </w:t>
      </w:r>
      <w:r>
        <w:t xml:space="preserve">Of </w:t>
      </w:r>
      <w:r w:rsidRPr="00344776">
        <w:t xml:space="preserve">the remaining people who did not interact with their general practice in 2021, 9.9% </w:t>
      </w:r>
      <w:r>
        <w:t xml:space="preserve">last </w:t>
      </w:r>
      <w:r w:rsidRPr="00344776">
        <w:t xml:space="preserve">engaged with their general practice in 2020 and 5.2% last engaged with their general practice in 2019. The remaining 5.2% </w:t>
      </w:r>
      <w:r>
        <w:t xml:space="preserve">did not know, </w:t>
      </w:r>
      <w:r w:rsidRPr="00344776">
        <w:t xml:space="preserve">or were last seen more than </w:t>
      </w:r>
      <w:r>
        <w:t>3</w:t>
      </w:r>
      <w:r w:rsidRPr="00344776">
        <w:t xml:space="preserve"> years ago. </w:t>
      </w:r>
    </w:p>
    <w:p w14:paraId="243C643A" w14:textId="77777777" w:rsidR="00590B82" w:rsidRPr="00344776" w:rsidRDefault="00590B82" w:rsidP="00590B82"/>
    <w:p w14:paraId="5F8B9F1D" w14:textId="3BDDC609" w:rsidR="00924A79" w:rsidRPr="00344776" w:rsidRDefault="00590B82" w:rsidP="00590B82">
      <w:r w:rsidRPr="00344776">
        <w:t>Subgroups of the enrolled population had different levels of engagement with their usual general practice during 2021</w:t>
      </w:r>
      <w:r>
        <w:t>, as follows</w:t>
      </w:r>
      <w:r w:rsidR="00924A79" w:rsidRPr="00344776">
        <w:t>.</w:t>
      </w:r>
    </w:p>
    <w:p w14:paraId="3B45007D" w14:textId="77777777" w:rsidR="00590B82" w:rsidRDefault="00590B82" w:rsidP="00590B82">
      <w:pPr>
        <w:pStyle w:val="Bullet"/>
      </w:pPr>
      <w:r>
        <w:t>People living in the least deprived areas had higher levels of engagement (80.8%) than people living in the most deprived areas (78.0%).</w:t>
      </w:r>
    </w:p>
    <w:p w14:paraId="61309446" w14:textId="77777777" w:rsidR="00590B82" w:rsidRDefault="00590B82" w:rsidP="00590B82">
      <w:pPr>
        <w:pStyle w:val="Bullet"/>
      </w:pPr>
      <w:r>
        <w:t xml:space="preserve">The European/other ethnic group had higher levels of engagement (82.5%) than Māori (76.1%), Pacific peoples (75.5%) and the Asian ethnic group (74.7%). </w:t>
      </w:r>
    </w:p>
    <w:p w14:paraId="1FB52B9B" w14:textId="77777777" w:rsidR="00590B82" w:rsidRDefault="00590B82" w:rsidP="00590B82">
      <w:pPr>
        <w:pStyle w:val="Bullet"/>
      </w:pPr>
      <w:r>
        <w:t>Females had higher levels of engagement (83.2%) than males (76.2%).</w:t>
      </w:r>
    </w:p>
    <w:p w14:paraId="2193D935" w14:textId="1F3C3A2C" w:rsidR="00924A79" w:rsidRDefault="00924A79" w:rsidP="00924A79">
      <w:pPr>
        <w:pStyle w:val="Bullet"/>
      </w:pPr>
      <w:r w:rsidRPr="00924A79">
        <w:t xml:space="preserve">As </w:t>
      </w:r>
      <w:r w:rsidR="00051D54">
        <w:fldChar w:fldCharType="begin"/>
      </w:r>
      <w:r w:rsidR="00051D54">
        <w:instrText xml:space="preserve"> REF _Ref114830216 \h </w:instrText>
      </w:r>
      <w:r w:rsidR="00051D54">
        <w:fldChar w:fldCharType="separate"/>
      </w:r>
      <w:r w:rsidR="00F61845" w:rsidRPr="00344776">
        <w:t xml:space="preserve">Figure </w:t>
      </w:r>
      <w:r w:rsidR="00F61845">
        <w:rPr>
          <w:noProof/>
        </w:rPr>
        <w:t>27</w:t>
      </w:r>
      <w:r w:rsidR="00051D54">
        <w:fldChar w:fldCharType="end"/>
      </w:r>
      <w:r w:rsidR="00051D54">
        <w:t xml:space="preserve"> </w:t>
      </w:r>
      <w:r w:rsidR="00590B82" w:rsidRPr="00344776">
        <w:t>show</w:t>
      </w:r>
      <w:r w:rsidR="00590B82">
        <w:t>s</w:t>
      </w:r>
      <w:r w:rsidR="00590B82" w:rsidRPr="00344776">
        <w:t>, engagement is high during the first years of life, dropping down at 5</w:t>
      </w:r>
      <w:r w:rsidR="00590B82">
        <w:t>–</w:t>
      </w:r>
      <w:r w:rsidR="00590B82" w:rsidRPr="00344776">
        <w:t>9 years of age and then gradually increasing with age until the 85+ age group.</w:t>
      </w:r>
    </w:p>
    <w:p w14:paraId="0AE63DA5" w14:textId="142FBEE8" w:rsidR="00924A79" w:rsidRPr="00344776" w:rsidRDefault="00924A79" w:rsidP="00924A79">
      <w:pPr>
        <w:pStyle w:val="Figure"/>
      </w:pPr>
      <w:bookmarkStart w:id="118" w:name="_Ref114830216"/>
      <w:bookmarkStart w:id="119" w:name="_Toc118446242"/>
      <w:bookmarkStart w:id="120" w:name="_Toc118730684"/>
      <w:bookmarkStart w:id="121" w:name="_Toc119047771"/>
      <w:r w:rsidRPr="00344776">
        <w:t xml:space="preserve">Figure </w:t>
      </w:r>
      <w:r w:rsidRPr="00344776">
        <w:fldChar w:fldCharType="begin"/>
      </w:r>
      <w:r w:rsidRPr="00344776">
        <w:instrText>SEQ Figure \* ARABIC</w:instrText>
      </w:r>
      <w:r w:rsidRPr="00344776">
        <w:fldChar w:fldCharType="separate"/>
      </w:r>
      <w:r w:rsidR="00F61845">
        <w:rPr>
          <w:noProof/>
        </w:rPr>
        <w:t>27</w:t>
      </w:r>
      <w:r w:rsidRPr="00344776">
        <w:fldChar w:fldCharType="end"/>
      </w:r>
      <w:bookmarkEnd w:id="118"/>
      <w:r w:rsidRPr="00344776">
        <w:t>: Proportion of enrolled people known to have engaged with their general practice</w:t>
      </w:r>
      <w:r>
        <w:t>,</w:t>
      </w:r>
      <w:r w:rsidRPr="00344776">
        <w:t xml:space="preserve"> by age group, 2021</w:t>
      </w:r>
      <w:bookmarkEnd w:id="119"/>
      <w:bookmarkEnd w:id="120"/>
      <w:bookmarkEnd w:id="121"/>
    </w:p>
    <w:p w14:paraId="3DD786FB" w14:textId="77777777" w:rsidR="00924A79" w:rsidRPr="00344776" w:rsidRDefault="00924A79" w:rsidP="00924A79">
      <w:r w:rsidRPr="00344776">
        <w:rPr>
          <w:noProof/>
        </w:rPr>
        <w:drawing>
          <wp:inline distT="0" distB="0" distL="0" distR="0" wp14:anchorId="55DD8BD2" wp14:editId="4CB8104F">
            <wp:extent cx="5123972" cy="2872016"/>
            <wp:effectExtent l="0" t="0" r="635" b="5080"/>
            <wp:docPr id="55" name="Picture 55" descr="A bar chart showing the percentage of enrolled people who engaged with their general practice by age group in 2021. Overall, general practice engagement generally increased with age, from 66% for those aged 5 to 9, to 96% for those aged 80-84. Exceptions to this is those aged 0 to 4 years, where 87% of enrolled people engaged with their general practice, and those aged 85+ where engagement dropped to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bar chart showing the percentage of enrolled people who engaged with their general practice by age group in 2021. Overall, general practice engagement generally increased with age, from 66% for those aged 5 to 9, to 96% for those aged 80-84. Exceptions to this is those aged 0 to 4 years, where 87% of enrolled people engaged with their general practice, and those aged 85+ where engagement dropped to 93%."/>
                    <pic:cNvPicPr>
                      <a:picLocks noChangeAspect="1" noChangeArrowheads="1"/>
                    </pic:cNvPicPr>
                  </pic:nvPicPr>
                  <pic:blipFill rotWithShape="1">
                    <a:blip r:embed="rId78"/>
                    <a:srcRect t="6572"/>
                    <a:stretch/>
                  </pic:blipFill>
                  <pic:spPr bwMode="auto">
                    <a:xfrm>
                      <a:off x="0" y="0"/>
                      <a:ext cx="5124450" cy="2872284"/>
                    </a:xfrm>
                    <a:prstGeom prst="rect">
                      <a:avLst/>
                    </a:prstGeom>
                    <a:noFill/>
                    <a:ln>
                      <a:noFill/>
                    </a:ln>
                    <a:extLst>
                      <a:ext uri="{53640926-AAD7-44D8-BBD7-CCE9431645EC}">
                        <a14:shadowObscured xmlns:a14="http://schemas.microsoft.com/office/drawing/2010/main"/>
                      </a:ext>
                    </a:extLst>
                  </pic:spPr>
                </pic:pic>
              </a:graphicData>
            </a:graphic>
          </wp:inline>
        </w:drawing>
      </w:r>
    </w:p>
    <w:p w14:paraId="10623330" w14:textId="77777777" w:rsidR="00924A79" w:rsidRPr="00344776" w:rsidRDefault="00924A79" w:rsidP="00924A79">
      <w:pPr>
        <w:pStyle w:val="Source"/>
      </w:pPr>
      <w:r w:rsidRPr="00344776">
        <w:t>Source: Ministry of Health unpublished data (2022)</w:t>
      </w:r>
    </w:p>
    <w:p w14:paraId="22527069" w14:textId="77777777" w:rsidR="00924A79" w:rsidRPr="00344776" w:rsidRDefault="00924A79" w:rsidP="00924A79">
      <w:pPr>
        <w:pStyle w:val="Heading2"/>
      </w:pPr>
      <w:bookmarkStart w:id="122" w:name="_Toc118452231"/>
      <w:bookmarkStart w:id="123" w:name="_Toc119312992"/>
      <w:r w:rsidRPr="00344776">
        <w:lastRenderedPageBreak/>
        <w:t>Barriers to accessing health care</w:t>
      </w:r>
      <w:bookmarkEnd w:id="122"/>
      <w:bookmarkEnd w:id="123"/>
    </w:p>
    <w:p w14:paraId="4FAF39EB" w14:textId="7AC86F3B" w:rsidR="00924A79" w:rsidRPr="00344776" w:rsidRDefault="00590B82" w:rsidP="00924A79">
      <w:r w:rsidRPr="00344776">
        <w:t>Even people enrolled with a PHO can</w:t>
      </w:r>
      <w:r w:rsidRPr="00344776" w:rsidDel="008374D7">
        <w:t xml:space="preserve"> </w:t>
      </w:r>
      <w:r>
        <w:t xml:space="preserve">experience </w:t>
      </w:r>
      <w:r w:rsidRPr="00344776">
        <w:t xml:space="preserve">barriers to accessing health care, which can </w:t>
      </w:r>
      <w:r>
        <w:t xml:space="preserve">affect their </w:t>
      </w:r>
      <w:r w:rsidRPr="00344776">
        <w:t xml:space="preserve">level of engagement with </w:t>
      </w:r>
      <w:r>
        <w:t>a</w:t>
      </w:r>
      <w:r w:rsidRPr="00344776">
        <w:t xml:space="preserve"> general practice. Barriers can include accessibility, concerns about COVID-19 and cost</w:t>
      </w:r>
      <w:r>
        <w:t>, among other factors</w:t>
      </w:r>
      <w:r w:rsidR="00924A79" w:rsidRPr="00344776">
        <w:t xml:space="preserve">. </w:t>
      </w:r>
    </w:p>
    <w:p w14:paraId="104DDB0B" w14:textId="53A251DB" w:rsidR="00924A79" w:rsidRPr="00344776" w:rsidRDefault="00924A79" w:rsidP="00924A79">
      <w:pPr>
        <w:pStyle w:val="Heading3"/>
      </w:pPr>
      <w:r w:rsidRPr="00344776">
        <w:rPr>
          <w:lang w:eastAsia="en-NZ"/>
        </w:rPr>
        <w:t>Accessibility</w:t>
      </w:r>
    </w:p>
    <w:p w14:paraId="15D8F357" w14:textId="152B0EF6" w:rsidR="00924A79" w:rsidRPr="00344776" w:rsidRDefault="00AD1FD7" w:rsidP="00924A79">
      <w:r w:rsidRPr="00344776">
        <w:rPr>
          <w:noProof/>
          <w:lang w:eastAsia="en-NZ"/>
        </w:rPr>
        <w:drawing>
          <wp:anchor distT="0" distB="0" distL="114300" distR="114300" simplePos="0" relativeHeight="251658240" behindDoc="0" locked="0" layoutInCell="1" allowOverlap="1" wp14:anchorId="3F0543DB" wp14:editId="5D914F45">
            <wp:simplePos x="0" y="0"/>
            <wp:positionH relativeFrom="margin">
              <wp:align>right</wp:align>
            </wp:positionH>
            <wp:positionV relativeFrom="paragraph">
              <wp:posOffset>12700</wp:posOffset>
            </wp:positionV>
            <wp:extent cx="2182495" cy="1280160"/>
            <wp:effectExtent l="0" t="0" r="8255" b="0"/>
            <wp:wrapSquare wrapText="bothSides"/>
            <wp:docPr id="17" name="Picture 693" descr="Almost 1 in 5 adults were unable to talk to a GP or get an appointment at their usual medical centre within 24 hours">
              <a:extLst xmlns:a="http://schemas.openxmlformats.org/drawingml/2006/main">
                <a:ext uri="{FF2B5EF4-FFF2-40B4-BE49-F238E27FC236}">
                  <a16:creationId xmlns:a16="http://schemas.microsoft.com/office/drawing/2014/main" id="{E4B947AE-9226-4916-A723-9C0B57860C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93" descr="Almost 1 in 5 adults were unable to talk to a GP or get an appointment at their usual medical centre within 24 hours">
                      <a:extLst>
                        <a:ext uri="{FF2B5EF4-FFF2-40B4-BE49-F238E27FC236}">
                          <a16:creationId xmlns:a16="http://schemas.microsoft.com/office/drawing/2014/main" id="{E4B947AE-9226-4916-A723-9C0B57860C93}"/>
                        </a:ext>
                      </a:extLst>
                    </pic:cNvPr>
                    <pic:cNvPicPr>
                      <a:picLocks noChangeAspect="1"/>
                    </pic:cNvPicPr>
                  </pic:nvPicPr>
                  <pic:blipFill>
                    <a:blip r:embed="rId79"/>
                    <a:stretch>
                      <a:fillRect/>
                    </a:stretch>
                  </pic:blipFill>
                  <pic:spPr>
                    <a:xfrm>
                      <a:off x="0" y="0"/>
                      <a:ext cx="2182495" cy="1280160"/>
                    </a:xfrm>
                    <a:prstGeom prst="rect">
                      <a:avLst/>
                    </a:prstGeom>
                  </pic:spPr>
                </pic:pic>
              </a:graphicData>
            </a:graphic>
          </wp:anchor>
        </w:drawing>
      </w:r>
      <w:r w:rsidR="00590B82" w:rsidRPr="00344776">
        <w:t xml:space="preserve">The 2020/21 NZHS estimates that, in the </w:t>
      </w:r>
      <w:r w:rsidR="00590B82">
        <w:t>12</w:t>
      </w:r>
      <w:r w:rsidR="00590B82" w:rsidRPr="00344776">
        <w:t xml:space="preserve"> months prior, 19.4% of adults wa</w:t>
      </w:r>
      <w:r w:rsidR="00590B82" w:rsidRPr="00344776">
        <w:rPr>
          <w:shd w:val="clear" w:color="auto" w:fill="FFFFFF"/>
        </w:rPr>
        <w:t>nted to talk to or see a GP, nurse or other health care worker at their usual medical centre but were unable to get an appointment</w:t>
      </w:r>
      <w:r w:rsidR="00590B82">
        <w:rPr>
          <w:shd w:val="clear" w:color="auto" w:fill="FFFFFF"/>
        </w:rPr>
        <w:t xml:space="preserve"> </w:t>
      </w:r>
      <w:r w:rsidR="00590B82" w:rsidRPr="00344776">
        <w:rPr>
          <w:shd w:val="clear" w:color="auto" w:fill="FFFFFF"/>
        </w:rPr>
        <w:t xml:space="preserve">within 24 hours </w:t>
      </w:r>
      <w:r w:rsidR="00590B82" w:rsidRPr="00344776">
        <w:rPr>
          <w:shd w:val="clear" w:color="auto" w:fill="FFFFFF"/>
        </w:rPr>
        <w:fldChar w:fldCharType="begin"/>
      </w:r>
      <w:r w:rsidR="00590B82">
        <w:rPr>
          <w:shd w:val="clear" w:color="auto" w:fill="FFFFFF"/>
        </w:rPr>
        <w:instrText xml:space="preserve"> ADDIN EN.CITE &lt;EndNote&gt;&lt;Cite&gt;&lt;Author&gt;Ministry of Health&lt;/Author&gt;&lt;Year&gt;2022&lt;/Year&gt;&lt;RecNum&gt;33&lt;/RecNum&gt;&lt;DisplayText&gt;(Ministry of Health 2022b)&lt;/DisplayText&gt;&lt;record&gt;&lt;rec-number&gt;33&lt;/rec-number&gt;&lt;foreign-keys&gt;&lt;key app="EN" db-id="aaepvppzs5wtfse95vsp2wahsrtvva2vvdet" timestamp="1632283821"&gt;33&lt;/key&gt;&lt;/foreign-keys&gt;&lt;ref-type name="Web Page"&gt;12&lt;/ref-type&gt;&lt;contributors&gt;&lt;authors&gt;&lt;author&gt;Ministry of Health,&lt;/author&gt;&lt;/authors&gt;&lt;/contributors&gt;&lt;titles&gt;&lt;title&gt;Annual Data Explorer 2020/21: New Zealand Health Survey (Data file)&lt;/title&gt;&lt;/titles&gt;&lt;number&gt;31 October 2022&lt;/number&gt;&lt;dates&gt;&lt;year&gt;2022&lt;/year&gt;&lt;/dates&gt;&lt;urls&gt;&lt;related-urls&gt;&lt;url&gt;https://minhealthnz.shinyapps.io/nz-health-survey-2020-21-annual-data-explorer/&lt;/url&gt;&lt;/related-urls&gt;&lt;/urls&gt;&lt;/record&gt;&lt;/Cite&gt;&lt;/EndNote&gt;</w:instrText>
      </w:r>
      <w:r w:rsidR="00590B82" w:rsidRPr="00344776">
        <w:rPr>
          <w:shd w:val="clear" w:color="auto" w:fill="FFFFFF"/>
        </w:rPr>
        <w:fldChar w:fldCharType="separate"/>
      </w:r>
      <w:r w:rsidR="00590B82" w:rsidRPr="00344776">
        <w:rPr>
          <w:noProof/>
          <w:shd w:val="clear" w:color="auto" w:fill="FFFFFF"/>
        </w:rPr>
        <w:t>(Ministry of Health 2022b)</w:t>
      </w:r>
      <w:r w:rsidR="00590B82" w:rsidRPr="00344776">
        <w:rPr>
          <w:shd w:val="clear" w:color="auto" w:fill="FFFFFF"/>
        </w:rPr>
        <w:fldChar w:fldCharType="end"/>
      </w:r>
      <w:r w:rsidR="00924A79" w:rsidRPr="00344776">
        <w:rPr>
          <w:shd w:val="clear" w:color="auto" w:fill="FFFFFF"/>
        </w:rPr>
        <w:t>.</w:t>
      </w:r>
    </w:p>
    <w:p w14:paraId="65ED6306" w14:textId="77777777" w:rsidR="00924A79" w:rsidRPr="00344776" w:rsidRDefault="00924A79" w:rsidP="00924A79">
      <w:pPr>
        <w:pStyle w:val="Heading3"/>
      </w:pPr>
      <w:r w:rsidRPr="00344776">
        <w:t>COVID-19</w:t>
      </w:r>
    </w:p>
    <w:p w14:paraId="5EFCBB5D" w14:textId="0166D144" w:rsidR="00924A79" w:rsidRPr="00344776" w:rsidRDefault="00924A79" w:rsidP="00924A79">
      <w:r w:rsidRPr="00344776">
        <w:t xml:space="preserve">In </w:t>
      </w:r>
      <w:r w:rsidR="00590B82" w:rsidRPr="00344776">
        <w:t xml:space="preserve">2020/21, the </w:t>
      </w:r>
      <w:r w:rsidR="00590B82">
        <w:t xml:space="preserve">NZHS </w:t>
      </w:r>
      <w:r w:rsidR="00590B82" w:rsidRPr="00344776">
        <w:t>added an indicator to capture reported barriers because of COVID-19. These included barriers such as fear of being infected, COVID-19 restrictions</w:t>
      </w:r>
      <w:r w:rsidR="00590B82" w:rsidRPr="00344776" w:rsidDel="00225DAC">
        <w:t xml:space="preserve"> </w:t>
      </w:r>
      <w:r w:rsidR="00590B82">
        <w:t xml:space="preserve">and </w:t>
      </w:r>
      <w:r w:rsidR="00590B82" w:rsidRPr="00344776">
        <w:t>not wanting to have a virtual consultation. The 2020/21</w:t>
      </w:r>
      <w:r w:rsidR="00590B82" w:rsidRPr="00344776" w:rsidDel="00225DAC">
        <w:t xml:space="preserve"> </w:t>
      </w:r>
      <w:r w:rsidR="00590B82">
        <w:t xml:space="preserve">NZHS </w:t>
      </w:r>
      <w:r w:rsidR="00590B82" w:rsidRPr="00344776">
        <w:t xml:space="preserve">estimates that in 2021, over a quarter of a million adults had a medical problem but did not visit or talk to a GP because of COVID-19 </w:t>
      </w:r>
      <w:r w:rsidR="00590B82" w:rsidRPr="00344776">
        <w:fldChar w:fldCharType="begin"/>
      </w:r>
      <w:r w:rsidR="00590B82">
        <w:instrText xml:space="preserve"> ADDIN EN.CITE &lt;EndNote&gt;&lt;Cite&gt;&lt;Author&gt;Ministry of Health&lt;/Author&gt;&lt;Year&gt;2022&lt;/Year&gt;&lt;RecNum&gt;33&lt;/RecNum&gt;&lt;DisplayText&gt;(Ministry of Health 2022b)&lt;/DisplayText&gt;&lt;record&gt;&lt;rec-number&gt;33&lt;/rec-number&gt;&lt;foreign-keys&gt;&lt;key app="EN" db-id="aaepvppzs5wtfse95vsp2wahsrtvva2vvdet" timestamp="1632283821"&gt;33&lt;/key&gt;&lt;/foreign-keys&gt;&lt;ref-type name="Web Page"&gt;12&lt;/ref-type&gt;&lt;contributors&gt;&lt;authors&gt;&lt;author&gt;Ministry of Health,&lt;/author&gt;&lt;/authors&gt;&lt;/contributors&gt;&lt;titles&gt;&lt;title&gt;Annual Data Explorer 2020/21: New Zealand Health Survey (Data file)&lt;/title&gt;&lt;/titles&gt;&lt;number&gt;31 October 2022&lt;/number&gt;&lt;dates&gt;&lt;year&gt;2022&lt;/year&gt;&lt;/dates&gt;&lt;urls&gt;&lt;related-urls&gt;&lt;url&gt;https://minhealthnz.shinyapps.io/nz-health-survey-2020-21-annual-data-explorer/&lt;/url&gt;&lt;/related-urls&gt;&lt;/urls&gt;&lt;/record&gt;&lt;/Cite&gt;&lt;/EndNote&gt;</w:instrText>
      </w:r>
      <w:r w:rsidR="00590B82" w:rsidRPr="00344776">
        <w:fldChar w:fldCharType="separate"/>
      </w:r>
      <w:r w:rsidR="00590B82" w:rsidRPr="00344776">
        <w:rPr>
          <w:noProof/>
        </w:rPr>
        <w:t>(Ministry of Health 2022b)</w:t>
      </w:r>
      <w:r w:rsidR="00590B82" w:rsidRPr="00344776">
        <w:fldChar w:fldCharType="end"/>
      </w:r>
      <w:r w:rsidRPr="00344776">
        <w:t>.</w:t>
      </w:r>
    </w:p>
    <w:p w14:paraId="20ACC4FD" w14:textId="2B461FE5" w:rsidR="00924A79" w:rsidRPr="00344776" w:rsidRDefault="00924A79" w:rsidP="00924A79">
      <w:pPr>
        <w:pStyle w:val="Heading3"/>
      </w:pPr>
      <w:r w:rsidRPr="00344776">
        <w:t>Cost</w:t>
      </w:r>
    </w:p>
    <w:p w14:paraId="1F0DEE76" w14:textId="3C425741" w:rsidR="00924A79" w:rsidRPr="00344776" w:rsidRDefault="00AD1FD7" w:rsidP="00924A79">
      <w:pPr>
        <w:rPr>
          <w:lang w:eastAsia="en-NZ"/>
        </w:rPr>
      </w:pPr>
      <w:r w:rsidRPr="00344776">
        <w:rPr>
          <w:noProof/>
        </w:rPr>
        <w:drawing>
          <wp:anchor distT="0" distB="0" distL="114300" distR="114300" simplePos="0" relativeHeight="251658241" behindDoc="0" locked="0" layoutInCell="1" allowOverlap="1" wp14:anchorId="1EB61D52" wp14:editId="20537C2F">
            <wp:simplePos x="0" y="0"/>
            <wp:positionH relativeFrom="margin">
              <wp:align>right</wp:align>
            </wp:positionH>
            <wp:positionV relativeFrom="paragraph">
              <wp:posOffset>13970</wp:posOffset>
            </wp:positionV>
            <wp:extent cx="2176145" cy="1048385"/>
            <wp:effectExtent l="0" t="0" r="0" b="0"/>
            <wp:wrapSquare wrapText="bothSides"/>
            <wp:docPr id="34" name="Picture 763" descr="1 in 10 adults had a medical problem but did not visit or talk with a GP because of cost">
              <a:extLst xmlns:a="http://schemas.openxmlformats.org/drawingml/2006/main">
                <a:ext uri="{FF2B5EF4-FFF2-40B4-BE49-F238E27FC236}">
                  <a16:creationId xmlns:a16="http://schemas.microsoft.com/office/drawing/2014/main" id="{A9B4FC4C-CBA2-43FA-899D-C2EA8D1974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63" descr="1 in 10 adults had a medical problem but did not visit or talk with a GP because of cost">
                      <a:extLst>
                        <a:ext uri="{FF2B5EF4-FFF2-40B4-BE49-F238E27FC236}">
                          <a16:creationId xmlns:a16="http://schemas.microsoft.com/office/drawing/2014/main" id="{A9B4FC4C-CBA2-43FA-899D-C2EA8D197487}"/>
                        </a:ext>
                      </a:extLst>
                    </pic:cNvPr>
                    <pic:cNvPicPr>
                      <a:picLocks noChangeAspect="1"/>
                    </pic:cNvPicPr>
                  </pic:nvPicPr>
                  <pic:blipFill>
                    <a:blip r:embed="rId80"/>
                    <a:stretch>
                      <a:fillRect/>
                    </a:stretch>
                  </pic:blipFill>
                  <pic:spPr>
                    <a:xfrm>
                      <a:off x="0" y="0"/>
                      <a:ext cx="2176145" cy="1048385"/>
                    </a:xfrm>
                    <a:prstGeom prst="rect">
                      <a:avLst/>
                    </a:prstGeom>
                  </pic:spPr>
                </pic:pic>
              </a:graphicData>
            </a:graphic>
            <wp14:sizeRelH relativeFrom="page">
              <wp14:pctWidth>0</wp14:pctWidth>
            </wp14:sizeRelH>
            <wp14:sizeRelV relativeFrom="page">
              <wp14:pctHeight>0</wp14:pctHeight>
            </wp14:sizeRelV>
          </wp:anchor>
        </w:drawing>
      </w:r>
      <w:r w:rsidR="00590B82" w:rsidRPr="00344776">
        <w:t>The 2020/21 NZHS estimates that 10.2% of adults had an unmet need for general practice services due to cost. This is defined as having had a medical problem but not visiting or talking to a GP because of cost in the past 12 months</w:t>
      </w:r>
      <w:r w:rsidR="00924A79" w:rsidRPr="00344776">
        <w:t>.</w:t>
      </w:r>
    </w:p>
    <w:p w14:paraId="35D9882F" w14:textId="77777777" w:rsidR="00924A79" w:rsidRPr="00344776" w:rsidRDefault="00924A79" w:rsidP="00924A79">
      <w:pPr>
        <w:pStyle w:val="Heading2"/>
        <w:rPr>
          <w:lang w:eastAsia="en-NZ"/>
        </w:rPr>
      </w:pPr>
      <w:bookmarkStart w:id="124" w:name="_Toc86314840"/>
      <w:bookmarkStart w:id="125" w:name="_Toc88642798"/>
      <w:bookmarkStart w:id="126" w:name="_Toc118452232"/>
      <w:bookmarkStart w:id="127" w:name="_Toc119312993"/>
      <w:r w:rsidRPr="00344776">
        <w:t>Child oral health</w:t>
      </w:r>
      <w:bookmarkEnd w:id="124"/>
      <w:bookmarkEnd w:id="125"/>
      <w:bookmarkEnd w:id="126"/>
      <w:bookmarkEnd w:id="127"/>
    </w:p>
    <w:p w14:paraId="3506A197" w14:textId="77777777" w:rsidR="00590B82" w:rsidRPr="00344776" w:rsidRDefault="00590B82" w:rsidP="00590B82">
      <w:pPr>
        <w:rPr>
          <w:szCs w:val="21"/>
        </w:rPr>
      </w:pPr>
      <w:r w:rsidRPr="00344776">
        <w:t>Dental caries, also known as tooth decay or dental cavities, is a mainly preventable disease, but remains a common disease of childhood. In 2021, dental conditions were the fourth most common reason for preventable hospital admissions for children in New Zealand (</w:t>
      </w:r>
      <w:r>
        <w:t xml:space="preserve">see the </w:t>
      </w:r>
      <w:r w:rsidRPr="00344776">
        <w:t>Hospitalisations section</w:t>
      </w:r>
      <w:r>
        <w:t xml:space="preserve"> for more detail</w:t>
      </w:r>
      <w:r w:rsidRPr="00344776">
        <w:t>).</w:t>
      </w:r>
    </w:p>
    <w:p w14:paraId="5A71EA81" w14:textId="77777777" w:rsidR="00590B82" w:rsidRPr="00344776" w:rsidRDefault="00590B82" w:rsidP="00590B82">
      <w:pPr>
        <w:rPr>
          <w:szCs w:val="21"/>
        </w:rPr>
      </w:pPr>
    </w:p>
    <w:p w14:paraId="6079533F" w14:textId="5F3E5018" w:rsidR="00924A79" w:rsidRPr="00344776" w:rsidRDefault="00590B82" w:rsidP="00590B82">
      <w:pPr>
        <w:rPr>
          <w:szCs w:val="21"/>
        </w:rPr>
      </w:pPr>
      <w:r w:rsidRPr="00344776">
        <w:rPr>
          <w:szCs w:val="21"/>
        </w:rPr>
        <w:t xml:space="preserve">There have been </w:t>
      </w:r>
      <w:r>
        <w:rPr>
          <w:szCs w:val="21"/>
        </w:rPr>
        <w:t xml:space="preserve">certain </w:t>
      </w:r>
      <w:r w:rsidRPr="00344776">
        <w:rPr>
          <w:szCs w:val="21"/>
        </w:rPr>
        <w:t xml:space="preserve">improvements in child oral health over time. </w:t>
      </w:r>
      <w:r>
        <w:rPr>
          <w:szCs w:val="21"/>
        </w:rPr>
        <w:t>For example, between 2000 and 2019</w:t>
      </w:r>
      <w:r w:rsidR="00924A79">
        <w:rPr>
          <w:szCs w:val="21"/>
        </w:rPr>
        <w:t>:</w:t>
      </w:r>
      <w:r w:rsidR="00924A79" w:rsidRPr="00344776">
        <w:rPr>
          <w:szCs w:val="21"/>
        </w:rPr>
        <w:t xml:space="preserve"> </w:t>
      </w:r>
    </w:p>
    <w:p w14:paraId="709EF6FD" w14:textId="77777777" w:rsidR="00590B82" w:rsidRPr="00344776" w:rsidRDefault="00590B82" w:rsidP="00590B82">
      <w:pPr>
        <w:pStyle w:val="Bullet"/>
      </w:pPr>
      <w:bookmarkStart w:id="128" w:name="_Hlk118780825"/>
      <w:r>
        <w:t>t</w:t>
      </w:r>
      <w:r w:rsidRPr="00344776">
        <w:t xml:space="preserve">he proportion of </w:t>
      </w:r>
      <w:r>
        <w:t>5</w:t>
      </w:r>
      <w:r w:rsidRPr="00344776">
        <w:t xml:space="preserve">-year-old children </w:t>
      </w:r>
      <w:r>
        <w:t xml:space="preserve">who </w:t>
      </w:r>
      <w:r w:rsidRPr="00344776">
        <w:t>were caries-free (</w:t>
      </w:r>
      <w:proofErr w:type="spellStart"/>
      <w:r>
        <w:t>ie</w:t>
      </w:r>
      <w:proofErr w:type="spellEnd"/>
      <w:r>
        <w:t xml:space="preserve">, </w:t>
      </w:r>
      <w:r w:rsidRPr="00344776">
        <w:t>had no past or current dental decay) increased from 52.1% to 58.8%</w:t>
      </w:r>
    </w:p>
    <w:p w14:paraId="1D7649EA" w14:textId="77777777" w:rsidR="00590B82" w:rsidRPr="00344776" w:rsidRDefault="00590B82" w:rsidP="00590B82">
      <w:pPr>
        <w:pStyle w:val="Bullet"/>
      </w:pPr>
      <w:r>
        <w:t>t</w:t>
      </w:r>
      <w:r w:rsidRPr="00344776">
        <w:t>he proportion of caries-free children in school year</w:t>
      </w:r>
      <w:r w:rsidRPr="00344776" w:rsidDel="00AC4D0B">
        <w:t xml:space="preserve"> </w:t>
      </w:r>
      <w:r>
        <w:t>8</w:t>
      </w:r>
      <w:r w:rsidRPr="00344776">
        <w:t xml:space="preserve"> rose from 42.2% to 68.5% </w:t>
      </w:r>
      <w:r w:rsidRPr="00344776">
        <w:fldChar w:fldCharType="begin"/>
      </w:r>
      <w:r>
        <w:instrText xml:space="preserve"> ADDIN EN.CITE &lt;EndNote&gt;&lt;Cite&gt;&lt;Author&gt;Environmental Health Intelligence New Zealand&lt;/Author&gt;&lt;Year&gt;2020&lt;/Year&gt;&lt;RecNum&gt;263&lt;/RecNum&gt;&lt;DisplayText&gt;(Environmental Health Intelligence New Zealand 2020)&lt;/DisplayText&gt;&lt;record&gt;&lt;rec-number&gt;263&lt;/rec-number&gt;&lt;foreign-keys&gt;&lt;key app="EN" db-id="aaepvppzs5wtfse95vsp2wahsrtvva2vvdet" timestamp="1666047715"&gt;263&lt;/key&gt;&lt;/foreign-keys&gt;&lt;ref-type name="Web Page"&gt;12&lt;/ref-type&gt;&lt;contributors&gt;&lt;authors&gt;&lt;author&gt;Environmental Health Intelligence New Zealand,&lt;/author&gt;&lt;/authors&gt;&lt;/contributors&gt;&lt;titles&gt;&lt;title&gt;Oral health of children&lt;/title&gt;&lt;/titles&gt;&lt;number&gt;31 October 2022&lt;/number&gt;&lt;dates&gt;&lt;year&gt;2020&lt;/year&gt;&lt;/dates&gt;&lt;urls&gt;&lt;related-urls&gt;&lt;url&gt;https://www.ehinz.ac.nz/assets/Factsheets/Oral-health-of-children-FS.pdf&lt;/url&gt;&lt;/related-urls&gt;&lt;/urls&gt;&lt;/record&gt;&lt;/Cite&gt;&lt;/EndNote&gt;</w:instrText>
      </w:r>
      <w:r w:rsidRPr="00344776">
        <w:fldChar w:fldCharType="separate"/>
      </w:r>
      <w:r w:rsidRPr="00344776">
        <w:rPr>
          <w:noProof/>
        </w:rPr>
        <w:t>(Environmental Health Intelligence New Zealand 2020)</w:t>
      </w:r>
      <w:r w:rsidRPr="00344776">
        <w:fldChar w:fldCharType="end"/>
      </w:r>
      <w:r w:rsidRPr="00344776">
        <w:t>.</w:t>
      </w:r>
    </w:p>
    <w:bookmarkEnd w:id="128"/>
    <w:p w14:paraId="7164875F" w14:textId="77777777" w:rsidR="00924A79" w:rsidRDefault="00924A79" w:rsidP="00924A79"/>
    <w:p w14:paraId="74E802A1" w14:textId="01D557FC" w:rsidR="00924A79" w:rsidRPr="00344776" w:rsidRDefault="00924A79" w:rsidP="00924A79">
      <w:r w:rsidRPr="00344776">
        <w:t xml:space="preserve">The percentage of children who were caries-free at </w:t>
      </w:r>
      <w:r>
        <w:t>5</w:t>
      </w:r>
      <w:r w:rsidRPr="00344776">
        <w:t xml:space="preserve"> years of age in 2020 (the most recent data available) differ</w:t>
      </w:r>
      <w:r>
        <w:t>ed</w:t>
      </w:r>
      <w:r w:rsidRPr="00344776">
        <w:t xml:space="preserve"> by ethnic group</w:t>
      </w:r>
      <w:r>
        <w:t>.</w:t>
      </w:r>
      <w:r w:rsidRPr="00344776">
        <w:t xml:space="preserve"> Māori and Pacific children </w:t>
      </w:r>
      <w:r>
        <w:t xml:space="preserve">were </w:t>
      </w:r>
      <w:r w:rsidRPr="00344776">
        <w:t xml:space="preserve">less likely to be caries-free at age </w:t>
      </w:r>
      <w:r>
        <w:t>5</w:t>
      </w:r>
      <w:r w:rsidRPr="00344776">
        <w:t xml:space="preserve"> than European/other </w:t>
      </w:r>
      <w:r>
        <w:t xml:space="preserve">children </w:t>
      </w:r>
      <w:r w:rsidRPr="00344776">
        <w:t>(</w:t>
      </w:r>
      <w:r>
        <w:fldChar w:fldCharType="begin"/>
      </w:r>
      <w:r>
        <w:instrText xml:space="preserve"> REF _Ref117069489 \h </w:instrText>
      </w:r>
      <w:r>
        <w:fldChar w:fldCharType="separate"/>
      </w:r>
      <w:r w:rsidR="00F61845" w:rsidRPr="00051D54">
        <w:t xml:space="preserve">Figure </w:t>
      </w:r>
      <w:r w:rsidR="00F61845">
        <w:rPr>
          <w:noProof/>
        </w:rPr>
        <w:t>28</w:t>
      </w:r>
      <w:r>
        <w:fldChar w:fldCharType="end"/>
      </w:r>
      <w:r w:rsidRPr="00344776">
        <w:t>)</w:t>
      </w:r>
      <w:r w:rsidRPr="00344776">
        <w:rPr>
          <w:noProof/>
        </w:rPr>
        <w:t xml:space="preserve"> </w:t>
      </w:r>
      <w:r w:rsidRPr="00344776">
        <w:fldChar w:fldCharType="begin"/>
      </w:r>
      <w:r w:rsidRPr="00344776">
        <w:instrText xml:space="preserve"> ADDIN EN.CITE &lt;EndNote&gt;&lt;Cite&gt;&lt;Author&gt;Ministry of Health&lt;/Author&gt;&lt;Year&gt;2020&lt;/Year&gt;&lt;RecNum&gt;44&lt;/RecNum&gt;&lt;DisplayText&gt;(Ministry of Health 2020a)&lt;/DisplayText&gt;&lt;record&gt;&lt;rec-number&gt;44&lt;/rec-number&gt;&lt;foreign-keys&gt;&lt;key app="EN" db-id="aaepvppzs5wtfse95vsp2wahsrtvva2vvdet" timestamp="1632343639"&gt;44&lt;/key&gt;&lt;/foreign-keys&gt;&lt;ref-type name="Web Page"&gt;12&lt;/ref-type&gt;&lt;contributors&gt;&lt;authors&gt;&lt;author&gt;Ministry of Health,&lt;/author&gt;&lt;/authors&gt;&lt;/contributors&gt;&lt;titles&gt;&lt;title&gt;Age 5 and year 8 oral health data from the Community Oral Health Service&lt;/title&gt;&lt;/titles&gt;&lt;number&gt;22 September 2022&lt;/number&gt;&lt;dates&gt;&lt;year&gt;2020&lt;/year&gt;&lt;/dates&gt;&lt;urls&gt;&lt;related-urls&gt;&lt;url&gt;www.health.govt.nz/nz-health-statistics/health-statistics-and-data-sets/oral-health-data-and-stats/age-5-and-year-8-oral-health-data-community-oral-health-service&lt;/url&gt;&lt;/related-urls&gt;&lt;/urls&gt;&lt;/record&gt;&lt;/Cite&gt;&lt;/EndNote&gt;</w:instrText>
      </w:r>
      <w:r w:rsidRPr="00344776">
        <w:fldChar w:fldCharType="separate"/>
      </w:r>
      <w:r w:rsidRPr="00344776">
        <w:rPr>
          <w:noProof/>
        </w:rPr>
        <w:t>(Ministry of Health 2020a)</w:t>
      </w:r>
      <w:r w:rsidRPr="00344776">
        <w:fldChar w:fldCharType="end"/>
      </w:r>
      <w:r w:rsidRPr="00344776">
        <w:t>.</w:t>
      </w:r>
    </w:p>
    <w:p w14:paraId="03B9C441" w14:textId="67265244" w:rsidR="00924A79" w:rsidRPr="00051D54" w:rsidRDefault="00924A79" w:rsidP="00253316">
      <w:pPr>
        <w:pStyle w:val="Figure"/>
      </w:pPr>
      <w:bookmarkStart w:id="129" w:name="_Ref117069489"/>
      <w:bookmarkStart w:id="130" w:name="_Toc119047772"/>
      <w:r w:rsidRPr="00051D54">
        <w:t xml:space="preserve">Figure </w:t>
      </w:r>
      <w:r w:rsidRPr="00051D54">
        <w:fldChar w:fldCharType="begin"/>
      </w:r>
      <w:r w:rsidRPr="00051D54">
        <w:instrText>SEQ Figure \* ARABIC</w:instrText>
      </w:r>
      <w:r w:rsidRPr="00051D54">
        <w:fldChar w:fldCharType="separate"/>
      </w:r>
      <w:r w:rsidR="00F61845">
        <w:rPr>
          <w:noProof/>
        </w:rPr>
        <w:t>28</w:t>
      </w:r>
      <w:r w:rsidRPr="00051D54">
        <w:fldChar w:fldCharType="end"/>
      </w:r>
      <w:bookmarkEnd w:id="129"/>
      <w:r w:rsidRPr="00051D54">
        <w:t>: Proportion of 5-year-old children caries-free, by ethnic group, 2020</w:t>
      </w:r>
      <w:bookmarkEnd w:id="130"/>
    </w:p>
    <w:p w14:paraId="08AAA0BF" w14:textId="77777777" w:rsidR="00924A79" w:rsidRPr="00344776" w:rsidRDefault="00924A79" w:rsidP="00924A79">
      <w:pPr>
        <w:spacing w:after="120"/>
      </w:pPr>
      <w:r w:rsidRPr="00344776">
        <w:rPr>
          <w:noProof/>
        </w:rPr>
        <w:drawing>
          <wp:inline distT="0" distB="0" distL="0" distR="0" wp14:anchorId="5F40AC4B" wp14:editId="227DB5DE">
            <wp:extent cx="5118735" cy="1835190"/>
            <wp:effectExtent l="0" t="0" r="5715" b="0"/>
            <wp:docPr id="56" name="Picture 56" descr="This bar chart shows the percentage of 5-year-old children who were caries-free, by ethnic group in 2020. 40% of Māori, 31% of Pacific peoples, and 69% of European/other were caries-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is bar chart shows the percentage of 5-year-old children who were caries-free, by ethnic group in 2020. 40% of Māori, 31% of Pacific peoples, and 69% of European/other were caries-free."/>
                    <pic:cNvPicPr>
                      <a:picLocks noChangeAspect="1" noChangeArrowheads="1"/>
                    </pic:cNvPicPr>
                  </pic:nvPicPr>
                  <pic:blipFill rotWithShape="1">
                    <a:blip r:embed="rId81"/>
                    <a:srcRect t="10384"/>
                    <a:stretch/>
                  </pic:blipFill>
                  <pic:spPr bwMode="auto">
                    <a:xfrm>
                      <a:off x="0" y="0"/>
                      <a:ext cx="5118820" cy="1835220"/>
                    </a:xfrm>
                    <a:prstGeom prst="rect">
                      <a:avLst/>
                    </a:prstGeom>
                    <a:noFill/>
                    <a:ln>
                      <a:noFill/>
                    </a:ln>
                    <a:extLst>
                      <a:ext uri="{53640926-AAD7-44D8-BBD7-CCE9431645EC}">
                        <a14:shadowObscured xmlns:a14="http://schemas.microsoft.com/office/drawing/2010/main"/>
                      </a:ext>
                    </a:extLst>
                  </pic:spPr>
                </pic:pic>
              </a:graphicData>
            </a:graphic>
          </wp:inline>
        </w:drawing>
      </w:r>
    </w:p>
    <w:p w14:paraId="14E57C88" w14:textId="46129FC5" w:rsidR="00924A79" w:rsidRPr="00344776" w:rsidRDefault="00924A79" w:rsidP="00924A79">
      <w:pPr>
        <w:pStyle w:val="Source"/>
        <w:rPr>
          <w:rStyle w:val="Hyperlink"/>
        </w:rPr>
      </w:pPr>
      <w:r w:rsidRPr="00344776">
        <w:t xml:space="preserve">Source: </w:t>
      </w:r>
      <w:hyperlink r:id="rId82" w:history="1">
        <w:r w:rsidRPr="00344776">
          <w:rPr>
            <w:rStyle w:val="Hyperlink"/>
          </w:rPr>
          <w:t>Ministry of Health (2020a)</w:t>
        </w:r>
      </w:hyperlink>
    </w:p>
    <w:p w14:paraId="42E72946" w14:textId="77777777" w:rsidR="00924A79" w:rsidRPr="00344776" w:rsidRDefault="00924A79" w:rsidP="00924A79">
      <w:pPr>
        <w:rPr>
          <w:szCs w:val="21"/>
        </w:rPr>
      </w:pPr>
    </w:p>
    <w:p w14:paraId="4C8EBB2B" w14:textId="77777777" w:rsidR="00590B82" w:rsidRPr="00344776" w:rsidRDefault="00590B82" w:rsidP="00590B82">
      <w:r w:rsidRPr="00344776">
        <w:t>The</w:t>
      </w:r>
      <w:r w:rsidRPr="00344776" w:rsidDel="00EB3809">
        <w:t xml:space="preserve"> </w:t>
      </w:r>
      <w:r w:rsidRPr="00344776">
        <w:t xml:space="preserve">2020/21 </w:t>
      </w:r>
      <w:r>
        <w:t xml:space="preserve">NZHS </w:t>
      </w:r>
      <w:r w:rsidRPr="00344776">
        <w:t>reported that 71.0% of children up to 14 years of age had seen a dental health care worker in the last</w:t>
      </w:r>
      <w:r w:rsidRPr="00344776" w:rsidDel="001429BD">
        <w:t xml:space="preserve"> </w:t>
      </w:r>
      <w:r>
        <w:t>12 </w:t>
      </w:r>
      <w:r w:rsidRPr="00344776">
        <w:t xml:space="preserve">months </w:t>
      </w:r>
      <w:r w:rsidRPr="00344776">
        <w:fldChar w:fldCharType="begin"/>
      </w:r>
      <w:r>
        <w:instrText xml:space="preserve"> ADDIN EN.CITE &lt;EndNote&gt;&lt;Cite&gt;&lt;Author&gt;Ministry of Health&lt;/Author&gt;&lt;Year&gt;2022&lt;/Year&gt;&lt;RecNum&gt;33&lt;/RecNum&gt;&lt;DisplayText&gt;(Ministry of Health 2022b)&lt;/DisplayText&gt;&lt;record&gt;&lt;rec-number&gt;33&lt;/rec-number&gt;&lt;foreign-keys&gt;&lt;key app="EN" db-id="aaepvppzs5wtfse95vsp2wahsrtvva2vvdet" timestamp="1632283821"&gt;33&lt;/key&gt;&lt;/foreign-keys&gt;&lt;ref-type name="Web Page"&gt;12&lt;/ref-type&gt;&lt;contributors&gt;&lt;authors&gt;&lt;author&gt;Ministry of Health,&lt;/author&gt;&lt;/authors&gt;&lt;/contributors&gt;&lt;titles&gt;&lt;title&gt;Annual Data Explorer 2020/21: New Zealand Health Survey (Data file)&lt;/title&gt;&lt;/titles&gt;&lt;number&gt;31 October 2022&lt;/number&gt;&lt;dates&gt;&lt;year&gt;2022&lt;/year&gt;&lt;/dates&gt;&lt;urls&gt;&lt;related-urls&gt;&lt;url&gt;https://minhealthnz.shinyapps.io/nz-health-survey-2020-21-annual-data-explorer/&lt;/url&gt;&lt;/related-urls&gt;&lt;/urls&gt;&lt;/record&gt;&lt;/Cite&gt;&lt;/EndNote&gt;</w:instrText>
      </w:r>
      <w:r w:rsidRPr="00344776">
        <w:fldChar w:fldCharType="separate"/>
      </w:r>
      <w:r w:rsidRPr="00344776">
        <w:rPr>
          <w:noProof/>
        </w:rPr>
        <w:t>(Ministry of Health 2022b)</w:t>
      </w:r>
      <w:r w:rsidRPr="00344776">
        <w:fldChar w:fldCharType="end"/>
      </w:r>
      <w:r w:rsidRPr="00344776">
        <w:t xml:space="preserve">. This had reduced from 79.8% of children in 2019/20 and 82.2% in 2018/19. </w:t>
      </w:r>
      <w:r>
        <w:t>R</w:t>
      </w:r>
      <w:r w:rsidRPr="00344776">
        <w:t>estrictions relating to COVID-19 may have been a factor.</w:t>
      </w:r>
    </w:p>
    <w:p w14:paraId="32008C13" w14:textId="77777777" w:rsidR="00924A79" w:rsidRPr="00344776" w:rsidRDefault="00924A79" w:rsidP="00924A79">
      <w:pPr>
        <w:pStyle w:val="Heading2"/>
      </w:pPr>
      <w:bookmarkStart w:id="131" w:name="_Toc114751958"/>
      <w:bookmarkStart w:id="132" w:name="_Toc118452233"/>
      <w:bookmarkStart w:id="133" w:name="_Toc119312994"/>
      <w:r w:rsidRPr="00344776">
        <w:t>R</w:t>
      </w:r>
      <w:r>
        <w:t>espiratory syncytial virus</w:t>
      </w:r>
      <w:r w:rsidRPr="00344776">
        <w:t xml:space="preserve"> outbreak</w:t>
      </w:r>
      <w:bookmarkEnd w:id="131"/>
      <w:bookmarkEnd w:id="132"/>
      <w:bookmarkEnd w:id="133"/>
    </w:p>
    <w:p w14:paraId="74B451FA" w14:textId="77777777" w:rsidR="00590B82" w:rsidRPr="00344776" w:rsidRDefault="00590B82" w:rsidP="00590B82">
      <w:pPr>
        <w:rPr>
          <w:shd w:val="clear" w:color="auto" w:fill="FFFFFF"/>
        </w:rPr>
      </w:pPr>
      <w:r w:rsidRPr="00344776">
        <w:rPr>
          <w:shd w:val="clear" w:color="auto" w:fill="FFFFFF"/>
        </w:rPr>
        <w:t xml:space="preserve">Respiratory syncytial virus (RSV) is a highly contagious, common respiratory virus that causes lung and respiratory tract infections </w:t>
      </w:r>
      <w:r w:rsidRPr="00344776">
        <w:rPr>
          <w:shd w:val="clear" w:color="auto" w:fill="FFFFFF"/>
        </w:rPr>
        <w:fldChar w:fldCharType="begin"/>
      </w:r>
      <w:r>
        <w:rPr>
          <w:shd w:val="clear" w:color="auto" w:fill="FFFFFF"/>
        </w:rPr>
        <w:instrText xml:space="preserve"> ADDIN EN.CITE &lt;EndNote&gt;&lt;Cite&gt;&lt;Author&gt;Health Navigator&lt;/Author&gt;&lt;Year&gt;2022&lt;/Year&gt;&lt;RecNum&gt;242&lt;/RecNum&gt;&lt;DisplayText&gt;(Health Navigator 2022; Prasad et al 2019)&lt;/DisplayText&gt;&lt;record&gt;&lt;rec-number&gt;242&lt;/rec-number&gt;&lt;foreign-keys&gt;&lt;key app="EN" db-id="aaepvppzs5wtfse95vsp2wahsrtvva2vvdet" timestamp="1664426886"&gt;242&lt;/key&gt;&lt;/foreign-keys&gt;&lt;ref-type name="Web Page"&gt;12&lt;/ref-type&gt;&lt;contributors&gt;&lt;authors&gt;&lt;author&gt;Health Navigator,&lt;/author&gt;&lt;/authors&gt;&lt;/contributors&gt;&lt;titles&gt;&lt;title&gt;Respiratory syncytial virus (RSV) infection&lt;/title&gt;&lt;/titles&gt;&lt;number&gt;31 October 2022&lt;/number&gt;&lt;dates&gt;&lt;year&gt;2022&lt;/year&gt;&lt;/dates&gt;&lt;urls&gt;&lt;related-urls&gt;&lt;url&gt;https://www.healthnavigator.org.nz/health-a-z/r/respiratory-syncytial-virus-rsv-infection/&lt;/url&gt;&lt;/related-urls&gt;&lt;/urls&gt;&lt;/record&gt;&lt;/Cite&gt;&lt;Cite&gt;&lt;Author&gt;Prasad&lt;/Author&gt;&lt;Year&gt;2019&lt;/Year&gt;&lt;RecNum&gt;271&lt;/RecNum&gt;&lt;record&gt;&lt;rec-number&gt;271&lt;/rec-number&gt;&lt;foreign-keys&gt;&lt;key app="EN" db-id="aaepvppzs5wtfse95vsp2wahsrtvva2vvdet" timestamp="1666126511"&gt;271&lt;/key&gt;&lt;/foreign-keys&gt;&lt;ref-type name="Journal Article"&gt;17&lt;/ref-type&gt;&lt;contributors&gt;&lt;authors&gt;&lt;author&gt;Prasad, Namrata&lt;/author&gt;&lt;author&gt;Newbern, Claire E&lt;/author&gt;&lt;author&gt;Trenholme, Adrian A&lt;/author&gt;&lt;author&gt;Wood, Tim&lt;/author&gt;&lt;author&gt;Thompson, Mark G&lt;/author&gt;&lt;author&gt;Aminisani, Nayyereh&lt;/author&gt;&lt;author&gt;Huang, Q Sue&lt;/author&gt;&lt;author&gt;Grant, Cameron C&lt;/author&gt;&lt;/authors&gt;&lt;/contributors&gt;&lt;titles&gt;&lt;title&gt;Respiratory syncytial virus hospitalisations among young children: a data linkage study&lt;/title&gt;&lt;secondary-title&gt;Epidemiology and Infection&lt;/secondary-title&gt;&lt;/titles&gt;&lt;periodical&gt;&lt;full-title&gt;Epidemiology and Infection&lt;/full-title&gt;&lt;/periodical&gt;&lt;pages&gt;e246&lt;/pages&gt;&lt;volume&gt;147&lt;/volume&gt;&lt;dates&gt;&lt;year&gt;2019&lt;/year&gt;&lt;/dates&gt;&lt;urls&gt;&lt;related-urls&gt;&lt;url&gt;https://www.ncbi.nlm.nih.gov/pmc/articles/PMC6805750/&lt;/url&gt;&lt;/related-urls&gt;&lt;/urls&gt;&lt;/record&gt;&lt;/Cite&gt;&lt;/EndNote&gt;</w:instrText>
      </w:r>
      <w:r w:rsidRPr="00344776">
        <w:rPr>
          <w:shd w:val="clear" w:color="auto" w:fill="FFFFFF"/>
        </w:rPr>
        <w:fldChar w:fldCharType="separate"/>
      </w:r>
      <w:r w:rsidRPr="00344776">
        <w:rPr>
          <w:noProof/>
          <w:shd w:val="clear" w:color="auto" w:fill="FFFFFF"/>
        </w:rPr>
        <w:t>(Health Navigator 2022; Prasad et al 2019)</w:t>
      </w:r>
      <w:r w:rsidRPr="00344776">
        <w:rPr>
          <w:shd w:val="clear" w:color="auto" w:fill="FFFFFF"/>
        </w:rPr>
        <w:fldChar w:fldCharType="end"/>
      </w:r>
      <w:r w:rsidRPr="00344776">
        <w:rPr>
          <w:shd w:val="clear" w:color="auto" w:fill="FFFFFF"/>
        </w:rPr>
        <w:t>.</w:t>
      </w:r>
      <w:r>
        <w:rPr>
          <w:shd w:val="clear" w:color="auto" w:fill="FFFFFF"/>
        </w:rPr>
        <w:t xml:space="preserve"> It </w:t>
      </w:r>
      <w:r w:rsidRPr="00344776">
        <w:rPr>
          <w:shd w:val="clear" w:color="auto" w:fill="FFFFFF"/>
        </w:rPr>
        <w:t>is</w:t>
      </w:r>
      <w:r>
        <w:rPr>
          <w:shd w:val="clear" w:color="auto" w:fill="FFFFFF"/>
        </w:rPr>
        <w:t>:</w:t>
      </w:r>
      <w:r w:rsidRPr="00344776">
        <w:rPr>
          <w:shd w:val="clear" w:color="auto" w:fill="FFFFFF"/>
        </w:rPr>
        <w:t xml:space="preserve"> </w:t>
      </w:r>
    </w:p>
    <w:p w14:paraId="0D3793D6" w14:textId="77777777" w:rsidR="00590B82" w:rsidRDefault="00590B82" w:rsidP="00590B82">
      <w:pPr>
        <w:pStyle w:val="Bullet"/>
      </w:pPr>
      <w:r>
        <w:t xml:space="preserve">the leading cause of hospitalisation for lower respiratory tract infections in infants under 2 years old </w:t>
      </w:r>
    </w:p>
    <w:p w14:paraId="282F40E6" w14:textId="77777777" w:rsidR="00590B82" w:rsidRDefault="00590B82" w:rsidP="00590B82">
      <w:pPr>
        <w:pStyle w:val="Bullet"/>
      </w:pPr>
      <w:r>
        <w:t>the most frequent cause of severe pneumonia in children younger than 5 years old</w:t>
      </w:r>
    </w:p>
    <w:p w14:paraId="23E74569" w14:textId="37D98E53" w:rsidR="00924A79" w:rsidRPr="00924A79" w:rsidRDefault="00590B82" w:rsidP="00590B82">
      <w:pPr>
        <w:pStyle w:val="Bullet"/>
      </w:pPr>
      <w:r>
        <w:t>highly seasonal: most hospitalisations occur during winter</w:t>
      </w:r>
      <w:r w:rsidR="00924A79" w:rsidRPr="00924A79">
        <w:t xml:space="preserve">. </w:t>
      </w:r>
    </w:p>
    <w:p w14:paraId="7A5E8BC8" w14:textId="77777777" w:rsidR="00924A79" w:rsidRPr="00344776" w:rsidRDefault="00924A79" w:rsidP="00924A79">
      <w:pPr>
        <w:rPr>
          <w:shd w:val="clear" w:color="auto" w:fill="FFFFFF"/>
        </w:rPr>
      </w:pPr>
    </w:p>
    <w:p w14:paraId="162EFB16" w14:textId="3F1D2923" w:rsidR="00590B82" w:rsidRPr="00344776" w:rsidRDefault="00590B82" w:rsidP="00590B82">
      <w:pPr>
        <w:rPr>
          <w:shd w:val="clear" w:color="auto" w:fill="FFFFFF"/>
        </w:rPr>
      </w:pPr>
      <w:r w:rsidRPr="00344776">
        <w:rPr>
          <w:shd w:val="clear" w:color="auto" w:fill="FFFFFF"/>
        </w:rPr>
        <w:t>Anyone at any age can get RSV, but it</w:t>
      </w:r>
      <w:r>
        <w:rPr>
          <w:shd w:val="clear" w:color="auto" w:fill="FFFFFF"/>
        </w:rPr>
        <w:t xml:space="preserve"> i</w:t>
      </w:r>
      <w:r w:rsidRPr="00344776">
        <w:rPr>
          <w:shd w:val="clear" w:color="auto" w:fill="FFFFFF"/>
        </w:rPr>
        <w:t>s more common in young children and babies. The</w:t>
      </w:r>
      <w:r>
        <w:rPr>
          <w:shd w:val="clear" w:color="auto" w:fill="FFFFFF"/>
        </w:rPr>
        <w:t xml:space="preserve"> </w:t>
      </w:r>
      <w:proofErr w:type="spellStart"/>
      <w:r w:rsidRPr="00344776">
        <w:rPr>
          <w:shd w:val="clear" w:color="auto" w:fill="FFFFFF"/>
        </w:rPr>
        <w:t>Centers</w:t>
      </w:r>
      <w:proofErr w:type="spellEnd"/>
      <w:r w:rsidRPr="00344776">
        <w:rPr>
          <w:shd w:val="clear" w:color="auto" w:fill="FFFFFF"/>
        </w:rPr>
        <w:t xml:space="preserve"> for Disease Control and Prevention </w:t>
      </w:r>
      <w:r>
        <w:rPr>
          <w:shd w:val="clear" w:color="auto" w:fill="FFFFFF"/>
        </w:rPr>
        <w:t xml:space="preserve">in the United States </w:t>
      </w:r>
      <w:r w:rsidRPr="00344776">
        <w:rPr>
          <w:shd w:val="clear" w:color="auto" w:fill="FFFFFF"/>
        </w:rPr>
        <w:t xml:space="preserve">report that nearly all children will be infected with RSV by the time they turn </w:t>
      </w:r>
      <w:r>
        <w:rPr>
          <w:shd w:val="clear" w:color="auto" w:fill="FFFFFF"/>
        </w:rPr>
        <w:t>2</w:t>
      </w:r>
      <w:r w:rsidRPr="00344776">
        <w:rPr>
          <w:shd w:val="clear" w:color="auto" w:fill="FFFFFF"/>
        </w:rPr>
        <w:t xml:space="preserve"> years old, but only a small portion of them will have severe symptoms </w:t>
      </w:r>
      <w:r w:rsidRPr="00344776">
        <w:rPr>
          <w:shd w:val="clear" w:color="auto" w:fill="FFFFFF"/>
        </w:rPr>
        <w:fldChar w:fldCharType="begin"/>
      </w:r>
      <w:r>
        <w:rPr>
          <w:shd w:val="clear" w:color="auto" w:fill="FFFFFF"/>
        </w:rPr>
        <w:instrText xml:space="preserve"> ADDIN EN.CITE &lt;EndNote&gt;&lt;Cite&gt;&lt;Author&gt;Centers for Disease Control and Prevention&lt;/Author&gt;&lt;Year&gt;2020&lt;/Year&gt;&lt;RecNum&gt;272&lt;/RecNum&gt;&lt;DisplayText&gt;(Centers for Disease Control and Prevention 2020)&lt;/DisplayText&gt;&lt;record&gt;&lt;rec-number&gt;272&lt;/rec-number&gt;&lt;foreign-keys&gt;&lt;key app="EN" db-id="aaepvppzs5wtfse95vsp2wahsrtvva2vvdet" timestamp="1666127358"&gt;272&lt;/key&gt;&lt;/foreign-keys&gt;&lt;ref-type name="Web Page"&gt;12&lt;/ref-type&gt;&lt;contributors&gt;&lt;authors&gt;&lt;author&gt;Centers for Disease Control and Prevention,&lt;/author&gt;&lt;/authors&gt;&lt;/contributors&gt;&lt;titles&gt;&lt;title&gt;RSV in infants and young children&lt;/title&gt;&lt;/titles&gt;&lt;number&gt;31 October 2022&lt;/number&gt;&lt;dates&gt;&lt;year&gt;2020&lt;/year&gt;&lt;/dates&gt;&lt;urls&gt;&lt;related-urls&gt;&lt;url&gt;https://www.cdc.gov/rsv/high-risk/infants-young-children.html&lt;/url&gt;&lt;/related-urls&gt;&lt;/urls&gt;&lt;/record&gt;&lt;/Cite&gt;&lt;/EndNote&gt;</w:instrText>
      </w:r>
      <w:r w:rsidRPr="00344776">
        <w:rPr>
          <w:shd w:val="clear" w:color="auto" w:fill="FFFFFF"/>
        </w:rPr>
        <w:fldChar w:fldCharType="separate"/>
      </w:r>
      <w:r w:rsidRPr="00344776">
        <w:rPr>
          <w:noProof/>
          <w:shd w:val="clear" w:color="auto" w:fill="FFFFFF"/>
        </w:rPr>
        <w:t>(Centers for Disease Control and Prevention 2020)</w:t>
      </w:r>
      <w:r w:rsidRPr="00344776">
        <w:rPr>
          <w:shd w:val="clear" w:color="auto" w:fill="FFFFFF"/>
        </w:rPr>
        <w:fldChar w:fldCharType="end"/>
      </w:r>
      <w:r w:rsidRPr="00344776">
        <w:rPr>
          <w:shd w:val="clear" w:color="auto" w:fill="FFFFFF"/>
        </w:rPr>
        <w:t>.</w:t>
      </w:r>
    </w:p>
    <w:p w14:paraId="2363312B" w14:textId="77777777" w:rsidR="00590B82" w:rsidRPr="00344776" w:rsidRDefault="00590B82" w:rsidP="00590B82">
      <w:pPr>
        <w:rPr>
          <w:shd w:val="clear" w:color="auto" w:fill="FFFFFF"/>
        </w:rPr>
      </w:pPr>
    </w:p>
    <w:p w14:paraId="2F61FE9C" w14:textId="5388203B" w:rsidR="00590B82" w:rsidRPr="00344776" w:rsidRDefault="00590B82" w:rsidP="00590B82">
      <w:pPr>
        <w:rPr>
          <w:shd w:val="clear" w:color="auto" w:fill="FFFFFF"/>
        </w:rPr>
      </w:pPr>
      <w:r w:rsidRPr="00344776">
        <w:rPr>
          <w:shd w:val="clear" w:color="auto" w:fill="FFFFFF"/>
        </w:rPr>
        <w:t>For many adults and healthy children, RSV infection causes symptoms like those of a </w:t>
      </w:r>
      <w:hyperlink r:id="rId83" w:history="1">
        <w:r w:rsidRPr="00344776">
          <w:rPr>
            <w:shd w:val="clear" w:color="auto" w:fill="FFFFFF"/>
          </w:rPr>
          <w:t>cold</w:t>
        </w:r>
      </w:hyperlink>
      <w:r w:rsidRPr="00344776">
        <w:rPr>
          <w:shd w:val="clear" w:color="auto" w:fill="FFFFFF"/>
        </w:rPr>
        <w:t>. But in infants, RSV can be more serious.</w:t>
      </w:r>
    </w:p>
    <w:p w14:paraId="5D718528" w14:textId="77777777" w:rsidR="00590B82" w:rsidRPr="00344776" w:rsidRDefault="00590B82" w:rsidP="00590B82">
      <w:pPr>
        <w:rPr>
          <w:shd w:val="clear" w:color="auto" w:fill="FFFFFF"/>
        </w:rPr>
      </w:pPr>
    </w:p>
    <w:p w14:paraId="670E2B3E" w14:textId="77777777" w:rsidR="00590B82" w:rsidRPr="00344776" w:rsidRDefault="00590B82" w:rsidP="00590B82">
      <w:pPr>
        <w:rPr>
          <w:shd w:val="clear" w:color="auto" w:fill="FFFFFF"/>
        </w:rPr>
      </w:pPr>
      <w:r w:rsidRPr="00344776">
        <w:rPr>
          <w:shd w:val="clear" w:color="auto" w:fill="FFFFFF"/>
        </w:rPr>
        <w:t xml:space="preserve">The measures taken in response to the COVID-19 pandemic in early 2020, such as lockdowns and closing the border, resulted in </w:t>
      </w:r>
      <w:r>
        <w:rPr>
          <w:shd w:val="clear" w:color="auto" w:fill="FFFFFF"/>
        </w:rPr>
        <w:t xml:space="preserve">a much lower number of </w:t>
      </w:r>
      <w:r w:rsidRPr="00344776">
        <w:rPr>
          <w:lang w:eastAsia="en-NZ"/>
        </w:rPr>
        <w:t>RSV infections in winter 2020</w:t>
      </w:r>
      <w:r w:rsidRPr="00344776" w:rsidDel="0094568D">
        <w:rPr>
          <w:lang w:eastAsia="en-NZ"/>
        </w:rPr>
        <w:t xml:space="preserve"> </w:t>
      </w:r>
      <w:r w:rsidRPr="00344776">
        <w:rPr>
          <w:lang w:eastAsia="en-NZ"/>
        </w:rPr>
        <w:t>when compared with the 2015</w:t>
      </w:r>
      <w:r>
        <w:rPr>
          <w:lang w:eastAsia="en-NZ"/>
        </w:rPr>
        <w:t>–</w:t>
      </w:r>
      <w:r w:rsidRPr="00344776">
        <w:rPr>
          <w:lang w:eastAsia="en-NZ"/>
        </w:rPr>
        <w:t xml:space="preserve">2019 average </w:t>
      </w:r>
      <w:r w:rsidRPr="00344776">
        <w:rPr>
          <w:lang w:eastAsia="en-NZ"/>
        </w:rPr>
        <w:fldChar w:fldCharType="begin"/>
      </w:r>
      <w:r w:rsidRPr="00344776">
        <w:rPr>
          <w:lang w:eastAsia="en-NZ"/>
        </w:rPr>
        <w:instrText xml:space="preserve"> ADDIN EN.CITE &lt;EndNote&gt;&lt;Cite&gt;&lt;Author&gt;Hatter&lt;/Author&gt;&lt;Year&gt;2021&lt;/Year&gt;&lt;RecNum&gt;172&lt;/RecNum&gt;&lt;DisplayText&gt;(Hatter et al 2021)&lt;/DisplayText&gt;&lt;record&gt;&lt;rec-number&gt;172&lt;/rec-number&gt;&lt;foreign-keys&gt;&lt;key app="EN" db-id="aaepvppzs5wtfse95vsp2wahsrtvva2vvdet" timestamp="1663726100"&gt;172&lt;/key&gt;&lt;/foreign-keys&gt;&lt;ref-type name="Journal Article"&gt;17&lt;/ref-type&gt;&lt;contributors&gt;&lt;authors&gt;&lt;author&gt;Hatter, Lee&lt;/author&gt;&lt;author&gt;Eathorne, Allie&lt;/author&gt;&lt;author&gt;Hills, Thomas&lt;/author&gt;&lt;author&gt;Bruce, Pepa&lt;/author&gt;&lt;author&gt;Beasley, Richard&lt;/author&gt;&lt;/authors&gt;&lt;/contributors&gt;&lt;titles&gt;&lt;title&gt;Respiratory syncytial virus: paying the immunity debt with interest&lt;/title&gt;&lt;secondary-title&gt;The Lancet Child and Adolescent Health&lt;/secondary-title&gt;&lt;/titles&gt;&lt;periodical&gt;&lt;full-title&gt;The Lancet Child and Adolescent Health&lt;/full-title&gt;&lt;/periodical&gt;&lt;pages&gt;E44-E45&lt;/pages&gt;&lt;volume&gt;5&lt;/volume&gt;&lt;number&gt;12&lt;/number&gt;&lt;dates&gt;&lt;year&gt;2021&lt;/year&gt;&lt;/dates&gt;&lt;urls&gt;&lt;related-urls&gt;&lt;url&gt;https://www.thelancet.com/journals/lanchi/article/PIIS2352-4642(21)00333-3/fulltext&lt;/url&gt;&lt;/related-urls&gt;&lt;/urls&gt;&lt;/record&gt;&lt;/Cite&gt;&lt;/EndNote&gt;</w:instrText>
      </w:r>
      <w:r w:rsidRPr="00344776">
        <w:rPr>
          <w:lang w:eastAsia="en-NZ"/>
        </w:rPr>
        <w:fldChar w:fldCharType="separate"/>
      </w:r>
      <w:r w:rsidRPr="00344776">
        <w:rPr>
          <w:lang w:eastAsia="en-NZ"/>
        </w:rPr>
        <w:t>(Hatter et al 2021)</w:t>
      </w:r>
      <w:r w:rsidRPr="00344776">
        <w:rPr>
          <w:lang w:eastAsia="en-NZ"/>
        </w:rPr>
        <w:fldChar w:fldCharType="end"/>
      </w:r>
      <w:r w:rsidRPr="00344776">
        <w:rPr>
          <w:lang w:eastAsia="en-NZ"/>
        </w:rPr>
        <w:t xml:space="preserve">. </w:t>
      </w:r>
      <w:r w:rsidRPr="00344776">
        <w:rPr>
          <w:shd w:val="clear" w:color="auto" w:fill="FFFFFF"/>
        </w:rPr>
        <w:t xml:space="preserve">However, </w:t>
      </w:r>
      <w:r>
        <w:rPr>
          <w:shd w:val="clear" w:color="auto" w:fill="FFFFFF"/>
        </w:rPr>
        <w:t xml:space="preserve">over this time, </w:t>
      </w:r>
      <w:r w:rsidRPr="00344776">
        <w:rPr>
          <w:shd w:val="clear" w:color="auto" w:fill="FFFFFF"/>
        </w:rPr>
        <w:t>children were not exposed to the typical level of circulating viruses, limiting the</w:t>
      </w:r>
      <w:r>
        <w:rPr>
          <w:shd w:val="clear" w:color="auto" w:fill="FFFFFF"/>
        </w:rPr>
        <w:t xml:space="preserve">ir </w:t>
      </w:r>
      <w:r w:rsidRPr="00344776">
        <w:rPr>
          <w:shd w:val="clear" w:color="auto" w:fill="FFFFFF"/>
        </w:rPr>
        <w:t>chance to build immunity.</w:t>
      </w:r>
    </w:p>
    <w:p w14:paraId="259DCFF4" w14:textId="77777777" w:rsidR="00590B82" w:rsidRPr="00344776" w:rsidRDefault="00590B82" w:rsidP="00590B82">
      <w:pPr>
        <w:rPr>
          <w:shd w:val="clear" w:color="auto" w:fill="FFFFFF"/>
        </w:rPr>
      </w:pPr>
    </w:p>
    <w:p w14:paraId="323F82BB" w14:textId="77777777" w:rsidR="00590B82" w:rsidRPr="00344776" w:rsidRDefault="00590B82" w:rsidP="00590B82">
      <w:pPr>
        <w:rPr>
          <w:shd w:val="clear" w:color="auto" w:fill="FFFFFF"/>
        </w:rPr>
      </w:pPr>
      <w:r w:rsidRPr="00344776">
        <w:rPr>
          <w:shd w:val="clear" w:color="auto" w:fill="FFFFFF"/>
        </w:rPr>
        <w:t>In April 2021, quarantine</w:t>
      </w:r>
      <w:r>
        <w:rPr>
          <w:shd w:val="clear" w:color="auto" w:fill="FFFFFF"/>
        </w:rPr>
        <w:t>-</w:t>
      </w:r>
      <w:r w:rsidRPr="00344776">
        <w:rPr>
          <w:shd w:val="clear" w:color="auto" w:fill="FFFFFF"/>
        </w:rPr>
        <w:t>free travel was in place from Australia. Shortly afterward there was a rapid increase in RSV cases</w:t>
      </w:r>
      <w:r>
        <w:rPr>
          <w:shd w:val="clear" w:color="auto" w:fill="FFFFFF"/>
        </w:rPr>
        <w:t xml:space="preserve">. These facts may have been related, but this has </w:t>
      </w:r>
      <w:r w:rsidRPr="00344776">
        <w:rPr>
          <w:shd w:val="clear" w:color="auto" w:fill="FFFFFF"/>
        </w:rPr>
        <w:t xml:space="preserve">not been confirmed </w:t>
      </w:r>
      <w:r w:rsidRPr="00344776">
        <w:rPr>
          <w:shd w:val="clear" w:color="auto" w:fill="FFFFFF"/>
        </w:rPr>
        <w:fldChar w:fldCharType="begin"/>
      </w:r>
      <w:r w:rsidRPr="00344776">
        <w:rPr>
          <w:shd w:val="clear" w:color="auto" w:fill="FFFFFF"/>
        </w:rPr>
        <w:instrText xml:space="preserve"> ADDIN EN.CITE &lt;EndNote&gt;&lt;Cite&gt;&lt;Author&gt;Hatter&lt;/Author&gt;&lt;Year&gt;2021&lt;/Year&gt;&lt;RecNum&gt;172&lt;/RecNum&gt;&lt;DisplayText&gt;(Hatter et al 2021)&lt;/DisplayText&gt;&lt;record&gt;&lt;rec-number&gt;172&lt;/rec-number&gt;&lt;foreign-keys&gt;&lt;key app="EN" db-id="aaepvppzs5wtfse95vsp2wahsrtvva2vvdet" timestamp="1663726100"&gt;172&lt;/key&gt;&lt;/foreign-keys&gt;&lt;ref-type name="Journal Article"&gt;17&lt;/ref-type&gt;&lt;contributors&gt;&lt;authors&gt;&lt;author&gt;Hatter, Lee&lt;/author&gt;&lt;author&gt;Eathorne, Allie&lt;/author&gt;&lt;author&gt;Hills, Thomas&lt;/author&gt;&lt;author&gt;Bruce, Pepa&lt;/author&gt;&lt;author&gt;Beasley, Richard&lt;/author&gt;&lt;/authors&gt;&lt;/contributors&gt;&lt;titles&gt;&lt;title&gt;Respiratory syncytial virus: paying the immunity debt with interest&lt;/title&gt;&lt;secondary-title&gt;The Lancet Child and Adolescent Health&lt;/secondary-title&gt;&lt;/titles&gt;&lt;periodical&gt;&lt;full-title&gt;The Lancet Child and Adolescent Health&lt;/full-title&gt;&lt;/periodical&gt;&lt;pages&gt;E44-E45&lt;/pages&gt;&lt;volume&gt;5&lt;/volume&gt;&lt;number&gt;12&lt;/number&gt;&lt;dates&gt;&lt;year&gt;2021&lt;/year&gt;&lt;/dates&gt;&lt;urls&gt;&lt;related-urls&gt;&lt;url&gt;https://www.thelancet.com/journals/lanchi/article/PIIS2352-4642(21)00333-3/fulltext&lt;/url&gt;&lt;/related-urls&gt;&lt;/urls&gt;&lt;/record&gt;&lt;/Cite&gt;&lt;/EndNote&gt;</w:instrText>
      </w:r>
      <w:r w:rsidRPr="00344776">
        <w:rPr>
          <w:shd w:val="clear" w:color="auto" w:fill="FFFFFF"/>
        </w:rPr>
        <w:fldChar w:fldCharType="separate"/>
      </w:r>
      <w:r w:rsidRPr="00344776">
        <w:rPr>
          <w:shd w:val="clear" w:color="auto" w:fill="FFFFFF"/>
        </w:rPr>
        <w:t>(Hatter et al 2021)</w:t>
      </w:r>
      <w:r w:rsidRPr="00344776">
        <w:rPr>
          <w:shd w:val="clear" w:color="auto" w:fill="FFFFFF"/>
        </w:rPr>
        <w:fldChar w:fldCharType="end"/>
      </w:r>
      <w:r w:rsidRPr="00344776">
        <w:rPr>
          <w:shd w:val="clear" w:color="auto" w:fill="FFFFFF"/>
        </w:rPr>
        <w:t xml:space="preserve">. </w:t>
      </w:r>
    </w:p>
    <w:p w14:paraId="49871786" w14:textId="77777777" w:rsidR="00590B82" w:rsidRPr="00344776" w:rsidRDefault="00590B82" w:rsidP="00590B82">
      <w:pPr>
        <w:rPr>
          <w:shd w:val="clear" w:color="auto" w:fill="FFFFFF"/>
        </w:rPr>
      </w:pPr>
    </w:p>
    <w:p w14:paraId="5F1EB895" w14:textId="5E9E567B" w:rsidR="00924A79" w:rsidRDefault="00590B82" w:rsidP="00590B82">
      <w:r w:rsidRPr="00344776">
        <w:t>In 2021, children aged 12</w:t>
      </w:r>
      <w:r>
        <w:t>–</w:t>
      </w:r>
      <w:r w:rsidRPr="00344776">
        <w:t>48 months, who likely would not have been exposed to RSV in 2020, experienced a rate</w:t>
      </w:r>
      <w:r w:rsidRPr="00344776" w:rsidDel="00AC4D0B">
        <w:t xml:space="preserve"> </w:t>
      </w:r>
      <w:r>
        <w:t>5</w:t>
      </w:r>
      <w:r w:rsidRPr="00344776">
        <w:t xml:space="preserve"> times the </w:t>
      </w:r>
      <w:r w:rsidR="00924A79" w:rsidRPr="00344776">
        <w:t xml:space="preserve">2019 rate </w:t>
      </w:r>
      <w:r w:rsidR="00924A79" w:rsidRPr="00344776">
        <w:fldChar w:fldCharType="begin"/>
      </w:r>
      <w:r w:rsidR="00924A79" w:rsidRPr="00344776">
        <w:instrText xml:space="preserve"> ADDIN EN.CITE &lt;EndNote&gt;&lt;Cite&gt;&lt;Author&gt;Grant&lt;/Author&gt;&lt;Year&gt;2021&lt;/Year&gt;&lt;RecNum&gt;171&lt;/RecNum&gt;&lt;DisplayText&gt;(Grant et al 2021)&lt;/DisplayText&gt;&lt;record&gt;&lt;rec-number&gt;171&lt;/rec-number&gt;&lt;foreign-keys&gt;&lt;key app="EN" db-id="aaepvppzs5wtfse95vsp2wahsrtvva2vvdet" timestamp="1663725875"&gt;171&lt;/key&gt;&lt;/foreign-keys&gt;&lt;ref-type name="Journal Article"&gt;17&lt;/ref-type&gt;&lt;contributors&gt;&lt;authors&gt;&lt;author&gt;Grant, Cameron C&lt;/author&gt;&lt;author&gt;Huang, Q Sue&lt;/author&gt;&lt;author&gt;Trenholme, Adrian&lt;/author&gt;&lt;author&gt;Taylor, Susan&lt;/author&gt;&lt;author&gt;Wood, Tim&lt;/author&gt;&lt;/authors&gt;&lt;/contributors&gt;&lt;titles&gt;&lt;title&gt;What can we learn from our 2021 respiratory syncytial virus experience&lt;/title&gt;&lt;secondary-title&gt;New Zealand Medical Journal&lt;/secondary-title&gt;&lt;/titles&gt;&lt;periodical&gt;&lt;full-title&gt;New Zealand Medical Journal&lt;/full-title&gt;&lt;/periodical&gt;&lt;pages&gt;1540&lt;/pages&gt;&lt;volume&gt;134&lt;/volume&gt;&lt;dates&gt;&lt;year&gt;2021&lt;/year&gt;&lt;/dates&gt;&lt;urls&gt;&lt;related-urls&gt;&lt;url&gt;https://journal.nzma.org.nz/journal-articles/what-can-we-learn-from-our-2021-respiratory-syncytial-virus-experience&lt;/url&gt;&lt;/related-urls&gt;&lt;/urls&gt;&lt;/record&gt;&lt;/Cite&gt;&lt;/EndNote&gt;</w:instrText>
      </w:r>
      <w:r w:rsidR="00924A79" w:rsidRPr="00344776">
        <w:fldChar w:fldCharType="separate"/>
      </w:r>
      <w:r w:rsidR="00924A79" w:rsidRPr="00344776">
        <w:t>(Grant et al 2021)</w:t>
      </w:r>
      <w:r w:rsidR="00924A79" w:rsidRPr="00344776">
        <w:fldChar w:fldCharType="end"/>
      </w:r>
      <w:r w:rsidR="00924A79" w:rsidRPr="00344776">
        <w:t>.</w:t>
      </w:r>
      <w:bookmarkStart w:id="134" w:name="_Toc118452234"/>
    </w:p>
    <w:p w14:paraId="65937A46" w14:textId="4B538B95" w:rsidR="00924A79" w:rsidRPr="00344776" w:rsidRDefault="00924A79" w:rsidP="00924A79">
      <w:pPr>
        <w:pStyle w:val="Heading2"/>
      </w:pPr>
      <w:bookmarkStart w:id="135" w:name="_Toc119312995"/>
      <w:r w:rsidRPr="00344776">
        <w:t>Immunisation</w:t>
      </w:r>
      <w:bookmarkEnd w:id="134"/>
      <w:bookmarkEnd w:id="135"/>
    </w:p>
    <w:p w14:paraId="2C70359D" w14:textId="77777777" w:rsidR="00590B82" w:rsidRPr="00344776" w:rsidRDefault="00590B82" w:rsidP="00590B82">
      <w:r w:rsidRPr="00344776">
        <w:rPr>
          <w:rStyle w:val="normaltextrun"/>
        </w:rPr>
        <w:t xml:space="preserve">The COVID-19 pandemic has </w:t>
      </w:r>
      <w:r>
        <w:rPr>
          <w:rStyle w:val="normaltextrun"/>
        </w:rPr>
        <w:t xml:space="preserve">affected </w:t>
      </w:r>
      <w:r w:rsidRPr="00344776">
        <w:rPr>
          <w:rStyle w:val="normaltextrun"/>
        </w:rPr>
        <w:t xml:space="preserve">immunisation programmes, </w:t>
      </w:r>
      <w:r>
        <w:rPr>
          <w:rStyle w:val="normaltextrun"/>
        </w:rPr>
        <w:t xml:space="preserve">in terms of </w:t>
      </w:r>
      <w:r w:rsidRPr="00344776">
        <w:rPr>
          <w:rStyle w:val="normaltextrun"/>
        </w:rPr>
        <w:t xml:space="preserve">service planning and delivery, </w:t>
      </w:r>
      <w:r>
        <w:rPr>
          <w:rStyle w:val="normaltextrun"/>
        </w:rPr>
        <w:t xml:space="preserve">the </w:t>
      </w:r>
      <w:r w:rsidRPr="00344776">
        <w:rPr>
          <w:rStyle w:val="normaltextrun"/>
        </w:rPr>
        <w:t>health workforce and resources. The</w:t>
      </w:r>
      <w:r w:rsidRPr="00344776" w:rsidDel="008374D7">
        <w:rPr>
          <w:rStyle w:val="normaltextrun"/>
        </w:rPr>
        <w:t xml:space="preserve"> </w:t>
      </w:r>
      <w:r w:rsidRPr="00344776">
        <w:rPr>
          <w:rStyle w:val="normaltextrun"/>
        </w:rPr>
        <w:t>COVID-19 vaccination programme, New Zealand’s largest ever vaccination programme, required a</w:t>
      </w:r>
      <w:r w:rsidRPr="00344776" w:rsidDel="00486819">
        <w:rPr>
          <w:rStyle w:val="normaltextrun"/>
        </w:rPr>
        <w:t xml:space="preserve"> </w:t>
      </w:r>
      <w:r w:rsidRPr="00344776">
        <w:rPr>
          <w:rStyle w:val="normaltextrun"/>
        </w:rPr>
        <w:t xml:space="preserve">redeployment of the vaccinating workforce and other resources </w:t>
      </w:r>
      <w:r w:rsidRPr="00344776">
        <w:rPr>
          <w:rStyle w:val="normaltextrun"/>
        </w:rPr>
        <w:fldChar w:fldCharType="begin"/>
      </w:r>
      <w:r w:rsidRPr="00344776">
        <w:rPr>
          <w:rStyle w:val="normaltextrun"/>
        </w:rPr>
        <w:instrText xml:space="preserve"> ADDIN EN.CITE &lt;EndNote&gt;&lt;Cite&gt;&lt;Author&gt;Ministry of Health&lt;/Author&gt;&lt;Year&gt;2022&lt;/Year&gt;&lt;RecNum&gt;212&lt;/RecNum&gt;&lt;DisplayText&gt;(Ministry of Health 2022e)&lt;/DisplayText&gt;&lt;record&gt;&lt;rec-number&gt;212&lt;/rec-number&gt;&lt;foreign-keys&gt;&lt;key app="EN" db-id="aaepvppzs5wtfse95vsp2wahsrtvva2vvdet" timestamp="1663799630"&gt;212&lt;/key&gt;&lt;/foreign-keys&gt;&lt;ref-type name="Web Page"&gt;12&lt;/ref-type&gt;&lt;contributors&gt;&lt;authors&gt;&lt;author&gt;Ministry of Health,&lt;/author&gt;&lt;/authors&gt;&lt;/contributors&gt;&lt;titles&gt;&lt;title&gt;COVID-19: Supporting the vaccine rollout&lt;/title&gt;&lt;/titles&gt;&lt;number&gt;22 September 2022&lt;/number&gt;&lt;dates&gt;&lt;year&gt;2022&lt;/year&gt;&lt;/dates&gt;&lt;urls&gt;&lt;related-urls&gt;&lt;url&gt;https://www.health.govt.nz/covid-19-novel-coronavirus/covid-19-vaccines/covid-19-vaccine-information-health-professionals/covid-19-vaccine-strategy-planning-insights/covid-19-supporting-vaccine-rollout&lt;/url&gt;&lt;/related-urls&gt;&lt;/urls&gt;&lt;/record&gt;&lt;/Cite&gt;&lt;/EndNote&gt;</w:instrText>
      </w:r>
      <w:r w:rsidRPr="00344776">
        <w:rPr>
          <w:rStyle w:val="normaltextrun"/>
        </w:rPr>
        <w:fldChar w:fldCharType="separate"/>
      </w:r>
      <w:r w:rsidRPr="00344776">
        <w:rPr>
          <w:rStyle w:val="normaltextrun"/>
          <w:noProof/>
        </w:rPr>
        <w:t>(Ministry of Health 2022e)</w:t>
      </w:r>
      <w:r w:rsidRPr="00344776">
        <w:rPr>
          <w:rStyle w:val="normaltextrun"/>
        </w:rPr>
        <w:fldChar w:fldCharType="end"/>
      </w:r>
      <w:r w:rsidRPr="00344776">
        <w:rPr>
          <w:rStyle w:val="normaltextrun"/>
        </w:rPr>
        <w:t>. </w:t>
      </w:r>
    </w:p>
    <w:p w14:paraId="14E7C4BF" w14:textId="77777777" w:rsidR="00924A79" w:rsidRPr="00344776" w:rsidRDefault="00924A79" w:rsidP="00924A79">
      <w:pPr>
        <w:pStyle w:val="Heading3"/>
      </w:pPr>
      <w:r w:rsidRPr="00344776">
        <w:t>Childhood immunisation</w:t>
      </w:r>
    </w:p>
    <w:p w14:paraId="7BBD367F" w14:textId="77777777" w:rsidR="00590B82" w:rsidRPr="00344776" w:rsidRDefault="00590B82" w:rsidP="00590B82">
      <w:pPr>
        <w:rPr>
          <w:rStyle w:val="normaltextrun"/>
        </w:rPr>
      </w:pPr>
      <w:r>
        <w:rPr>
          <w:rStyle w:val="normaltextrun"/>
        </w:rPr>
        <w:t>T</w:t>
      </w:r>
      <w:r w:rsidRPr="00344776">
        <w:rPr>
          <w:rStyle w:val="normaltextrun"/>
        </w:rPr>
        <w:t xml:space="preserve">here is a </w:t>
      </w:r>
      <w:r>
        <w:rPr>
          <w:rStyle w:val="normaltextrun"/>
        </w:rPr>
        <w:t xml:space="preserve">New Zealand </w:t>
      </w:r>
      <w:r w:rsidRPr="00344776">
        <w:rPr>
          <w:rStyle w:val="normaltextrun"/>
        </w:rPr>
        <w:t xml:space="preserve">target that 95% of eligible children be fully immunised. This is measured at key milestone ages of </w:t>
      </w:r>
      <w:r>
        <w:rPr>
          <w:rStyle w:val="normaltextrun"/>
        </w:rPr>
        <w:t>8</w:t>
      </w:r>
      <w:r w:rsidRPr="00344776">
        <w:rPr>
          <w:rStyle w:val="normaltextrun"/>
        </w:rPr>
        <w:t xml:space="preserve"> months, 24 months and</w:t>
      </w:r>
      <w:r w:rsidRPr="00344776" w:rsidDel="00AC4D0B">
        <w:rPr>
          <w:rStyle w:val="normaltextrun"/>
        </w:rPr>
        <w:t xml:space="preserve"> </w:t>
      </w:r>
      <w:r>
        <w:rPr>
          <w:rStyle w:val="normaltextrun"/>
        </w:rPr>
        <w:t>5</w:t>
      </w:r>
      <w:r w:rsidRPr="00344776">
        <w:rPr>
          <w:rStyle w:val="normaltextrun"/>
        </w:rPr>
        <w:t xml:space="preserve"> years </w:t>
      </w:r>
      <w:r w:rsidRPr="00344776">
        <w:rPr>
          <w:rStyle w:val="normaltextrun"/>
        </w:rPr>
        <w:fldChar w:fldCharType="begin"/>
      </w:r>
      <w:r>
        <w:rPr>
          <w:rStyle w:val="normaltextrun"/>
        </w:rPr>
        <w:instrText xml:space="preserve"> ADDIN EN.CITE &lt;EndNote&gt;&lt;Cite&gt;&lt;Author&gt;Ministry of Health&lt;/Author&gt;&lt;Year&gt;2022&lt;/Year&gt;&lt;RecNum&gt;241&lt;/RecNum&gt;&lt;DisplayText&gt;(Ministry of Health 2022r)&lt;/DisplayText&gt;&lt;record&gt;&lt;rec-number&gt;241&lt;/rec-number&gt;&lt;foreign-keys&gt;&lt;key app="EN" db-id="aaepvppzs5wtfse95vsp2wahsrtvva2vvdet" timestamp="1664405822"&gt;241&lt;/key&gt;&lt;/foreign-keys&gt;&lt;ref-type name="Web Page"&gt;12&lt;/ref-type&gt;&lt;contributors&gt;&lt;authors&gt;&lt;author&gt;Ministry of Health,&lt;/author&gt;&lt;/authors&gt;&lt;/contributors&gt;&lt;titles&gt;&lt;title&gt;National and DHB immunisation data&lt;/title&gt;&lt;/titles&gt;&lt;number&gt;1 November 2022&lt;/number&gt;&lt;dates&gt;&lt;year&gt;2022&lt;/year&gt;&lt;/dates&gt;&lt;urls&gt;&lt;related-urls&gt;&lt;url&gt;https://www.health.govt.nz/our-work/preventative-health-wellness/immunisation/immunisation-coverage/national-and-dhb-immunisation-data&lt;/url&gt;&lt;/related-urls&gt;&lt;/urls&gt;&lt;/record&gt;&lt;/Cite&gt;&lt;/EndNote&gt;</w:instrText>
      </w:r>
      <w:r w:rsidRPr="00344776">
        <w:rPr>
          <w:rStyle w:val="normaltextrun"/>
        </w:rPr>
        <w:fldChar w:fldCharType="separate"/>
      </w:r>
      <w:r w:rsidRPr="00344776">
        <w:rPr>
          <w:rStyle w:val="normaltextrun"/>
          <w:noProof/>
        </w:rPr>
        <w:t>(Ministry of Health 2022r)</w:t>
      </w:r>
      <w:r w:rsidRPr="00344776">
        <w:rPr>
          <w:rStyle w:val="normaltextrun"/>
        </w:rPr>
        <w:fldChar w:fldCharType="end"/>
      </w:r>
      <w:r w:rsidRPr="00344776">
        <w:rPr>
          <w:rStyle w:val="normaltextrun"/>
        </w:rPr>
        <w:t>. When a child reaches these milestone ages, their immunisation status is recorded as one of the following</w:t>
      </w:r>
      <w:r>
        <w:rPr>
          <w:rStyle w:val="normaltextrun"/>
        </w:rPr>
        <w:t>:</w:t>
      </w:r>
    </w:p>
    <w:p w14:paraId="7A937ADD" w14:textId="77777777" w:rsidR="00590B82" w:rsidRPr="00344776" w:rsidRDefault="00590B82" w:rsidP="00590B82">
      <w:pPr>
        <w:pStyle w:val="Bullet"/>
        <w:rPr>
          <w:rStyle w:val="normaltextrun"/>
          <w:rFonts w:eastAsia="Lucida Sans Unicode" w:cs="Segoe UI"/>
        </w:rPr>
      </w:pPr>
      <w:r w:rsidRPr="00344776">
        <w:rPr>
          <w:rStyle w:val="normaltextrun"/>
          <w:rFonts w:eastAsia="Lucida Sans Unicode" w:cs="Segoe UI"/>
        </w:rPr>
        <w:t>fully immunised (received all age-appropriate immunisations by the milestone age)</w:t>
      </w:r>
    </w:p>
    <w:p w14:paraId="06DD6062" w14:textId="77777777" w:rsidR="00590B82" w:rsidRPr="00344776" w:rsidRDefault="00590B82" w:rsidP="00590B82">
      <w:pPr>
        <w:pStyle w:val="Bullet"/>
        <w:rPr>
          <w:rStyle w:val="normaltextrun"/>
          <w:rFonts w:eastAsia="Lucida Sans Unicode" w:cs="Segoe UI"/>
        </w:rPr>
      </w:pPr>
      <w:r w:rsidRPr="00344776">
        <w:rPr>
          <w:rStyle w:val="normaltextrun"/>
          <w:rFonts w:eastAsia="Lucida Sans Unicode" w:cs="Segoe UI"/>
        </w:rPr>
        <w:t>declined (</w:t>
      </w:r>
      <w:proofErr w:type="spellStart"/>
      <w:r>
        <w:rPr>
          <w:rStyle w:val="normaltextrun"/>
          <w:rFonts w:eastAsia="Lucida Sans Unicode" w:cs="Segoe UI"/>
        </w:rPr>
        <w:t>ie</w:t>
      </w:r>
      <w:proofErr w:type="spellEnd"/>
      <w:r>
        <w:rPr>
          <w:rStyle w:val="normaltextrun"/>
          <w:rFonts w:eastAsia="Lucida Sans Unicode" w:cs="Segoe UI"/>
        </w:rPr>
        <w:t xml:space="preserve">, the </w:t>
      </w:r>
      <w:r w:rsidRPr="00344776">
        <w:rPr>
          <w:rStyle w:val="normaltextrun"/>
          <w:rFonts w:eastAsia="Lucida Sans Unicode" w:cs="Segoe UI"/>
        </w:rPr>
        <w:t>parent/caregiver declined to immunise their child, fully or part</w:t>
      </w:r>
      <w:r>
        <w:rPr>
          <w:rStyle w:val="normaltextrun"/>
          <w:rFonts w:eastAsia="Lucida Sans Unicode" w:cs="Segoe UI"/>
        </w:rPr>
        <w:t>l</w:t>
      </w:r>
      <w:r w:rsidRPr="00344776">
        <w:rPr>
          <w:rStyle w:val="normaltextrun"/>
          <w:rFonts w:eastAsia="Lucida Sans Unicode" w:cs="Segoe UI"/>
        </w:rPr>
        <w:t>y)</w:t>
      </w:r>
    </w:p>
    <w:p w14:paraId="75C738E2" w14:textId="77777777" w:rsidR="00590B82" w:rsidRPr="00344776" w:rsidRDefault="00590B82" w:rsidP="00590B82">
      <w:pPr>
        <w:pStyle w:val="Bullet"/>
        <w:rPr>
          <w:rStyle w:val="normaltextrun"/>
          <w:rFonts w:eastAsia="Lucida Sans Unicode" w:cs="Segoe UI"/>
        </w:rPr>
      </w:pPr>
      <w:r w:rsidRPr="00344776">
        <w:rPr>
          <w:rStyle w:val="normaltextrun"/>
          <w:rFonts w:eastAsia="Lucida Sans Unicode" w:cs="Segoe UI"/>
        </w:rPr>
        <w:t xml:space="preserve">opted off the National Immunisation Register </w:t>
      </w:r>
      <w:r>
        <w:rPr>
          <w:rStyle w:val="normaltextrun"/>
          <w:rFonts w:eastAsia="Lucida Sans Unicode" w:cs="Segoe UI"/>
        </w:rPr>
        <w:t>(</w:t>
      </w:r>
      <w:r w:rsidRPr="00344776">
        <w:rPr>
          <w:rStyle w:val="normaltextrun"/>
          <w:rFonts w:eastAsia="Lucida Sans Unicode" w:cs="Segoe UI"/>
        </w:rPr>
        <w:t>NIR</w:t>
      </w:r>
      <w:r>
        <w:rPr>
          <w:rStyle w:val="normaltextrun"/>
          <w:rFonts w:eastAsia="Lucida Sans Unicode" w:cs="Segoe UI"/>
        </w:rPr>
        <w:t>)</w:t>
      </w:r>
      <w:r w:rsidRPr="00344776">
        <w:rPr>
          <w:rStyle w:val="normaltextrun"/>
          <w:rFonts w:eastAsia="Lucida Sans Unicode" w:cs="Segoe UI"/>
        </w:rPr>
        <w:t xml:space="preserve"> (</w:t>
      </w:r>
      <w:proofErr w:type="spellStart"/>
      <w:r>
        <w:rPr>
          <w:rStyle w:val="normaltextrun"/>
          <w:rFonts w:eastAsia="Lucida Sans Unicode" w:cs="Segoe UI"/>
        </w:rPr>
        <w:t>ie</w:t>
      </w:r>
      <w:proofErr w:type="spellEnd"/>
      <w:r>
        <w:rPr>
          <w:rStyle w:val="normaltextrun"/>
          <w:rFonts w:eastAsia="Lucida Sans Unicode" w:cs="Segoe UI"/>
        </w:rPr>
        <w:t xml:space="preserve">, the </w:t>
      </w:r>
      <w:r w:rsidRPr="00344776">
        <w:rPr>
          <w:rStyle w:val="normaltextrun"/>
          <w:rFonts w:eastAsia="Lucida Sans Unicode" w:cs="Segoe UI"/>
        </w:rPr>
        <w:t>parent/caregiver chose to opt</w:t>
      </w:r>
      <w:r>
        <w:rPr>
          <w:rStyle w:val="normaltextrun"/>
          <w:rFonts w:eastAsia="Lucida Sans Unicode" w:cs="Segoe UI"/>
        </w:rPr>
        <w:t xml:space="preserve"> </w:t>
      </w:r>
      <w:r w:rsidRPr="00344776">
        <w:rPr>
          <w:rStyle w:val="normaltextrun"/>
          <w:rFonts w:eastAsia="Lucida Sans Unicode" w:cs="Segoe UI"/>
        </w:rPr>
        <w:t>off putting any of their child’s immunisations on the NIR)</w:t>
      </w:r>
    </w:p>
    <w:p w14:paraId="544790A5" w14:textId="76DE3986" w:rsidR="00924A79" w:rsidRDefault="00590B82" w:rsidP="00590B82">
      <w:pPr>
        <w:pStyle w:val="Bullet"/>
      </w:pPr>
      <w:r w:rsidRPr="00344776">
        <w:rPr>
          <w:rStyle w:val="normaltextrun"/>
          <w:rFonts w:eastAsia="Lucida Sans Unicode" w:cs="Segoe UI"/>
        </w:rPr>
        <w:t>missed (</w:t>
      </w:r>
      <w:proofErr w:type="spellStart"/>
      <w:r>
        <w:rPr>
          <w:rStyle w:val="normaltextrun"/>
          <w:rFonts w:eastAsia="Lucida Sans Unicode" w:cs="Segoe UI"/>
        </w:rPr>
        <w:t>ie</w:t>
      </w:r>
      <w:proofErr w:type="spellEnd"/>
      <w:r>
        <w:rPr>
          <w:rStyle w:val="normaltextrun"/>
          <w:rFonts w:eastAsia="Lucida Sans Unicode" w:cs="Segoe UI"/>
        </w:rPr>
        <w:t xml:space="preserve">, </w:t>
      </w:r>
      <w:r w:rsidRPr="00344776">
        <w:rPr>
          <w:rStyle w:val="normaltextrun"/>
          <w:rFonts w:eastAsia="Lucida Sans Unicode" w:cs="Segoe UI"/>
        </w:rPr>
        <w:t>immunisation has not been declined, nor has the parent/caregiver chosen to opt</w:t>
      </w:r>
      <w:r>
        <w:rPr>
          <w:rStyle w:val="normaltextrun"/>
          <w:rFonts w:eastAsia="Lucida Sans Unicode" w:cs="Segoe UI"/>
        </w:rPr>
        <w:t xml:space="preserve"> </w:t>
      </w:r>
      <w:r w:rsidRPr="00344776">
        <w:rPr>
          <w:rStyle w:val="normaltextrun"/>
          <w:rFonts w:eastAsia="Lucida Sans Unicode" w:cs="Segoe UI"/>
        </w:rPr>
        <w:t>off the NIR, but one or more age-appropriate immunisations have not been received by the milestone age</w:t>
      </w:r>
      <w:r>
        <w:rPr>
          <w:rStyle w:val="normaltextrun"/>
          <w:rFonts w:eastAsia="Lucida Sans Unicode" w:cs="Segoe UI"/>
        </w:rPr>
        <w:t>;</w:t>
      </w:r>
      <w:r w:rsidRPr="00344776">
        <w:rPr>
          <w:rStyle w:val="normaltextrun"/>
          <w:rFonts w:eastAsia="Lucida Sans Unicode" w:cs="Segoe UI"/>
        </w:rPr>
        <w:t xml:space="preserve"> </w:t>
      </w:r>
      <w:r w:rsidRPr="00344776">
        <w:rPr>
          <w:rStyle w:val="normaltextrun"/>
          <w:rFonts w:eastAsia="Lucida Sans Unicode" w:cs="Segoe UI"/>
        </w:rPr>
        <w:fldChar w:fldCharType="begin"/>
      </w:r>
      <w:r>
        <w:rPr>
          <w:rStyle w:val="normaltextrun"/>
          <w:rFonts w:eastAsia="Lucida Sans Unicode" w:cs="Segoe UI"/>
        </w:rPr>
        <w:instrText xml:space="preserve"> ADDIN EN.CITE &lt;EndNote&gt;&lt;Cite&gt;&lt;Author&gt;Ministry of Health&lt;/Author&gt;&lt;Year&gt;2022&lt;/Year&gt;&lt;RecNum&gt;235&lt;/RecNum&gt;&lt;DisplayText&gt;(Ministry of Health 2022v)&lt;/DisplayText&gt;&lt;record&gt;&lt;rec-number&gt;235&lt;/rec-number&gt;&lt;foreign-keys&gt;&lt;key app="EN" db-id="aaepvppzs5wtfse95vsp2wahsrtvva2vvdet" timestamp="1663907147"&gt;235&lt;/key&gt;&lt;/foreign-keys&gt;&lt;ref-type name="Web Page"&gt;12&lt;/ref-type&gt;&lt;contributors&gt;&lt;authors&gt;&lt;author&gt;Ministry of Health,&lt;/author&gt;&lt;/authors&gt;&lt;/contributors&gt;&lt;titles&gt;&lt;title&gt;National Immunisation Register&lt;/title&gt;&lt;/titles&gt;&lt;number&gt;31 October 2022&lt;/number&gt;&lt;dates&gt;&lt;year&gt;2022&lt;/year&gt;&lt;/dates&gt;&lt;urls&gt;&lt;related-urls&gt;&lt;url&gt;www.health.govt.nz/our-work/preventative-health-wellness/immunisation/national-immunisation-register&lt;/url&gt;&lt;/related-urls&gt;&lt;/urls&gt;&lt;/record&gt;&lt;/Cite&gt;&lt;/EndNote&gt;</w:instrText>
      </w:r>
      <w:r w:rsidRPr="00344776">
        <w:rPr>
          <w:rStyle w:val="normaltextrun"/>
          <w:rFonts w:eastAsia="Lucida Sans Unicode" w:cs="Segoe UI"/>
        </w:rPr>
        <w:fldChar w:fldCharType="separate"/>
      </w:r>
      <w:r w:rsidRPr="00344776">
        <w:rPr>
          <w:rStyle w:val="normaltextrun"/>
          <w:rFonts w:eastAsia="Lucida Sans Unicode" w:cs="Segoe UI"/>
          <w:noProof/>
        </w:rPr>
        <w:t>Ministry of Health 2022v)</w:t>
      </w:r>
      <w:r w:rsidRPr="00344776">
        <w:rPr>
          <w:rStyle w:val="normaltextrun"/>
          <w:rFonts w:eastAsia="Lucida Sans Unicode" w:cs="Segoe UI"/>
        </w:rPr>
        <w:fldChar w:fldCharType="end"/>
      </w:r>
    </w:p>
    <w:p w14:paraId="69E8D451" w14:textId="77777777" w:rsidR="00590B82" w:rsidRDefault="00590B82" w:rsidP="00924A79"/>
    <w:p w14:paraId="23617BB1" w14:textId="0A07D7A7" w:rsidR="00924A79" w:rsidRPr="00344776" w:rsidRDefault="00924A79" w:rsidP="00924A79">
      <w:r w:rsidRPr="00344776">
        <w:t>In 2021</w:t>
      </w:r>
      <w:r>
        <w:t>:</w:t>
      </w:r>
    </w:p>
    <w:p w14:paraId="42ED0B5D" w14:textId="77777777" w:rsidR="00590B82" w:rsidRPr="00344776" w:rsidRDefault="00590B82" w:rsidP="00590B82">
      <w:pPr>
        <w:pStyle w:val="Bullet"/>
        <w:rPr>
          <w:rStyle w:val="normaltextrun"/>
          <w:rFonts w:eastAsia="Lucida Sans Unicode" w:cs="Segoe UI"/>
          <w:szCs w:val="21"/>
        </w:rPr>
      </w:pPr>
      <w:r w:rsidRPr="00344776">
        <w:rPr>
          <w:rStyle w:val="normaltextrun"/>
          <w:rFonts w:eastAsia="Lucida Sans Unicode" w:cs="Segoe UI"/>
          <w:szCs w:val="21"/>
        </w:rPr>
        <w:t xml:space="preserve">87.3% of eligible children across Aotearoa New Zealand were fully immunised at </w:t>
      </w:r>
      <w:r>
        <w:rPr>
          <w:rStyle w:val="normaltextrun"/>
          <w:rFonts w:eastAsia="Lucida Sans Unicode" w:cs="Segoe UI"/>
          <w:szCs w:val="21"/>
        </w:rPr>
        <w:t>8</w:t>
      </w:r>
      <w:r w:rsidRPr="00344776">
        <w:rPr>
          <w:rStyle w:val="normaltextrun"/>
          <w:rFonts w:eastAsia="Lucida Sans Unicode" w:cs="Segoe UI"/>
          <w:szCs w:val="21"/>
        </w:rPr>
        <w:t xml:space="preserve"> months of age</w:t>
      </w:r>
    </w:p>
    <w:p w14:paraId="1AD9D8F6" w14:textId="77777777" w:rsidR="00590B82" w:rsidRPr="00344776" w:rsidRDefault="00590B82" w:rsidP="00590B82">
      <w:pPr>
        <w:pStyle w:val="Bullet"/>
        <w:rPr>
          <w:rStyle w:val="normaltextrun"/>
          <w:rFonts w:eastAsia="Lucida Sans Unicode" w:cs="Segoe UI"/>
        </w:rPr>
      </w:pPr>
      <w:r w:rsidRPr="00344776">
        <w:rPr>
          <w:rStyle w:val="normaltextrun"/>
          <w:rFonts w:eastAsia="Lucida Sans Unicode" w:cs="Segoe UI"/>
        </w:rPr>
        <w:t>83.9% were fully immunised at 24 months</w:t>
      </w:r>
    </w:p>
    <w:p w14:paraId="3265179B" w14:textId="77777777" w:rsidR="00590B82" w:rsidRPr="00344776" w:rsidRDefault="00590B82" w:rsidP="00590B82">
      <w:pPr>
        <w:pStyle w:val="Bullet"/>
        <w:rPr>
          <w:rStyle w:val="normaltextrun"/>
          <w:rFonts w:eastAsia="Lucida Sans Unicode" w:cs="Segoe UI"/>
        </w:rPr>
      </w:pPr>
      <w:r w:rsidRPr="00344776">
        <w:rPr>
          <w:rStyle w:val="normaltextrun"/>
          <w:rFonts w:eastAsia="Lucida Sans Unicode" w:cs="Segoe UI"/>
        </w:rPr>
        <w:t xml:space="preserve">83.5% were fully immunised at </w:t>
      </w:r>
      <w:r>
        <w:rPr>
          <w:rStyle w:val="normaltextrun"/>
          <w:rFonts w:eastAsia="Lucida Sans Unicode" w:cs="Segoe UI"/>
        </w:rPr>
        <w:t>5</w:t>
      </w:r>
      <w:r w:rsidRPr="00344776">
        <w:rPr>
          <w:rStyle w:val="normaltextrun"/>
          <w:rFonts w:eastAsia="Lucida Sans Unicode" w:cs="Segoe UI"/>
        </w:rPr>
        <w:t xml:space="preserve"> years</w:t>
      </w:r>
      <w:r w:rsidRPr="00344776" w:rsidDel="00DE00E9">
        <w:rPr>
          <w:rStyle w:val="normaltextrun"/>
          <w:rFonts w:eastAsia="Lucida Sans Unicode" w:cs="Segoe UI"/>
        </w:rPr>
        <w:t xml:space="preserve"> </w:t>
      </w:r>
      <w:r w:rsidRPr="00344776">
        <w:rPr>
          <w:rStyle w:val="normaltextrun"/>
          <w:rFonts w:eastAsia="Lucida Sans Unicode" w:cs="Segoe UI"/>
        </w:rPr>
        <w:fldChar w:fldCharType="begin"/>
      </w:r>
      <w:r>
        <w:rPr>
          <w:rStyle w:val="normaltextrun"/>
          <w:rFonts w:eastAsia="Lucida Sans Unicode" w:cs="Segoe UI"/>
        </w:rPr>
        <w:instrText xml:space="preserve"> ADDIN EN.CITE &lt;EndNote&gt;&lt;Cite&gt;&lt;Author&gt;Ministry of Health&lt;/Author&gt;&lt;Year&gt;2022&lt;/Year&gt;&lt;RecNum&gt;241&lt;/RecNum&gt;&lt;DisplayText&gt;(Ministry of Health 2022r)&lt;/DisplayText&gt;&lt;record&gt;&lt;rec-number&gt;241&lt;/rec-number&gt;&lt;foreign-keys&gt;&lt;key app="EN" db-id="aaepvppzs5wtfse95vsp2wahsrtvva2vvdet" timestamp="1664405822"&gt;241&lt;/key&gt;&lt;/foreign-keys&gt;&lt;ref-type name="Web Page"&gt;12&lt;/ref-type&gt;&lt;contributors&gt;&lt;authors&gt;&lt;author&gt;Ministry of Health,&lt;/author&gt;&lt;/authors&gt;&lt;/contributors&gt;&lt;titles&gt;&lt;title&gt;National and DHB immunisation data&lt;/title&gt;&lt;/titles&gt;&lt;number&gt;1 November 2022&lt;/number&gt;&lt;dates&gt;&lt;year&gt;2022&lt;/year&gt;&lt;/dates&gt;&lt;urls&gt;&lt;related-urls&gt;&lt;url&gt;https://www.health.govt.nz/our-work/preventative-health-wellness/immunisation/immunisation-coverage/national-and-dhb-immunisation-data&lt;/url&gt;&lt;/related-urls&gt;&lt;/urls&gt;&lt;/record&gt;&lt;/Cite&gt;&lt;/EndNote&gt;</w:instrText>
      </w:r>
      <w:r w:rsidRPr="00344776">
        <w:rPr>
          <w:rStyle w:val="normaltextrun"/>
          <w:rFonts w:eastAsia="Lucida Sans Unicode" w:cs="Segoe UI"/>
        </w:rPr>
        <w:fldChar w:fldCharType="separate"/>
      </w:r>
      <w:r w:rsidRPr="00344776">
        <w:rPr>
          <w:rStyle w:val="normaltextrun"/>
          <w:rFonts w:eastAsia="Lucida Sans Unicode" w:cs="Segoe UI"/>
          <w:noProof/>
        </w:rPr>
        <w:t>(Ministry of Health 2022r)</w:t>
      </w:r>
      <w:r w:rsidRPr="00344776">
        <w:rPr>
          <w:rStyle w:val="normaltextrun"/>
          <w:rFonts w:eastAsia="Lucida Sans Unicode" w:cs="Segoe UI"/>
        </w:rPr>
        <w:fldChar w:fldCharType="end"/>
      </w:r>
      <w:r w:rsidRPr="00344776">
        <w:rPr>
          <w:rStyle w:val="normaltextrun"/>
          <w:rFonts w:eastAsia="Lucida Sans Unicode" w:cs="Segoe UI"/>
        </w:rPr>
        <w:t xml:space="preserve">. </w:t>
      </w:r>
    </w:p>
    <w:p w14:paraId="7E59B35B" w14:textId="77777777" w:rsidR="00924A79" w:rsidRDefault="00924A79" w:rsidP="00924A79"/>
    <w:p w14:paraId="2DD20581" w14:textId="63F8F349" w:rsidR="00051D54" w:rsidRDefault="00590B82" w:rsidP="00051D54">
      <w:r w:rsidRPr="00344776">
        <w:t xml:space="preserve">Māori and Pacific children have lower rates of immunisation across the milestone ages than </w:t>
      </w:r>
      <w:r>
        <w:t xml:space="preserve">children in the </w:t>
      </w:r>
      <w:r w:rsidRPr="00344776">
        <w:t>Asian and European/other ethnic groups.</w:t>
      </w:r>
      <w:r w:rsidR="00924A79" w:rsidRPr="00344776">
        <w:t xml:space="preserve"> </w:t>
      </w:r>
      <w:r w:rsidR="00924A79">
        <w:t>Figures 29–31 demonstrate this</w:t>
      </w:r>
      <w:r w:rsidR="00924A79" w:rsidRPr="00344776">
        <w:t>.</w:t>
      </w:r>
      <w:bookmarkStart w:id="136" w:name="_Ref115424810"/>
      <w:bookmarkStart w:id="137" w:name="_Toc118446243"/>
    </w:p>
    <w:p w14:paraId="7F4EED8B" w14:textId="77777777" w:rsidR="00051D54" w:rsidRDefault="00051D54" w:rsidP="00051D54"/>
    <w:p w14:paraId="0656DABF" w14:textId="77777777" w:rsidR="00051D54" w:rsidRDefault="00051D54" w:rsidP="00051D54">
      <w:pPr>
        <w:pStyle w:val="Caption"/>
        <w:sectPr w:rsidR="00051D54" w:rsidSect="00B206F0">
          <w:pgSz w:w="11907" w:h="16840" w:code="9"/>
          <w:pgMar w:top="1418" w:right="1701" w:bottom="1134" w:left="1843" w:header="284" w:footer="425" w:gutter="284"/>
          <w:cols w:space="720"/>
        </w:sectPr>
      </w:pPr>
    </w:p>
    <w:p w14:paraId="0B287D07" w14:textId="09CE6AAC" w:rsidR="00924A79" w:rsidRPr="00344776" w:rsidRDefault="00924A79" w:rsidP="00051D54">
      <w:pPr>
        <w:pStyle w:val="Caption"/>
      </w:pPr>
      <w:bookmarkStart w:id="138" w:name="_Toc119047773"/>
      <w:r w:rsidRPr="00344776">
        <w:lastRenderedPageBreak/>
        <w:t xml:space="preserve">Figure </w:t>
      </w:r>
      <w:r w:rsidRPr="00344776">
        <w:fldChar w:fldCharType="begin"/>
      </w:r>
      <w:r w:rsidRPr="00344776">
        <w:instrText>SEQ Figure \* ARABIC</w:instrText>
      </w:r>
      <w:r w:rsidRPr="00344776">
        <w:fldChar w:fldCharType="separate"/>
      </w:r>
      <w:r w:rsidR="00F61845">
        <w:rPr>
          <w:noProof/>
        </w:rPr>
        <w:t>29</w:t>
      </w:r>
      <w:r w:rsidRPr="00344776">
        <w:fldChar w:fldCharType="end"/>
      </w:r>
      <w:bookmarkEnd w:id="136"/>
      <w:r w:rsidRPr="00344776">
        <w:t>: Percentage of children who were fully immunised at 8 months, 24 months and 5 years, by prioritised ethnic group, 2021</w:t>
      </w:r>
      <w:bookmarkEnd w:id="137"/>
      <w:bookmarkEnd w:id="138"/>
    </w:p>
    <w:p w14:paraId="2B51384E" w14:textId="77777777" w:rsidR="00924A79" w:rsidRPr="00344776" w:rsidRDefault="00924A79" w:rsidP="00924A79">
      <w:r w:rsidRPr="00344776">
        <w:rPr>
          <w:noProof/>
        </w:rPr>
        <w:drawing>
          <wp:inline distT="0" distB="0" distL="0" distR="0" wp14:anchorId="63176380" wp14:editId="3A144062">
            <wp:extent cx="5124101" cy="6697392"/>
            <wp:effectExtent l="0" t="0" r="635" b="8255"/>
            <wp:docPr id="57" name="Picture 57" descr="This bar chart shows the percentage of children immunised at the key immunisation milestones of 8 months, 24 months, and 5 years by prioritised ethnic group in 2021. Asian had the highest percentage for all target ages, followed by European/other, Pacific peoples, and then Māori. A dashed line marks the 95%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is bar chart shows the percentage of children immunised at the key immunisation milestones of 8 months, 24 months, and 5 years by prioritised ethnic group in 2021. Asian had the highest percentage for all target ages, followed by European/other, Pacific peoples, and then Māori. A dashed line marks the 95% target."/>
                    <pic:cNvPicPr>
                      <a:picLocks noChangeAspect="1" noChangeArrowheads="1"/>
                    </pic:cNvPicPr>
                  </pic:nvPicPr>
                  <pic:blipFill rotWithShape="1">
                    <a:blip r:embed="rId84"/>
                    <a:srcRect t="1997"/>
                    <a:stretch/>
                  </pic:blipFill>
                  <pic:spPr bwMode="auto">
                    <a:xfrm>
                      <a:off x="0" y="0"/>
                      <a:ext cx="5124450" cy="6697849"/>
                    </a:xfrm>
                    <a:prstGeom prst="rect">
                      <a:avLst/>
                    </a:prstGeom>
                    <a:noFill/>
                    <a:ln>
                      <a:noFill/>
                    </a:ln>
                    <a:extLst>
                      <a:ext uri="{53640926-AAD7-44D8-BBD7-CCE9431645EC}">
                        <a14:shadowObscured xmlns:a14="http://schemas.microsoft.com/office/drawing/2010/main"/>
                      </a:ext>
                    </a:extLst>
                  </pic:spPr>
                </pic:pic>
              </a:graphicData>
            </a:graphic>
          </wp:inline>
        </w:drawing>
      </w:r>
    </w:p>
    <w:p w14:paraId="65E9DC1B" w14:textId="28496535" w:rsidR="00924A79" w:rsidRPr="00344776" w:rsidRDefault="00924A79" w:rsidP="00051D54">
      <w:pPr>
        <w:pStyle w:val="Source"/>
      </w:pPr>
      <w:r w:rsidRPr="00344776">
        <w:t xml:space="preserve">Source: </w:t>
      </w:r>
      <w:hyperlink r:id="rId85" w:history="1">
        <w:r w:rsidRPr="00344776">
          <w:rPr>
            <w:rStyle w:val="Hyperlink"/>
          </w:rPr>
          <w:t>Ministry of Health (2022r)</w:t>
        </w:r>
      </w:hyperlink>
    </w:p>
    <w:p w14:paraId="57ADD47E" w14:textId="77777777" w:rsidR="00924A79" w:rsidRPr="00344776" w:rsidRDefault="00924A79" w:rsidP="00924A79"/>
    <w:p w14:paraId="3836393E" w14:textId="77777777" w:rsidR="00924A79" w:rsidRPr="00344776" w:rsidRDefault="00924A79" w:rsidP="00051D54">
      <w:pPr>
        <w:pStyle w:val="Heading4"/>
        <w:rPr>
          <w:rStyle w:val="normaltextrun"/>
        </w:rPr>
      </w:pPr>
      <w:r w:rsidRPr="00344776">
        <w:rPr>
          <w:rStyle w:val="normaltextrun"/>
        </w:rPr>
        <w:t>Immunisation Schedule change</w:t>
      </w:r>
    </w:p>
    <w:p w14:paraId="382BA238" w14:textId="77777777" w:rsidR="00590B82" w:rsidRPr="00344776" w:rsidRDefault="00590B82" w:rsidP="00590B82">
      <w:pPr>
        <w:rPr>
          <w:rStyle w:val="normaltextrun"/>
        </w:rPr>
      </w:pPr>
      <w:r w:rsidRPr="00344776">
        <w:rPr>
          <w:rStyle w:val="normaltextrun"/>
        </w:rPr>
        <w:t xml:space="preserve">The New Zealand National Immunisation Schedule is the series of publicly funded vaccines that </w:t>
      </w:r>
      <w:r>
        <w:rPr>
          <w:rStyle w:val="normaltextrun"/>
        </w:rPr>
        <w:t xml:space="preserve">Manatū Hauora </w:t>
      </w:r>
      <w:r w:rsidRPr="00344776">
        <w:rPr>
          <w:rStyle w:val="normaltextrun"/>
        </w:rPr>
        <w:t>offer</w:t>
      </w:r>
      <w:r>
        <w:rPr>
          <w:rStyle w:val="normaltextrun"/>
        </w:rPr>
        <w:t>s</w:t>
      </w:r>
      <w:r w:rsidRPr="00344776">
        <w:rPr>
          <w:rStyle w:val="normaltextrun"/>
        </w:rPr>
        <w:t xml:space="preserve"> free to babies, children, adolescents and adults</w:t>
      </w:r>
      <w:r w:rsidRPr="00344776">
        <w:rPr>
          <w:rStyle w:val="FootnoteReference"/>
        </w:rPr>
        <w:t xml:space="preserve"> </w:t>
      </w:r>
      <w:r w:rsidRPr="00344776">
        <w:rPr>
          <w:rStyle w:val="FootnoteReference"/>
        </w:rPr>
        <w:fldChar w:fldCharType="begin"/>
      </w:r>
      <w:r>
        <w:instrText xml:space="preserve"> ADDIN EN.CITE &lt;EndNote&gt;&lt;Cite&gt;&lt;Author&gt;Ministry of Health&lt;/Author&gt;&lt;Year&gt;2020&lt;/Year&gt;&lt;RecNum&gt;264&lt;/RecNum&gt;&lt;DisplayText&gt;(Ministry of Health 2020e)&lt;/DisplayText&gt;&lt;record&gt;&lt;rec-number&gt;264&lt;/rec-number&gt;&lt;foreign-keys&gt;&lt;key app="EN" db-id="aaepvppzs5wtfse95vsp2wahsrtvva2vvdet" timestamp="1666049220"&gt;264&lt;/key&gt;&lt;/foreign-keys&gt;&lt;ref-type name="Web Page"&gt;12&lt;/ref-type&gt;&lt;contributors&gt;&lt;authors&gt;&lt;author&gt;Ministry of Health,&lt;/author&gt;&lt;/authors&gt;&lt;/contributors&gt;&lt;titles&gt;&lt;title&gt;New Zealand Immunisation Schedule&lt;/title&gt;&lt;/titles&gt;&lt;number&gt;31 October 2022&lt;/number&gt;&lt;dates&gt;&lt;year&gt;2020&lt;/year&gt;&lt;/dates&gt;&lt;urls&gt;&lt;related-urls&gt;&lt;url&gt;https://www.health.govt.nz/our-work/preventative-health-wellness/immunisation/new-zealand-immunisation-schedule&lt;/url&gt;&lt;/related-urls&gt;&lt;/urls&gt;&lt;/record&gt;&lt;/Cite&gt;&lt;/EndNote&gt;</w:instrText>
      </w:r>
      <w:r w:rsidRPr="00344776">
        <w:rPr>
          <w:rStyle w:val="FootnoteReference"/>
        </w:rPr>
        <w:fldChar w:fldCharType="separate"/>
      </w:r>
      <w:r w:rsidRPr="00344776">
        <w:rPr>
          <w:noProof/>
        </w:rPr>
        <w:t>(Ministry of Health 2020e)</w:t>
      </w:r>
      <w:r w:rsidRPr="00344776">
        <w:rPr>
          <w:rStyle w:val="FootnoteReference"/>
        </w:rPr>
        <w:fldChar w:fldCharType="end"/>
      </w:r>
      <w:r w:rsidRPr="00344776">
        <w:rPr>
          <w:rStyle w:val="normaltextrun"/>
        </w:rPr>
        <w:t>.</w:t>
      </w:r>
    </w:p>
    <w:p w14:paraId="7CFB1050" w14:textId="77777777" w:rsidR="00590B82" w:rsidRPr="00344776" w:rsidRDefault="00590B82" w:rsidP="00590B82">
      <w:pPr>
        <w:rPr>
          <w:rStyle w:val="normaltextrun"/>
        </w:rPr>
      </w:pPr>
    </w:p>
    <w:p w14:paraId="46ADC253" w14:textId="77777777" w:rsidR="00590B82" w:rsidRPr="00344776" w:rsidRDefault="00590B82" w:rsidP="00590B82">
      <w:pPr>
        <w:rPr>
          <w:rStyle w:val="normaltextrun"/>
        </w:rPr>
      </w:pPr>
      <w:r w:rsidRPr="00344776">
        <w:rPr>
          <w:rStyle w:val="normaltextrun"/>
        </w:rPr>
        <w:lastRenderedPageBreak/>
        <w:t xml:space="preserve">In October 2020, there was a change in the schedule for the measles, mumps, and rubella (MMR) vaccine. The second dose was scheduled at </w:t>
      </w:r>
      <w:r>
        <w:rPr>
          <w:rStyle w:val="normaltextrun"/>
        </w:rPr>
        <w:t>15 months rather than 4 years</w:t>
      </w:r>
      <w:r w:rsidRPr="00344776">
        <w:rPr>
          <w:rStyle w:val="normaltextrun"/>
        </w:rPr>
        <w:t xml:space="preserve"> </w:t>
      </w:r>
      <w:r w:rsidRPr="00344776" w:rsidDel="00D808CC">
        <w:rPr>
          <w:rStyle w:val="normaltextrun"/>
        </w:rPr>
        <w:t xml:space="preserve">of age </w:t>
      </w:r>
      <w:r w:rsidRPr="00344776">
        <w:rPr>
          <w:rStyle w:val="normaltextrun"/>
        </w:rPr>
        <w:fldChar w:fldCharType="begin"/>
      </w:r>
      <w:r>
        <w:rPr>
          <w:rStyle w:val="normaltextrun"/>
        </w:rPr>
        <w:instrText xml:space="preserve"> ADDIN EN.CITE &lt;EndNote&gt;&lt;Cite&gt;&lt;Author&gt;Ministry of Health&lt;/Author&gt;&lt;Year&gt;2022&lt;/Year&gt;&lt;RecNum&gt;245&lt;/RecNum&gt;&lt;DisplayText&gt;(Ministry of Health 2022a)&lt;/DisplayText&gt;&lt;record&gt;&lt;rec-number&gt;245&lt;/rec-number&gt;&lt;foreign-keys&gt;&lt;key app="EN" db-id="aaepvppzs5wtfse95vsp2wahsrtvva2vvdet" timestamp="1664429464"&gt;245&lt;/key&gt;&lt;/foreign-keys&gt;&lt;ref-type name="Web Page"&gt;12&lt;/ref-type&gt;&lt;contributors&gt;&lt;authors&gt;&lt;author&gt;Ministry of Health,&lt;/author&gt;&lt;/authors&gt;&lt;/contributors&gt;&lt;titles&gt;&lt;title&gt;2020 Immunisation Schedule changes&lt;/title&gt;&lt;/titles&gt;&lt;number&gt;31 October 2022&lt;/number&gt;&lt;dates&gt;&lt;year&gt;2022&lt;/year&gt;&lt;/dates&gt;&lt;urls&gt;&lt;related-urls&gt;&lt;url&gt;https://www.health.govt.nz/our-work/preventative-health-wellness/immunisation/new-zealand-immunisation-schedule/2020-immunisation-schedule-changes&lt;/url&gt;&lt;/related-urls&gt;&lt;/urls&gt;&lt;/record&gt;&lt;/Cite&gt;&lt;/EndNote&gt;</w:instrText>
      </w:r>
      <w:r w:rsidRPr="00344776">
        <w:rPr>
          <w:rStyle w:val="normaltextrun"/>
        </w:rPr>
        <w:fldChar w:fldCharType="separate"/>
      </w:r>
      <w:r w:rsidRPr="00344776">
        <w:rPr>
          <w:rStyle w:val="normaltextrun"/>
          <w:noProof/>
        </w:rPr>
        <w:t>(Ministry of Health 2022a)</w:t>
      </w:r>
      <w:r w:rsidRPr="00344776">
        <w:rPr>
          <w:rStyle w:val="normaltextrun"/>
        </w:rPr>
        <w:fldChar w:fldCharType="end"/>
      </w:r>
      <w:r w:rsidRPr="00344776">
        <w:rPr>
          <w:rStyle w:val="normaltextrun"/>
        </w:rPr>
        <w:t xml:space="preserve">. </w:t>
      </w:r>
    </w:p>
    <w:p w14:paraId="55BFCA4A" w14:textId="77777777" w:rsidR="00924A79" w:rsidRPr="00344776" w:rsidRDefault="00924A79" w:rsidP="00924A79">
      <w:pPr>
        <w:rPr>
          <w:rStyle w:val="normaltextrun"/>
        </w:rPr>
      </w:pPr>
    </w:p>
    <w:p w14:paraId="39C05C8A" w14:textId="77777777" w:rsidR="00924A79" w:rsidRPr="00344776" w:rsidRDefault="00924A79" w:rsidP="00924A79">
      <w:pPr>
        <w:rPr>
          <w:rStyle w:val="normaltextrun"/>
          <w:szCs w:val="21"/>
        </w:rPr>
      </w:pPr>
      <w:r w:rsidRPr="00344776">
        <w:t xml:space="preserve">The MMR programme aims to achieve national coverage of 95%, with </w:t>
      </w:r>
      <w:r>
        <w:t>3</w:t>
      </w:r>
      <w:r w:rsidRPr="00344776">
        <w:t xml:space="preserve"> priority actions: </w:t>
      </w:r>
      <w:r w:rsidRPr="00344776">
        <w:rPr>
          <w:rStyle w:val="normaltextrun"/>
          <w:szCs w:val="21"/>
        </w:rPr>
        <w:t xml:space="preserve"> </w:t>
      </w:r>
    </w:p>
    <w:p w14:paraId="23AAE3F0" w14:textId="77777777" w:rsidR="00924A79" w:rsidRPr="00344776" w:rsidRDefault="00924A79" w:rsidP="00590B82">
      <w:pPr>
        <w:pStyle w:val="Number"/>
        <w:spacing w:before="90"/>
        <w:rPr>
          <w:rStyle w:val="normaltextrun"/>
          <w:rFonts w:cs="Segoe UI"/>
          <w:szCs w:val="21"/>
        </w:rPr>
      </w:pPr>
      <w:r>
        <w:rPr>
          <w:rStyle w:val="normaltextrun"/>
          <w:rFonts w:cs="Segoe UI"/>
          <w:szCs w:val="21"/>
        </w:rPr>
        <w:t>a</w:t>
      </w:r>
      <w:r w:rsidRPr="00344776">
        <w:rPr>
          <w:rStyle w:val="normaltextrun"/>
          <w:rFonts w:cs="Segoe UI"/>
          <w:szCs w:val="21"/>
        </w:rPr>
        <w:t>ddress the equity gap in MMR rates for Māori and Pacific children</w:t>
      </w:r>
    </w:p>
    <w:p w14:paraId="6DF744CD" w14:textId="77777777" w:rsidR="00924A79" w:rsidRPr="00344776" w:rsidRDefault="00924A79" w:rsidP="00590B82">
      <w:pPr>
        <w:pStyle w:val="Number"/>
        <w:spacing w:before="90"/>
        <w:rPr>
          <w:rStyle w:val="normaltextrun"/>
          <w:rFonts w:cs="Segoe UI"/>
          <w:szCs w:val="21"/>
        </w:rPr>
      </w:pPr>
      <w:r>
        <w:rPr>
          <w:rStyle w:val="normaltextrun"/>
          <w:rFonts w:cs="Segoe UI"/>
          <w:szCs w:val="21"/>
        </w:rPr>
        <w:t>i</w:t>
      </w:r>
      <w:r w:rsidRPr="00344776">
        <w:rPr>
          <w:rStyle w:val="normaltextrun"/>
          <w:rFonts w:cs="Segoe UI"/>
          <w:szCs w:val="21"/>
        </w:rPr>
        <w:t xml:space="preserve">ncrease the uptake of dose </w:t>
      </w:r>
      <w:r>
        <w:rPr>
          <w:rStyle w:val="normaltextrun"/>
          <w:rFonts w:cs="Segoe UI"/>
          <w:szCs w:val="21"/>
        </w:rPr>
        <w:t>2</w:t>
      </w:r>
      <w:r w:rsidRPr="00344776">
        <w:rPr>
          <w:rStyle w:val="normaltextrun"/>
          <w:rFonts w:cs="Segoe UI"/>
          <w:szCs w:val="21"/>
        </w:rPr>
        <w:t xml:space="preserve"> at 15 months </w:t>
      </w:r>
    </w:p>
    <w:p w14:paraId="42176BC7" w14:textId="77777777" w:rsidR="00924A79" w:rsidRPr="00344776" w:rsidRDefault="00924A79" w:rsidP="00590B82">
      <w:pPr>
        <w:pStyle w:val="Number"/>
        <w:spacing w:before="90"/>
      </w:pPr>
      <w:r>
        <w:rPr>
          <w:rStyle w:val="normaltextrun"/>
          <w:rFonts w:cs="Segoe UI"/>
          <w:szCs w:val="21"/>
        </w:rPr>
        <w:t>d</w:t>
      </w:r>
      <w:r w:rsidRPr="00344776">
        <w:rPr>
          <w:rStyle w:val="normaltextrun"/>
          <w:rFonts w:cs="Segoe UI"/>
          <w:szCs w:val="21"/>
        </w:rPr>
        <w:t xml:space="preserve">eliver a catch-up campaign for those born </w:t>
      </w:r>
      <w:r>
        <w:rPr>
          <w:rStyle w:val="normaltextrun"/>
          <w:rFonts w:cs="Segoe UI"/>
          <w:szCs w:val="21"/>
        </w:rPr>
        <w:t xml:space="preserve">between </w:t>
      </w:r>
      <w:r w:rsidRPr="00344776">
        <w:rPr>
          <w:rStyle w:val="normaltextrun"/>
          <w:rFonts w:cs="Segoe UI"/>
          <w:szCs w:val="21"/>
        </w:rPr>
        <w:t>1989</w:t>
      </w:r>
      <w:r>
        <w:rPr>
          <w:rStyle w:val="normaltextrun"/>
          <w:rFonts w:cs="Segoe UI"/>
          <w:szCs w:val="21"/>
        </w:rPr>
        <w:t xml:space="preserve"> and </w:t>
      </w:r>
      <w:r w:rsidRPr="00344776">
        <w:rPr>
          <w:rStyle w:val="normaltextrun"/>
          <w:rFonts w:cs="Segoe UI"/>
          <w:szCs w:val="21"/>
        </w:rPr>
        <w:t>2004,</w:t>
      </w:r>
      <w:r w:rsidRPr="00344776" w:rsidDel="003F0B8E">
        <w:rPr>
          <w:rStyle w:val="normaltextrun"/>
          <w:rFonts w:cs="Segoe UI"/>
          <w:szCs w:val="21"/>
        </w:rPr>
        <w:t xml:space="preserve"> </w:t>
      </w:r>
      <w:r>
        <w:rPr>
          <w:rStyle w:val="normaltextrun"/>
          <w:rFonts w:cs="Segoe UI"/>
          <w:szCs w:val="21"/>
        </w:rPr>
        <w:t xml:space="preserve">for whom </w:t>
      </w:r>
      <w:r w:rsidRPr="00344776">
        <w:rPr>
          <w:rStyle w:val="normaltextrun"/>
          <w:rFonts w:cs="Segoe UI"/>
          <w:szCs w:val="21"/>
        </w:rPr>
        <w:t xml:space="preserve">the immunisation rate is considered too low to prevent a measles outbreak </w:t>
      </w:r>
      <w:r w:rsidRPr="00344776">
        <w:rPr>
          <w:rStyle w:val="normaltextrun"/>
          <w:rFonts w:cs="Segoe UI"/>
          <w:szCs w:val="21"/>
        </w:rPr>
        <w:fldChar w:fldCharType="begin"/>
      </w:r>
      <w:r w:rsidRPr="00344776">
        <w:rPr>
          <w:rStyle w:val="normaltextrun"/>
          <w:rFonts w:cs="Segoe UI"/>
          <w:szCs w:val="21"/>
        </w:rPr>
        <w:instrText xml:space="preserve"> ADDIN EN.CITE &lt;EndNote&gt;&lt;Cite&gt;&lt;Author&gt;Ministry of Health&lt;/Author&gt;&lt;Year&gt;2022&lt;/Year&gt;&lt;RecNum&gt;265&lt;/RecNum&gt;&lt;DisplayText&gt;(Ministry of Health 2022n)&lt;/DisplayText&gt;&lt;record&gt;&lt;rec-number&gt;265&lt;/rec-number&gt;&lt;foreign-keys&gt;&lt;key app="EN" db-id="aaepvppzs5wtfse95vsp2wahsrtvva2vvdet" timestamp="1666049291"&gt;265&lt;/key&gt;&lt;/foreign-keys&gt;&lt;ref-type name="Web Page"&gt;12&lt;/ref-type&gt;&lt;contributors&gt;&lt;authors&gt;&lt;author&gt;Ministry of Health,&lt;/author&gt;&lt;/authors&gt;&lt;/contributors&gt;&lt;titles&gt;&lt;title&gt;Immunisation&lt;/title&gt;&lt;/titles&gt;&lt;number&gt;18 October 2022&lt;/number&gt;&lt;dates&gt;&lt;year&gt;2022&lt;/year&gt;&lt;/dates&gt;&lt;urls&gt;&lt;related-urls&gt;&lt;url&gt;https://www.health.govt.nz/our-work/preventative-health-wellness/immunisation&lt;/url&gt;&lt;/related-urls&gt;&lt;/urls&gt;&lt;/record&gt;&lt;/Cite&gt;&lt;/EndNote&gt;</w:instrText>
      </w:r>
      <w:r w:rsidRPr="00344776">
        <w:rPr>
          <w:rStyle w:val="normaltextrun"/>
          <w:rFonts w:cs="Segoe UI"/>
          <w:szCs w:val="21"/>
        </w:rPr>
        <w:fldChar w:fldCharType="separate"/>
      </w:r>
      <w:r w:rsidRPr="00344776">
        <w:rPr>
          <w:rStyle w:val="normaltextrun"/>
          <w:rFonts w:cs="Segoe UI"/>
          <w:noProof/>
          <w:szCs w:val="21"/>
        </w:rPr>
        <w:t>(Ministry of Health 2022n)</w:t>
      </w:r>
      <w:r w:rsidRPr="00344776">
        <w:rPr>
          <w:rStyle w:val="normaltextrun"/>
          <w:rFonts w:cs="Segoe UI"/>
          <w:szCs w:val="21"/>
        </w:rPr>
        <w:fldChar w:fldCharType="end"/>
      </w:r>
      <w:r w:rsidRPr="00344776">
        <w:rPr>
          <w:rStyle w:val="normaltextrun"/>
          <w:rFonts w:cs="Segoe UI"/>
          <w:szCs w:val="21"/>
        </w:rPr>
        <w:t>.</w:t>
      </w:r>
    </w:p>
    <w:p w14:paraId="178E7C26" w14:textId="77777777" w:rsidR="00924A79" w:rsidRPr="00344776" w:rsidRDefault="00924A79" w:rsidP="00924A79">
      <w:pPr>
        <w:pStyle w:val="Heading4"/>
      </w:pPr>
      <w:r>
        <w:t xml:space="preserve">Human papillomavirus </w:t>
      </w:r>
      <w:r w:rsidRPr="00344776">
        <w:t>immunisation</w:t>
      </w:r>
    </w:p>
    <w:p w14:paraId="51E1B71B" w14:textId="77777777" w:rsidR="00590B82" w:rsidRPr="00344776" w:rsidRDefault="00590B82" w:rsidP="00590B82">
      <w:pPr>
        <w:rPr>
          <w:rStyle w:val="normaltextrun"/>
          <w:color w:val="231F20"/>
          <w:shd w:val="clear" w:color="auto" w:fill="FFFFFF"/>
        </w:rPr>
      </w:pPr>
      <w:r w:rsidRPr="00344776">
        <w:rPr>
          <w:rStyle w:val="normaltextrun"/>
          <w:color w:val="231F20"/>
          <w:shd w:val="clear" w:color="auto" w:fill="FFFFFF"/>
        </w:rPr>
        <w:t xml:space="preserve">Human </w:t>
      </w:r>
      <w:r>
        <w:rPr>
          <w:rStyle w:val="normaltextrun"/>
          <w:color w:val="231F20"/>
          <w:shd w:val="clear" w:color="auto" w:fill="FFFFFF"/>
        </w:rPr>
        <w:t>p</w:t>
      </w:r>
      <w:r w:rsidRPr="00344776">
        <w:rPr>
          <w:rStyle w:val="normaltextrun"/>
          <w:color w:val="231F20"/>
          <w:shd w:val="clear" w:color="auto" w:fill="FFFFFF"/>
        </w:rPr>
        <w:t>apillomavirus (HPV) immunisation is funded for people aged</w:t>
      </w:r>
      <w:r w:rsidRPr="00344776" w:rsidDel="0026578D">
        <w:rPr>
          <w:rStyle w:val="normaltextrun"/>
          <w:color w:val="231F20"/>
          <w:shd w:val="clear" w:color="auto" w:fill="FFFFFF"/>
        </w:rPr>
        <w:t xml:space="preserve"> </w:t>
      </w:r>
      <w:r>
        <w:rPr>
          <w:rStyle w:val="normaltextrun"/>
          <w:color w:val="231F20"/>
          <w:shd w:val="clear" w:color="auto" w:fill="FFFFFF"/>
        </w:rPr>
        <w:t>9–</w:t>
      </w:r>
      <w:r w:rsidRPr="00344776">
        <w:rPr>
          <w:rStyle w:val="normaltextrun"/>
          <w:color w:val="231F20"/>
          <w:shd w:val="clear" w:color="auto" w:fill="FFFFFF"/>
        </w:rPr>
        <w:t xml:space="preserve">26 years, as well as non-residents aged under 18 years </w:t>
      </w:r>
      <w:r w:rsidRPr="00344776">
        <w:rPr>
          <w:rStyle w:val="normaltextrun"/>
          <w:color w:val="231F20"/>
          <w:shd w:val="clear" w:color="auto" w:fill="FFFFFF"/>
        </w:rPr>
        <w:fldChar w:fldCharType="begin"/>
      </w:r>
      <w:r>
        <w:rPr>
          <w:rStyle w:val="normaltextrun"/>
          <w:color w:val="231F20"/>
          <w:shd w:val="clear" w:color="auto" w:fill="FFFFFF"/>
        </w:rPr>
        <w:instrText xml:space="preserve"> ADDIN EN.CITE &lt;EndNote&gt;&lt;Cite&gt;&lt;Author&gt;Ministry of Health&lt;/Author&gt;&lt;Year&gt;2022&lt;/Year&gt;&lt;RecNum&gt;243&lt;/RecNum&gt;&lt;DisplayText&gt;(Ministry of Health 2022m)&lt;/DisplayText&gt;&lt;record&gt;&lt;rec-number&gt;243&lt;/rec-number&gt;&lt;foreign-keys&gt;&lt;key app="EN" db-id="aaepvppzs5wtfse95vsp2wahsrtvva2vvdet" timestamp="1664428654"&gt;243&lt;/key&gt;&lt;/foreign-keys&gt;&lt;ref-type name="Web Page"&gt;12&lt;/ref-type&gt;&lt;contributors&gt;&lt;authors&gt;&lt;author&gt;Ministry of Health,&lt;/author&gt;&lt;/authors&gt;&lt;/contributors&gt;&lt;titles&gt;&lt;title&gt;HPV immunisation&lt;/title&gt;&lt;/titles&gt;&lt;number&gt;31 October 2022&lt;/number&gt;&lt;dates&gt;&lt;year&gt;2022&lt;/year&gt;&lt;/dates&gt;&lt;urls&gt;&lt;related-urls&gt;&lt;url&gt;https://www.health.govt.nz/your-health/healthy-living/immunisation/immunisation-older-children-and-teenagers/human-papillomavirus-hpv/hpv-immunisation&lt;/url&gt;&lt;/related-urls&gt;&lt;/urls&gt;&lt;/record&gt;&lt;/Cite&gt;&lt;/EndNote&gt;</w:instrText>
      </w:r>
      <w:r w:rsidRPr="00344776">
        <w:rPr>
          <w:rStyle w:val="normaltextrun"/>
          <w:color w:val="231F20"/>
          <w:shd w:val="clear" w:color="auto" w:fill="FFFFFF"/>
        </w:rPr>
        <w:fldChar w:fldCharType="separate"/>
      </w:r>
      <w:r w:rsidRPr="00344776">
        <w:rPr>
          <w:rStyle w:val="normaltextrun"/>
          <w:noProof/>
          <w:color w:val="231F20"/>
          <w:shd w:val="clear" w:color="auto" w:fill="FFFFFF"/>
        </w:rPr>
        <w:t>(Ministry of Health 2022m)</w:t>
      </w:r>
      <w:r w:rsidRPr="00344776">
        <w:rPr>
          <w:rStyle w:val="normaltextrun"/>
          <w:color w:val="231F20"/>
          <w:shd w:val="clear" w:color="auto" w:fill="FFFFFF"/>
        </w:rPr>
        <w:fldChar w:fldCharType="end"/>
      </w:r>
      <w:r w:rsidRPr="00344776">
        <w:rPr>
          <w:rStyle w:val="normaltextrun"/>
          <w:color w:val="231F20"/>
          <w:shd w:val="clear" w:color="auto" w:fill="FFFFFF"/>
        </w:rPr>
        <w:t xml:space="preserve">. </w:t>
      </w:r>
    </w:p>
    <w:p w14:paraId="5B3A679E" w14:textId="77777777" w:rsidR="00590B82" w:rsidRPr="00344776" w:rsidRDefault="00590B82" w:rsidP="00590B82">
      <w:pPr>
        <w:rPr>
          <w:rStyle w:val="normaltextrun"/>
          <w:color w:val="231F20"/>
          <w:shd w:val="clear" w:color="auto" w:fill="FFFFFF"/>
        </w:rPr>
      </w:pPr>
    </w:p>
    <w:p w14:paraId="5A0FDAB6" w14:textId="6AA5F169" w:rsidR="00924A79" w:rsidRPr="00344776" w:rsidRDefault="00590B82" w:rsidP="00590B82">
      <w:pPr>
        <w:rPr>
          <w:lang w:val="en-US" w:eastAsia="en-NZ"/>
        </w:rPr>
      </w:pPr>
      <w:r w:rsidRPr="00344776">
        <w:rPr>
          <w:lang w:eastAsia="en-NZ"/>
        </w:rPr>
        <w:t xml:space="preserve">The national HPV immunisation coverage target is 75%. </w:t>
      </w:r>
      <w:proofErr w:type="gramStart"/>
      <w:r>
        <w:rPr>
          <w:lang w:eastAsia="en-NZ"/>
        </w:rPr>
        <w:t>A</w:t>
      </w:r>
      <w:r w:rsidRPr="00344776">
        <w:rPr>
          <w:lang w:eastAsia="en-NZ"/>
        </w:rPr>
        <w:t>t</w:t>
      </w:r>
      <w:proofErr w:type="gramEnd"/>
      <w:r w:rsidRPr="00344776">
        <w:rPr>
          <w:lang w:eastAsia="en-NZ"/>
        </w:rPr>
        <w:t xml:space="preserve"> 31 December 2021, </w:t>
      </w:r>
      <w:r>
        <w:rPr>
          <w:lang w:eastAsia="en-NZ"/>
        </w:rPr>
        <w:t xml:space="preserve">the coverage </w:t>
      </w:r>
      <w:r w:rsidRPr="00344776">
        <w:rPr>
          <w:lang w:eastAsia="en-NZ"/>
        </w:rPr>
        <w:t>for the 2008 birth cohort was</w:t>
      </w:r>
      <w:r w:rsidRPr="00344776">
        <w:rPr>
          <w:lang w:val="en-US" w:eastAsia="en-NZ"/>
        </w:rPr>
        <w:t xml:space="preserve"> 54.0%. The rates by ethnic group were 48.5%</w:t>
      </w:r>
      <w:r>
        <w:rPr>
          <w:lang w:val="en-US" w:eastAsia="en-NZ"/>
        </w:rPr>
        <w:t xml:space="preserve"> for </w:t>
      </w:r>
      <w:r w:rsidRPr="00344776">
        <w:rPr>
          <w:lang w:val="en-US" w:eastAsia="en-NZ"/>
        </w:rPr>
        <w:t>Māori, 46.2%</w:t>
      </w:r>
      <w:r>
        <w:rPr>
          <w:lang w:val="en-US" w:eastAsia="en-NZ"/>
        </w:rPr>
        <w:t xml:space="preserve"> for </w:t>
      </w:r>
      <w:r w:rsidRPr="00344776">
        <w:rPr>
          <w:lang w:val="en-US" w:eastAsia="en-NZ"/>
        </w:rPr>
        <w:t>Pacific peoples, 58.2%</w:t>
      </w:r>
      <w:r>
        <w:rPr>
          <w:lang w:val="en-US" w:eastAsia="en-NZ"/>
        </w:rPr>
        <w:t xml:space="preserve"> for the </w:t>
      </w:r>
      <w:r w:rsidRPr="00344776">
        <w:rPr>
          <w:lang w:val="en-US" w:eastAsia="en-NZ"/>
        </w:rPr>
        <w:t>Asian</w:t>
      </w:r>
      <w:r>
        <w:rPr>
          <w:lang w:val="en-US" w:eastAsia="en-NZ"/>
        </w:rPr>
        <w:t xml:space="preserve"> group</w:t>
      </w:r>
      <w:r w:rsidRPr="00344776">
        <w:rPr>
          <w:lang w:val="en-US" w:eastAsia="en-NZ"/>
        </w:rPr>
        <w:t xml:space="preserve"> and 57.2%</w:t>
      </w:r>
      <w:r>
        <w:rPr>
          <w:lang w:val="en-US" w:eastAsia="en-NZ"/>
        </w:rPr>
        <w:t xml:space="preserve"> for the </w:t>
      </w:r>
      <w:r w:rsidRPr="00344776">
        <w:rPr>
          <w:lang w:val="en-US" w:eastAsia="en-NZ"/>
        </w:rPr>
        <w:t xml:space="preserve">European/other </w:t>
      </w:r>
      <w:r>
        <w:rPr>
          <w:lang w:val="en-US" w:eastAsia="en-NZ"/>
        </w:rPr>
        <w:t>group</w:t>
      </w:r>
      <w:r w:rsidR="00924A79" w:rsidRPr="00344776">
        <w:rPr>
          <w:lang w:val="en-US" w:eastAsia="en-NZ"/>
        </w:rPr>
        <w:t xml:space="preserve">. </w:t>
      </w:r>
    </w:p>
    <w:p w14:paraId="2D4651A8" w14:textId="77777777" w:rsidR="00924A79" w:rsidRPr="00344776" w:rsidRDefault="00924A79" w:rsidP="00924A79">
      <w:pPr>
        <w:pStyle w:val="Heading3"/>
      </w:pPr>
      <w:r w:rsidRPr="00344776">
        <w:t xml:space="preserve">Influenza </w:t>
      </w:r>
      <w:r>
        <w:t>i</w:t>
      </w:r>
      <w:r w:rsidRPr="00344776">
        <w:t>mmunisation</w:t>
      </w:r>
    </w:p>
    <w:p w14:paraId="62126457" w14:textId="77777777" w:rsidR="00590B82" w:rsidRPr="00344776" w:rsidRDefault="00590B82" w:rsidP="00590B82">
      <w:pPr>
        <w:rPr>
          <w:rStyle w:val="normaltextrun"/>
          <w:color w:val="231F20"/>
          <w:shd w:val="clear" w:color="auto" w:fill="FFFFFF"/>
        </w:rPr>
      </w:pPr>
      <w:r w:rsidRPr="00344776">
        <w:rPr>
          <w:rStyle w:val="normaltextrun"/>
          <w:color w:val="231F20"/>
          <w:shd w:val="clear" w:color="auto" w:fill="FFFFFF"/>
        </w:rPr>
        <w:t xml:space="preserve">The influenza immunisation programme </w:t>
      </w:r>
      <w:r>
        <w:rPr>
          <w:rStyle w:val="normaltextrun"/>
          <w:color w:val="231F20"/>
          <w:shd w:val="clear" w:color="auto" w:fill="FFFFFF"/>
        </w:rPr>
        <w:t xml:space="preserve">aims </w:t>
      </w:r>
      <w:r w:rsidRPr="00344776">
        <w:rPr>
          <w:rStyle w:val="normaltextrun"/>
          <w:color w:val="231F20"/>
          <w:shd w:val="clear" w:color="auto" w:fill="FFFFFF"/>
        </w:rPr>
        <w:t>to vaccinate 75% of the population aged 65 years or older</w:t>
      </w:r>
      <w:r w:rsidRPr="00344776">
        <w:rPr>
          <w:rStyle w:val="FootnoteReference"/>
          <w:color w:val="231F20"/>
          <w:shd w:val="clear" w:color="auto" w:fill="FFFFFF"/>
        </w:rPr>
        <w:footnoteReference w:id="3"/>
      </w:r>
      <w:r w:rsidRPr="00344776">
        <w:rPr>
          <w:rStyle w:val="normaltextrun"/>
          <w:color w:val="231F20"/>
          <w:shd w:val="clear" w:color="auto" w:fill="FFFFFF"/>
        </w:rPr>
        <w:t xml:space="preserve"> against influenza annually. There is a focus on achieving equitable rates for Māori and Pacific peoples </w:t>
      </w:r>
      <w:r w:rsidRPr="00344776">
        <w:rPr>
          <w:rStyle w:val="normaltextrun"/>
          <w:color w:val="231F20"/>
          <w:shd w:val="clear" w:color="auto" w:fill="FFFFFF"/>
        </w:rPr>
        <w:fldChar w:fldCharType="begin"/>
      </w:r>
      <w:r>
        <w:rPr>
          <w:rStyle w:val="normaltextrun"/>
          <w:color w:val="231F20"/>
          <w:shd w:val="clear" w:color="auto" w:fill="FFFFFF"/>
        </w:rPr>
        <w:instrText xml:space="preserve"> ADDIN EN.CITE &lt;EndNote&gt;&lt;Cite&gt;&lt;Author&gt;Ministry of Health&lt;/Author&gt;&lt;Year&gt;2022&lt;/Year&gt;&lt;RecNum&gt;213&lt;/RecNum&gt;&lt;DisplayText&gt;(Ministry of Health 2022i)&lt;/DisplayText&gt;&lt;record&gt;&lt;rec-number&gt;213&lt;/rec-number&gt;&lt;foreign-keys&gt;&lt;key app="EN" db-id="aaepvppzs5wtfse95vsp2wahsrtvva2vvdet" timestamp="1663799768"&gt;213&lt;/key&gt;&lt;/foreign-keys&gt;&lt;ref-type name="Web Page"&gt;12&lt;/ref-type&gt;&lt;contributors&gt;&lt;authors&gt;&lt;author&gt;Ministry of Health,&lt;/author&gt;&lt;/authors&gt;&lt;/contributors&gt;&lt;titles&gt;&lt;title&gt;&lt;style face="normal" font="default" size="100%"&gt;Evaluation of the M&lt;/style&gt;&lt;style face="normal" font="default" charset="238" size="100%"&gt;āori Influenza and Measles Vaccination Programme: In &lt;/style&gt;&lt;style face="normal" font="default" size="100%"&gt;p&lt;/style&gt;&lt;style face="normal" font="default" charset="238" size="100%"&gt;ursuit of Māori &lt;/style&gt;&lt;style face="normal" font="default" size="100%"&gt;h&lt;/style&gt;&lt;style face="normal" font="default" charset="238" size="100%"&gt;ealth &lt;/style&gt;&lt;style face="normal" font="default" size="100%"&gt;e&lt;/style&gt;&lt;style face="normal" font="default" charset="238" size="100%"&gt;quity&lt;/style&gt;&lt;/title&gt;&lt;/titles&gt;&lt;number&gt;31 October 2022&lt;/number&gt;&lt;dates&gt;&lt;year&gt;2022&lt;/year&gt;&lt;/dates&gt;&lt;urls&gt;&lt;related-urls&gt;&lt;url&gt;https://www.health.govt.nz/publication/evaluation-maori-influenza-and-measles-vaccination-programme-pursuit-maori-health-equity&lt;/url&gt;&lt;/related-urls&gt;&lt;/urls&gt;&lt;/record&gt;&lt;/Cite&gt;&lt;/EndNote&gt;</w:instrText>
      </w:r>
      <w:r w:rsidRPr="00344776">
        <w:rPr>
          <w:rStyle w:val="normaltextrun"/>
          <w:color w:val="231F20"/>
          <w:shd w:val="clear" w:color="auto" w:fill="FFFFFF"/>
        </w:rPr>
        <w:fldChar w:fldCharType="separate"/>
      </w:r>
      <w:r w:rsidRPr="00344776">
        <w:rPr>
          <w:rStyle w:val="normaltextrun"/>
          <w:noProof/>
          <w:color w:val="231F20"/>
          <w:shd w:val="clear" w:color="auto" w:fill="FFFFFF"/>
        </w:rPr>
        <w:t>(Ministry of Health 2022i)</w:t>
      </w:r>
      <w:r w:rsidRPr="00344776">
        <w:rPr>
          <w:rStyle w:val="normaltextrun"/>
          <w:color w:val="231F20"/>
          <w:shd w:val="clear" w:color="auto" w:fill="FFFFFF"/>
        </w:rPr>
        <w:fldChar w:fldCharType="end"/>
      </w:r>
      <w:r w:rsidRPr="00344776">
        <w:rPr>
          <w:rStyle w:val="normaltextrun"/>
          <w:color w:val="231F20"/>
          <w:shd w:val="clear" w:color="auto" w:fill="FFFFFF"/>
        </w:rPr>
        <w:t xml:space="preserve">. </w:t>
      </w:r>
    </w:p>
    <w:p w14:paraId="76A036C4" w14:textId="77777777" w:rsidR="00590B82" w:rsidRPr="00344776" w:rsidRDefault="00590B82" w:rsidP="00590B82">
      <w:pPr>
        <w:rPr>
          <w:rStyle w:val="normaltextrun"/>
          <w:color w:val="231F20"/>
          <w:shd w:val="clear" w:color="auto" w:fill="FFFFFF"/>
        </w:rPr>
      </w:pPr>
    </w:p>
    <w:p w14:paraId="7B62033F" w14:textId="77777777" w:rsidR="00590B82" w:rsidRPr="00344776" w:rsidRDefault="00590B82" w:rsidP="00590B82">
      <w:pPr>
        <w:rPr>
          <w:lang w:eastAsia="en-NZ"/>
        </w:rPr>
      </w:pPr>
      <w:r w:rsidRPr="00344776">
        <w:rPr>
          <w:lang w:eastAsia="en-NZ"/>
        </w:rPr>
        <w:t>In 2021, 70.4% of people 65 years and over were immunised against influenza. This compares to 69.2% in 2020, 57.5% in 2019 and 54.9% in 2018.</w:t>
      </w:r>
    </w:p>
    <w:p w14:paraId="7A238670" w14:textId="77777777" w:rsidR="00590B82" w:rsidRPr="00344776" w:rsidRDefault="00590B82" w:rsidP="00590B82">
      <w:pPr>
        <w:rPr>
          <w:rStyle w:val="normaltextrun"/>
          <w:color w:val="231F20"/>
          <w:shd w:val="clear" w:color="auto" w:fill="FFFFFF"/>
        </w:rPr>
      </w:pPr>
    </w:p>
    <w:p w14:paraId="3FE96EF3" w14:textId="77777777" w:rsidR="00590B82" w:rsidRPr="00344776" w:rsidRDefault="00590B82" w:rsidP="00590B82">
      <w:pPr>
        <w:rPr>
          <w:rStyle w:val="normaltextrun"/>
          <w:color w:val="231F20"/>
          <w:shd w:val="clear" w:color="auto" w:fill="FFFFFF"/>
        </w:rPr>
      </w:pPr>
      <w:r w:rsidRPr="00344776">
        <w:rPr>
          <w:rStyle w:val="normaltextrun"/>
          <w:color w:val="231F20"/>
          <w:shd w:val="clear" w:color="auto" w:fill="FFFFFF"/>
        </w:rPr>
        <w:t xml:space="preserve">Rates of influenza immunisation in 2021 for people 65 years and older differed by ethnicity. The rate of immunisation for Māori was 57.9%, the rate for Pacific peoples was 55.8% and the rate for non-Māori / non-Pacific was 71.9%. </w:t>
      </w:r>
    </w:p>
    <w:p w14:paraId="79522848" w14:textId="77777777" w:rsidR="00590B82" w:rsidRPr="00344776" w:rsidRDefault="00590B82" w:rsidP="00590B82">
      <w:pPr>
        <w:rPr>
          <w:rStyle w:val="normaltextrun"/>
          <w:color w:val="231F20"/>
          <w:shd w:val="clear" w:color="auto" w:fill="FFFFFF"/>
        </w:rPr>
      </w:pPr>
    </w:p>
    <w:p w14:paraId="1458615C" w14:textId="5FE04159" w:rsidR="00924A79" w:rsidRPr="00344776" w:rsidRDefault="00590B82" w:rsidP="00590B82">
      <w:pPr>
        <w:rPr>
          <w:rFonts w:ascii="Calibri" w:hAnsi="Calibri" w:cs="Calibri"/>
          <w:sz w:val="22"/>
          <w:lang w:val="en-US" w:eastAsia="en-NZ"/>
        </w:rPr>
      </w:pPr>
      <w:r w:rsidRPr="00344776">
        <w:rPr>
          <w:rStyle w:val="normaltextrun"/>
          <w:color w:val="231F20"/>
          <w:shd w:val="clear" w:color="auto" w:fill="FFFFFF"/>
        </w:rPr>
        <w:t xml:space="preserve">It should be noted that not all influenza </w:t>
      </w:r>
      <w:r w:rsidRPr="00344776">
        <w:rPr>
          <w:lang w:val="en-US" w:eastAsia="en-NZ"/>
        </w:rPr>
        <w:t>vaccinations are reported to the NIR</w:t>
      </w:r>
      <w:r>
        <w:rPr>
          <w:lang w:val="en-US" w:eastAsia="en-NZ"/>
        </w:rPr>
        <w:t>,</w:t>
      </w:r>
      <w:r w:rsidRPr="00344776">
        <w:rPr>
          <w:lang w:val="en-US" w:eastAsia="en-NZ"/>
        </w:rPr>
        <w:t xml:space="preserve"> as reporting adult vaccinations is not mandatory. For example, influenza vaccinations delivered in workplaces may not be reported to </w:t>
      </w:r>
      <w:r>
        <w:rPr>
          <w:lang w:val="en-US" w:eastAsia="en-NZ"/>
        </w:rPr>
        <w:t xml:space="preserve">the </w:t>
      </w:r>
      <w:r w:rsidRPr="00344776">
        <w:rPr>
          <w:lang w:val="en-US" w:eastAsia="en-NZ"/>
        </w:rPr>
        <w:t>NIR</w:t>
      </w:r>
      <w:r w:rsidR="00924A79" w:rsidRPr="00344776">
        <w:rPr>
          <w:lang w:val="en-US" w:eastAsia="en-NZ"/>
        </w:rPr>
        <w:t>.</w:t>
      </w:r>
    </w:p>
    <w:p w14:paraId="4B8ED693" w14:textId="77777777" w:rsidR="00B51E1F" w:rsidRDefault="00B51E1F" w:rsidP="00924A79">
      <w:pPr>
        <w:pStyle w:val="Heading2"/>
        <w:sectPr w:rsidR="00B51E1F" w:rsidSect="00B206F0">
          <w:pgSz w:w="11907" w:h="16840" w:code="9"/>
          <w:pgMar w:top="1418" w:right="1701" w:bottom="1134" w:left="1843" w:header="284" w:footer="425" w:gutter="284"/>
          <w:cols w:space="720"/>
        </w:sectPr>
      </w:pPr>
      <w:bookmarkStart w:id="139" w:name="_Toc118452235"/>
    </w:p>
    <w:p w14:paraId="1D9BB541" w14:textId="127C7485" w:rsidR="00924A79" w:rsidRPr="00344776" w:rsidRDefault="00924A79" w:rsidP="00247DFA">
      <w:pPr>
        <w:pStyle w:val="Heading2"/>
        <w:spacing w:before="0"/>
      </w:pPr>
      <w:bookmarkStart w:id="140" w:name="_Toc119312996"/>
      <w:r w:rsidRPr="00344776">
        <w:lastRenderedPageBreak/>
        <w:t>Cancer</w:t>
      </w:r>
      <w:bookmarkEnd w:id="139"/>
      <w:bookmarkEnd w:id="140"/>
    </w:p>
    <w:p w14:paraId="36700CA1" w14:textId="77777777" w:rsidR="00590B82" w:rsidRPr="00344776" w:rsidRDefault="00590B82" w:rsidP="00590B82">
      <w:r w:rsidRPr="00344776">
        <w:t>Each year, approximately 25,000 people are diagnosed with cancer in Aotearoa New Zealand, including nearly 3,000 Māori. Cancer, when all types are combined, is the leading cause of death in New Zealand</w:t>
      </w:r>
      <w:r>
        <w:t>. A</w:t>
      </w:r>
      <w:r w:rsidRPr="00344776">
        <w:t>pproximately 9,000 people</w:t>
      </w:r>
      <w:r w:rsidRPr="00344776" w:rsidDel="006664EB">
        <w:t xml:space="preserve"> </w:t>
      </w:r>
      <w:r>
        <w:t xml:space="preserve">die </w:t>
      </w:r>
      <w:r w:rsidRPr="00344776">
        <w:t xml:space="preserve">from cancer each year </w:t>
      </w:r>
      <w:r w:rsidRPr="00344776">
        <w:fldChar w:fldCharType="begin"/>
      </w:r>
      <w:r>
        <w:instrText xml:space="preserve"> ADDIN EN.CITE &lt;EndNote&gt;&lt;Cite&gt;&lt;Author&gt;Te Aho o Te Kahu Cancer Control Agency&lt;/Author&gt;&lt;Year&gt;2021&lt;/Year&gt;&lt;RecNum&gt;29&lt;/RecNum&gt;&lt;DisplayText&gt;(Te Aho o Te Kahu Cancer Control Agency 2021)&lt;/DisplayText&gt;&lt;record&gt;&lt;rec-number&gt;29&lt;/rec-number&gt;&lt;foreign-keys&gt;&lt;key app="EN" db-id="aaepvppzs5wtfse95vsp2wahsrtvva2vvdet" timestamp="1632281525"&gt;29&lt;/key&gt;&lt;/foreign-keys&gt;&lt;ref-type name="Web Page"&gt;12&lt;/ref-type&gt;&lt;contributors&gt;&lt;authors&gt;&lt;author&gt;Te Aho o Te Kahu Cancer Control Agency,&lt;/author&gt;&lt;/authors&gt;&lt;/contributors&gt;&lt;titles&gt;&lt;title&gt;The state of cancer in New Zealand 2020&lt;/title&gt;&lt;/titles&gt;&lt;number&gt;31 October 2022&lt;/number&gt;&lt;dates&gt;&lt;year&gt;2021&lt;/year&gt;&lt;/dates&gt;&lt;urls&gt;&lt;related-urls&gt;&lt;url&gt;https://teaho.govt.nz/reports/cancer-state&lt;/url&gt;&lt;/related-urls&gt;&lt;/urls&gt;&lt;/record&gt;&lt;/Cite&gt;&lt;/EndNote&gt;</w:instrText>
      </w:r>
      <w:r w:rsidRPr="00344776">
        <w:fldChar w:fldCharType="separate"/>
      </w:r>
      <w:r w:rsidRPr="00344776">
        <w:rPr>
          <w:noProof/>
        </w:rPr>
        <w:t>(Te Aho o Te Kahu Cancer Control Agency 2021)</w:t>
      </w:r>
      <w:r w:rsidRPr="00344776">
        <w:fldChar w:fldCharType="end"/>
      </w:r>
      <w:r w:rsidRPr="00344776">
        <w:t xml:space="preserve">. </w:t>
      </w:r>
    </w:p>
    <w:p w14:paraId="08E4AB3E" w14:textId="77777777" w:rsidR="00924A79" w:rsidRPr="00344776" w:rsidRDefault="00924A79" w:rsidP="00924A79">
      <w:pPr>
        <w:pStyle w:val="Heading3"/>
      </w:pPr>
      <w:r w:rsidRPr="00344776">
        <w:t>Cancer incidence</w:t>
      </w:r>
    </w:p>
    <w:p w14:paraId="19115478" w14:textId="665FED50" w:rsidR="00924A79" w:rsidRPr="00344776" w:rsidRDefault="00590B82" w:rsidP="00924A79">
      <w:r w:rsidRPr="00344776">
        <w:t xml:space="preserve">The most diagnosed cancers in New Zealand (excluding non-melanoma skin cancers) are breast, lung, prostate and colorectal cancers </w:t>
      </w:r>
      <w:r w:rsidRPr="00344776">
        <w:fldChar w:fldCharType="begin"/>
      </w:r>
      <w:r>
        <w:instrText xml:space="preserve"> ADDIN EN.CITE &lt;EndNote&gt;&lt;Cite&gt;&lt;Author&gt;Te Aho o Te Kahu Cancer Control Agency&lt;/Author&gt;&lt;Year&gt;2021&lt;/Year&gt;&lt;RecNum&gt;29&lt;/RecNum&gt;&lt;DisplayText&gt;(Te Aho o Te Kahu Cancer Control Agency 2021)&lt;/DisplayText&gt;&lt;record&gt;&lt;rec-number&gt;29&lt;/rec-number&gt;&lt;foreign-keys&gt;&lt;key app="EN" db-id="aaepvppzs5wtfse95vsp2wahsrtvva2vvdet" timestamp="1632281525"&gt;29&lt;/key&gt;&lt;/foreign-keys&gt;&lt;ref-type name="Web Page"&gt;12&lt;/ref-type&gt;&lt;contributors&gt;&lt;authors&gt;&lt;author&gt;Te Aho o Te Kahu Cancer Control Agency,&lt;/author&gt;&lt;/authors&gt;&lt;/contributors&gt;&lt;titles&gt;&lt;title&gt;The state of cancer in New Zealand 2020&lt;/title&gt;&lt;/titles&gt;&lt;number&gt;31 October 2022&lt;/number&gt;&lt;dates&gt;&lt;year&gt;2021&lt;/year&gt;&lt;/dates&gt;&lt;urls&gt;&lt;related-urls&gt;&lt;url&gt;https://teaho.govt.nz/reports/cancer-state&lt;/url&gt;&lt;/related-urls&gt;&lt;/urls&gt;&lt;/record&gt;&lt;/Cite&gt;&lt;/EndNote&gt;</w:instrText>
      </w:r>
      <w:r w:rsidRPr="00344776">
        <w:fldChar w:fldCharType="separate"/>
      </w:r>
      <w:r w:rsidRPr="00344776">
        <w:rPr>
          <w:noProof/>
        </w:rPr>
        <w:t>(Te Aho o Te Kahu Cancer Control Agency 2021)</w:t>
      </w:r>
      <w:r w:rsidRPr="00344776">
        <w:fldChar w:fldCharType="end"/>
      </w:r>
      <w:r w:rsidRPr="00344776">
        <w:t>. After adjusting for population size and age structure, Māori are more likely than non-Māori to be diagnosed with a range of cancers, including breast, liver, lung, pancreatic, stomach and uterine. However, non-Māori</w:t>
      </w:r>
      <w:r>
        <w:t xml:space="preserve"> </w:t>
      </w:r>
      <w:r w:rsidRPr="00344776">
        <w:t xml:space="preserve">are more likely than Māori to be diagnosed with melanoma, colorectal and prostate cancers </w:t>
      </w:r>
      <w:r w:rsidR="00924A79" w:rsidRPr="00344776">
        <w:t>(</w:t>
      </w:r>
      <w:r w:rsidR="00051D54">
        <w:fldChar w:fldCharType="begin"/>
      </w:r>
      <w:r w:rsidR="00051D54">
        <w:instrText xml:space="preserve"> REF _Ref114828960 \h </w:instrText>
      </w:r>
      <w:r w:rsidR="00051D54">
        <w:fldChar w:fldCharType="separate"/>
      </w:r>
      <w:r w:rsidR="00F61845" w:rsidRPr="00344776">
        <w:t xml:space="preserve">Figure </w:t>
      </w:r>
      <w:r w:rsidR="00F61845">
        <w:rPr>
          <w:noProof/>
        </w:rPr>
        <w:t>30</w:t>
      </w:r>
      <w:r w:rsidR="00051D54">
        <w:fldChar w:fldCharType="end"/>
      </w:r>
      <w:r w:rsidR="00924A79" w:rsidRPr="00344776">
        <w:t xml:space="preserve">). </w:t>
      </w:r>
    </w:p>
    <w:p w14:paraId="48E22CA0" w14:textId="0EF919B9" w:rsidR="00924A79" w:rsidRPr="00344776" w:rsidRDefault="00924A79" w:rsidP="00253316">
      <w:pPr>
        <w:pStyle w:val="Figure"/>
      </w:pPr>
      <w:bookmarkStart w:id="141" w:name="_Ref114828960"/>
      <w:bookmarkStart w:id="142" w:name="_Toc118446244"/>
      <w:bookmarkStart w:id="143" w:name="_Toc119047774"/>
      <w:r w:rsidRPr="00344776">
        <w:t xml:space="preserve">Figure </w:t>
      </w:r>
      <w:r w:rsidRPr="00344776">
        <w:fldChar w:fldCharType="begin"/>
      </w:r>
      <w:r w:rsidRPr="00344776">
        <w:instrText>SEQ Figure \* ARABIC</w:instrText>
      </w:r>
      <w:r w:rsidRPr="00344776">
        <w:fldChar w:fldCharType="separate"/>
      </w:r>
      <w:r w:rsidR="00F61845">
        <w:rPr>
          <w:noProof/>
        </w:rPr>
        <w:t>30</w:t>
      </w:r>
      <w:r w:rsidRPr="00344776">
        <w:fldChar w:fldCharType="end"/>
      </w:r>
      <w:bookmarkEnd w:id="141"/>
      <w:r w:rsidRPr="00344776">
        <w:t>: Incidence rates for the 10 most diagnosed cancers in Aotearoa, Māori and non-Māori, age- and sex-standardised, 2008–2017</w:t>
      </w:r>
      <w:bookmarkEnd w:id="142"/>
      <w:bookmarkEnd w:id="143"/>
    </w:p>
    <w:p w14:paraId="27D6D656" w14:textId="77777777" w:rsidR="00924A79" w:rsidRPr="00344776" w:rsidRDefault="00924A79" w:rsidP="00924A79">
      <w:pPr>
        <w:rPr>
          <w:szCs w:val="21"/>
        </w:rPr>
      </w:pPr>
      <w:r w:rsidRPr="00344776">
        <w:rPr>
          <w:noProof/>
        </w:rPr>
        <w:drawing>
          <wp:inline distT="0" distB="0" distL="0" distR="0" wp14:anchorId="25801CDB" wp14:editId="2B7949D3">
            <wp:extent cx="5394325" cy="2695489"/>
            <wp:effectExtent l="0" t="0" r="0" b="0"/>
            <wp:docPr id="58" name="Picture 58" descr="This bar chart shows incidence rates for the top 10 most diagnosed cancers with breakdowns for Māori and non-Māori from 2008 to 2017. The top 10 cancers listed in order are: Breast, Lung, Prostate, Colorectal, Melanoma, Leukemia, Head/Neck, Kidney, Pancreas, Non-Hodgkin’s Lymphoma. For most cancers the rates were higher for Māori compared to non-Māori, the most notable exception was melanoma where the rate was higher for non-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is bar chart shows incidence rates for the top 10 most diagnosed cancers with breakdowns for Māori and non-Māori from 2008 to 2017. The top 10 cancers listed in order are: Breast, Lung, Prostate, Colorectal, Melanoma, Leukemia, Head/Neck, Kidney, Pancreas, Non-Hodgkin’s Lymphoma. For most cancers the rates were higher for Māori compared to non-Māori, the most notable exception was melanoma where the rate was higher for non-Māori."/>
                    <pic:cNvPicPr>
                      <a:picLocks noChangeAspect="1" noChangeArrowheads="1"/>
                    </pic:cNvPicPr>
                  </pic:nvPicPr>
                  <pic:blipFill rotWithShape="1">
                    <a:blip r:embed="rId86"/>
                    <a:srcRect t="6285"/>
                    <a:stretch/>
                  </pic:blipFill>
                  <pic:spPr bwMode="auto">
                    <a:xfrm>
                      <a:off x="0" y="0"/>
                      <a:ext cx="5394901" cy="2695777"/>
                    </a:xfrm>
                    <a:prstGeom prst="rect">
                      <a:avLst/>
                    </a:prstGeom>
                    <a:noFill/>
                    <a:ln>
                      <a:noFill/>
                    </a:ln>
                    <a:extLst>
                      <a:ext uri="{53640926-AAD7-44D8-BBD7-CCE9431645EC}">
                        <a14:shadowObscured xmlns:a14="http://schemas.microsoft.com/office/drawing/2010/main"/>
                      </a:ext>
                    </a:extLst>
                  </pic:spPr>
                </pic:pic>
              </a:graphicData>
            </a:graphic>
          </wp:inline>
        </w:drawing>
      </w:r>
    </w:p>
    <w:p w14:paraId="77E95D68" w14:textId="6711E7C3" w:rsidR="00924A79" w:rsidRDefault="00924A79" w:rsidP="00051D54">
      <w:pPr>
        <w:pStyle w:val="Source"/>
        <w:rPr>
          <w:rStyle w:val="Hyperlink"/>
        </w:rPr>
      </w:pPr>
      <w:r w:rsidRPr="0080730D">
        <w:t xml:space="preserve">Source: </w:t>
      </w:r>
      <w:hyperlink r:id="rId87" w:history="1">
        <w:proofErr w:type="spellStart"/>
        <w:r w:rsidRPr="0080730D">
          <w:rPr>
            <w:rStyle w:val="Hyperlink"/>
          </w:rPr>
          <w:t>Te</w:t>
        </w:r>
        <w:proofErr w:type="spellEnd"/>
        <w:r w:rsidRPr="0080730D">
          <w:rPr>
            <w:rStyle w:val="Hyperlink"/>
          </w:rPr>
          <w:t xml:space="preserve"> </w:t>
        </w:r>
        <w:proofErr w:type="spellStart"/>
        <w:r w:rsidRPr="0080730D">
          <w:rPr>
            <w:rStyle w:val="Hyperlink"/>
          </w:rPr>
          <w:t>Aho</w:t>
        </w:r>
        <w:proofErr w:type="spellEnd"/>
        <w:r w:rsidRPr="0080730D">
          <w:rPr>
            <w:rStyle w:val="Hyperlink"/>
          </w:rPr>
          <w:t xml:space="preserve"> o </w:t>
        </w:r>
        <w:proofErr w:type="spellStart"/>
        <w:r w:rsidRPr="0080730D">
          <w:rPr>
            <w:rStyle w:val="Hyperlink"/>
          </w:rPr>
          <w:t>Te</w:t>
        </w:r>
        <w:proofErr w:type="spellEnd"/>
        <w:r w:rsidRPr="0080730D">
          <w:rPr>
            <w:rStyle w:val="Hyperlink"/>
          </w:rPr>
          <w:t xml:space="preserve"> Kahu Cancer Control Agency (2021)</w:t>
        </w:r>
      </w:hyperlink>
    </w:p>
    <w:p w14:paraId="34F501F3" w14:textId="3658A683" w:rsidR="00051D54" w:rsidRDefault="00051D54" w:rsidP="00051D54"/>
    <w:p w14:paraId="4794DDFC" w14:textId="77777777" w:rsidR="00B51E1F" w:rsidRDefault="00B51E1F" w:rsidP="00924A79">
      <w:pPr>
        <w:pStyle w:val="Heading3"/>
        <w:sectPr w:rsidR="00B51E1F" w:rsidSect="00B206F0">
          <w:pgSz w:w="11907" w:h="16840" w:code="9"/>
          <w:pgMar w:top="1418" w:right="1701" w:bottom="1134" w:left="1843" w:header="284" w:footer="425" w:gutter="284"/>
          <w:cols w:space="720"/>
        </w:sectPr>
      </w:pPr>
    </w:p>
    <w:p w14:paraId="6A2DBA74" w14:textId="18065FC6" w:rsidR="00924A79" w:rsidRPr="00344776" w:rsidRDefault="00924A79" w:rsidP="00247DFA">
      <w:pPr>
        <w:pStyle w:val="Heading3"/>
        <w:spacing w:before="0"/>
      </w:pPr>
      <w:r w:rsidRPr="00344776">
        <w:lastRenderedPageBreak/>
        <w:t xml:space="preserve">Cancer mortality </w:t>
      </w:r>
    </w:p>
    <w:p w14:paraId="5C9574E6" w14:textId="07225C1C" w:rsidR="00924A79" w:rsidRPr="00344776" w:rsidRDefault="00590B82" w:rsidP="00924A79">
      <w:r w:rsidRPr="00344776">
        <w:t xml:space="preserve">Lung, colorectal, breast and prostate cancers are the most common causes of cancer-related death. Māori experience higher mortality rates from cancer than non-Māori </w:t>
      </w:r>
      <w:r w:rsidRPr="00344776">
        <w:fldChar w:fldCharType="begin"/>
      </w:r>
      <w:r>
        <w:instrText xml:space="preserve"> ADDIN EN.CITE &lt;EndNote&gt;&lt;Cite&gt;&lt;Author&gt;Te Aho o Te Kahu Cancer Control Agency&lt;/Author&gt;&lt;Year&gt;2021&lt;/Year&gt;&lt;RecNum&gt;29&lt;/RecNum&gt;&lt;DisplayText&gt;(Te Aho o Te Kahu Cancer Control Agency 2021)&lt;/DisplayText&gt;&lt;record&gt;&lt;rec-number&gt;29&lt;/rec-number&gt;&lt;foreign-keys&gt;&lt;key app="EN" db-id="aaepvppzs5wtfse95vsp2wahsrtvva2vvdet" timestamp="1632281525"&gt;29&lt;/key&gt;&lt;/foreign-keys&gt;&lt;ref-type name="Web Page"&gt;12&lt;/ref-type&gt;&lt;contributors&gt;&lt;authors&gt;&lt;author&gt;Te Aho o Te Kahu Cancer Control Agency,&lt;/author&gt;&lt;/authors&gt;&lt;/contributors&gt;&lt;titles&gt;&lt;title&gt;The state of cancer in New Zealand 2020&lt;/title&gt;&lt;/titles&gt;&lt;number&gt;31 October 2022&lt;/number&gt;&lt;dates&gt;&lt;year&gt;2021&lt;/year&gt;&lt;/dates&gt;&lt;urls&gt;&lt;related-urls&gt;&lt;url&gt;https://teaho.govt.nz/reports/cancer-state&lt;/url&gt;&lt;/related-urls&gt;&lt;/urls&gt;&lt;/record&gt;&lt;/Cite&gt;&lt;/EndNote&gt;</w:instrText>
      </w:r>
      <w:r w:rsidRPr="00344776">
        <w:fldChar w:fldCharType="separate"/>
      </w:r>
      <w:r w:rsidRPr="00344776">
        <w:rPr>
          <w:noProof/>
        </w:rPr>
        <w:t>(Te Aho o Te Kahu Cancer Control Agency 2021)</w:t>
      </w:r>
      <w:r w:rsidRPr="00344776">
        <w:fldChar w:fldCharType="end"/>
      </w:r>
      <w:r w:rsidR="00924A79" w:rsidRPr="00344776">
        <w:t>.</w:t>
      </w:r>
    </w:p>
    <w:p w14:paraId="6CB28EDE" w14:textId="2E540B36" w:rsidR="00924A79" w:rsidRPr="00344776" w:rsidRDefault="00924A79" w:rsidP="00924A79">
      <w:pPr>
        <w:pStyle w:val="Figure"/>
      </w:pPr>
      <w:bookmarkStart w:id="144" w:name="_Toc118446245"/>
      <w:bookmarkStart w:id="145" w:name="_Toc118730685"/>
      <w:bookmarkStart w:id="146" w:name="_Toc119047775"/>
      <w:r w:rsidRPr="00344776">
        <w:t xml:space="preserve">Figure </w:t>
      </w:r>
      <w:r w:rsidRPr="00344776">
        <w:fldChar w:fldCharType="begin"/>
      </w:r>
      <w:r w:rsidRPr="00344776">
        <w:instrText>SEQ Figure \* ARABIC</w:instrText>
      </w:r>
      <w:r w:rsidRPr="00344776">
        <w:fldChar w:fldCharType="separate"/>
      </w:r>
      <w:r w:rsidR="00F61845">
        <w:rPr>
          <w:noProof/>
        </w:rPr>
        <w:t>31</w:t>
      </w:r>
      <w:r w:rsidRPr="00344776">
        <w:fldChar w:fldCharType="end"/>
      </w:r>
      <w:r w:rsidRPr="00344776">
        <w:t>: Age- and sex-standardised cancer-related mortality, 2007–2017</w:t>
      </w:r>
      <w:bookmarkEnd w:id="144"/>
      <w:bookmarkEnd w:id="145"/>
      <w:bookmarkEnd w:id="146"/>
    </w:p>
    <w:p w14:paraId="191FC965" w14:textId="77777777" w:rsidR="00924A79" w:rsidRPr="00344776" w:rsidRDefault="00924A79" w:rsidP="00051D54">
      <w:pPr>
        <w:spacing w:after="120"/>
        <w:rPr>
          <w:szCs w:val="21"/>
        </w:rPr>
      </w:pPr>
      <w:r w:rsidRPr="00344776">
        <w:rPr>
          <w:noProof/>
        </w:rPr>
        <w:drawing>
          <wp:inline distT="0" distB="0" distL="0" distR="0" wp14:anchorId="2B3AA288" wp14:editId="077F93C4">
            <wp:extent cx="5394325" cy="2674224"/>
            <wp:effectExtent l="0" t="0" r="0" b="0"/>
            <wp:docPr id="59" name="Picture 59" descr="This bar chart shows cancer related mortality rates for the top 10 most diagnosed cancers with breakdowns for Māori and non-Māori. The top 10 cancers listed in order are: Lung, Colorectal, Breast, Pancreas, Stomach, Prostate, Leukemia, Eye/Brain/Central nervous system, Non-Hodgkin’s Lymphoma, Melanoma. For most cancers the rates were higher for Māori compared to non-Māori, the most notable exception was melanoma where the rate was higher for non-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bar chart shows cancer related mortality rates for the top 10 most diagnosed cancers with breakdowns for Māori and non-Māori. The top 10 cancers listed in order are: Lung, Colorectal, Breast, Pancreas, Stomach, Prostate, Leukemia, Eye/Brain/Central nervous system, Non-Hodgkin’s Lymphoma, Melanoma. For most cancers the rates were higher for Māori compared to non-Māori, the most notable exception was melanoma where the rate was higher for non-Māori."/>
                    <pic:cNvPicPr>
                      <a:picLocks noChangeAspect="1" noChangeArrowheads="1"/>
                    </pic:cNvPicPr>
                  </pic:nvPicPr>
                  <pic:blipFill rotWithShape="1">
                    <a:blip r:embed="rId88"/>
                    <a:srcRect t="7023"/>
                    <a:stretch/>
                  </pic:blipFill>
                  <pic:spPr bwMode="auto">
                    <a:xfrm>
                      <a:off x="0" y="0"/>
                      <a:ext cx="5394901" cy="2674510"/>
                    </a:xfrm>
                    <a:prstGeom prst="rect">
                      <a:avLst/>
                    </a:prstGeom>
                    <a:noFill/>
                    <a:ln>
                      <a:noFill/>
                    </a:ln>
                    <a:extLst>
                      <a:ext uri="{53640926-AAD7-44D8-BBD7-CCE9431645EC}">
                        <a14:shadowObscured xmlns:a14="http://schemas.microsoft.com/office/drawing/2010/main"/>
                      </a:ext>
                    </a:extLst>
                  </pic:spPr>
                </pic:pic>
              </a:graphicData>
            </a:graphic>
          </wp:inline>
        </w:drawing>
      </w:r>
    </w:p>
    <w:p w14:paraId="152F9530" w14:textId="22BC59B4" w:rsidR="00051D54" w:rsidRPr="00344776" w:rsidRDefault="00051D54" w:rsidP="00051D54">
      <w:pPr>
        <w:pStyle w:val="Source"/>
        <w:rPr>
          <w:b/>
          <w:color w:val="595959" w:themeColor="text1" w:themeTint="A6"/>
        </w:rPr>
      </w:pPr>
      <w:r w:rsidRPr="00344776">
        <w:t xml:space="preserve">Source: </w:t>
      </w:r>
      <w:hyperlink r:id="rId89" w:history="1">
        <w:proofErr w:type="spellStart"/>
        <w:r w:rsidRPr="0080730D">
          <w:rPr>
            <w:rStyle w:val="Hyperlink"/>
          </w:rPr>
          <w:t>Te</w:t>
        </w:r>
        <w:proofErr w:type="spellEnd"/>
        <w:r w:rsidRPr="0080730D">
          <w:rPr>
            <w:rStyle w:val="Hyperlink"/>
          </w:rPr>
          <w:t xml:space="preserve"> </w:t>
        </w:r>
        <w:proofErr w:type="spellStart"/>
        <w:r w:rsidRPr="0080730D">
          <w:rPr>
            <w:rStyle w:val="Hyperlink"/>
          </w:rPr>
          <w:t>Aho</w:t>
        </w:r>
        <w:proofErr w:type="spellEnd"/>
        <w:r w:rsidRPr="0080730D">
          <w:rPr>
            <w:rStyle w:val="Hyperlink"/>
          </w:rPr>
          <w:t xml:space="preserve"> o </w:t>
        </w:r>
        <w:proofErr w:type="spellStart"/>
        <w:r w:rsidRPr="0080730D">
          <w:rPr>
            <w:rStyle w:val="Hyperlink"/>
          </w:rPr>
          <w:t>Te</w:t>
        </w:r>
        <w:proofErr w:type="spellEnd"/>
        <w:r w:rsidRPr="0080730D">
          <w:rPr>
            <w:rStyle w:val="Hyperlink"/>
          </w:rPr>
          <w:t xml:space="preserve"> Kahu Cancer Control Agency (2021)</w:t>
        </w:r>
      </w:hyperlink>
    </w:p>
    <w:p w14:paraId="737DED26" w14:textId="4B987AA9" w:rsidR="00924A79" w:rsidRPr="00344776" w:rsidRDefault="00924A79" w:rsidP="00051D54">
      <w:pPr>
        <w:pStyle w:val="Note"/>
      </w:pPr>
      <w:r w:rsidRPr="00344776">
        <w:t>Note: CNS = central nervous system</w:t>
      </w:r>
      <w:r>
        <w:t>.</w:t>
      </w:r>
      <w:r w:rsidRPr="00344776">
        <w:t xml:space="preserve"> </w:t>
      </w:r>
    </w:p>
    <w:p w14:paraId="2ADE0BD9" w14:textId="77777777" w:rsidR="00924A79" w:rsidRPr="00344776" w:rsidRDefault="00924A79" w:rsidP="00924A79">
      <w:pPr>
        <w:pStyle w:val="Heading3"/>
      </w:pPr>
      <w:r w:rsidRPr="00344776">
        <w:t xml:space="preserve">Cancer trends over time </w:t>
      </w:r>
    </w:p>
    <w:p w14:paraId="19956797" w14:textId="77777777" w:rsidR="00590B82" w:rsidRPr="00344776" w:rsidRDefault="00590B82" w:rsidP="00590B82">
      <w:bookmarkStart w:id="147" w:name="_Toc118446246"/>
      <w:r w:rsidRPr="00344776">
        <w:t xml:space="preserve">The number of New Zealanders diagnosed with cancer is increasing, likely due to </w:t>
      </w:r>
      <w:r>
        <w:t xml:space="preserve">the fact that our population is </w:t>
      </w:r>
      <w:r w:rsidRPr="00344776">
        <w:t xml:space="preserve">growing and ageing </w:t>
      </w:r>
      <w:r w:rsidRPr="00344776">
        <w:fldChar w:fldCharType="begin"/>
      </w:r>
      <w:r>
        <w:instrText xml:space="preserve"> ADDIN EN.CITE &lt;EndNote&gt;&lt;Cite&gt;&lt;Author&gt;Te Aho o Te Kahu Cancer Control Agency&lt;/Author&gt;&lt;Year&gt;2021&lt;/Year&gt;&lt;RecNum&gt;29&lt;/RecNum&gt;&lt;DisplayText&gt;(Te Aho o Te Kahu Cancer Control Agency 2021)&lt;/DisplayText&gt;&lt;record&gt;&lt;rec-number&gt;29&lt;/rec-number&gt;&lt;foreign-keys&gt;&lt;key app="EN" db-id="aaepvppzs5wtfse95vsp2wahsrtvva2vvdet" timestamp="1632281525"&gt;29&lt;/key&gt;&lt;/foreign-keys&gt;&lt;ref-type name="Web Page"&gt;12&lt;/ref-type&gt;&lt;contributors&gt;&lt;authors&gt;&lt;author&gt;Te Aho o Te Kahu Cancer Control Agency,&lt;/author&gt;&lt;/authors&gt;&lt;/contributors&gt;&lt;titles&gt;&lt;title&gt;The state of cancer in New Zealand 2020&lt;/title&gt;&lt;/titles&gt;&lt;number&gt;31 October 2022&lt;/number&gt;&lt;dates&gt;&lt;year&gt;2021&lt;/year&gt;&lt;/dates&gt;&lt;urls&gt;&lt;related-urls&gt;&lt;url&gt;https://teaho.govt.nz/reports/cancer-state&lt;/url&gt;&lt;/related-urls&gt;&lt;/urls&gt;&lt;/record&gt;&lt;/Cite&gt;&lt;/EndNote&gt;</w:instrText>
      </w:r>
      <w:r w:rsidRPr="00344776">
        <w:fldChar w:fldCharType="separate"/>
      </w:r>
      <w:r w:rsidRPr="00344776">
        <w:rPr>
          <w:noProof/>
        </w:rPr>
        <w:t>(Te Aho o Te Kahu Cancer Control Agency 2021)</w:t>
      </w:r>
      <w:r w:rsidRPr="00344776">
        <w:fldChar w:fldCharType="end"/>
      </w:r>
      <w:r w:rsidRPr="00344776">
        <w:t>. However, cancer incidence patterns have changed over time</w:t>
      </w:r>
      <w:r>
        <w:t>. S</w:t>
      </w:r>
      <w:r w:rsidRPr="00344776">
        <w:t xml:space="preserve">ome </w:t>
      </w:r>
      <w:r>
        <w:t xml:space="preserve">cancers are </w:t>
      </w:r>
      <w:proofErr w:type="gramStart"/>
      <w:r w:rsidRPr="00344776">
        <w:t>decreasing</w:t>
      </w:r>
      <w:proofErr w:type="gramEnd"/>
      <w:r w:rsidRPr="00344776">
        <w:t xml:space="preserve"> and others </w:t>
      </w:r>
      <w:r>
        <w:t xml:space="preserve">are </w:t>
      </w:r>
      <w:r w:rsidRPr="00344776">
        <w:t>increasing.</w:t>
      </w:r>
    </w:p>
    <w:p w14:paraId="13B3BE23" w14:textId="77777777" w:rsidR="00590B82" w:rsidRPr="00344776" w:rsidRDefault="00590B82" w:rsidP="00590B82"/>
    <w:p w14:paraId="7E3EB0FA" w14:textId="77777777" w:rsidR="00B51E1F" w:rsidRDefault="00B51E1F" w:rsidP="00590B82">
      <w:pPr>
        <w:sectPr w:rsidR="00B51E1F" w:rsidSect="00B206F0">
          <w:pgSz w:w="11907" w:h="16840" w:code="9"/>
          <w:pgMar w:top="1418" w:right="1701" w:bottom="1134" w:left="1843" w:header="284" w:footer="425" w:gutter="284"/>
          <w:cols w:space="720"/>
        </w:sectPr>
      </w:pPr>
    </w:p>
    <w:p w14:paraId="4914C921" w14:textId="4C34450F" w:rsidR="00B51E1F" w:rsidRDefault="00590B82" w:rsidP="00B51E1F">
      <w:r w:rsidRPr="00344776">
        <w:lastRenderedPageBreak/>
        <w:t>Over the past 20 years, cancer survival rates in Aotearoa New Zealand have increased substantially</w:t>
      </w:r>
      <w:r>
        <w:t>:</w:t>
      </w:r>
      <w:r w:rsidRPr="00344776">
        <w:t xml:space="preserve"> more people </w:t>
      </w:r>
      <w:r>
        <w:t xml:space="preserve">are </w:t>
      </w:r>
      <w:r w:rsidRPr="00344776">
        <w:t xml:space="preserve">surviving their cancer than ever before </w:t>
      </w:r>
      <w:r w:rsidRPr="00344776">
        <w:fldChar w:fldCharType="begin"/>
      </w:r>
      <w:r>
        <w:instrText xml:space="preserve"> ADDIN EN.CITE &lt;EndNote&gt;&lt;Cite&gt;&lt;Author&gt;Te Aho o Te Kahu Cancer Control Agency&lt;/Author&gt;&lt;Year&gt;2021&lt;/Year&gt;&lt;RecNum&gt;29&lt;/RecNum&gt;&lt;DisplayText&gt;(Te Aho o Te Kahu Cancer Control Agency 2021)&lt;/DisplayText&gt;&lt;record&gt;&lt;rec-number&gt;29&lt;/rec-number&gt;&lt;foreign-keys&gt;&lt;key app="EN" db-id="aaepvppzs5wtfse95vsp2wahsrtvva2vvdet" timestamp="1632281525"&gt;29&lt;/key&gt;&lt;/foreign-keys&gt;&lt;ref-type name="Web Page"&gt;12&lt;/ref-type&gt;&lt;contributors&gt;&lt;authors&gt;&lt;author&gt;Te Aho o Te Kahu Cancer Control Agency,&lt;/author&gt;&lt;/authors&gt;&lt;/contributors&gt;&lt;titles&gt;&lt;title&gt;The state of cancer in New Zealand 2020&lt;/title&gt;&lt;/titles&gt;&lt;number&gt;31 October 2022&lt;/number&gt;&lt;dates&gt;&lt;year&gt;2021&lt;/year&gt;&lt;/dates&gt;&lt;urls&gt;&lt;related-urls&gt;&lt;url&gt;https://teaho.govt.nz/reports/cancer-state&lt;/url&gt;&lt;/related-urls&gt;&lt;/urls&gt;&lt;/record&gt;&lt;/Cite&gt;&lt;/EndNote&gt;</w:instrText>
      </w:r>
      <w:r w:rsidRPr="00344776">
        <w:fldChar w:fldCharType="separate"/>
      </w:r>
      <w:r w:rsidRPr="00344776">
        <w:rPr>
          <w:noProof/>
        </w:rPr>
        <w:t>(Te Aho o Te Kahu Cancer Control Agency 2021)</w:t>
      </w:r>
      <w:r w:rsidRPr="00344776">
        <w:fldChar w:fldCharType="end"/>
      </w:r>
      <w:r w:rsidRPr="00344776">
        <w:t xml:space="preserve">. </w:t>
      </w:r>
    </w:p>
    <w:p w14:paraId="11E4105E" w14:textId="3BDEC594" w:rsidR="00924A79" w:rsidRPr="00344776" w:rsidRDefault="00924A79" w:rsidP="00253316">
      <w:pPr>
        <w:pStyle w:val="Figure"/>
      </w:pPr>
      <w:bookmarkStart w:id="148" w:name="_Toc119047776"/>
      <w:r w:rsidRPr="00344776">
        <w:t xml:space="preserve">Figure </w:t>
      </w:r>
      <w:r w:rsidRPr="00344776">
        <w:fldChar w:fldCharType="begin"/>
      </w:r>
      <w:r w:rsidRPr="00344776">
        <w:instrText>SEQ Figure \* ARABIC</w:instrText>
      </w:r>
      <w:r w:rsidRPr="00344776">
        <w:fldChar w:fldCharType="separate"/>
      </w:r>
      <w:r w:rsidR="00F61845">
        <w:rPr>
          <w:noProof/>
        </w:rPr>
        <w:t>32</w:t>
      </w:r>
      <w:r w:rsidRPr="00344776">
        <w:fldChar w:fldCharType="end"/>
      </w:r>
      <w:r w:rsidRPr="00344776">
        <w:t>: Trends in select cancers</w:t>
      </w:r>
      <w:r>
        <w:t>’</w:t>
      </w:r>
      <w:r w:rsidRPr="00344776">
        <w:t xml:space="preserve"> </w:t>
      </w:r>
      <w:r>
        <w:t>5</w:t>
      </w:r>
      <w:r w:rsidRPr="00344776">
        <w:t>-year survival rates, 1998/99–2016/17</w:t>
      </w:r>
      <w:bookmarkEnd w:id="147"/>
      <w:bookmarkEnd w:id="148"/>
    </w:p>
    <w:p w14:paraId="7554B21F" w14:textId="77777777" w:rsidR="00924A79" w:rsidRPr="00344776" w:rsidRDefault="00924A79" w:rsidP="00051D54">
      <w:pPr>
        <w:spacing w:after="120"/>
      </w:pPr>
      <w:r w:rsidRPr="00344776">
        <w:rPr>
          <w:noProof/>
        </w:rPr>
        <w:drawing>
          <wp:inline distT="0" distB="0" distL="0" distR="0" wp14:anchorId="7B631C84" wp14:editId="3A545284">
            <wp:extent cx="5129530" cy="4927511"/>
            <wp:effectExtent l="0" t="0" r="0" b="6985"/>
            <wp:docPr id="11" name="Picture 11" descr="This chart shows changes in 5-year survival for selected cancer types from 1998/99 to 2016/17. In general survival has improved for most cancers. Myeloma, Non-Hodgkin’s Lymphoma, and Pleura cancer had the largest increase in survival rates. The survival rate for bladder cancer de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chart shows changes in 5-year survival for selected cancer types from 1998/99 to 2016/17. In general survival has improved for most cancers. Myeloma, Non-Hodgkin’s Lymphoma, and Pleura cancer had the largest increase in survival rates. The survival rate for bladder cancer decreased."/>
                    <pic:cNvPicPr/>
                  </pic:nvPicPr>
                  <pic:blipFill rotWithShape="1">
                    <a:blip r:embed="rId90"/>
                    <a:srcRect t="3939"/>
                    <a:stretch/>
                  </pic:blipFill>
                  <pic:spPr bwMode="auto">
                    <a:xfrm>
                      <a:off x="0" y="0"/>
                      <a:ext cx="5130164" cy="4928120"/>
                    </a:xfrm>
                    <a:prstGeom prst="rect">
                      <a:avLst/>
                    </a:prstGeom>
                    <a:ln>
                      <a:noFill/>
                    </a:ln>
                    <a:extLst>
                      <a:ext uri="{53640926-AAD7-44D8-BBD7-CCE9431645EC}">
                        <a14:shadowObscured xmlns:a14="http://schemas.microsoft.com/office/drawing/2010/main"/>
                      </a:ext>
                    </a:extLst>
                  </pic:spPr>
                </pic:pic>
              </a:graphicData>
            </a:graphic>
          </wp:inline>
        </w:drawing>
      </w:r>
    </w:p>
    <w:p w14:paraId="4D425682" w14:textId="2ECA11C1" w:rsidR="00924A79" w:rsidRPr="00A84848" w:rsidRDefault="00924A79" w:rsidP="00051D54">
      <w:pPr>
        <w:pStyle w:val="Source"/>
      </w:pPr>
      <w:r w:rsidRPr="0080730D">
        <w:t xml:space="preserve">Source: </w:t>
      </w:r>
      <w:hyperlink r:id="rId91" w:history="1">
        <w:proofErr w:type="spellStart"/>
        <w:r w:rsidRPr="0080730D">
          <w:rPr>
            <w:rStyle w:val="Hyperlink"/>
          </w:rPr>
          <w:t>Te</w:t>
        </w:r>
        <w:proofErr w:type="spellEnd"/>
        <w:r w:rsidRPr="0080730D">
          <w:rPr>
            <w:rStyle w:val="Hyperlink"/>
          </w:rPr>
          <w:t xml:space="preserve"> </w:t>
        </w:r>
        <w:proofErr w:type="spellStart"/>
        <w:r w:rsidRPr="0080730D">
          <w:rPr>
            <w:rStyle w:val="Hyperlink"/>
          </w:rPr>
          <w:t>Aho</w:t>
        </w:r>
        <w:proofErr w:type="spellEnd"/>
        <w:r w:rsidRPr="0080730D">
          <w:rPr>
            <w:rStyle w:val="Hyperlink"/>
          </w:rPr>
          <w:t xml:space="preserve"> o </w:t>
        </w:r>
        <w:proofErr w:type="spellStart"/>
        <w:r w:rsidRPr="0080730D">
          <w:rPr>
            <w:rStyle w:val="Hyperlink"/>
          </w:rPr>
          <w:t>Te</w:t>
        </w:r>
        <w:proofErr w:type="spellEnd"/>
        <w:r w:rsidRPr="0080730D">
          <w:rPr>
            <w:rStyle w:val="Hyperlink"/>
          </w:rPr>
          <w:t xml:space="preserve"> Kahu Cancer Control Agency (2021)</w:t>
        </w:r>
      </w:hyperlink>
    </w:p>
    <w:p w14:paraId="04FD8DD3" w14:textId="77777777" w:rsidR="00924A79" w:rsidRPr="00344776" w:rsidRDefault="00924A79" w:rsidP="00924A79">
      <w:pPr>
        <w:pStyle w:val="Heading3"/>
      </w:pPr>
      <w:r w:rsidRPr="00344776">
        <w:t>Cancer screening services</w:t>
      </w:r>
    </w:p>
    <w:p w14:paraId="65AAB392" w14:textId="77777777" w:rsidR="00590B82" w:rsidRPr="00344776" w:rsidRDefault="00590B82" w:rsidP="00590B82">
      <w:r>
        <w:t>The COVID-19 pandemic has affected s</w:t>
      </w:r>
      <w:r w:rsidRPr="00344776">
        <w:t xml:space="preserve">creening services globally. Many countries paused screening services completely during the first wave of COVID-19 and associated lockdowns </w:t>
      </w:r>
      <w:r w:rsidRPr="00344776">
        <w:fldChar w:fldCharType="begin"/>
      </w:r>
      <w:r w:rsidRPr="00344776">
        <w:instrText xml:space="preserve"> ADDIN EN.CITE &lt;EndNote&gt;&lt;Cite&gt;&lt;Author&gt;Gurney&lt;/Author&gt;&lt;Year&gt;2021&lt;/Year&gt;&lt;RecNum&gt;215&lt;/RecNum&gt;&lt;DisplayText&gt;(Gurney et al 2021)&lt;/DisplayText&gt;&lt;record&gt;&lt;rec-number&gt;215&lt;/rec-number&gt;&lt;foreign-keys&gt;&lt;key app="EN" db-id="aaepvppzs5wtfse95vsp2wahsrtvva2vvdet" timestamp="1663800349"&gt;215&lt;/key&gt;&lt;/foreign-keys&gt;&lt;ref-type name="Journal Article"&gt;17&lt;/ref-type&gt;&lt;contributors&gt;&lt;authors&gt;&lt;author&gt;Gurney, Jason&lt;/author&gt;&lt;author&gt;Millar, Elinor&lt;/author&gt;&lt;author&gt;Dunn, Alex&lt;/author&gt;&lt;author&gt;Pirie, Ruth&lt;/author&gt;&lt;author&gt;Mako, Michelle&lt;/author&gt;&lt;author&gt;Manderson, John&lt;/author&gt;&lt;author&gt;Hardie, Claire&lt;/author&gt;&lt;author&gt;Jackson, Chris GCA&lt;/author&gt;&lt;author&gt;North, Richard&lt;/author&gt;&lt;author&gt;Ruka, Myra&lt;/author&gt;&lt;author&gt;Scott, Nina&lt;/author&gt;&lt;author&gt;Sarfati, Diana&lt;/author&gt;&lt;/authors&gt;&lt;/contributors&gt;&lt;titles&gt;&lt;title&gt;The impact of the COVID-19 pandemic on cancer diagnosis and service access in New Zealand–a country pursuing COVID-19 elimination&lt;/title&gt;&lt;secondary-title&gt;The Lancet Regional Health - Western Pacific&lt;/secondary-title&gt;&lt;/titles&gt;&lt;periodical&gt;&lt;full-title&gt;The Lancet Regional Health - Western Pacific&lt;/full-title&gt;&lt;/periodical&gt;&lt;pages&gt;100127&lt;/pages&gt;&lt;volume&gt;10&lt;/volume&gt;&lt;dates&gt;&lt;year&gt;2021&lt;/year&gt;&lt;/dates&gt;&lt;urls&gt;&lt;related-urls&gt;&lt;url&gt;https://www.sciencedirect.com/science/article/pii/S2666606521000365&lt;/url&gt;&lt;/related-urls&gt;&lt;/urls&gt;&lt;/record&gt;&lt;/Cite&gt;&lt;/EndNote&gt;</w:instrText>
      </w:r>
      <w:r w:rsidRPr="00344776">
        <w:fldChar w:fldCharType="separate"/>
      </w:r>
      <w:r w:rsidRPr="00344776">
        <w:rPr>
          <w:noProof/>
        </w:rPr>
        <w:t>(Gurney et al 2021)</w:t>
      </w:r>
      <w:r w:rsidRPr="00344776">
        <w:fldChar w:fldCharType="end"/>
      </w:r>
      <w:r w:rsidRPr="00344776">
        <w:t xml:space="preserve">. </w:t>
      </w:r>
    </w:p>
    <w:p w14:paraId="60B7D0DD" w14:textId="77777777" w:rsidR="00590B82" w:rsidRPr="00344776" w:rsidRDefault="00590B82" w:rsidP="00590B82"/>
    <w:p w14:paraId="03124351" w14:textId="77777777" w:rsidR="006939D7" w:rsidRDefault="00590B82" w:rsidP="00590B82">
      <w:r w:rsidRPr="00344776">
        <w:t xml:space="preserve">The 2021 COVID-19 Delta outbreak </w:t>
      </w:r>
      <w:r>
        <w:t xml:space="preserve">affected </w:t>
      </w:r>
      <w:r w:rsidRPr="00344776">
        <w:t xml:space="preserve">cancer screening delivery </w:t>
      </w:r>
      <w:r w:rsidRPr="00344776">
        <w:fldChar w:fldCharType="begin"/>
      </w:r>
      <w:r>
        <w:instrText xml:space="preserve"> ADDIN EN.CITE &lt;EndNote&gt;&lt;Cite&gt;&lt;Author&gt;Te Aho o Te Kahu Cancer Control Agency&lt;/Author&gt;&lt;Year&gt;2022&lt;/Year&gt;&lt;RecNum&gt;217&lt;/RecNum&gt;&lt;DisplayText&gt;(Te Aho o Te Kahu Cancer Control Agency 2022a)&lt;/DisplayText&gt;&lt;record&gt;&lt;rec-number&gt;217&lt;/rec-number&gt;&lt;foreign-keys&gt;&lt;key app="EN" db-id="aaepvppzs5wtfse95vsp2wahsrtvva2vvdet" timestamp="1663801884"&gt;217&lt;/key&gt;&lt;/foreign-keys&gt;&lt;ref-type name="Web Page"&gt;12&lt;/ref-type&gt;&lt;contributors&gt;&lt;authors&gt;&lt;author&gt;Te Aho o Te Kahu Cancer Control Agency,&lt;/author&gt;&lt;/authors&gt;&lt;/contributors&gt;&lt;titles&gt;&lt;title&gt;COVID-19 and cancer services: Working report on the impact of COVID-19 on cancer services for the period ending December 2021&lt;/title&gt;&lt;/titles&gt;&lt;number&gt;31 October 2022&lt;/number&gt;&lt;dates&gt;&lt;year&gt;2022&lt;/year&gt;&lt;/dates&gt;&lt;urls&gt;&lt;related-urls&gt;&lt;url&gt;https://hcmsitesstorage.blob.core.windows.net/cca/assets/COVID_19_and_cancer_report_Nov_Dec_2021_20220216_b9ea1d00d4.pdf&lt;/url&gt;&lt;/related-urls&gt;&lt;/urls&gt;&lt;/record&gt;&lt;/Cite&gt;&lt;/EndNote&gt;</w:instrText>
      </w:r>
      <w:r w:rsidRPr="00344776">
        <w:fldChar w:fldCharType="separate"/>
      </w:r>
      <w:r w:rsidRPr="00344776">
        <w:rPr>
          <w:noProof/>
        </w:rPr>
        <w:t>(Te Aho o Te Kahu Cancer Control Agency 2022a)</w:t>
      </w:r>
      <w:r w:rsidRPr="00344776">
        <w:fldChar w:fldCharType="end"/>
      </w:r>
      <w:r w:rsidRPr="00344776">
        <w:t xml:space="preserve">. The breast and cervical screening programmes were particularly vulnerable to interruption, as they require in-person attendance and contact with a clinician </w:t>
      </w:r>
      <w:r w:rsidRPr="00344776">
        <w:fldChar w:fldCharType="begin"/>
      </w:r>
      <w:r>
        <w:instrText xml:space="preserve"> ADDIN EN.CITE &lt;EndNote&gt;&lt;Cite&gt;&lt;Author&gt;National Screening Unit&lt;/Author&gt;&lt;Year&gt;2022&lt;/Year&gt;&lt;RecNum&gt;216&lt;/RecNum&gt;&lt;DisplayText&gt;(National Screening Unit 2022)&lt;/DisplayText&gt;&lt;record&gt;&lt;rec-number&gt;216&lt;/rec-number&gt;&lt;foreign-keys&gt;&lt;key app="EN" db-id="aaepvppzs5wtfse95vsp2wahsrtvva2vvdet" timestamp="1663800895"&gt;216&lt;/key&gt;&lt;/foreign-keys&gt;&lt;ref-type name="Web Page"&gt;12&lt;/ref-type&gt;&lt;contributors&gt;&lt;authors&gt;&lt;author&gt;National Screening Unit,&lt;/author&gt;&lt;/authors&gt;&lt;/contributors&gt;&lt;titles&gt;&lt;title&gt;National Cervical Screening Programme Sector Update – April 2022&lt;/title&gt;&lt;/titles&gt;&lt;number&gt;31 October 2022&lt;/number&gt;&lt;dates&gt;&lt;year&gt;2022&lt;/year&gt;&lt;/dates&gt;&lt;urls&gt;&lt;related-urls&gt;&lt;url&gt;https://www.nsu.govt.nz/news/national-cervical-screening-programme-sector-update-april-2022&lt;/url&gt;&lt;/related-urls&gt;&lt;/urls&gt;&lt;/record&gt;&lt;/Cite&gt;&lt;/EndNote&gt;</w:instrText>
      </w:r>
      <w:r w:rsidRPr="00344776">
        <w:fldChar w:fldCharType="separate"/>
      </w:r>
      <w:r w:rsidRPr="00344776">
        <w:rPr>
          <w:noProof/>
        </w:rPr>
        <w:t>(National Screening Unit 2022)</w:t>
      </w:r>
      <w:r w:rsidRPr="00344776">
        <w:fldChar w:fldCharType="end"/>
      </w:r>
      <w:r w:rsidRPr="00344776">
        <w:t xml:space="preserve">. </w:t>
      </w:r>
    </w:p>
    <w:p w14:paraId="03E0D2F1" w14:textId="77777777" w:rsidR="006939D7" w:rsidRDefault="006939D7" w:rsidP="00590B82"/>
    <w:p w14:paraId="2EB54C4B" w14:textId="6EAD27E8" w:rsidR="00924A79" w:rsidRPr="00344776" w:rsidRDefault="00590B82" w:rsidP="00590B82">
      <w:r>
        <w:rPr>
          <w:color w:val="242424"/>
          <w:szCs w:val="21"/>
          <w:shd w:val="clear" w:color="auto" w:fill="FFFFFF"/>
        </w:rPr>
        <w:t>It should be noted that s</w:t>
      </w:r>
      <w:r w:rsidRPr="00344776">
        <w:rPr>
          <w:color w:val="242424"/>
          <w:szCs w:val="21"/>
          <w:shd w:val="clear" w:color="auto" w:fill="FFFFFF"/>
        </w:rPr>
        <w:t>creening programmes use different screening intervals based on the evidence of how quickly different cancers develop and progress, as well as the attributes of the screening test used to identify those at risk</w:t>
      </w:r>
      <w:r w:rsidR="00924A79" w:rsidRPr="00344776">
        <w:rPr>
          <w:color w:val="242424"/>
          <w:szCs w:val="21"/>
          <w:shd w:val="clear" w:color="auto" w:fill="FFFFFF"/>
        </w:rPr>
        <w:t>.</w:t>
      </w:r>
    </w:p>
    <w:p w14:paraId="7C3CAA17" w14:textId="77777777" w:rsidR="00924A79" w:rsidRPr="00344776" w:rsidRDefault="00924A79" w:rsidP="00924A79">
      <w:pPr>
        <w:pStyle w:val="Heading4"/>
      </w:pPr>
      <w:r w:rsidRPr="00344776">
        <w:lastRenderedPageBreak/>
        <w:t>Breast</w:t>
      </w:r>
      <w:r>
        <w:t xml:space="preserve"> s</w:t>
      </w:r>
      <w:r w:rsidRPr="00344776">
        <w:t>creen</w:t>
      </w:r>
      <w:r>
        <w:t>ing</w:t>
      </w:r>
      <w:r w:rsidRPr="00344776">
        <w:t xml:space="preserve"> </w:t>
      </w:r>
    </w:p>
    <w:p w14:paraId="4B365DFE" w14:textId="77777777" w:rsidR="00590B82" w:rsidRPr="00344776" w:rsidRDefault="00590B82" w:rsidP="00590B82">
      <w:r w:rsidRPr="00344776">
        <w:t xml:space="preserve">The breast screening coverage target is for 70% of eligible New Zealanders to be screened every </w:t>
      </w:r>
      <w:r>
        <w:t>2</w:t>
      </w:r>
      <w:r w:rsidRPr="00344776">
        <w:t xml:space="preserve"> years. As at December 2021, the </w:t>
      </w:r>
      <w:r>
        <w:t>2</w:t>
      </w:r>
      <w:r w:rsidRPr="00344776">
        <w:t xml:space="preserve">-year breast screening coverage was 63.6% </w:t>
      </w:r>
      <w:r w:rsidRPr="00344776">
        <w:fldChar w:fldCharType="begin"/>
      </w:r>
      <w:r>
        <w:instrText xml:space="preserve"> ADDIN EN.CITE &lt;EndNote&gt;&lt;Cite&gt;&lt;Author&gt;Ministry of Health&lt;/Author&gt;&lt;Year&gt;2022&lt;/Year&gt;&lt;RecNum&gt;150&lt;/RecNum&gt;&lt;DisplayText&gt;(Ministry of Health 2022c)&lt;/DisplayText&gt;&lt;record&gt;&lt;rec-number&gt;150&lt;/rec-number&gt;&lt;foreign-keys&gt;&lt;key app="EN" db-id="aaepvppzs5wtfse95vsp2wahsrtvva2vvdet" timestamp="1635369607"&gt;150&lt;/key&gt;&lt;/foreign-keys&gt;&lt;ref-type name="Web Page"&gt;12&lt;/ref-type&gt;&lt;contributors&gt;&lt;authors&gt;&lt;author&gt;Ministry of Health,&lt;/author&gt;&lt;/authors&gt;&lt;/contributors&gt;&lt;titles&gt;&lt;title&gt;BreastScreen Aotearoa DHB coverage report (Data file)&lt;/title&gt;&lt;/titles&gt;&lt;number&gt;31 October 2022&lt;/number&gt;&lt;dates&gt;&lt;year&gt;2022&lt;/year&gt;&lt;/dates&gt;&lt;urls&gt;&lt;related-urls&gt;&lt;url&gt;https://minhealthnz.shinyapps.io/nsu-bsa-coverage-dhb/&lt;/url&gt;&lt;/related-urls&gt;&lt;/urls&gt;&lt;/record&gt;&lt;/Cite&gt;&lt;/EndNote&gt;</w:instrText>
      </w:r>
      <w:r w:rsidRPr="00344776">
        <w:fldChar w:fldCharType="separate"/>
      </w:r>
      <w:r w:rsidRPr="00344776">
        <w:rPr>
          <w:noProof/>
        </w:rPr>
        <w:t>(Ministry of Health 2022c)</w:t>
      </w:r>
      <w:r w:rsidRPr="00344776">
        <w:fldChar w:fldCharType="end"/>
      </w:r>
      <w:r w:rsidRPr="00344776">
        <w:t>.</w:t>
      </w:r>
    </w:p>
    <w:p w14:paraId="0C1CC46C" w14:textId="77777777" w:rsidR="00924A79" w:rsidRPr="00344776" w:rsidRDefault="00924A79" w:rsidP="00924A79"/>
    <w:p w14:paraId="0992F1F2" w14:textId="66FC9FD8" w:rsidR="00051D54" w:rsidRPr="00344776" w:rsidRDefault="00924A79" w:rsidP="00924A79">
      <w:r w:rsidRPr="00344776">
        <w:t>As</w:t>
      </w:r>
      <w:r>
        <w:t xml:space="preserve"> </w:t>
      </w:r>
      <w:r w:rsidR="00051D54">
        <w:fldChar w:fldCharType="begin"/>
      </w:r>
      <w:r w:rsidR="00051D54">
        <w:instrText xml:space="preserve"> REF _Ref118727990 \h </w:instrText>
      </w:r>
      <w:r w:rsidR="00051D54">
        <w:fldChar w:fldCharType="separate"/>
      </w:r>
      <w:r w:rsidR="00F61845" w:rsidRPr="00344776">
        <w:t xml:space="preserve">Figure </w:t>
      </w:r>
      <w:r w:rsidR="00F61845">
        <w:rPr>
          <w:noProof/>
        </w:rPr>
        <w:t>33</w:t>
      </w:r>
      <w:r w:rsidR="00051D54">
        <w:fldChar w:fldCharType="end"/>
      </w:r>
      <w:r w:rsidR="00051D54">
        <w:t xml:space="preserve"> </w:t>
      </w:r>
      <w:r w:rsidRPr="00344776">
        <w:t>show</w:t>
      </w:r>
      <w:r>
        <w:t>s</w:t>
      </w:r>
      <w:r w:rsidRPr="00344776" w:rsidDel="002F27DE">
        <w:t xml:space="preserve">, </w:t>
      </w:r>
      <w:r w:rsidR="00590B82" w:rsidRPr="00344776">
        <w:t>screening rates remain lowest for Māori</w:t>
      </w:r>
      <w:r w:rsidR="00590B82">
        <w:t>,</w:t>
      </w:r>
      <w:r w:rsidR="00590B82" w:rsidRPr="00344776">
        <w:t xml:space="preserve"> at 58.7%. Rates for Pacific peoples reduced from above 70% in 2012 to 60.6% in 2021</w:t>
      </w:r>
      <w:r w:rsidRPr="00344776">
        <w:t xml:space="preserve">. </w:t>
      </w:r>
    </w:p>
    <w:p w14:paraId="38D83D29" w14:textId="6C18BCFC" w:rsidR="00924A79" w:rsidRPr="00344776" w:rsidRDefault="00924A79" w:rsidP="00253316">
      <w:pPr>
        <w:pStyle w:val="Figure"/>
      </w:pPr>
      <w:bookmarkStart w:id="149" w:name="_Ref118727990"/>
      <w:bookmarkStart w:id="150" w:name="_Toc118446247"/>
      <w:bookmarkStart w:id="151" w:name="_Toc119047777"/>
      <w:r w:rsidRPr="00344776">
        <w:t xml:space="preserve">Figure </w:t>
      </w:r>
      <w:r w:rsidRPr="00344776">
        <w:fldChar w:fldCharType="begin"/>
      </w:r>
      <w:r w:rsidRPr="00344776">
        <w:instrText>SEQ Figure \* ARABIC</w:instrText>
      </w:r>
      <w:r w:rsidRPr="00344776">
        <w:fldChar w:fldCharType="separate"/>
      </w:r>
      <w:r w:rsidR="00F61845">
        <w:rPr>
          <w:noProof/>
        </w:rPr>
        <w:t>33</w:t>
      </w:r>
      <w:r w:rsidRPr="00344776">
        <w:fldChar w:fldCharType="end"/>
      </w:r>
      <w:bookmarkEnd w:id="149"/>
      <w:r w:rsidRPr="00344776">
        <w:t>: Two-year breast screening coverage, by prioritised ethnic group, women aged 45</w:t>
      </w:r>
      <w:r>
        <w:rPr>
          <w:rStyle w:val="normaltextrun"/>
          <w:sz w:val="21"/>
          <w:szCs w:val="21"/>
        </w:rPr>
        <w:t>–</w:t>
      </w:r>
      <w:r w:rsidRPr="00344776">
        <w:t>69 years, 2010</w:t>
      </w:r>
      <w:r>
        <w:rPr>
          <w:rStyle w:val="normaltextrun"/>
          <w:sz w:val="21"/>
          <w:szCs w:val="21"/>
        </w:rPr>
        <w:t>–</w:t>
      </w:r>
      <w:r w:rsidRPr="00344776">
        <w:t>2021</w:t>
      </w:r>
      <w:bookmarkEnd w:id="150"/>
      <w:bookmarkEnd w:id="151"/>
    </w:p>
    <w:p w14:paraId="5AAF2C01" w14:textId="77777777" w:rsidR="00924A79" w:rsidRPr="00344776" w:rsidRDefault="00924A79" w:rsidP="00924A79">
      <w:pPr>
        <w:pStyle w:val="ReportBody-MOH"/>
        <w:numPr>
          <w:ilvl w:val="0"/>
          <w:numId w:val="0"/>
        </w:numPr>
      </w:pPr>
      <w:r w:rsidRPr="00344776">
        <w:rPr>
          <w:noProof/>
        </w:rPr>
        <w:drawing>
          <wp:inline distT="0" distB="0" distL="0" distR="0" wp14:anchorId="428D66B2" wp14:editId="45A9A1EA">
            <wp:extent cx="5398109" cy="3238500"/>
            <wp:effectExtent l="0" t="0" r="0" b="0"/>
            <wp:docPr id="60" name="Picture 60" descr="This time series line chart shows two-year breast screening coverage by ethnic group for women aged 45-69 between 2010 and 2021. Over the time series, screening coverage was highest for European/other and Pacific peoples ethnic group, and lowest for Māori. Total screening rates fluctuated between 68% to 72% prior to 2021, then dropped to 64%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is time series line chart shows two-year breast screening coverage by ethnic group for women aged 45-69 between 2010 and 2021. Over the time series, screening coverage was highest for European/other and Pacific peoples ethnic group, and lowest for Māori. Total screening rates fluctuated between 68% to 72% prior to 2021, then dropped to 64% in 2021."/>
                    <pic:cNvPicPr>
                      <a:picLocks noChangeAspect="1" noChangeArrowheads="1"/>
                    </pic:cNvPicPr>
                  </pic:nvPicPr>
                  <pic:blipFill>
                    <a:blip r:embed="rId92"/>
                    <a:stretch>
                      <a:fillRect/>
                    </a:stretch>
                  </pic:blipFill>
                  <pic:spPr bwMode="auto">
                    <a:xfrm>
                      <a:off x="0" y="0"/>
                      <a:ext cx="5398109" cy="3238500"/>
                    </a:xfrm>
                    <a:prstGeom prst="rect">
                      <a:avLst/>
                    </a:prstGeom>
                    <a:noFill/>
                    <a:ln>
                      <a:noFill/>
                    </a:ln>
                  </pic:spPr>
                </pic:pic>
              </a:graphicData>
            </a:graphic>
          </wp:inline>
        </w:drawing>
      </w:r>
    </w:p>
    <w:p w14:paraId="0D38019A" w14:textId="1917D7E8" w:rsidR="00924A79" w:rsidRPr="00344776" w:rsidRDefault="00924A79" w:rsidP="00051D54">
      <w:pPr>
        <w:pStyle w:val="Source"/>
      </w:pPr>
      <w:r w:rsidRPr="00344776">
        <w:t xml:space="preserve">Source: </w:t>
      </w:r>
      <w:hyperlink r:id="rId93" w:history="1">
        <w:r w:rsidRPr="00344776">
          <w:rPr>
            <w:rStyle w:val="Hyperlink"/>
          </w:rPr>
          <w:t>Ministry of Health (2022c)</w:t>
        </w:r>
      </w:hyperlink>
    </w:p>
    <w:p w14:paraId="38A21F40" w14:textId="77777777" w:rsidR="00924A79" w:rsidRPr="00344776" w:rsidRDefault="00924A79" w:rsidP="00051D54">
      <w:pPr>
        <w:pStyle w:val="Note"/>
      </w:pPr>
      <w:r w:rsidRPr="00344776">
        <w:t>Note: Breast screening rates for the Asian ethnic group are included in the European/other group</w:t>
      </w:r>
      <w:r>
        <w:t>.</w:t>
      </w:r>
      <w:r w:rsidRPr="00344776">
        <w:t xml:space="preserve"> </w:t>
      </w:r>
    </w:p>
    <w:p w14:paraId="3E95BDD5" w14:textId="77777777" w:rsidR="00924A79" w:rsidRPr="00344776" w:rsidRDefault="00924A79" w:rsidP="00924A79">
      <w:pPr>
        <w:pStyle w:val="Heading4"/>
      </w:pPr>
      <w:r w:rsidRPr="00344776">
        <w:t xml:space="preserve">Cervical </w:t>
      </w:r>
      <w:r>
        <w:t>s</w:t>
      </w:r>
      <w:r w:rsidRPr="00344776">
        <w:t>creening</w:t>
      </w:r>
    </w:p>
    <w:p w14:paraId="11A05738" w14:textId="20CD2D35" w:rsidR="00924A79" w:rsidRPr="00344776" w:rsidRDefault="00590B82" w:rsidP="00924A79">
      <w:bookmarkStart w:id="152" w:name="_Hlk102978813"/>
      <w:r w:rsidRPr="00344776">
        <w:t xml:space="preserve">The cervical screening coverage target is for 80% of eligible New Zealanders to be screened every </w:t>
      </w:r>
      <w:r>
        <w:t>3</w:t>
      </w:r>
      <w:r w:rsidRPr="00344776">
        <w:t xml:space="preserve"> years. As at December 2021, the </w:t>
      </w:r>
      <w:r>
        <w:t>3</w:t>
      </w:r>
      <w:r w:rsidRPr="00344776">
        <w:t xml:space="preserve">-year cervical screening coverage was 68.6% </w:t>
      </w:r>
      <w:r w:rsidRPr="00344776">
        <w:fldChar w:fldCharType="begin"/>
      </w:r>
      <w:r>
        <w:instrText xml:space="preserve"> ADDIN EN.CITE &lt;EndNote&gt;&lt;Cite&gt;&lt;Author&gt;Ministry of Health&lt;/Author&gt;&lt;Year&gt;2022&lt;/Year&gt;&lt;RecNum&gt;151&lt;/RecNum&gt;&lt;DisplayText&gt;(Ministry of Health 2022u)&lt;/DisplayText&gt;&lt;record&gt;&lt;rec-number&gt;151&lt;/rec-number&gt;&lt;foreign-keys&gt;&lt;key app="EN" db-id="aaepvppzs5wtfse95vsp2wahsrtvva2vvdet" timestamp="1635374035"&gt;151&lt;/key&gt;&lt;/foreign-keys&gt;&lt;ref-type name="Web Page"&gt;12&lt;/ref-type&gt;&lt;contributors&gt;&lt;authors&gt;&lt;author&gt;Ministry of Health,&lt;/author&gt;&lt;/authors&gt;&lt;/contributors&gt;&lt;titles&gt;&lt;title&gt;National Cervical Screening Programme Coverage Report (Data file)&lt;/title&gt;&lt;/titles&gt;&lt;number&gt;31 October 2022&lt;/number&gt;&lt;dates&gt;&lt;year&gt;2022&lt;/year&gt;&lt;/dates&gt;&lt;urls&gt;&lt;related-urls&gt;&lt;url&gt;https://minhealthnz.shinyapps.io/nsu-ncsp-coverage/&lt;/url&gt;&lt;/related-urls&gt;&lt;/urls&gt;&lt;/record&gt;&lt;/Cite&gt;&lt;/EndNote&gt;</w:instrText>
      </w:r>
      <w:r w:rsidRPr="00344776">
        <w:fldChar w:fldCharType="separate"/>
      </w:r>
      <w:r w:rsidRPr="00344776">
        <w:rPr>
          <w:noProof/>
        </w:rPr>
        <w:t>(Ministry of Health 2022u)</w:t>
      </w:r>
      <w:r w:rsidRPr="00344776">
        <w:fldChar w:fldCharType="end"/>
      </w:r>
      <w:r w:rsidRPr="00344776">
        <w:t>. National cervical screening rates have been decreasing for all population groups since before 2018, as</w:t>
      </w:r>
      <w:r w:rsidR="00253316">
        <w:t xml:space="preserve"> </w:t>
      </w:r>
      <w:r w:rsidR="00253316">
        <w:fldChar w:fldCharType="begin"/>
      </w:r>
      <w:r w:rsidR="00253316">
        <w:instrText xml:space="preserve"> REF _Ref119062915 \h </w:instrText>
      </w:r>
      <w:r w:rsidR="00253316">
        <w:fldChar w:fldCharType="separate"/>
      </w:r>
      <w:r w:rsidR="00F61845" w:rsidRPr="00344776">
        <w:t xml:space="preserve">Figure </w:t>
      </w:r>
      <w:r w:rsidR="00F61845">
        <w:rPr>
          <w:noProof/>
        </w:rPr>
        <w:t>34</w:t>
      </w:r>
      <w:r w:rsidR="00253316">
        <w:fldChar w:fldCharType="end"/>
      </w:r>
      <w:r w:rsidR="00253316">
        <w:t xml:space="preserve"> </w:t>
      </w:r>
      <w:r w:rsidR="00924A79" w:rsidRPr="00344776">
        <w:t>show</w:t>
      </w:r>
      <w:r w:rsidR="00924A79">
        <w:t>s</w:t>
      </w:r>
      <w:r w:rsidR="00924A79" w:rsidRPr="00344776">
        <w:t xml:space="preserve">. </w:t>
      </w:r>
      <w:r w:rsidRPr="00344776">
        <w:t xml:space="preserve">From July 2023, the primary test for cervical screening will change to </w:t>
      </w:r>
      <w:proofErr w:type="gramStart"/>
      <w:r w:rsidRPr="00344776">
        <w:t>a</w:t>
      </w:r>
      <w:proofErr w:type="gramEnd"/>
      <w:r w:rsidRPr="00344776">
        <w:t xml:space="preserve"> HPV test. For eligible women, this test will replace the current smear test with a simple and quick swab that women can choose to do themselves.</w:t>
      </w:r>
    </w:p>
    <w:p w14:paraId="2627C855" w14:textId="77777777" w:rsidR="006A75E6" w:rsidRDefault="006A75E6" w:rsidP="006A75E6">
      <w:pPr>
        <w:pStyle w:val="Caption"/>
      </w:pPr>
      <w:bookmarkStart w:id="153" w:name="_Ref117608444"/>
      <w:bookmarkStart w:id="154" w:name="_Toc118446248"/>
    </w:p>
    <w:p w14:paraId="66381994" w14:textId="77777777" w:rsidR="006939D7" w:rsidRDefault="006939D7">
      <w:pPr>
        <w:rPr>
          <w:b/>
          <w:iCs/>
          <w:sz w:val="20"/>
          <w:szCs w:val="18"/>
        </w:rPr>
      </w:pPr>
      <w:bookmarkStart w:id="155" w:name="_Ref118730584"/>
      <w:r>
        <w:br w:type="page"/>
      </w:r>
    </w:p>
    <w:p w14:paraId="33817269" w14:textId="5B5EEFA0" w:rsidR="00924A79" w:rsidRPr="00344776" w:rsidRDefault="00924A79" w:rsidP="006A75E6">
      <w:pPr>
        <w:pStyle w:val="Caption"/>
      </w:pPr>
      <w:bookmarkStart w:id="156" w:name="_Ref119062915"/>
      <w:bookmarkStart w:id="157" w:name="_Toc119047778"/>
      <w:r w:rsidRPr="00344776">
        <w:lastRenderedPageBreak/>
        <w:t xml:space="preserve">Figure </w:t>
      </w:r>
      <w:r w:rsidRPr="00344776">
        <w:fldChar w:fldCharType="begin"/>
      </w:r>
      <w:r w:rsidRPr="00344776">
        <w:instrText>SEQ Figure \* ARABIC</w:instrText>
      </w:r>
      <w:r w:rsidRPr="00344776">
        <w:fldChar w:fldCharType="separate"/>
      </w:r>
      <w:r w:rsidR="00F61845">
        <w:rPr>
          <w:noProof/>
        </w:rPr>
        <w:t>34</w:t>
      </w:r>
      <w:r w:rsidRPr="00344776">
        <w:fldChar w:fldCharType="end"/>
      </w:r>
      <w:bookmarkEnd w:id="153"/>
      <w:bookmarkEnd w:id="155"/>
      <w:bookmarkEnd w:id="156"/>
      <w:r w:rsidRPr="00344776">
        <w:t>: Three-year cervical screening coverage, by prioritised ethnic group, women aged 25</w:t>
      </w:r>
      <w:r>
        <w:rPr>
          <w:rStyle w:val="normaltextrun"/>
          <w:sz w:val="21"/>
          <w:szCs w:val="21"/>
        </w:rPr>
        <w:t>–</w:t>
      </w:r>
      <w:r w:rsidRPr="00344776">
        <w:t>69 years, 2007</w:t>
      </w:r>
      <w:r>
        <w:rPr>
          <w:rStyle w:val="normaltextrun"/>
          <w:sz w:val="21"/>
          <w:szCs w:val="21"/>
        </w:rPr>
        <w:t>–</w:t>
      </w:r>
      <w:r w:rsidRPr="00344776">
        <w:t>2021</w:t>
      </w:r>
      <w:bookmarkEnd w:id="154"/>
      <w:bookmarkEnd w:id="157"/>
    </w:p>
    <w:p w14:paraId="080EF473" w14:textId="77777777" w:rsidR="00924A79" w:rsidRPr="00344776" w:rsidRDefault="00924A79" w:rsidP="00051D54">
      <w:pPr>
        <w:pStyle w:val="ReportBody-MOH"/>
        <w:numPr>
          <w:ilvl w:val="0"/>
          <w:numId w:val="0"/>
        </w:numPr>
        <w:spacing w:after="240"/>
      </w:pPr>
      <w:r w:rsidRPr="00344776">
        <w:rPr>
          <w:rFonts w:asciiTheme="minorHAnsi" w:eastAsiaTheme="minorHAnsi" w:hAnsiTheme="minorHAnsi" w:cstheme="minorBidi"/>
          <w:noProof/>
          <w:kern w:val="0"/>
          <w:sz w:val="16"/>
          <w:szCs w:val="16"/>
          <w:lang w:eastAsia="en-US"/>
        </w:rPr>
        <w:drawing>
          <wp:inline distT="0" distB="0" distL="0" distR="0" wp14:anchorId="17B57363" wp14:editId="27186D97">
            <wp:extent cx="5398109" cy="3238500"/>
            <wp:effectExtent l="0" t="0" r="0" b="0"/>
            <wp:docPr id="61" name="Picture 61" descr="This time series line chart shows three-year cervical screening coverage by ethnic group, for women aged 25 to 69 between 2007 and 2021. Screening coverage was highest for the European/other ethnic group, and generally lowest for the Asian ethnic group. Total coverage has largely remained between 70-80% but dropped below 70% in 2020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is time series line chart shows three-year cervical screening coverage by ethnic group, for women aged 25 to 69 between 2007 and 2021. Screening coverage was highest for the European/other ethnic group, and generally lowest for the Asian ethnic group. Total coverage has largely remained between 70-80% but dropped below 70% in 2020 and 2021."/>
                    <pic:cNvPicPr>
                      <a:picLocks noChangeAspect="1" noChangeArrowheads="1"/>
                    </pic:cNvPicPr>
                  </pic:nvPicPr>
                  <pic:blipFill>
                    <a:blip r:embed="rId94"/>
                    <a:stretch>
                      <a:fillRect/>
                    </a:stretch>
                  </pic:blipFill>
                  <pic:spPr bwMode="auto">
                    <a:xfrm>
                      <a:off x="0" y="0"/>
                      <a:ext cx="5398109" cy="3238500"/>
                    </a:xfrm>
                    <a:prstGeom prst="rect">
                      <a:avLst/>
                    </a:prstGeom>
                    <a:noFill/>
                    <a:ln>
                      <a:noFill/>
                    </a:ln>
                  </pic:spPr>
                </pic:pic>
              </a:graphicData>
            </a:graphic>
          </wp:inline>
        </w:drawing>
      </w:r>
    </w:p>
    <w:p w14:paraId="40C48C23" w14:textId="42C29B00" w:rsidR="00924A79" w:rsidRPr="00344776" w:rsidRDefault="00924A79" w:rsidP="00051D54">
      <w:pPr>
        <w:pStyle w:val="Source"/>
        <w:rPr>
          <w:rStyle w:val="Hyperlink"/>
        </w:rPr>
      </w:pPr>
      <w:r w:rsidRPr="00344776">
        <w:t xml:space="preserve">Source: </w:t>
      </w:r>
      <w:hyperlink r:id="rId95" w:history="1">
        <w:r w:rsidRPr="00344776">
          <w:rPr>
            <w:rStyle w:val="Hyperlink"/>
          </w:rPr>
          <w:t>Ministry of Health (2022u)</w:t>
        </w:r>
      </w:hyperlink>
    </w:p>
    <w:p w14:paraId="0740DC4D" w14:textId="77777777" w:rsidR="00924A79" w:rsidRPr="00344776" w:rsidRDefault="00924A79" w:rsidP="00924A79">
      <w:pPr>
        <w:pStyle w:val="Heading4"/>
      </w:pPr>
      <w:r w:rsidRPr="00344776">
        <w:t>National Bowel Screening Programme</w:t>
      </w:r>
    </w:p>
    <w:bookmarkEnd w:id="152"/>
    <w:p w14:paraId="502FF2EC" w14:textId="77777777" w:rsidR="00590B82" w:rsidRPr="00344776" w:rsidRDefault="00590B82" w:rsidP="00590B82">
      <w:pPr>
        <w:rPr>
          <w:lang w:eastAsia="en-NZ"/>
        </w:rPr>
      </w:pPr>
      <w:r w:rsidRPr="00344776">
        <w:rPr>
          <w:lang w:eastAsia="en-NZ"/>
        </w:rPr>
        <w:t xml:space="preserve">The National Bowel Screening Programme is offered every </w:t>
      </w:r>
      <w:r>
        <w:rPr>
          <w:lang w:eastAsia="en-NZ"/>
        </w:rPr>
        <w:t>2</w:t>
      </w:r>
      <w:r w:rsidRPr="00344776">
        <w:rPr>
          <w:lang w:eastAsia="en-NZ"/>
        </w:rPr>
        <w:t xml:space="preserve"> years, as a self-test, to eligible people aged 60</w:t>
      </w:r>
      <w:r>
        <w:rPr>
          <w:lang w:eastAsia="en-NZ"/>
        </w:rPr>
        <w:t>–</w:t>
      </w:r>
      <w:r w:rsidRPr="00344776">
        <w:rPr>
          <w:lang w:eastAsia="en-NZ"/>
        </w:rPr>
        <w:t xml:space="preserve">74 years. </w:t>
      </w:r>
      <w:r>
        <w:rPr>
          <w:lang w:eastAsia="en-NZ"/>
        </w:rPr>
        <w:t xml:space="preserve">It has two </w:t>
      </w:r>
      <w:r w:rsidRPr="00344776">
        <w:rPr>
          <w:lang w:eastAsia="en-NZ"/>
        </w:rPr>
        <w:t>targets</w:t>
      </w:r>
      <w:r>
        <w:rPr>
          <w:lang w:eastAsia="en-NZ"/>
        </w:rPr>
        <w:t>:</w:t>
      </w:r>
      <w:r w:rsidRPr="00344776">
        <w:rPr>
          <w:lang w:eastAsia="en-NZ"/>
        </w:rPr>
        <w:t xml:space="preserve"> </w:t>
      </w:r>
      <w:r>
        <w:rPr>
          <w:lang w:eastAsia="en-NZ"/>
        </w:rPr>
        <w:t xml:space="preserve">for </w:t>
      </w:r>
      <w:r w:rsidRPr="00344776">
        <w:rPr>
          <w:lang w:eastAsia="en-NZ"/>
        </w:rPr>
        <w:t xml:space="preserve">60% of eligible people </w:t>
      </w:r>
      <w:r>
        <w:rPr>
          <w:lang w:eastAsia="en-NZ"/>
        </w:rPr>
        <w:t xml:space="preserve">to </w:t>
      </w:r>
      <w:r w:rsidRPr="00344776">
        <w:rPr>
          <w:lang w:eastAsia="en-NZ"/>
        </w:rPr>
        <w:t xml:space="preserve">return a completed test, and to achieve equitable </w:t>
      </w:r>
      <w:r>
        <w:rPr>
          <w:lang w:eastAsia="en-NZ"/>
        </w:rPr>
        <w:t>participation</w:t>
      </w:r>
      <w:r w:rsidRPr="00344776">
        <w:rPr>
          <w:lang w:eastAsia="en-NZ"/>
        </w:rPr>
        <w:t xml:space="preserve"> for Māori and Pacific peoples.</w:t>
      </w:r>
    </w:p>
    <w:p w14:paraId="5A872C5D" w14:textId="77777777" w:rsidR="00590B82" w:rsidRPr="00344776" w:rsidRDefault="00590B82" w:rsidP="00590B82">
      <w:pPr>
        <w:rPr>
          <w:lang w:eastAsia="en-NZ"/>
        </w:rPr>
      </w:pPr>
    </w:p>
    <w:p w14:paraId="0EBDC374" w14:textId="77777777" w:rsidR="00590B82" w:rsidRPr="00344776" w:rsidRDefault="00590B82" w:rsidP="00590B82">
      <w:pPr>
        <w:rPr>
          <w:lang w:eastAsia="en-NZ"/>
        </w:rPr>
      </w:pPr>
      <w:r w:rsidRPr="00344776">
        <w:rPr>
          <w:lang w:eastAsia="en-NZ"/>
        </w:rPr>
        <w:t xml:space="preserve">Participation in the Bowel Screening Programme has decreased slightly, particularly </w:t>
      </w:r>
      <w:r>
        <w:rPr>
          <w:lang w:eastAsia="en-NZ"/>
        </w:rPr>
        <w:t xml:space="preserve">among </w:t>
      </w:r>
      <w:r w:rsidRPr="00344776">
        <w:rPr>
          <w:lang w:eastAsia="en-NZ"/>
        </w:rPr>
        <w:t xml:space="preserve">Māori and Pacific peoples. Overall coverage fell from 62.1% </w:t>
      </w:r>
      <w:r>
        <w:rPr>
          <w:lang w:eastAsia="en-NZ"/>
        </w:rPr>
        <w:t xml:space="preserve">of eligible people </w:t>
      </w:r>
      <w:r w:rsidRPr="00344776">
        <w:rPr>
          <w:lang w:eastAsia="en-NZ"/>
        </w:rPr>
        <w:t xml:space="preserve">in 2020 to 60.3% in December 2021. During this time, rates for Māori reduced from 54.4% to 52.9%, and rates for Pacific people reduced from 41.9% to 41.7% </w:t>
      </w:r>
      <w:r w:rsidRPr="00344776">
        <w:rPr>
          <w:lang w:eastAsia="en-NZ"/>
        </w:rPr>
        <w:fldChar w:fldCharType="begin"/>
      </w:r>
      <w:r>
        <w:rPr>
          <w:lang w:eastAsia="en-NZ"/>
        </w:rPr>
        <w:instrText xml:space="preserve"> ADDIN EN.CITE &lt;EndNote&gt;&lt;Cite&gt;&lt;Author&gt;Ministry of Health&lt;/Author&gt;&lt;Year&gt;2022&lt;/Year&gt;&lt;RecNum&gt;256&lt;/RecNum&gt;&lt;DisplayText&gt;(Ministry of Health 2022t)&lt;/DisplayText&gt;&lt;record&gt;&lt;rec-number&gt;256&lt;/rec-number&gt;&lt;foreign-keys&gt;&lt;key app="EN" db-id="aaepvppzs5wtfse95vsp2wahsrtvva2vvdet" timestamp="1664944573"&gt;256&lt;/key&gt;&lt;/foreign-keys&gt;&lt;ref-type name="Web Page"&gt;12&lt;/ref-type&gt;&lt;contributors&gt;&lt;authors&gt;&lt;author&gt;Ministry of Health,&lt;/author&gt;&lt;/authors&gt;&lt;/contributors&gt;&lt;titles&gt;&lt;title&gt;National Bowel Screen Programme (Data file)&lt;/title&gt;&lt;/titles&gt;&lt;number&gt;31 October 2022&lt;/number&gt;&lt;dates&gt;&lt;year&gt;2022&lt;/year&gt;&lt;/dates&gt;&lt;urls&gt;&lt;related-urls&gt;&lt;url&gt;https://minhealthnz.shinyapps.io/nsu-bsp-index/&lt;/url&gt;&lt;/related-urls&gt;&lt;/urls&gt;&lt;/record&gt;&lt;/Cite&gt;&lt;/EndNote&gt;</w:instrText>
      </w:r>
      <w:r w:rsidRPr="00344776">
        <w:rPr>
          <w:lang w:eastAsia="en-NZ"/>
        </w:rPr>
        <w:fldChar w:fldCharType="separate"/>
      </w:r>
      <w:r w:rsidRPr="00344776">
        <w:rPr>
          <w:noProof/>
          <w:lang w:eastAsia="en-NZ"/>
        </w:rPr>
        <w:t>(Ministry of Health 2022t)</w:t>
      </w:r>
      <w:r w:rsidRPr="00344776">
        <w:rPr>
          <w:lang w:eastAsia="en-NZ"/>
        </w:rPr>
        <w:fldChar w:fldCharType="end"/>
      </w:r>
      <w:r w:rsidRPr="00344776">
        <w:rPr>
          <w:lang w:eastAsia="en-NZ"/>
        </w:rPr>
        <w:t xml:space="preserve">. </w:t>
      </w:r>
    </w:p>
    <w:p w14:paraId="56BBEAEB" w14:textId="77777777" w:rsidR="00924A79" w:rsidRPr="00344776" w:rsidRDefault="00924A79" w:rsidP="00924A79">
      <w:pPr>
        <w:pStyle w:val="Heading3"/>
      </w:pPr>
      <w:r w:rsidRPr="00344776">
        <w:t>Cancer prevention</w:t>
      </w:r>
    </w:p>
    <w:p w14:paraId="2C6D0AC1" w14:textId="77777777" w:rsidR="00590B82" w:rsidRPr="00344776" w:rsidRDefault="00590B82" w:rsidP="00590B82">
      <w:r w:rsidRPr="00344776">
        <w:t>Prevention is the ideal in cancer control</w:t>
      </w:r>
      <w:r>
        <w:t>. A</w:t>
      </w:r>
      <w:r w:rsidRPr="00344776">
        <w:t>bout 30</w:t>
      </w:r>
      <w:r>
        <w:t>–</w:t>
      </w:r>
      <w:r w:rsidRPr="00344776">
        <w:t xml:space="preserve">50% of all cancers </w:t>
      </w:r>
      <w:r>
        <w:t xml:space="preserve">are </w:t>
      </w:r>
      <w:r w:rsidRPr="00344776">
        <w:t xml:space="preserve">potentially preventable </w:t>
      </w:r>
      <w:r w:rsidRPr="00344776">
        <w:fldChar w:fldCharType="begin"/>
      </w:r>
      <w:r>
        <w:instrText xml:space="preserve"> ADDIN EN.CITE &lt;EndNote&gt;&lt;Cite&gt;&lt;Author&gt;World Health Organization&lt;/Author&gt;&lt;Year&gt;2020&lt;/Year&gt;&lt;RecNum&gt;175&lt;/RecNum&gt;&lt;DisplayText&gt;(World Health Organization 2020)&lt;/DisplayText&gt;&lt;record&gt;&lt;rec-number&gt;175&lt;/rec-number&gt;&lt;foreign-keys&gt;&lt;key app="EN" db-id="aaepvppzs5wtfse95vsp2wahsrtvva2vvdet" timestamp="1663727433"&gt;175&lt;/key&gt;&lt;/foreign-keys&gt;&lt;ref-type name="Web Page"&gt;12&lt;/ref-type&gt;&lt;contributors&gt;&lt;authors&gt;&lt;author&gt;World Health Organization,&lt;/author&gt;&lt;/authors&gt;&lt;/contributors&gt;&lt;titles&gt;&lt;title&gt;WHO report on cancer: Setting priorities, investing wisely and providing care for all&lt;/title&gt;&lt;/titles&gt;&lt;number&gt;1 November 2022&lt;/number&gt;&lt;dates&gt;&lt;year&gt;2020&lt;/year&gt;&lt;/dates&gt;&lt;urls&gt;&lt;related-urls&gt;&lt;url&gt;https://www.who.int/publications/i/item/9789240001299&lt;/url&gt;&lt;/related-urls&gt;&lt;/urls&gt;&lt;/record&gt;&lt;/Cite&gt;&lt;/EndNote&gt;</w:instrText>
      </w:r>
      <w:r w:rsidRPr="00344776">
        <w:fldChar w:fldCharType="separate"/>
      </w:r>
      <w:r w:rsidRPr="00344776">
        <w:rPr>
          <w:noProof/>
        </w:rPr>
        <w:t>(World Health Organization 2020)</w:t>
      </w:r>
      <w:r w:rsidRPr="00344776">
        <w:fldChar w:fldCharType="end"/>
      </w:r>
      <w:r w:rsidRPr="00344776">
        <w:t xml:space="preserve">. </w:t>
      </w:r>
      <w:r>
        <w:t xml:space="preserve">Preventing all such cancers </w:t>
      </w:r>
      <w:r w:rsidRPr="00344776">
        <w:t xml:space="preserve">would mean 7,800 to 13,000 fewer people in New Zealand would have developed cancer in 2019 </w:t>
      </w:r>
      <w:r w:rsidRPr="00344776">
        <w:fldChar w:fldCharType="begin"/>
      </w:r>
      <w:r>
        <w:instrText xml:space="preserve"> ADDIN EN.CITE &lt;EndNote&gt;&lt;Cite&gt;&lt;Author&gt;Te Aho o Te Kahu Cancer Control Agency&lt;/Author&gt;&lt;Year&gt;2022&lt;/Year&gt;&lt;RecNum&gt;218&lt;/RecNum&gt;&lt;DisplayText&gt;(Te Aho o Te Kahu Cancer Control Agency 2022b)&lt;/DisplayText&gt;&lt;record&gt;&lt;rec-number&gt;218&lt;/rec-number&gt;&lt;foreign-keys&gt;&lt;key app="EN" db-id="aaepvppzs5wtfse95vsp2wahsrtvva2vvdet" timestamp="1663802457"&gt;218&lt;/key&gt;&lt;/foreign-keys&gt;&lt;ref-type name="Web Page"&gt;12&lt;/ref-type&gt;&lt;contributors&gt;&lt;authors&gt;&lt;author&gt;Te Aho o Te Kahu Cancer Control Agency,&lt;/author&gt;&lt;/authors&gt;&lt;/contributors&gt;&lt;titles&gt;&lt;title&gt;&lt;style face="normal" font="default" size="100%"&gt;P&lt;/style&gt;&lt;style face="normal" font="default" charset="238" size="100%"&gt;ū&lt;/style&gt;&lt;style face="normal" font="default" size="100%"&gt;rongo &lt;/style&gt;&lt;style face="normal" font="default" charset="238" size="100%"&gt;Ā&lt;/style&gt;&lt;style face="normal" font="default" size="100%"&gt;rai Mate Pukupuku Cancer Prevention Report&lt;/style&gt;&lt;/title&gt;&lt;/titles&gt;&lt;number&gt;31 October 2022&lt;/number&gt;&lt;dates&gt;&lt;year&gt;2022&lt;/year&gt;&lt;/dates&gt;&lt;urls&gt;&lt;related-urls&gt;&lt;url&gt;https://hcmsitesstorage.blob.core.windows.net/cca/assets/Cancer_Prevention_V12_7_April22_05c46c078b.pdf&lt;/url&gt;&lt;/related-urls&gt;&lt;/urls&gt;&lt;/record&gt;&lt;/Cite&gt;&lt;/EndNote&gt;</w:instrText>
      </w:r>
      <w:r w:rsidRPr="00344776">
        <w:fldChar w:fldCharType="separate"/>
      </w:r>
      <w:r w:rsidRPr="00344776">
        <w:rPr>
          <w:noProof/>
        </w:rPr>
        <w:t>(Te Aho o Te Kahu Cancer Control Agency 2022b)</w:t>
      </w:r>
      <w:r w:rsidRPr="00344776">
        <w:fldChar w:fldCharType="end"/>
      </w:r>
      <w:r w:rsidRPr="00344776">
        <w:t>.</w:t>
      </w:r>
    </w:p>
    <w:p w14:paraId="6E42524C" w14:textId="77777777" w:rsidR="00590B82" w:rsidRPr="00344776" w:rsidRDefault="00590B82" w:rsidP="00590B82"/>
    <w:p w14:paraId="015C12B1" w14:textId="77777777" w:rsidR="00590B82" w:rsidRPr="00344776" w:rsidRDefault="00590B82" w:rsidP="00590B82">
      <w:r w:rsidRPr="00344776">
        <w:t xml:space="preserve">In 2021, </w:t>
      </w:r>
      <w:proofErr w:type="spellStart"/>
      <w:r w:rsidRPr="00344776">
        <w:t>Te</w:t>
      </w:r>
      <w:proofErr w:type="spellEnd"/>
      <w:r w:rsidRPr="00344776">
        <w:t xml:space="preserve"> </w:t>
      </w:r>
      <w:proofErr w:type="spellStart"/>
      <w:r w:rsidRPr="00344776">
        <w:t>Aho</w:t>
      </w:r>
      <w:proofErr w:type="spellEnd"/>
      <w:r w:rsidRPr="00344776">
        <w:t xml:space="preserve"> o </w:t>
      </w:r>
      <w:proofErr w:type="spellStart"/>
      <w:r w:rsidRPr="00344776">
        <w:t>Te</w:t>
      </w:r>
      <w:proofErr w:type="spellEnd"/>
      <w:r w:rsidRPr="00344776">
        <w:t xml:space="preserve"> Kahu Cancer Control Agency</w:t>
      </w:r>
      <w:r>
        <w:t xml:space="preserve"> developed </w:t>
      </w:r>
      <w:r w:rsidRPr="00344776">
        <w:t xml:space="preserve">a </w:t>
      </w:r>
      <w:r>
        <w:t>c</w:t>
      </w:r>
      <w:r w:rsidRPr="00344776">
        <w:t xml:space="preserve">ancer </w:t>
      </w:r>
      <w:r>
        <w:t>p</w:t>
      </w:r>
      <w:r w:rsidRPr="00344776">
        <w:t xml:space="preserve">revention </w:t>
      </w:r>
      <w:r>
        <w:t>r</w:t>
      </w:r>
      <w:r w:rsidRPr="00344776">
        <w:t xml:space="preserve">eport. </w:t>
      </w:r>
      <w:r>
        <w:t xml:space="preserve">It </w:t>
      </w:r>
      <w:r w:rsidRPr="00344776">
        <w:t xml:space="preserve">outlines evidence-based best practice recommendations to reduce exposure to the </w:t>
      </w:r>
      <w:r>
        <w:t>6</w:t>
      </w:r>
      <w:r w:rsidRPr="00344776">
        <w:t xml:space="preserve"> major modifiable cancer risk factors</w:t>
      </w:r>
      <w:r>
        <w:t xml:space="preserve">: </w:t>
      </w:r>
      <w:r w:rsidRPr="00344776">
        <w:t xml:space="preserve">are tobacco, alcohol, </w:t>
      </w:r>
      <w:r>
        <w:t xml:space="preserve">poor </w:t>
      </w:r>
      <w:r w:rsidRPr="00344776">
        <w:t xml:space="preserve">nutrition and excess body weight, insufficient physical activity, excessive exposure to ultraviolet radiation (the sun) and chronic infections </w:t>
      </w:r>
      <w:r w:rsidRPr="00344776">
        <w:fldChar w:fldCharType="begin"/>
      </w:r>
      <w:r>
        <w:instrText xml:space="preserve"> ADDIN EN.CITE &lt;EndNote&gt;&lt;Cite&gt;&lt;Author&gt;Te Aho o Te Kahu Cancer Control Agency&lt;/Author&gt;&lt;Year&gt;2022&lt;/Year&gt;&lt;RecNum&gt;218&lt;/RecNum&gt;&lt;DisplayText&gt;(Te Aho o Te Kahu Cancer Control Agency 2022b)&lt;/DisplayText&gt;&lt;record&gt;&lt;rec-number&gt;218&lt;/rec-number&gt;&lt;foreign-keys&gt;&lt;key app="EN" db-id="aaepvppzs5wtfse95vsp2wahsrtvva2vvdet" timestamp="1663802457"&gt;218&lt;/key&gt;&lt;/foreign-keys&gt;&lt;ref-type name="Web Page"&gt;12&lt;/ref-type&gt;&lt;contributors&gt;&lt;authors&gt;&lt;author&gt;Te Aho o Te Kahu Cancer Control Agency,&lt;/author&gt;&lt;/authors&gt;&lt;/contributors&gt;&lt;titles&gt;&lt;title&gt;&lt;style face="normal" font="default" size="100%"&gt;P&lt;/style&gt;&lt;style face="normal" font="default" charset="238" size="100%"&gt;ū&lt;/style&gt;&lt;style face="normal" font="default" size="100%"&gt;rongo &lt;/style&gt;&lt;style face="normal" font="default" charset="238" size="100%"&gt;Ā&lt;/style&gt;&lt;style face="normal" font="default" size="100%"&gt;rai Mate Pukupuku Cancer Prevention Report&lt;/style&gt;&lt;/title&gt;&lt;/titles&gt;&lt;number&gt;31 October 2022&lt;/number&gt;&lt;dates&gt;&lt;year&gt;2022&lt;/year&gt;&lt;/dates&gt;&lt;urls&gt;&lt;related-urls&gt;&lt;url&gt;https://hcmsitesstorage.blob.core.windows.net/cca/assets/Cancer_Prevention_V12_7_April22_05c46c078b.pdf&lt;/url&gt;&lt;/related-urls&gt;&lt;/urls&gt;&lt;/record&gt;&lt;/Cite&gt;&lt;/EndNote&gt;</w:instrText>
      </w:r>
      <w:r w:rsidRPr="00344776">
        <w:fldChar w:fldCharType="separate"/>
      </w:r>
      <w:r w:rsidRPr="00344776">
        <w:rPr>
          <w:noProof/>
        </w:rPr>
        <w:t>(Te Aho o Te Kahu Cancer Control Agency 2022b)</w:t>
      </w:r>
      <w:r w:rsidRPr="00344776">
        <w:fldChar w:fldCharType="end"/>
      </w:r>
      <w:r w:rsidRPr="00344776">
        <w:t>. These risk factors are associated with, or known to cause, almost every cancer type.</w:t>
      </w:r>
    </w:p>
    <w:p w14:paraId="5E9472E8" w14:textId="77777777" w:rsidR="00924A79" w:rsidRPr="00344776" w:rsidRDefault="00924A79" w:rsidP="00924A79">
      <w:pPr>
        <w:pStyle w:val="Heading3"/>
      </w:pPr>
      <w:r w:rsidRPr="00344776">
        <w:lastRenderedPageBreak/>
        <w:t>Inequities in cancer burden</w:t>
      </w:r>
    </w:p>
    <w:p w14:paraId="52B4FBA7" w14:textId="77777777" w:rsidR="00590B82" w:rsidRPr="00344776" w:rsidRDefault="00590B82" w:rsidP="00590B82">
      <w:r w:rsidRPr="00344776">
        <w:t xml:space="preserve">The level of exposure to cancer risk factors differs across population groups, due to social, political and economic influences </w:t>
      </w:r>
      <w:r w:rsidRPr="00344776">
        <w:fldChar w:fldCharType="begin"/>
      </w:r>
      <w:r>
        <w:instrText xml:space="preserve"> ADDIN EN.CITE &lt;EndNote&gt;&lt;Cite&gt;&lt;Author&gt;Te Aho o Te Kahu Cancer Control Agency&lt;/Author&gt;&lt;Year&gt;2021&lt;/Year&gt;&lt;RecNum&gt;29&lt;/RecNum&gt;&lt;DisplayText&gt;(Te Aho o Te Kahu Cancer Control Agency 2021)&lt;/DisplayText&gt;&lt;record&gt;&lt;rec-number&gt;29&lt;/rec-number&gt;&lt;foreign-keys&gt;&lt;key app="EN" db-id="aaepvppzs5wtfse95vsp2wahsrtvva2vvdet" timestamp="1632281525"&gt;29&lt;/key&gt;&lt;/foreign-keys&gt;&lt;ref-type name="Web Page"&gt;12&lt;/ref-type&gt;&lt;contributors&gt;&lt;authors&gt;&lt;author&gt;Te Aho o Te Kahu Cancer Control Agency,&lt;/author&gt;&lt;/authors&gt;&lt;/contributors&gt;&lt;titles&gt;&lt;title&gt;The state of cancer in New Zealand 2020&lt;/title&gt;&lt;/titles&gt;&lt;number&gt;31 October 2022&lt;/number&gt;&lt;dates&gt;&lt;year&gt;2021&lt;/year&gt;&lt;/dates&gt;&lt;urls&gt;&lt;related-urls&gt;&lt;url&gt;https://teaho.govt.nz/reports/cancer-state&lt;/url&gt;&lt;/related-urls&gt;&lt;/urls&gt;&lt;/record&gt;&lt;/Cite&gt;&lt;/EndNote&gt;</w:instrText>
      </w:r>
      <w:r w:rsidRPr="00344776">
        <w:fldChar w:fldCharType="separate"/>
      </w:r>
      <w:r w:rsidRPr="00344776">
        <w:rPr>
          <w:noProof/>
        </w:rPr>
        <w:t>(Te Aho o Te Kahu Cancer Control Agency 2021)</w:t>
      </w:r>
      <w:r w:rsidRPr="00344776">
        <w:fldChar w:fldCharType="end"/>
      </w:r>
      <w:r w:rsidRPr="00344776">
        <w:t xml:space="preserve">. These influences can also drive poorer access to, and through, the health system, contributing to inequities in health outcomes </w:t>
      </w:r>
      <w:r w:rsidRPr="00344776">
        <w:fldChar w:fldCharType="begin"/>
      </w:r>
      <w:r>
        <w:instrText xml:space="preserve"> ADDIN EN.CITE &lt;EndNote&gt;&lt;Cite&gt;&lt;Author&gt;Health Quality &amp;amp; Safety Commission&lt;/Author&gt;&lt;Year&gt;2021&lt;/Year&gt;&lt;RecNum&gt;68&lt;/RecNum&gt;&lt;DisplayText&gt;(Health Quality &amp;amp; Safety Commission 2019; 2021a)&lt;/DisplayText&gt;&lt;record&gt;&lt;rec-number&gt;68&lt;/rec-number&gt;&lt;foreign-keys&gt;&lt;key app="EN" db-id="aaepvppzs5wtfse95vsp2wahsrtvva2vvdet" timestamp="1632433817"&gt;68&lt;/key&gt;&lt;/foreign-keys&gt;&lt;ref-type name="Web Page"&gt;12&lt;/ref-type&gt;&lt;contributors&gt;&lt;authors&gt;&lt;author&gt;Health Quality &amp;amp; Safety Commission,&lt;/author&gt;&lt;/authors&gt;&lt;/contributors&gt;&lt;titles&gt;&lt;title&gt;Bula Sautu: A window on quality 2021: Pacific health in the year of COVID-19&lt;/title&gt;&lt;/titles&gt;&lt;number&gt;31 October 2022&lt;/number&gt;&lt;dates&gt;&lt;year&gt;2021&lt;/year&gt;&lt;/dates&gt;&lt;pub-location&gt;Health Quality and Safety Commission New Zealand&lt;/pub-location&gt;&lt;urls&gt;&lt;related-urls&gt;&lt;url&gt;www.hqsc.govt.nz/our-programmes/health-quality-evaluation/publications-and-resources/publication/4299/&lt;/url&gt;&lt;/related-urls&gt;&lt;/urls&gt;&lt;/record&gt;&lt;/Cite&gt;&lt;Cite&gt;&lt;Author&gt;Health Quality &amp;amp; Safety Commission&lt;/Author&gt;&lt;Year&gt;2019&lt;/Year&gt;&lt;RecNum&gt;66&lt;/RecNum&gt;&lt;record&gt;&lt;rec-number&gt;66&lt;/rec-number&gt;&lt;foreign-keys&gt;&lt;key app="EN" db-id="aaepvppzs5wtfse95vsp2wahsrtvva2vvdet" timestamp="1632433277"&gt;66&lt;/key&gt;&lt;/foreign-keys&gt;&lt;ref-type name="Web Page"&gt;12&lt;/ref-type&gt;&lt;contributors&gt;&lt;authors&gt;&lt;author&gt;Health Quality &amp;amp; Safety Commission,&lt;/author&gt;&lt;/authors&gt;&lt;/contributors&gt;&lt;titles&gt;&lt;title&gt;&lt;style face="normal" font="default" size="100%"&gt;A window on the quality of Aotearoa New Zealand&amp;apos;s health care 2019: A view on M&lt;/style&gt;&lt;style face="normal" font="default" charset="238" size="100%"&gt;ā&lt;/style&gt;&lt;style face="normal" font="default" size="100%"&gt;ori health equity&lt;/style&gt;&lt;/title&gt;&lt;/titles&gt;&lt;number&gt;31 October 2022&lt;/number&gt;&lt;dates&gt;&lt;year&gt;2019&lt;/year&gt;&lt;/dates&gt;&lt;pub-location&gt;Health Quality and Safety Commission New Zealand&lt;/pub-location&gt;&lt;urls&gt;&lt;related-urls&gt;&lt;url&gt;www.hqsc.govt.nz/our-programmes/health-quality-evaluation/publications-and-resources/publication/3721/&lt;/url&gt;&lt;/related-urls&gt;&lt;/urls&gt;&lt;/record&gt;&lt;/Cite&gt;&lt;/EndNote&gt;</w:instrText>
      </w:r>
      <w:r w:rsidRPr="00344776">
        <w:fldChar w:fldCharType="separate"/>
      </w:r>
      <w:r>
        <w:rPr>
          <w:noProof/>
        </w:rPr>
        <w:t>(Health Quality &amp; Safety Commission 2019; 2021a)</w:t>
      </w:r>
      <w:r w:rsidRPr="00344776">
        <w:fldChar w:fldCharType="end"/>
      </w:r>
      <w:r w:rsidRPr="00344776">
        <w:t>.</w:t>
      </w:r>
    </w:p>
    <w:p w14:paraId="0427113C" w14:textId="77777777" w:rsidR="00590B82" w:rsidRPr="00344776" w:rsidRDefault="00590B82" w:rsidP="00590B82"/>
    <w:p w14:paraId="69CCDCEC" w14:textId="77777777" w:rsidR="00590B82" w:rsidRPr="00344776" w:rsidRDefault="00590B82" w:rsidP="00590B82">
      <w:r w:rsidRPr="00344776">
        <w:t xml:space="preserve">The burden of cancer is not the same for everyone. The cancers that are more common for Māori (including liver, lung, stomach and pancreas) tend to be highly preventable. Pacific people in Aotearoa are also more likely to develop several cancers (including liver, lung, stomach and uterus) that have a highly preventable component. The pattern of preventable cancers is similar for people living in deprived areas, to the extent that poverty has been described as a cancer-causing risk factor </w:t>
      </w:r>
      <w:r w:rsidRPr="00344776">
        <w:fldChar w:fldCharType="begin"/>
      </w:r>
      <w:r>
        <w:instrText xml:space="preserve"> ADDIN EN.CITE &lt;EndNote&gt;&lt;Cite&gt;&lt;Author&gt;Te Aho o Te Kahu Cancer Control Agency&lt;/Author&gt;&lt;Year&gt;2021&lt;/Year&gt;&lt;RecNum&gt;29&lt;/RecNum&gt;&lt;DisplayText&gt;(Te Aho o Te Kahu Cancer Control Agency 2021)&lt;/DisplayText&gt;&lt;record&gt;&lt;rec-number&gt;29&lt;/rec-number&gt;&lt;foreign-keys&gt;&lt;key app="EN" db-id="aaepvppzs5wtfse95vsp2wahsrtvva2vvdet" timestamp="1632281525"&gt;29&lt;/key&gt;&lt;/foreign-keys&gt;&lt;ref-type name="Web Page"&gt;12&lt;/ref-type&gt;&lt;contributors&gt;&lt;authors&gt;&lt;author&gt;Te Aho o Te Kahu Cancer Control Agency,&lt;/author&gt;&lt;/authors&gt;&lt;/contributors&gt;&lt;titles&gt;&lt;title&gt;The state of cancer in New Zealand 2020&lt;/title&gt;&lt;/titles&gt;&lt;number&gt;31 October 2022&lt;/number&gt;&lt;dates&gt;&lt;year&gt;2021&lt;/year&gt;&lt;/dates&gt;&lt;urls&gt;&lt;related-urls&gt;&lt;url&gt;https://teaho.govt.nz/reports/cancer-state&lt;/url&gt;&lt;/related-urls&gt;&lt;/urls&gt;&lt;/record&gt;&lt;/Cite&gt;&lt;/EndNote&gt;</w:instrText>
      </w:r>
      <w:r w:rsidRPr="00344776">
        <w:fldChar w:fldCharType="separate"/>
      </w:r>
      <w:r w:rsidRPr="00344776">
        <w:rPr>
          <w:noProof/>
        </w:rPr>
        <w:t>(Te Aho o Te Kahu Cancer Control Agency 2021)</w:t>
      </w:r>
      <w:r w:rsidRPr="00344776">
        <w:fldChar w:fldCharType="end"/>
      </w:r>
      <w:r w:rsidRPr="00344776">
        <w:t xml:space="preserve">. </w:t>
      </w:r>
    </w:p>
    <w:p w14:paraId="4C68101F" w14:textId="77777777" w:rsidR="00924A79" w:rsidRPr="00344776" w:rsidRDefault="00924A79" w:rsidP="00924A79">
      <w:pPr>
        <w:pStyle w:val="Heading4"/>
      </w:pPr>
      <w:r w:rsidRPr="00344776">
        <w:t>Lung cancer</w:t>
      </w:r>
    </w:p>
    <w:p w14:paraId="79A2F4B2" w14:textId="77777777" w:rsidR="00590B82" w:rsidRPr="00344776" w:rsidRDefault="00590B82" w:rsidP="00590B82">
      <w:r w:rsidRPr="00344776">
        <w:t>Lung cancer is one of the most preventable and commonly diagnosed cancers in New Zealand. It is also one of the most serious</w:t>
      </w:r>
      <w:r>
        <w:t>:</w:t>
      </w:r>
      <w:r w:rsidRPr="00344776">
        <w:t xml:space="preserve"> fewer than one in </w:t>
      </w:r>
      <w:r>
        <w:t>5</w:t>
      </w:r>
      <w:r w:rsidRPr="00344776">
        <w:t xml:space="preserve"> people survive</w:t>
      </w:r>
      <w:r w:rsidRPr="00344776" w:rsidDel="00612550">
        <w:t xml:space="preserve"> </w:t>
      </w:r>
      <w:r>
        <w:t xml:space="preserve">5 </w:t>
      </w:r>
      <w:r w:rsidRPr="00344776">
        <w:t xml:space="preserve">years after diagnosis with lung cancer </w:t>
      </w:r>
      <w:r w:rsidRPr="00344776">
        <w:fldChar w:fldCharType="begin"/>
      </w:r>
      <w:r>
        <w:instrText xml:space="preserve"> ADDIN EN.CITE &lt;EndNote&gt;&lt;Cite&gt;&lt;Author&gt;Te Aho o Te Kahu Cancer Control Agency&lt;/Author&gt;&lt;Year&gt;2021&lt;/Year&gt;&lt;RecNum&gt;29&lt;/RecNum&gt;&lt;DisplayText&gt;(Te Aho o Te Kahu Cancer Control Agency 2021)&lt;/DisplayText&gt;&lt;record&gt;&lt;rec-number&gt;29&lt;/rec-number&gt;&lt;foreign-keys&gt;&lt;key app="EN" db-id="aaepvppzs5wtfse95vsp2wahsrtvva2vvdet" timestamp="1632281525"&gt;29&lt;/key&gt;&lt;/foreign-keys&gt;&lt;ref-type name="Web Page"&gt;12&lt;/ref-type&gt;&lt;contributors&gt;&lt;authors&gt;&lt;author&gt;Te Aho o Te Kahu Cancer Control Agency,&lt;/author&gt;&lt;/authors&gt;&lt;/contributors&gt;&lt;titles&gt;&lt;title&gt;The state of cancer in New Zealand 2020&lt;/title&gt;&lt;/titles&gt;&lt;number&gt;31 October 2022&lt;/number&gt;&lt;dates&gt;&lt;year&gt;2021&lt;/year&gt;&lt;/dates&gt;&lt;urls&gt;&lt;related-urls&gt;&lt;url&gt;https://teaho.govt.nz/reports/cancer-state&lt;/url&gt;&lt;/related-urls&gt;&lt;/urls&gt;&lt;/record&gt;&lt;/Cite&gt;&lt;/EndNote&gt;</w:instrText>
      </w:r>
      <w:r w:rsidRPr="00344776">
        <w:fldChar w:fldCharType="separate"/>
      </w:r>
      <w:r w:rsidRPr="00344776">
        <w:rPr>
          <w:noProof/>
        </w:rPr>
        <w:t>(Te Aho o Te Kahu Cancer Control Agency 2021)</w:t>
      </w:r>
      <w:r w:rsidRPr="00344776">
        <w:fldChar w:fldCharType="end"/>
      </w:r>
      <w:r w:rsidRPr="00344776">
        <w:t>.</w:t>
      </w:r>
    </w:p>
    <w:p w14:paraId="7B924C5E" w14:textId="77777777" w:rsidR="00590B82" w:rsidRPr="00344776" w:rsidRDefault="00590B82" w:rsidP="00590B82"/>
    <w:p w14:paraId="3688AE28" w14:textId="77777777" w:rsidR="00590B82" w:rsidRPr="00344776" w:rsidRDefault="00590B82" w:rsidP="00590B82">
      <w:r w:rsidRPr="00344776">
        <w:t>Tobacco causes at least 80% of all lung cancers globally. It also causes more than 60% of all cancers of the larynx, oral cavity and oesophagus, and is linked to at least</w:t>
      </w:r>
      <w:r w:rsidRPr="00344776" w:rsidDel="00A15955">
        <w:t xml:space="preserve"> </w:t>
      </w:r>
      <w:r>
        <w:t>9</w:t>
      </w:r>
      <w:r w:rsidRPr="00344776">
        <w:t xml:space="preserve"> other cancers </w:t>
      </w:r>
      <w:r w:rsidRPr="00344776">
        <w:fldChar w:fldCharType="begin"/>
      </w:r>
      <w:r>
        <w:instrText xml:space="preserve"> ADDIN EN.CITE &lt;EndNote&gt;&lt;Cite&gt;&lt;Author&gt;Te Aho o Te Kahu Cancer Control Agency&lt;/Author&gt;&lt;Year&gt;2022&lt;/Year&gt;&lt;RecNum&gt;218&lt;/RecNum&gt;&lt;DisplayText&gt;(Te Aho o Te Kahu Cancer Control Agency 2022b)&lt;/DisplayText&gt;&lt;record&gt;&lt;rec-number&gt;218&lt;/rec-number&gt;&lt;foreign-keys&gt;&lt;key app="EN" db-id="aaepvppzs5wtfse95vsp2wahsrtvva2vvdet" timestamp="1663802457"&gt;218&lt;/key&gt;&lt;/foreign-keys&gt;&lt;ref-type name="Web Page"&gt;12&lt;/ref-type&gt;&lt;contributors&gt;&lt;authors&gt;&lt;author&gt;Te Aho o Te Kahu Cancer Control Agency,&lt;/author&gt;&lt;/authors&gt;&lt;/contributors&gt;&lt;titles&gt;&lt;title&gt;&lt;style face="normal" font="default" size="100%"&gt;P&lt;/style&gt;&lt;style face="normal" font="default" charset="238" size="100%"&gt;ū&lt;/style&gt;&lt;style face="normal" font="default" size="100%"&gt;rongo &lt;/style&gt;&lt;style face="normal" font="default" charset="238" size="100%"&gt;Ā&lt;/style&gt;&lt;style face="normal" font="default" size="100%"&gt;rai Mate Pukupuku Cancer Prevention Report&lt;/style&gt;&lt;/title&gt;&lt;/titles&gt;&lt;number&gt;31 October 2022&lt;/number&gt;&lt;dates&gt;&lt;year&gt;2022&lt;/year&gt;&lt;/dates&gt;&lt;urls&gt;&lt;related-urls&gt;&lt;url&gt;https://hcmsitesstorage.blob.core.windows.net/cca/assets/Cancer_Prevention_V12_7_April22_05c46c078b.pdf&lt;/url&gt;&lt;/related-urls&gt;&lt;/urls&gt;&lt;/record&gt;&lt;/Cite&gt;&lt;/EndNote&gt;</w:instrText>
      </w:r>
      <w:r w:rsidRPr="00344776">
        <w:fldChar w:fldCharType="separate"/>
      </w:r>
      <w:r w:rsidRPr="00344776">
        <w:rPr>
          <w:noProof/>
        </w:rPr>
        <w:t>(Te Aho o Te Kahu Cancer Control Agency 2022b)</w:t>
      </w:r>
      <w:r w:rsidRPr="00344776">
        <w:fldChar w:fldCharType="end"/>
      </w:r>
      <w:r w:rsidRPr="00344776">
        <w:t>.</w:t>
      </w:r>
    </w:p>
    <w:p w14:paraId="348DFFAF" w14:textId="77777777" w:rsidR="00590B82" w:rsidRPr="00344776" w:rsidRDefault="00590B82" w:rsidP="00590B82"/>
    <w:p w14:paraId="4696BD88" w14:textId="77777777" w:rsidR="00590B82" w:rsidRPr="00344776" w:rsidRDefault="00590B82" w:rsidP="00590B82">
      <w:r w:rsidRPr="00344776">
        <w:t xml:space="preserve">There has been a gradual reduction in the incidence of lung cancer over the past </w:t>
      </w:r>
      <w:r>
        <w:t>2</w:t>
      </w:r>
      <w:r w:rsidRPr="00344776">
        <w:t xml:space="preserve"> decades (driven largely by reduced exposure to tobacco), but Māori rates remain substantially higher than non-Māori rates. In 2019, the rate of newly diagnosed cases of lung cancer was </w:t>
      </w:r>
      <w:r>
        <w:t>3</w:t>
      </w:r>
      <w:r w:rsidRPr="00344776">
        <w:t xml:space="preserve"> times higher in Māori</w:t>
      </w:r>
      <w:r>
        <w:t xml:space="preserve"> than it was in </w:t>
      </w:r>
      <w:r w:rsidRPr="00344776">
        <w:t xml:space="preserve">non-Māori. </w:t>
      </w:r>
    </w:p>
    <w:p w14:paraId="084EC7F6" w14:textId="77777777" w:rsidR="00924A79" w:rsidRPr="00344776" w:rsidRDefault="00924A79" w:rsidP="00924A79"/>
    <w:p w14:paraId="0249AB00" w14:textId="77777777" w:rsidR="00590B82" w:rsidRPr="00344776" w:rsidRDefault="00590B82" w:rsidP="00590B82">
      <w:r w:rsidRPr="00344776">
        <w:t xml:space="preserve">Further reducing tobacco exposure could prevent at least 80% of all lung cancers </w:t>
      </w:r>
      <w:r w:rsidRPr="00344776">
        <w:fldChar w:fldCharType="begin">
          <w:fldData xml:space="preserve">PEVuZE5vdGU+PENpdGU+PEF1dGhvcj5XaGl0ZW1hbjwvQXV0aG9yPjxZZWFyPjIwMTU8L1llYXI+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</w:fldData>
        </w:fldChar>
      </w:r>
      <w:r w:rsidRPr="00344776">
        <w:instrText xml:space="preserve"> ADDIN EN.CITE </w:instrText>
      </w:r>
      <w:r w:rsidRPr="00344776">
        <w:fldChar w:fldCharType="begin">
          <w:fldData xml:space="preserve">PEVuZE5vdGU+PENpdGU+PEF1dGhvcj5XaGl0ZW1hbjwvQXV0aG9yPjxZZWFyPjIwMTU8L1llYXI+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</w:fldData>
        </w:fldChar>
      </w:r>
      <w:r w:rsidRPr="00344776">
        <w:instrText xml:space="preserve"> ADDIN EN.CITE.DATA </w:instrText>
      </w:r>
      <w:r w:rsidRPr="00344776">
        <w:fldChar w:fldCharType="end"/>
      </w:r>
      <w:r w:rsidRPr="00344776">
        <w:fldChar w:fldCharType="separate"/>
      </w:r>
      <w:r w:rsidRPr="00344776">
        <w:rPr>
          <w:noProof/>
        </w:rPr>
        <w:t>(Whiteman et al 2015)</w:t>
      </w:r>
      <w:r w:rsidRPr="00344776">
        <w:fldChar w:fldCharType="end"/>
      </w:r>
      <w:r w:rsidRPr="00344776">
        <w:t xml:space="preserve"> and prevent approximately 2,000 cancer</w:t>
      </w:r>
      <w:r>
        <w:t>-</w:t>
      </w:r>
      <w:r w:rsidRPr="00344776">
        <w:t xml:space="preserve">related deaths in New Zealand </w:t>
      </w:r>
      <w:r w:rsidRPr="00344776">
        <w:fldChar w:fldCharType="begin"/>
      </w:r>
      <w:r>
        <w:instrText xml:space="preserve"> ADDIN EN.CITE &lt;EndNote&gt;&lt;Cite&gt;&lt;Author&gt;Institute for Health Metrics and Evaluation&lt;/Author&gt;&lt;Year&gt;2019&lt;/Year&gt;&lt;RecNum&gt;189&lt;/RecNum&gt;&lt;DisplayText&gt;(Institute for Health Metrics and Evaluation 2019)&lt;/DisplayText&gt;&lt;record&gt;&lt;rec-number&gt;189&lt;/rec-number&gt;&lt;foreign-keys&gt;&lt;key app="EN" db-id="aaepvppzs5wtfse95vsp2wahsrtvva2vvdet" timestamp="1663730556"&gt;189&lt;/key&gt;&lt;/foreign-keys&gt;&lt;ref-type name="Web Page"&gt;12&lt;/ref-type&gt;&lt;contributors&gt;&lt;authors&gt;&lt;author&gt;Institute for Health Metrics and Evaluation,&lt;/author&gt;&lt;/authors&gt;&lt;/contributors&gt;&lt;titles&gt;&lt;title&gt;New Zealand&lt;/title&gt;&lt;/titles&gt;&lt;number&gt;31 October 2022&lt;/number&gt;&lt;dates&gt;&lt;year&gt;2019&lt;/year&gt;&lt;/dates&gt;&lt;urls&gt;&lt;related-urls&gt;&lt;url&gt;https://www.healthdata.org/new-zealand&lt;/url&gt;&lt;/related-urls&gt;&lt;/urls&gt;&lt;/record&gt;&lt;/Cite&gt;&lt;/EndNote&gt;</w:instrText>
      </w:r>
      <w:r w:rsidRPr="00344776">
        <w:fldChar w:fldCharType="separate"/>
      </w:r>
      <w:r w:rsidRPr="00344776">
        <w:rPr>
          <w:noProof/>
        </w:rPr>
        <w:t>(Institute for Health Metrics and Evaluation 2019)</w:t>
      </w:r>
      <w:r w:rsidRPr="00344776">
        <w:fldChar w:fldCharType="end"/>
      </w:r>
      <w:r w:rsidRPr="00344776">
        <w:t>.</w:t>
      </w:r>
    </w:p>
    <w:p w14:paraId="5F31DD1D" w14:textId="77777777" w:rsidR="00590B82" w:rsidRPr="00344776" w:rsidRDefault="00590B82" w:rsidP="00590B82"/>
    <w:p w14:paraId="16FC91A2" w14:textId="77777777" w:rsidR="00590B82" w:rsidRPr="00344776" w:rsidRDefault="00590B82" w:rsidP="00590B82">
      <w:r w:rsidRPr="00344776">
        <w:t>Although</w:t>
      </w:r>
      <w:r w:rsidRPr="00344776" w:rsidDel="00C35BE1">
        <w:t xml:space="preserve"> </w:t>
      </w:r>
      <w:r w:rsidRPr="00344776">
        <w:t xml:space="preserve">rates of smoking have declined over time in New Zealand among all population groups, there are still marked differences by ethnic group and deprivation </w:t>
      </w:r>
      <w:r w:rsidRPr="00344776">
        <w:fldChar w:fldCharType="begin"/>
      </w:r>
      <w:r>
        <w:instrText xml:space="preserve"> ADDIN EN.CITE &lt;EndNote&gt;&lt;Cite&gt;&lt;Author&gt;Ministry of Health&lt;/Author&gt;&lt;Year&gt;2022&lt;/Year&gt;&lt;RecNum&gt;33&lt;/RecNum&gt;&lt;DisplayText&gt;(Ministry of Health 2022b)&lt;/DisplayText&gt;&lt;record&gt;&lt;rec-number&gt;33&lt;/rec-number&gt;&lt;foreign-keys&gt;&lt;key app="EN" db-id="aaepvppzs5wtfse95vsp2wahsrtvva2vvdet" timestamp="1632283821"&gt;33&lt;/key&gt;&lt;/foreign-keys&gt;&lt;ref-type name="Web Page"&gt;12&lt;/ref-type&gt;&lt;contributors&gt;&lt;authors&gt;&lt;author&gt;Ministry of Health,&lt;/author&gt;&lt;/authors&gt;&lt;/contributors&gt;&lt;titles&gt;&lt;title&gt;Annual Data Explorer 2020/21: New Zealand Health Survey (Data file)&lt;/title&gt;&lt;/titles&gt;&lt;number&gt;31 October 2022&lt;/number&gt;&lt;dates&gt;&lt;year&gt;2022&lt;/year&gt;&lt;/dates&gt;&lt;urls&gt;&lt;related-urls&gt;&lt;url&gt;https://minhealthnz.shinyapps.io/nz-health-survey-2020-21-annual-data-explorer/&lt;/url&gt;&lt;/related-urls&gt;&lt;/urls&gt;&lt;/record&gt;&lt;/Cite&gt;&lt;/EndNote&gt;</w:instrText>
      </w:r>
      <w:r w:rsidRPr="00344776">
        <w:fldChar w:fldCharType="separate"/>
      </w:r>
      <w:r w:rsidRPr="00344776">
        <w:rPr>
          <w:noProof/>
        </w:rPr>
        <w:t>(Ministry of Health 2022b)</w:t>
      </w:r>
      <w:r w:rsidRPr="00344776">
        <w:fldChar w:fldCharType="end"/>
      </w:r>
      <w:r w:rsidRPr="00344776">
        <w:t xml:space="preserve">. Existing tobacco control strategies have been less effective for Māori, Pacific peoples and low-income communities </w:t>
      </w:r>
      <w:r w:rsidRPr="00344776">
        <w:fldChar w:fldCharType="begin"/>
      </w:r>
      <w:r>
        <w:instrText xml:space="preserve"> ADDIN EN.CITE &lt;EndNote&gt;&lt;Cite&gt;&lt;Author&gt;Edwards&lt;/Author&gt;&lt;Year&gt;2020&lt;/Year&gt;&lt;RecNum&gt;169&lt;/RecNum&gt;&lt;DisplayText&gt;(Edwards et al 2020)&lt;/DisplayText&gt;&lt;record&gt;&lt;rec-number&gt;169&lt;/rec-number&gt;&lt;foreign-keys&gt;&lt;key app="EN" db-id="aaepvppzs5wtfse95vsp2wahsrtvva2vvdet" timestamp="1663725347"&gt;169&lt;/key&gt;&lt;/foreign-keys&gt;&lt;ref-type name="Web Page"&gt;12&lt;/ref-type&gt;&lt;contributors&gt;&lt;authors&gt;&lt;author&gt;Edwards, Richard&lt;/author&gt;&lt;author&gt;Hoek, Janet&lt;/author&gt;&lt;author&gt;Wilson, Nick&lt;/author&gt;&lt;author&gt;Waa, Andrew&lt;/author&gt;&lt;/authors&gt;&lt;/contributors&gt;&lt;titles&gt;&lt;title&gt;What does the 2019/20 NZ Health Survey tell us about progress towards a Smokefree Aotearoa?&lt;/title&gt;&lt;/titles&gt;&lt;number&gt;31 October 2022&lt;/number&gt;&lt;dates&gt;&lt;year&gt;2020&lt;/year&gt;&lt;/dates&gt;&lt;publisher&gt;University of Otago,&lt;/publisher&gt;&lt;urls&gt;&lt;related-urls&gt;&lt;url&gt;https://blogs.otago.ac.nz/pubhealthexpert/what-does-the-2019-20-nz-health-survey-tell-us-about-progress-towards-a-smokefree-aotearoa/&lt;/url&gt;&lt;/related-urls&gt;&lt;/urls&gt;&lt;/record&gt;&lt;/Cite&gt;&lt;/EndNote&gt;</w:instrText>
      </w:r>
      <w:r w:rsidRPr="00344776">
        <w:fldChar w:fldCharType="separate"/>
      </w:r>
      <w:r w:rsidRPr="00344776">
        <w:rPr>
          <w:noProof/>
        </w:rPr>
        <w:t>(Edwards et al 2020)</w:t>
      </w:r>
      <w:r w:rsidRPr="00344776">
        <w:fldChar w:fldCharType="end"/>
      </w:r>
      <w:r w:rsidRPr="00344776">
        <w:t>. Māori are still nearly</w:t>
      </w:r>
      <w:r w:rsidRPr="00344776" w:rsidDel="009105E0">
        <w:t xml:space="preserve"> </w:t>
      </w:r>
      <w:r>
        <w:t>3</w:t>
      </w:r>
      <w:r w:rsidRPr="00344776">
        <w:t xml:space="preserve"> times</w:t>
      </w:r>
      <w:r w:rsidRPr="00344776" w:rsidDel="006A6971">
        <w:t xml:space="preserve"> </w:t>
      </w:r>
      <w:r w:rsidRPr="00344776">
        <w:t xml:space="preserve">as likely to be current smokers as non-Māori </w:t>
      </w:r>
      <w:r w:rsidRPr="00344776">
        <w:fldChar w:fldCharType="begin"/>
      </w:r>
      <w:r>
        <w:instrText xml:space="preserve"> ADDIN EN.CITE &lt;EndNote&gt;&lt;Cite&gt;&lt;Author&gt;Ministry of Health&lt;/Author&gt;&lt;Year&gt;2022&lt;/Year&gt;&lt;RecNum&gt;33&lt;/RecNum&gt;&lt;DisplayText&gt;(Ministry of Health 2022b)&lt;/DisplayText&gt;&lt;record&gt;&lt;rec-number&gt;33&lt;/rec-number&gt;&lt;foreign-keys&gt;&lt;key app="EN" db-id="aaepvppzs5wtfse95vsp2wahsrtvva2vvdet" timestamp="1632283821"&gt;33&lt;/key&gt;&lt;/foreign-keys&gt;&lt;ref-type name="Web Page"&gt;12&lt;/ref-type&gt;&lt;contributors&gt;&lt;authors&gt;&lt;author&gt;Ministry of Health,&lt;/author&gt;&lt;/authors&gt;&lt;/contributors&gt;&lt;titles&gt;&lt;title&gt;Annual Data Explorer 2020/21: New Zealand Health Survey (Data file)&lt;/title&gt;&lt;/titles&gt;&lt;number&gt;31 October 2022&lt;/number&gt;&lt;dates&gt;&lt;year&gt;2022&lt;/year&gt;&lt;/dates&gt;&lt;urls&gt;&lt;related-urls&gt;&lt;url&gt;https://minhealthnz.shinyapps.io/nz-health-survey-2020-21-annual-data-explorer/&lt;/url&gt;&lt;/related-urls&gt;&lt;/urls&gt;&lt;/record&gt;&lt;/Cite&gt;&lt;/EndNote&gt;</w:instrText>
      </w:r>
      <w:r w:rsidRPr="00344776">
        <w:fldChar w:fldCharType="separate"/>
      </w:r>
      <w:r w:rsidRPr="00344776">
        <w:rPr>
          <w:noProof/>
        </w:rPr>
        <w:t>(Ministry of Health 2022b)</w:t>
      </w:r>
      <w:r w:rsidRPr="00344776">
        <w:fldChar w:fldCharType="end"/>
      </w:r>
      <w:r w:rsidRPr="00344776">
        <w:t xml:space="preserve">. </w:t>
      </w:r>
    </w:p>
    <w:p w14:paraId="2464894B" w14:textId="77777777" w:rsidR="00924A79" w:rsidRPr="00344776" w:rsidRDefault="00924A79" w:rsidP="00924A79">
      <w:pPr>
        <w:pStyle w:val="Heading4"/>
      </w:pPr>
      <w:r w:rsidRPr="00344776">
        <w:t xml:space="preserve">Cervical cancer </w:t>
      </w:r>
    </w:p>
    <w:p w14:paraId="244E7D41" w14:textId="77777777" w:rsidR="00590B82" w:rsidRPr="00344776" w:rsidRDefault="00590B82" w:rsidP="00590B82">
      <w:r w:rsidRPr="00344776">
        <w:t xml:space="preserve">Cervical cancer is the third most diagnosed gynaecological cancer in Aotearoa. Cervical cancer rates have decreased over the last 20 years; however, incidence rates remain almost </w:t>
      </w:r>
      <w:r>
        <w:t>2</w:t>
      </w:r>
      <w:r w:rsidRPr="00344776">
        <w:t xml:space="preserve"> times higher for Māori compared to non-Māori. Māori women are also more likely to die from cervical cancer than non-Māori women </w:t>
      </w:r>
      <w:r w:rsidRPr="00344776">
        <w:fldChar w:fldCharType="begin"/>
      </w:r>
      <w:r>
        <w:instrText xml:space="preserve"> ADDIN EN.CITE &lt;EndNote&gt;&lt;Cite&gt;&lt;Author&gt;Te Aho o Te Kahu Cancer Control Agency&lt;/Author&gt;&lt;Year&gt;2021&lt;/Year&gt;&lt;RecNum&gt;29&lt;/RecNum&gt;&lt;DisplayText&gt;(Te Aho o Te Kahu Cancer Control Agency 2021)&lt;/DisplayText&gt;&lt;record&gt;&lt;rec-number&gt;29&lt;/rec-number&gt;&lt;foreign-keys&gt;&lt;key app="EN" db-id="aaepvppzs5wtfse95vsp2wahsrtvva2vvdet" timestamp="1632281525"&gt;29&lt;/key&gt;&lt;/foreign-keys&gt;&lt;ref-type name="Web Page"&gt;12&lt;/ref-type&gt;&lt;contributors&gt;&lt;authors&gt;&lt;author&gt;Te Aho o Te Kahu Cancer Control Agency,&lt;/author&gt;&lt;/authors&gt;&lt;/contributors&gt;&lt;titles&gt;&lt;title&gt;The state of cancer in New Zealand 2020&lt;/title&gt;&lt;/titles&gt;&lt;number&gt;31 October 2022&lt;/number&gt;&lt;dates&gt;&lt;year&gt;2021&lt;/year&gt;&lt;/dates&gt;&lt;urls&gt;&lt;related-urls&gt;&lt;url&gt;https://teaho.govt.nz/reports/cancer-state&lt;/url&gt;&lt;/related-urls&gt;&lt;/urls&gt;&lt;/record&gt;&lt;/Cite&gt;&lt;/EndNote&gt;</w:instrText>
      </w:r>
      <w:r w:rsidRPr="00344776">
        <w:fldChar w:fldCharType="separate"/>
      </w:r>
      <w:r w:rsidRPr="00344776">
        <w:rPr>
          <w:noProof/>
        </w:rPr>
        <w:t>(Te Aho o Te Kahu Cancer Control Agency 2021)</w:t>
      </w:r>
      <w:r w:rsidRPr="00344776">
        <w:fldChar w:fldCharType="end"/>
      </w:r>
      <w:r w:rsidRPr="00344776">
        <w:t xml:space="preserve">. Cervical cancer is considered highly preventable through HPV immunisation and regular cervical screening. </w:t>
      </w:r>
    </w:p>
    <w:p w14:paraId="7227F835" w14:textId="77777777" w:rsidR="00590B82" w:rsidRPr="00344776" w:rsidRDefault="00590B82" w:rsidP="00590B82"/>
    <w:p w14:paraId="026A020B" w14:textId="77777777" w:rsidR="00590B82" w:rsidRPr="00344776" w:rsidRDefault="00590B82" w:rsidP="00590B82">
      <w:r w:rsidRPr="00344776">
        <w:lastRenderedPageBreak/>
        <w:t xml:space="preserve">Over 90% of cervical cancers are caused by HPV infection </w:t>
      </w:r>
      <w:r w:rsidRPr="00344776">
        <w:fldChar w:fldCharType="begin"/>
      </w:r>
      <w:r>
        <w:instrText xml:space="preserve"> ADDIN EN.CITE &lt;EndNote&gt;&lt;Cite&gt;&lt;Author&gt;de Martel&lt;/Author&gt;&lt;Year&gt;2017&lt;/Year&gt;&lt;RecNum&gt;167&lt;/RecNum&gt;&lt;DisplayText&gt;(de Martel et al 2017; The Immunisation Advisory Centre 2022)&lt;/DisplayText&gt;&lt;record&gt;&lt;rec-number&gt;167&lt;/rec-number&gt;&lt;foreign-keys&gt;&lt;key app="EN" db-id="aaepvppzs5wtfse95vsp2wahsrtvva2vvdet" timestamp="1663724765"&gt;167&lt;/key&gt;&lt;/foreign-keys&gt;&lt;ref-type name="Journal Article"&gt;17&lt;/ref-type&gt;&lt;contributors&gt;&lt;authors&gt;&lt;author&gt;de Martel, Catherine&lt;/author&gt;&lt;author&gt;Plummer, Martyn&lt;/author&gt;&lt;author&gt;Vignat, Jerome&lt;/author&gt;&lt;author&gt;Franceschi, Silvia&lt;/author&gt;&lt;/authors&gt;&lt;/contributors&gt;&lt;titles&gt;&lt;title&gt;Worldwide burden of cancer attributable to HPV by site, country and HPV type&lt;/title&gt;&lt;secondary-title&gt;International Journal of Cancer&lt;/secondary-title&gt;&lt;/titles&gt;&lt;periodical&gt;&lt;full-title&gt;International journal of cancer&lt;/full-title&gt;&lt;/periodical&gt;&lt;pages&gt;664–670&lt;/pages&gt;&lt;volume&gt;141&lt;/volume&gt;&lt;number&gt;4&lt;/number&gt;&lt;dates&gt;&lt;year&gt;2017&lt;/year&gt;&lt;/dates&gt;&lt;urls&gt;&lt;related-urls&gt;&lt;url&gt;https://pubmed.ncbi.nlm.nih.gov/28369882/&lt;/url&gt;&lt;/related-urls&gt;&lt;/urls&gt;&lt;/record&gt;&lt;/Cite&gt;&lt;Cite&gt;&lt;Author&gt;The Immunisation Advisory Centre&lt;/Author&gt;&lt;Year&gt;2022&lt;/Year&gt;&lt;RecNum&gt;168&lt;/RecNum&gt;&lt;record&gt;&lt;rec-number&gt;168&lt;/rec-number&gt;&lt;foreign-keys&gt;&lt;key app="EN" db-id="aaepvppzs5wtfse95vsp2wahsrtvva2vvdet" timestamp="1663725137"&gt;168&lt;/key&gt;&lt;/foreign-keys&gt;&lt;ref-type name="Web Page"&gt;12&lt;/ref-type&gt;&lt;contributors&gt;&lt;authors&gt;&lt;author&gt;The Immunisation Advisory Centre,&lt;/author&gt;&lt;/authors&gt;&lt;/contributors&gt;&lt;titles&gt;&lt;title&gt;Human papillomavirus (HPV)&lt;/title&gt;&lt;/titles&gt;&lt;number&gt;31 October 2022&lt;/number&gt;&lt;dates&gt;&lt;year&gt;2022&lt;/year&gt;&lt;/dates&gt;&lt;urls&gt;&lt;related-urls&gt;&lt;url&gt;https://www.immune.org.nz/diseases/human-papillomavirus-hpv&lt;/url&gt;&lt;/related-urls&gt;&lt;/urls&gt;&lt;/record&gt;&lt;/Cite&gt;&lt;/EndNote&gt;</w:instrText>
      </w:r>
      <w:r w:rsidRPr="00344776">
        <w:fldChar w:fldCharType="separate"/>
      </w:r>
      <w:r>
        <w:rPr>
          <w:noProof/>
        </w:rPr>
        <w:t>(de Martel et al 2017; The Immunisation Advisory Centre 2022)</w:t>
      </w:r>
      <w:r w:rsidRPr="00344776">
        <w:fldChar w:fldCharType="end"/>
      </w:r>
      <w:r w:rsidRPr="00344776">
        <w:t xml:space="preserve">. HPV vaccination has been shown to significantly reduce the incidence of HPV infections </w:t>
      </w:r>
      <w:r w:rsidRPr="00344776">
        <w:fldChar w:fldCharType="begin"/>
      </w:r>
      <w:r w:rsidRPr="00344776">
        <w:instrText xml:space="preserve"> ADDIN EN.CITE &lt;EndNote&gt;&lt;Cite&gt;&lt;Author&gt;Oliveira&lt;/Author&gt;&lt;Year&gt;2021&lt;/Year&gt;&lt;RecNum&gt;2&lt;/RecNum&gt;&lt;DisplayText&gt;(Oliveira and Niccolai 2021)&lt;/DisplayText&gt;&lt;record&gt;&lt;rec-number&gt;2&lt;/rec-number&gt;&lt;foreign-keys&gt;&lt;key app="EN" db-id="st5fwsxzof5fwtex0prpff98wv9edee0w9ea" timestamp="1663798874"&gt;2&lt;/key&gt;&lt;/foreign-keys&gt;&lt;ref-type name="Journal Article"&gt;17&lt;/ref-type&gt;&lt;contributors&gt;&lt;authors&gt;&lt;author&gt;Oliveira, Carlos R&lt;/author&gt;&lt;author&gt;Niccolai, Linda M&lt;/author&gt;&lt;/authors&gt;&lt;/contributors&gt;&lt;titles&gt;&lt;title&gt;Monitoring HPV vaccine impact on cervical disease: Status and future directions for the era of cervical cancer elimination&lt;/title&gt;&lt;secondary-title&gt;Preventive Medicine&lt;/secondary-title&gt;&lt;/titles&gt;&lt;pages&gt;106363&lt;/pages&gt;&lt;volume&gt;144&lt;/volume&gt;&lt;dates&gt;&lt;year&gt;2021&lt;/year&gt;&lt;/dates&gt;&lt;isbn&gt;0091-7435&lt;/isbn&gt;&lt;urls&gt;&lt;/urls&gt;&lt;/record&gt;&lt;/Cite&gt;&lt;/EndNote&gt;</w:instrText>
      </w:r>
      <w:r w:rsidRPr="00344776">
        <w:fldChar w:fldCharType="separate"/>
      </w:r>
      <w:r w:rsidRPr="00344776">
        <w:rPr>
          <w:noProof/>
        </w:rPr>
        <w:t>(Oliveira and Niccolai 2021)</w:t>
      </w:r>
      <w:r w:rsidRPr="00344776">
        <w:fldChar w:fldCharType="end"/>
      </w:r>
      <w:r w:rsidRPr="00344776">
        <w:t>, precancerous HPV</w:t>
      </w:r>
      <w:r>
        <w:t>-</w:t>
      </w:r>
      <w:r w:rsidRPr="00344776">
        <w:t xml:space="preserve">related lesions </w:t>
      </w:r>
      <w:r w:rsidRPr="00344776">
        <w:fldChar w:fldCharType="begin"/>
      </w:r>
      <w:r>
        <w:instrText xml:space="preserve"> ADDIN EN.CITE &lt;EndNote&gt;&lt;Cite&gt;&lt;Author&gt;The Immunisation Advisory Centre&lt;/Author&gt;&lt;Year&gt;2022&lt;/Year&gt;&lt;RecNum&gt;168&lt;/RecNum&gt;&lt;DisplayText&gt;(The Immunisation Advisory Centre 2022)&lt;/DisplayText&gt;&lt;record&gt;&lt;rec-number&gt;168&lt;/rec-number&gt;&lt;foreign-keys&gt;&lt;key app="EN" db-id="aaepvppzs5wtfse95vsp2wahsrtvva2vvdet" timestamp="1663725137"&gt;168&lt;/key&gt;&lt;/foreign-keys&gt;&lt;ref-type name="Web Page"&gt;12&lt;/ref-type&gt;&lt;contributors&gt;&lt;authors&gt;&lt;author&gt;The Immunisation Advisory Centre,&lt;/author&gt;&lt;/authors&gt;&lt;/contributors&gt;&lt;titles&gt;&lt;title&gt;Human papillomavirus (HPV)&lt;/title&gt;&lt;/titles&gt;&lt;number&gt;31 October 2022&lt;/number&gt;&lt;dates&gt;&lt;year&gt;2022&lt;/year&gt;&lt;/dates&gt;&lt;urls&gt;&lt;related-urls&gt;&lt;url&gt;https://www.immune.org.nz/diseases/human-papillomavirus-hpv&lt;/url&gt;&lt;/related-urls&gt;&lt;/urls&gt;&lt;/record&gt;&lt;/Cite&gt;&lt;/EndNote&gt;</w:instrText>
      </w:r>
      <w:r w:rsidRPr="00344776">
        <w:fldChar w:fldCharType="separate"/>
      </w:r>
      <w:r>
        <w:rPr>
          <w:noProof/>
        </w:rPr>
        <w:t>(The Immunisation Advisory Centre 2022)</w:t>
      </w:r>
      <w:r w:rsidRPr="00344776">
        <w:fldChar w:fldCharType="end"/>
      </w:r>
      <w:r w:rsidRPr="00344776">
        <w:t xml:space="preserve"> and invasive cervical cancer </w:t>
      </w:r>
      <w:r w:rsidRPr="00344776">
        <w:fldChar w:fldCharType="begin"/>
      </w:r>
      <w:r>
        <w:instrText xml:space="preserve"> ADDIN EN.CITE &lt;EndNote&gt;&lt;Cite&gt;&lt;Author&gt;Lei&lt;/Author&gt;&lt;Year&gt;2020&lt;/Year&gt;&lt;RecNum&gt;173&lt;/RecNum&gt;&lt;DisplayText&gt;(Lei et al 2020)&lt;/DisplayText&gt;&lt;record&gt;&lt;rec-number&gt;173&lt;/rec-number&gt;&lt;foreign-keys&gt;&lt;key app="EN" db-id="aaepvppzs5wtfse95vsp2wahsrtvva2vvdet" timestamp="1663726500"&gt;173&lt;/key&gt;&lt;/foreign-keys&gt;&lt;ref-type name="Journal Article"&gt;17&lt;/ref-type&gt;&lt;contributors&gt;&lt;authors&gt;&lt;author&gt;Lei, Jiayao&lt;/author&gt;&lt;author&gt;Ploner, Alexander&lt;/author&gt;&lt;author&gt;Elfström, Miriam&lt;/author&gt;&lt;author&gt;Wang, Jiangrong&lt;/author&gt;&lt;author&gt;Roth, Adam&lt;/author&gt;&lt;author&gt;Fang, Fang&lt;/author&gt;&lt;author&gt;Sundström, Karin&lt;/author&gt;&lt;author&gt;Dillner, Joakim&lt;/author&gt;&lt;author&gt;Sparén, Pär&lt;/author&gt;&lt;/authors&gt;&lt;/contributors&gt;&lt;titles&gt;&lt;title&gt;HPV vaccination and the risk of invasive cervical cancer&lt;/title&gt;&lt;secondary-title&gt;New England Journal of Medicine&lt;/secondary-title&gt;&lt;/titles&gt;&lt;periodical&gt;&lt;full-title&gt;New England Journal of Medicine&lt;/full-title&gt;&lt;/periodical&gt;&lt;pages&gt;1340–8&lt;/pages&gt;&lt;volume&gt;383&lt;/volume&gt;&lt;dates&gt;&lt;year&gt;2020&lt;/year&gt;&lt;/dates&gt;&lt;urls&gt;&lt;related-urls&gt;&lt;url&gt;https://www.nejm.org/doi/full/10.1056/NEJMoa1917338&lt;/url&gt;&lt;/related-urls&gt;&lt;/urls&gt;&lt;/record&gt;&lt;/Cite&gt;&lt;/EndNote&gt;</w:instrText>
      </w:r>
      <w:r w:rsidRPr="00344776">
        <w:fldChar w:fldCharType="separate"/>
      </w:r>
      <w:r w:rsidRPr="00344776">
        <w:rPr>
          <w:noProof/>
        </w:rPr>
        <w:t>(Lei et al 2020)</w:t>
      </w:r>
      <w:r w:rsidRPr="00344776">
        <w:fldChar w:fldCharType="end"/>
      </w:r>
      <w:r w:rsidRPr="00344776">
        <w:t xml:space="preserve">. </w:t>
      </w:r>
    </w:p>
    <w:p w14:paraId="37DD0BFB" w14:textId="77777777" w:rsidR="00590B82" w:rsidRPr="00344776" w:rsidRDefault="00590B82" w:rsidP="00590B82"/>
    <w:p w14:paraId="1123E3A2" w14:textId="28E075E6" w:rsidR="00590B82" w:rsidRDefault="00590B82" w:rsidP="00590B82">
      <w:r>
        <w:t>As noted above, f</w:t>
      </w:r>
      <w:r w:rsidRPr="00344776">
        <w:t>rom July 2023, the primary test for cervical screening will change to a HPV test, with the option of self-testing.</w:t>
      </w:r>
      <w:r w:rsidRPr="00344776" w:rsidDel="00AD5EB1">
        <w:t xml:space="preserve"> </w:t>
      </w:r>
      <w:r>
        <w:t xml:space="preserve">This </w:t>
      </w:r>
      <w:r w:rsidRPr="00344776">
        <w:t xml:space="preserve">is considered more effective at detecting abnormal tissue that could develop into cancer </w:t>
      </w:r>
      <w:r w:rsidRPr="00344776">
        <w:fldChar w:fldCharType="begin"/>
      </w:r>
      <w:r>
        <w:instrText xml:space="preserve"> ADDIN EN.CITE &lt;EndNote&gt;&lt;Cite&gt;&lt;Author&gt;Gilham&lt;/Author&gt;&lt;Year&gt;2019&lt;/Year&gt;&lt;RecNum&gt;266&lt;/RecNum&gt;&lt;DisplayText&gt;(Gilham et al 2019)&lt;/DisplayText&gt;&lt;record&gt;&lt;rec-number&gt;266&lt;/rec-number&gt;&lt;foreign-keys&gt;&lt;key app="EN" db-id="aaepvppzs5wtfse95vsp2wahsrtvva2vvdet" timestamp="1666049875"&gt;266&lt;/key&gt;&lt;/foreign-keys&gt;&lt;ref-type name="Journal Article"&gt;17&lt;/ref-type&gt;&lt;contributors&gt;&lt;authors&gt;&lt;author&gt;Gilham, Clare&lt;/author&gt;&lt;author&gt;Sargent, Alexandra&lt;/author&gt;&lt;author&gt;Kitchener, Henry C&lt;/author&gt;&lt;author&gt;Peto, Julian&lt;/author&gt;&lt;/authors&gt;&lt;/contributors&gt;&lt;titles&gt;&lt;title&gt;HPV testing compared with routine cytology in cervical screening: long-term follow-up of ARTISTIC RCT&lt;/title&gt;&lt;secondary-title&gt;Health Technology Assessment&lt;/secondary-title&gt;&lt;/titles&gt;&lt;periodical&gt;&lt;full-title&gt;Health Technology Assessment&lt;/full-title&gt;&lt;/periodical&gt;&lt;pages&gt;1–44&lt;/pages&gt;&lt;volume&gt;23&lt;/volume&gt;&lt;number&gt;28&lt;/number&gt;&lt;dates&gt;&lt;year&gt;2019&lt;/year&gt;&lt;/dates&gt;&lt;urls&gt;&lt;related-urls&gt;&lt;url&gt;https://pubmed.ncbi.nlm.nih.gov/31219027/&lt;/url&gt;&lt;/related-urls&gt;&lt;/urls&gt;&lt;/record&gt;&lt;/Cite&gt;&lt;/EndNote&gt;</w:instrText>
      </w:r>
      <w:r w:rsidRPr="00344776">
        <w:fldChar w:fldCharType="separate"/>
      </w:r>
      <w:r w:rsidRPr="00344776">
        <w:rPr>
          <w:noProof/>
        </w:rPr>
        <w:t>(Gilham et al 2019)</w:t>
      </w:r>
      <w:r w:rsidRPr="00344776">
        <w:fldChar w:fldCharType="end"/>
      </w:r>
      <w:r>
        <w:t>.</w:t>
      </w:r>
    </w:p>
    <w:p w14:paraId="3FAB1F70" w14:textId="59E3BF04" w:rsidR="00924A79" w:rsidRPr="00344776" w:rsidRDefault="00924A79" w:rsidP="00590B82">
      <w:pPr>
        <w:pStyle w:val="Heading4"/>
      </w:pPr>
      <w:r w:rsidRPr="00344776">
        <w:t>Liver cancer</w:t>
      </w:r>
    </w:p>
    <w:p w14:paraId="522808B2" w14:textId="77777777" w:rsidR="00590B82" w:rsidRPr="00344776" w:rsidRDefault="00590B82" w:rsidP="00590B82">
      <w:r w:rsidRPr="00344776">
        <w:t>Liver cancer rates have increased steadily over the last 20 years</w:t>
      </w:r>
      <w:r>
        <w:t>,</w:t>
      </w:r>
      <w:r w:rsidRPr="00344776">
        <w:t xml:space="preserve"> and survival rates from liver cancer remain low. Approximately one in </w:t>
      </w:r>
      <w:r>
        <w:t>5</w:t>
      </w:r>
      <w:r w:rsidRPr="00344776">
        <w:t xml:space="preserve"> people survive </w:t>
      </w:r>
      <w:r>
        <w:t>5</w:t>
      </w:r>
      <w:r w:rsidRPr="00344776">
        <w:t xml:space="preserve"> years after diagnosis with liver cancer</w:t>
      </w:r>
      <w:r>
        <w:t>;</w:t>
      </w:r>
      <w:r w:rsidRPr="00344776">
        <w:t xml:space="preserve"> this has changed minimally over the past</w:t>
      </w:r>
      <w:r w:rsidRPr="00344776" w:rsidDel="009105E0">
        <w:t xml:space="preserve"> </w:t>
      </w:r>
      <w:r>
        <w:t>2</w:t>
      </w:r>
      <w:r w:rsidRPr="00344776">
        <w:t xml:space="preserve"> decades </w:t>
      </w:r>
      <w:r w:rsidRPr="00344776">
        <w:fldChar w:fldCharType="begin"/>
      </w:r>
      <w:r>
        <w:instrText xml:space="preserve"> ADDIN EN.CITE &lt;EndNote&gt;&lt;Cite&gt;&lt;Author&gt;Te Aho o Te Kahu Cancer Control Agency&lt;/Author&gt;&lt;Year&gt;2021&lt;/Year&gt;&lt;RecNum&gt;29&lt;/RecNum&gt;&lt;DisplayText&gt;(Te Aho o Te Kahu Cancer Control Agency 2021)&lt;/DisplayText&gt;&lt;record&gt;&lt;rec-number&gt;29&lt;/rec-number&gt;&lt;foreign-keys&gt;&lt;key app="EN" db-id="aaepvppzs5wtfse95vsp2wahsrtvva2vvdet" timestamp="1632281525"&gt;29&lt;/key&gt;&lt;/foreign-keys&gt;&lt;ref-type name="Web Page"&gt;12&lt;/ref-type&gt;&lt;contributors&gt;&lt;authors&gt;&lt;author&gt;Te Aho o Te Kahu Cancer Control Agency,&lt;/author&gt;&lt;/authors&gt;&lt;/contributors&gt;&lt;titles&gt;&lt;title&gt;The state of cancer in New Zealand 2020&lt;/title&gt;&lt;/titles&gt;&lt;number&gt;31 October 2022&lt;/number&gt;&lt;dates&gt;&lt;year&gt;2021&lt;/year&gt;&lt;/dates&gt;&lt;urls&gt;&lt;related-urls&gt;&lt;url&gt;https://teaho.govt.nz/reports/cancer-state&lt;/url&gt;&lt;/related-urls&gt;&lt;/urls&gt;&lt;/record&gt;&lt;/Cite&gt;&lt;/EndNote&gt;</w:instrText>
      </w:r>
      <w:r w:rsidRPr="00344776">
        <w:fldChar w:fldCharType="separate"/>
      </w:r>
      <w:r w:rsidRPr="00344776">
        <w:rPr>
          <w:noProof/>
        </w:rPr>
        <w:t>(Te Aho o Te Kahu Cancer Control Agency 2021)</w:t>
      </w:r>
      <w:r w:rsidRPr="00344776">
        <w:fldChar w:fldCharType="end"/>
      </w:r>
      <w:r w:rsidRPr="00344776">
        <w:t>.</w:t>
      </w:r>
    </w:p>
    <w:p w14:paraId="64E268F5" w14:textId="77777777" w:rsidR="00590B82" w:rsidRPr="00344776" w:rsidRDefault="00590B82" w:rsidP="00590B82"/>
    <w:p w14:paraId="5CE1661B" w14:textId="77777777" w:rsidR="00590B82" w:rsidRPr="00344776" w:rsidRDefault="00590B82" w:rsidP="00590B82">
      <w:r w:rsidRPr="00344776">
        <w:t xml:space="preserve">Māori have substantially higher rates of liver cancer than non-Māori and are 30% more likely to die following a diagnosis of liver cancer </w:t>
      </w:r>
      <w:r w:rsidRPr="00344776">
        <w:fldChar w:fldCharType="begin"/>
      </w:r>
      <w:r w:rsidRPr="00344776">
        <w:instrText xml:space="preserve"> ADDIN EN.CITE &lt;EndNote&gt;&lt;Cite&gt;&lt;Author&gt;Gurney&lt;/Author&gt;&lt;Year&gt;2020&lt;/Year&gt;&lt;RecNum&gt;128&lt;/RecNum&gt;&lt;DisplayText&gt;(Gurney et al 2020)&lt;/DisplayText&gt;&lt;record&gt;&lt;rec-number&gt;128&lt;/rec-number&gt;&lt;foreign-keys&gt;&lt;key app="EN" db-id="aaepvppzs5wtfse95vsp2wahsrtvva2vvdet" timestamp="1634783877"&gt;128&lt;/key&gt;&lt;/foreign-keys&gt;&lt;ref-type name="Journal Article"&gt;17&lt;/ref-type&gt;&lt;contributors&gt;&lt;authors&gt;&lt;author&gt;Gurney, Jason&lt;/author&gt;&lt;author&gt;Stanley, James&lt;/author&gt;&lt;author&gt;McLeod, Melissa&lt;/author&gt;&lt;author&gt;Koea, Jonathan&lt;/author&gt;&lt;author&gt;Jackson, Chris&lt;/author&gt;&lt;author&gt;Sarfati, Diana&lt;/author&gt;&lt;/authors&gt;&lt;/contributors&gt;&lt;titles&gt;&lt;title&gt;&lt;style face="normal" font="default" size="100%"&gt;Disparities in cancer-specific survival between M&lt;/style&gt;&lt;style face="normal" font="default" charset="238" size="100%"&gt;āori and &lt;/style&gt;&lt;style face="normal" font="default" size="100%"&gt;n&lt;/style&gt;&lt;style face="normal" font="default" charset="238" size="100%"&gt;on-Māori New Zealanders, 2007&lt;/style&gt;&lt;style face="normal" font="default" size="100%"&gt;–&lt;/style&gt;&lt;style face="normal" font="default" charset="238" size="100%"&gt;2016&lt;/style&gt;&lt;/title&gt;&lt;secondary-title&gt;JCO Global Oncology&lt;/secondary-title&gt;&lt;/titles&gt;&lt;periodical&gt;&lt;full-title&gt;JCO Global Oncology&lt;/full-title&gt;&lt;/periodical&gt;&lt;pages&gt;766–774&lt;/pages&gt;&lt;volume&gt;6&lt;/volume&gt;&lt;dates&gt;&lt;year&gt;2020&lt;/year&gt;&lt;/dates&gt;&lt;urls&gt;&lt;/urls&gt;&lt;electronic-resource-num&gt;https://doi.org/10.1200/GO.20.00028&lt;/electronic-resource-num&gt;&lt;/record&gt;&lt;/Cite&gt;&lt;/EndNote&gt;</w:instrText>
      </w:r>
      <w:r w:rsidRPr="00344776">
        <w:fldChar w:fldCharType="separate"/>
      </w:r>
      <w:r w:rsidRPr="00344776">
        <w:t>(Gurney et al 2020)</w:t>
      </w:r>
      <w:r w:rsidRPr="00344776">
        <w:fldChar w:fldCharType="end"/>
      </w:r>
      <w:r w:rsidRPr="00344776">
        <w:t>.</w:t>
      </w:r>
    </w:p>
    <w:p w14:paraId="4E16F140" w14:textId="77777777" w:rsidR="00590B82" w:rsidRPr="00344776" w:rsidRDefault="00590B82" w:rsidP="00590B82"/>
    <w:p w14:paraId="6131FD1D" w14:textId="77777777" w:rsidR="00590B82" w:rsidRPr="00344776" w:rsidRDefault="00590B82" w:rsidP="00590B82">
      <w:r w:rsidRPr="00344776">
        <w:t xml:space="preserve">Hepatitis B and </w:t>
      </w:r>
      <w:r>
        <w:t>h</w:t>
      </w:r>
      <w:r w:rsidRPr="00344776">
        <w:t xml:space="preserve">epatitis C infections cause 80% of liver cancers in New Zealand and globally. In New Zealand, Māori have higher rates of hepatitis B and hepatitis C, making up 45% and 23% of cases respectively. Hepatitis C is the leading cause of liver transplantation in New Zealand and the second leading cause of liver cancer (behind hepatitis B). </w:t>
      </w:r>
    </w:p>
    <w:p w14:paraId="55C82BB5" w14:textId="77777777" w:rsidR="00590B82" w:rsidRPr="00344776" w:rsidRDefault="00590B82" w:rsidP="00590B82"/>
    <w:p w14:paraId="7B41A75A" w14:textId="77777777" w:rsidR="00590B82" w:rsidRPr="00344776" w:rsidRDefault="00590B82" w:rsidP="00590B82">
      <w:r w:rsidRPr="00344776">
        <w:t>The risk of developing liver cancer is</w:t>
      </w:r>
      <w:r w:rsidRPr="00344776" w:rsidDel="00623994">
        <w:t xml:space="preserve"> </w:t>
      </w:r>
      <w:r w:rsidRPr="00344776">
        <w:t xml:space="preserve">much higher in people who drink high levels of alcohol </w:t>
      </w:r>
      <w:r w:rsidRPr="00344776">
        <w:fldChar w:fldCharType="begin"/>
      </w:r>
      <w:r w:rsidRPr="00344776">
        <w:instrText xml:space="preserve"> ADDIN EN.CITE &lt;EndNote&gt;&lt;Cite&gt;&lt;Author&gt;Matsushita&lt;/Author&gt;&lt;Year&gt;2019&lt;/Year&gt;&lt;RecNum&gt;180&lt;/RecNum&gt;&lt;DisplayText&gt;(Matsushita and Takaki 2019)&lt;/DisplayText&gt;&lt;record&gt;&lt;rec-number&gt;180&lt;/rec-number&gt;&lt;foreign-keys&gt;&lt;key app="EN" db-id="aaepvppzs5wtfse95vsp2wahsrtvva2vvdet" timestamp="1663728809"&gt;180&lt;/key&gt;&lt;/foreign-keys&gt;&lt;ref-type name="Journal Article"&gt;17&lt;/ref-type&gt;&lt;contributors&gt;&lt;authors&gt;&lt;author&gt;Matsushita, Hiroshi&lt;/author&gt;&lt;author&gt;Takaki, Akinobu&lt;/author&gt;&lt;/authors&gt;&lt;/contributors&gt;&lt;titles&gt;&lt;title&gt;Alcohol and hepatocellular carcinoma&lt;/title&gt;&lt;secondary-title&gt;BMJ Open Gastroenterology&lt;/secondary-title&gt;&lt;/titles&gt;&lt;periodical&gt;&lt;full-title&gt;BMJ Open Gastroenterology&lt;/full-title&gt;&lt;/periodical&gt;&lt;pages&gt;e000260&lt;/pages&gt;&lt;volume&gt;6&lt;/volume&gt;&lt;number&gt;1&lt;/number&gt;&lt;dates&gt;&lt;year&gt;2019&lt;/year&gt;&lt;/dates&gt;&lt;urls&gt;&lt;related-urls&gt;&lt;url&gt;https://bmjopengastro.bmj.com/content/6/1/e000260&lt;/url&gt;&lt;/related-urls&gt;&lt;/urls&gt;&lt;/record&gt;&lt;/Cite&gt;&lt;/EndNote&gt;</w:instrText>
      </w:r>
      <w:r w:rsidRPr="00344776">
        <w:fldChar w:fldCharType="separate"/>
      </w:r>
      <w:r w:rsidRPr="00344776">
        <w:rPr>
          <w:noProof/>
        </w:rPr>
        <w:t>(Matsushita and Takaki 2019)</w:t>
      </w:r>
      <w:r w:rsidRPr="00344776">
        <w:fldChar w:fldCharType="end"/>
      </w:r>
      <w:r w:rsidRPr="00344776">
        <w:t xml:space="preserve"> and/or smoke regularly </w:t>
      </w:r>
      <w:r w:rsidRPr="00344776">
        <w:fldChar w:fldCharType="begin"/>
      </w:r>
      <w:r w:rsidRPr="00344776">
        <w:instrText xml:space="preserve"> ADDIN EN.CITE &lt;EndNote&gt;&lt;Cite&gt;&lt;Author&gt;Abdel-Rahman&lt;/Author&gt;&lt;Year&gt;2017&lt;/Year&gt;&lt;RecNum&gt;181&lt;/RecNum&gt;&lt;DisplayText&gt;(Abdel-Rahman et al 2017)&lt;/DisplayText&gt;&lt;record&gt;&lt;rec-number&gt;181&lt;/rec-number&gt;&lt;foreign-keys&gt;&lt;key app="EN" db-id="aaepvppzs5wtfse95vsp2wahsrtvva2vvdet" timestamp="1663729062"&gt;181&lt;/key&gt;&lt;/foreign-keys&gt;&lt;ref-type name="Journal Article"&gt;17&lt;/ref-type&gt;&lt;contributors&gt;&lt;authors&gt;&lt;author&gt;Abdel-Rahman, Omar&lt;/author&gt;&lt;author&gt;Helbling, Daniel&lt;/author&gt;&lt;author&gt;Schöb, Othmar&lt;/author&gt;&lt;author&gt;Eltobgy, Mostafa&lt;/author&gt;&lt;author&gt;Mohamed, Hadeer&lt;/author&gt;&lt;author&gt;Schmidt, Jan&lt;/author&gt;&lt;author&gt;Giryes, Anwar&lt;/author&gt;&lt;author&gt;Mehrabi, Arianeb&lt;/author&gt;&lt;author&gt;Iype, Satheesh&lt;/author&gt;&lt;author&gt;John, Hannah&lt;/author&gt;&lt;author&gt;Tekbas, Aysun&lt;/author&gt;&lt;author&gt;Zidan, Ahmad&lt;/author&gt;&lt;author&gt;Oweira, Hani&lt;/author&gt;&lt;/authors&gt;&lt;/contributors&gt;&lt;titles&gt;&lt;title&gt;Cigarette smoking as a risk factor for the development of and mortality from hepatocellular carcinoma: An updated systematic review of 81 epidemiological studies&lt;/title&gt;&lt;secondary-title&gt;Journal of Evidence Based Medicine&lt;/secondary-title&gt;&lt;/titles&gt;&lt;periodical&gt;&lt;full-title&gt;Journal of Evidence Based Medicine&lt;/full-title&gt;&lt;/periodical&gt;&lt;pages&gt;245-254&lt;/pages&gt;&lt;volume&gt;10&lt;/volume&gt;&lt;number&gt;4&lt;/number&gt;&lt;dates&gt;&lt;year&gt;2017&lt;/year&gt;&lt;/dates&gt;&lt;urls&gt;&lt;related-urls&gt;&lt;url&gt;https://pubmed.ncbi.nlm.nih.gov/28891275/&lt;/url&gt;&lt;/related-urls&gt;&lt;/urls&gt;&lt;/record&gt;&lt;/Cite&gt;&lt;/EndNote&gt;</w:instrText>
      </w:r>
      <w:r w:rsidRPr="00344776">
        <w:fldChar w:fldCharType="separate"/>
      </w:r>
      <w:r w:rsidRPr="00344776">
        <w:rPr>
          <w:noProof/>
        </w:rPr>
        <w:t>(Abdel-Rahman et al 2017)</w:t>
      </w:r>
      <w:r w:rsidRPr="00344776">
        <w:fldChar w:fldCharType="end"/>
      </w:r>
      <w:r w:rsidRPr="00344776">
        <w:t xml:space="preserve">. Excess body weight increases the risk of developing liver cancer in people with chronic </w:t>
      </w:r>
      <w:r>
        <w:t>h</w:t>
      </w:r>
      <w:r w:rsidRPr="00344776">
        <w:t xml:space="preserve">epatitis B infection </w:t>
      </w:r>
      <w:r w:rsidRPr="00344776">
        <w:fldChar w:fldCharType="begin"/>
      </w:r>
      <w:r>
        <w:instrText xml:space="preserve"> ADDIN EN.CITE &lt;EndNote&gt;&lt;Cite&gt;&lt;Author&gt;Kim&lt;/Author&gt;&lt;Year&gt;2018&lt;/Year&gt;&lt;RecNum&gt;182&lt;/RecNum&gt;&lt;DisplayText&gt;(Kim et al 2018)&lt;/DisplayText&gt;&lt;record&gt;&lt;rec-number&gt;182&lt;/rec-number&gt;&lt;foreign-keys&gt;&lt;key app="EN" db-id="aaepvppzs5wtfse95vsp2wahsrtvva2vvdet" timestamp="1663729258"&gt;182&lt;/key&gt;&lt;/foreign-keys&gt;&lt;ref-type name="Journal Article"&gt;17&lt;/ref-type&gt;&lt;contributors&gt;&lt;authors&gt;&lt;author&gt;Kim, Kyuwoong&lt;/author&gt;&lt;author&gt;Choi, Seulggie&lt;/author&gt;&lt;author&gt;Park, Sang Min&lt;/author&gt;&lt;/authors&gt;&lt;/contributors&gt;&lt;titles&gt;&lt;title&gt;Association of high body mass index and hepatocellular carcinoma in patients with chronic Hepatitis B virus infection&lt;/title&gt;&lt;secondary-title&gt;JAMA Oncology&lt;/secondary-title&gt;&lt;/titles&gt;&lt;periodical&gt;&lt;full-title&gt;JAMA Oncology&lt;/full-title&gt;&lt;/periodical&gt;&lt;pages&gt;737–739&lt;/pages&gt;&lt;volume&gt;4&lt;/volume&gt;&lt;number&gt;5&lt;/number&gt;&lt;dates&gt;&lt;year&gt;2018&lt;/year&gt;&lt;/dates&gt;&lt;urls&gt;&lt;related-urls&gt;&lt;url&gt;https://www.ncbi.nlm.nih.gov/pmc/articles/PMC5885196/&lt;/url&gt;&lt;/related-urls&gt;&lt;/urls&gt;&lt;/record&gt;&lt;/Cite&gt;&lt;/EndNote&gt;</w:instrText>
      </w:r>
      <w:r w:rsidRPr="00344776">
        <w:fldChar w:fldCharType="separate"/>
      </w:r>
      <w:r w:rsidRPr="00344776">
        <w:rPr>
          <w:noProof/>
        </w:rPr>
        <w:t>(Kim et al 2018)</w:t>
      </w:r>
      <w:r w:rsidRPr="00344776">
        <w:fldChar w:fldCharType="end"/>
      </w:r>
      <w:r w:rsidRPr="00344776">
        <w:t>.</w:t>
      </w:r>
    </w:p>
    <w:p w14:paraId="20BE176A" w14:textId="77777777" w:rsidR="00590B82" w:rsidRPr="00344776" w:rsidRDefault="00590B82" w:rsidP="00590B82"/>
    <w:p w14:paraId="08A1E451" w14:textId="379510C1" w:rsidR="00924A79" w:rsidRPr="00344776" w:rsidRDefault="00590B82" w:rsidP="00590B82">
      <w:r w:rsidRPr="00344776">
        <w:t xml:space="preserve">Children and adolescents who are fully immunised against </w:t>
      </w:r>
      <w:r>
        <w:t>h</w:t>
      </w:r>
      <w:r w:rsidRPr="00344776">
        <w:t xml:space="preserve">epatitis B have a significantly lower risk of liver cancer. There has been a decline in </w:t>
      </w:r>
      <w:r>
        <w:t>h</w:t>
      </w:r>
      <w:r w:rsidRPr="00344776">
        <w:t>epatitis B immunisation coverage among Māori infants</w:t>
      </w:r>
      <w:r w:rsidRPr="00344776" w:rsidDel="001B505D">
        <w:t xml:space="preserve"> </w:t>
      </w:r>
      <w:r w:rsidRPr="00344776">
        <w:t xml:space="preserve">since 2018, from 94% in 2018 to 90% in 2020 </w:t>
      </w:r>
      <w:r w:rsidRPr="00344776">
        <w:fldChar w:fldCharType="begin"/>
      </w:r>
      <w:r>
        <w:instrText xml:space="preserve"> ADDIN EN.CITE &lt;EndNote&gt;&lt;Cite&gt;&lt;Author&gt;Te Aho o Te Kahu Cancer Control Agency&lt;/Author&gt;&lt;Year&gt;2021&lt;/Year&gt;&lt;RecNum&gt;29&lt;/RecNum&gt;&lt;DisplayText&gt;(Te Aho o Te Kahu Cancer Control Agency 2021)&lt;/DisplayText&gt;&lt;record&gt;&lt;rec-number&gt;29&lt;/rec-number&gt;&lt;foreign-keys&gt;&lt;key app="EN" db-id="aaepvppzs5wtfse95vsp2wahsrtvva2vvdet" timestamp="1632281525"&gt;29&lt;/key&gt;&lt;/foreign-keys&gt;&lt;ref-type name="Web Page"&gt;12&lt;/ref-type&gt;&lt;contributors&gt;&lt;authors&gt;&lt;author&gt;Te Aho o Te Kahu Cancer Control Agency,&lt;/author&gt;&lt;/authors&gt;&lt;/contributors&gt;&lt;titles&gt;&lt;title&gt;The state of cancer in New Zealand 2020&lt;/title&gt;&lt;/titles&gt;&lt;number&gt;31 October 2022&lt;/number&gt;&lt;dates&gt;&lt;year&gt;2021&lt;/year&gt;&lt;/dates&gt;&lt;urls&gt;&lt;related-urls&gt;&lt;url&gt;https://teaho.govt.nz/reports/cancer-state&lt;/url&gt;&lt;/related-urls&gt;&lt;/urls&gt;&lt;/record&gt;&lt;/Cite&gt;&lt;/EndNote&gt;</w:instrText>
      </w:r>
      <w:r w:rsidRPr="00344776">
        <w:fldChar w:fldCharType="separate"/>
      </w:r>
      <w:r w:rsidRPr="00344776">
        <w:rPr>
          <w:noProof/>
        </w:rPr>
        <w:t>(Te Aho o Te Kahu Cancer Control Agency 2021)</w:t>
      </w:r>
      <w:r w:rsidRPr="00344776">
        <w:fldChar w:fldCharType="end"/>
      </w:r>
      <w:r w:rsidR="00924A79" w:rsidRPr="00344776">
        <w:t>.</w:t>
      </w:r>
    </w:p>
    <w:p w14:paraId="7B5EC745" w14:textId="77777777" w:rsidR="00924A79" w:rsidRPr="00344776" w:rsidRDefault="00924A79" w:rsidP="00924A79">
      <w:pPr>
        <w:pStyle w:val="Heading2"/>
      </w:pPr>
      <w:bookmarkStart w:id="158" w:name="_Toc118452236"/>
      <w:bookmarkStart w:id="159" w:name="_Toc119312997"/>
      <w:r w:rsidRPr="00344776">
        <w:t>Mental wellbeing</w:t>
      </w:r>
      <w:bookmarkEnd w:id="158"/>
      <w:bookmarkEnd w:id="159"/>
    </w:p>
    <w:p w14:paraId="7E0F93CE" w14:textId="4E9322F0" w:rsidR="00924A79" w:rsidRPr="00344776" w:rsidRDefault="00590B82" w:rsidP="00924A79">
      <w:r>
        <w:t>The Mental Health Foundation of New Zealand describes ‘m</w:t>
      </w:r>
      <w:r w:rsidRPr="00344776">
        <w:t>ental wellbeing</w:t>
      </w:r>
      <w:r>
        <w:t>’</w:t>
      </w:r>
      <w:r w:rsidRPr="00344776">
        <w:t xml:space="preserve"> as feeling good, functioning well and feeling connected </w:t>
      </w:r>
      <w:r w:rsidRPr="00344776">
        <w:fldChar w:fldCharType="begin"/>
      </w:r>
      <w:r>
        <w:instrText xml:space="preserve"> ADDIN EN.CITE &lt;EndNote&gt;&lt;Cite&gt;&lt;Author&gt;Mental Health Foundation of New Zealand&lt;/Author&gt;&lt;Year&gt;2022&lt;/Year&gt;&lt;RecNum&gt;267&lt;/RecNum&gt;&lt;DisplayText&gt;(Mental Health Foundation of New Zealand 2022)&lt;/DisplayText&gt;&lt;record&gt;&lt;rec-number&gt;267&lt;/rec-number&gt;&lt;foreign-keys&gt;&lt;key app="EN" db-id="aaepvppzs5wtfse95vsp2wahsrtvva2vvdet" timestamp="1666049994"&gt;267&lt;/key&gt;&lt;/foreign-keys&gt;&lt;ref-type name="Web Page"&gt;12&lt;/ref-type&gt;&lt;contributors&gt;&lt;authors&gt;&lt;author&gt;Mental Health Foundation of New Zealand,&lt;/author&gt;&lt;/authors&gt;&lt;/contributors&gt;&lt;titles&gt;&lt;title&gt;What is Wellbeing?&lt;/title&gt;&lt;/titles&gt;&lt;number&gt;31 October 2022&lt;/number&gt;&lt;dates&gt;&lt;year&gt;2022&lt;/year&gt;&lt;/dates&gt;&lt;urls&gt;&lt;related-urls&gt;&lt;url&gt;https://mentalhealth.org.nz/what-is-wellbeing&lt;/url&gt;&lt;/related-urls&gt;&lt;/urls&gt;&lt;/record&gt;&lt;/Cite&gt;&lt;/EndNote&gt;</w:instrText>
      </w:r>
      <w:r w:rsidRPr="00344776">
        <w:fldChar w:fldCharType="separate"/>
      </w:r>
      <w:r w:rsidRPr="00344776">
        <w:rPr>
          <w:noProof/>
        </w:rPr>
        <w:t>(Mental Health Foundation of New Zealand 2022)</w:t>
      </w:r>
      <w:r w:rsidRPr="00344776">
        <w:fldChar w:fldCharType="end"/>
      </w:r>
      <w:r w:rsidRPr="00344776">
        <w:t xml:space="preserve">. </w:t>
      </w:r>
      <w:r>
        <w:t xml:space="preserve">Mental wellbeing </w:t>
      </w:r>
      <w:r w:rsidRPr="00344776">
        <w:t xml:space="preserve">includes many other aspects, such as being able to adapt and cope with life and life’s challenges and feeling that life has meaning, as well as experiencing feelings of contentment or general happiness </w:t>
      </w:r>
      <w:r w:rsidRPr="00344776">
        <w:fldChar w:fldCharType="begin"/>
      </w:r>
      <w:r>
        <w:instrText xml:space="preserve"> ADDIN EN.CITE &lt;EndNote&gt;&lt;Cite&gt;&lt;Author&gt;Ministry of Health&lt;/Author&gt;&lt;Year&gt;2021&lt;/Year&gt;&lt;RecNum&gt;219&lt;/RecNum&gt;&lt;DisplayText&gt;(Ministry of Health 2021)&lt;/DisplayText&gt;&lt;record&gt;&lt;rec-number&gt;219&lt;/rec-number&gt;&lt;foreign-keys&gt;&lt;key app="EN" db-id="aaepvppzs5wtfse95vsp2wahsrtvva2vvdet" timestamp="1663804183"&gt;219&lt;/key&gt;&lt;/foreign-keys&gt;&lt;ref-type name="Web Page"&gt;12&lt;/ref-type&gt;&lt;contributors&gt;&lt;authors&gt;&lt;author&gt;Ministry of Health,&lt;/author&gt;&lt;/authors&gt;&lt;/contributors&gt;&lt;titles&gt;&lt;title&gt;Kia Manawanui Aotearoa: Long-term pathway to mental wellbeing&lt;/title&gt;&lt;/titles&gt;&lt;number&gt;28 October 2022&lt;/number&gt;&lt;dates&gt;&lt;year&gt;2021&lt;/year&gt;&lt;/dates&gt;&lt;urls&gt;&lt;related-urls&gt;&lt;url&gt;https://www.health.govt.nz/system/files/documents/publications/web3-kia-manawanui-aotearoa-v9_0.pdf&lt;/url&gt;&lt;/related-urls&gt;&lt;/urls&gt;&lt;/record&gt;&lt;/Cite&gt;&lt;/EndNote&gt;</w:instrText>
      </w:r>
      <w:r w:rsidRPr="00344776">
        <w:fldChar w:fldCharType="separate"/>
      </w:r>
      <w:r>
        <w:rPr>
          <w:noProof/>
        </w:rPr>
        <w:t>(Ministry of Health 2021)</w:t>
      </w:r>
      <w:r w:rsidRPr="00344776">
        <w:fldChar w:fldCharType="end"/>
      </w:r>
      <w:r w:rsidRPr="00344776">
        <w:t>. It is one component of broader wellbeing. Positive mental wellbeing is most likely when people feel safe, connected, valued, worthy and accepted and have a sense of belonging, identity and hope for the future</w:t>
      </w:r>
      <w:r w:rsidR="00924A79" w:rsidRPr="00344776">
        <w:t xml:space="preserve">. </w:t>
      </w:r>
    </w:p>
    <w:p w14:paraId="36A63BD9" w14:textId="77777777" w:rsidR="00924A79" w:rsidRPr="00344776" w:rsidRDefault="00924A79" w:rsidP="00924A79">
      <w:pPr>
        <w:pStyle w:val="Heading3"/>
      </w:pPr>
      <w:r w:rsidRPr="00344776">
        <w:lastRenderedPageBreak/>
        <w:t>Psychological distress</w:t>
      </w:r>
    </w:p>
    <w:p w14:paraId="6739714F" w14:textId="77777777" w:rsidR="00590B82" w:rsidRPr="00344776" w:rsidRDefault="00590B82" w:rsidP="00590B82">
      <w:r w:rsidRPr="00344776">
        <w:t>Mental wellbeing encompasses more than psychological distress. However, at present</w:t>
      </w:r>
      <w:r>
        <w:t>,</w:t>
      </w:r>
      <w:r w:rsidRPr="00344776">
        <w:t xml:space="preserve"> most reporting is about mental distress, which is further discussed in this section.</w:t>
      </w:r>
    </w:p>
    <w:p w14:paraId="5E278B77" w14:textId="6FFCC561" w:rsidR="00924A79" w:rsidRPr="00344776" w:rsidRDefault="00924A79" w:rsidP="00924A79"/>
    <w:p w14:paraId="2E1E381C" w14:textId="4F2D07C8" w:rsidR="00924A79" w:rsidRPr="00344776" w:rsidRDefault="00B51E1F" w:rsidP="00924A79">
      <w:pPr>
        <w:rPr>
          <w:shd w:val="clear" w:color="auto" w:fill="FFFFFF"/>
        </w:rPr>
      </w:pPr>
      <w:r w:rsidRPr="00344776">
        <w:rPr>
          <w:noProof/>
        </w:rPr>
        <w:drawing>
          <wp:anchor distT="0" distB="0" distL="114300" distR="114300" simplePos="0" relativeHeight="251658248" behindDoc="0" locked="0" layoutInCell="1" allowOverlap="1" wp14:anchorId="6F30FE6A" wp14:editId="799B7D8F">
            <wp:simplePos x="0" y="0"/>
            <wp:positionH relativeFrom="margin">
              <wp:posOffset>2927985</wp:posOffset>
            </wp:positionH>
            <wp:positionV relativeFrom="paragraph">
              <wp:posOffset>26035</wp:posOffset>
            </wp:positionV>
            <wp:extent cx="2176145" cy="1048385"/>
            <wp:effectExtent l="0" t="0" r="0" b="0"/>
            <wp:wrapSquare wrapText="bothSides"/>
            <wp:docPr id="910" name="Picture 14" descr="Almost 1 in 10 adults experienced high psychological distress">
              <a:extLst xmlns:a="http://schemas.openxmlformats.org/drawingml/2006/main">
                <a:ext uri="{FF2B5EF4-FFF2-40B4-BE49-F238E27FC236}">
                  <a16:creationId xmlns:a16="http://schemas.microsoft.com/office/drawing/2014/main" id="{700AD4B0-FF51-4D18-92CD-5DEB408557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Picture 14" descr="Almost 1 in 10 adults experienced high psychological distress">
                      <a:extLst>
                        <a:ext uri="{FF2B5EF4-FFF2-40B4-BE49-F238E27FC236}">
                          <a16:creationId xmlns:a16="http://schemas.microsoft.com/office/drawing/2014/main" id="{700AD4B0-FF51-4D18-92CD-5DEB4085573B}"/>
                        </a:ext>
                      </a:extLst>
                    </pic:cNvPr>
                    <pic:cNvPicPr>
                      <a:picLocks noChangeAspect="1"/>
                    </pic:cNvPicPr>
                  </pic:nvPicPr>
                  <pic:blipFill>
                    <a:blip r:embed="rId96"/>
                    <a:stretch>
                      <a:fillRect/>
                    </a:stretch>
                  </pic:blipFill>
                  <pic:spPr>
                    <a:xfrm>
                      <a:off x="0" y="0"/>
                      <a:ext cx="2176145" cy="1048385"/>
                    </a:xfrm>
                    <a:prstGeom prst="rect">
                      <a:avLst/>
                    </a:prstGeom>
                  </pic:spPr>
                </pic:pic>
              </a:graphicData>
            </a:graphic>
          </wp:anchor>
        </w:drawing>
      </w:r>
      <w:r w:rsidR="00924A79" w:rsidRPr="00344776">
        <w:t xml:space="preserve">In </w:t>
      </w:r>
      <w:r w:rsidR="00924A79">
        <w:t xml:space="preserve">the </w:t>
      </w:r>
      <w:r w:rsidR="00924A79" w:rsidRPr="00344776">
        <w:t>2020</w:t>
      </w:r>
      <w:r w:rsidR="00924A79">
        <w:rPr>
          <w:rStyle w:val="normaltextrun"/>
          <w:szCs w:val="21"/>
        </w:rPr>
        <w:t>/</w:t>
      </w:r>
      <w:r w:rsidR="00924A79" w:rsidRPr="00344776">
        <w:t>21</w:t>
      </w:r>
      <w:r w:rsidR="00924A79">
        <w:t xml:space="preserve"> NZHS</w:t>
      </w:r>
      <w:r w:rsidR="00924A79" w:rsidRPr="00344776">
        <w:t xml:space="preserve">, 9.6% </w:t>
      </w:r>
      <w:r w:rsidR="00924A79">
        <w:t xml:space="preserve">of people reported </w:t>
      </w:r>
      <w:r w:rsidR="00924A79" w:rsidRPr="00344776">
        <w:t>experienc</w:t>
      </w:r>
      <w:r w:rsidR="00924A79">
        <w:t>ing</w:t>
      </w:r>
      <w:r w:rsidR="00924A79" w:rsidRPr="00344776">
        <w:t xml:space="preserve"> high psychological distress in the last</w:t>
      </w:r>
      <w:r w:rsidR="00924A79" w:rsidRPr="00344776" w:rsidDel="009105E0">
        <w:t xml:space="preserve"> </w:t>
      </w:r>
      <w:r w:rsidR="00924A79">
        <w:t>4</w:t>
      </w:r>
      <w:r w:rsidR="00924A79" w:rsidRPr="00344776">
        <w:t xml:space="preserve"> weeks </w:t>
      </w:r>
      <w:r w:rsidR="00924A79" w:rsidRPr="00344776">
        <w:fldChar w:fldCharType="begin"/>
      </w:r>
      <w:r w:rsidR="00924A79" w:rsidRPr="00344776">
        <w:instrText xml:space="preserve"> ADDIN EN.CITE &lt;EndNote&gt;&lt;Cite&gt;&lt;Author&gt;Ministry of Health&lt;/Author&gt;&lt;Year&gt;2022&lt;/Year&gt;&lt;RecNum&gt;33&lt;/RecNum&gt;&lt;DisplayText&gt;(Ministry of Health 2022b)&lt;/DisplayText&gt;&lt;record&gt;&lt;rec-number&gt;33&lt;/rec-number&gt;&lt;foreign-keys&gt;&lt;key app="EN" db-id="aaepvppzs5wtfse95vsp2wahsrtvva2vvdet" timestamp="1632283821"&gt;33&lt;/key&gt;&lt;/foreign-keys&gt;&lt;ref-type name="Web Page"&gt;12&lt;/ref-type&gt;&lt;contributors&gt;&lt;authors&gt;&lt;author&gt;Ministry of Health,&lt;/author&gt;&lt;/authors&gt;&lt;/contributors&gt;&lt;titles&gt;&lt;title&gt;Annual Data Explorer 2020/21: New Zealand Health Survey (Data file)&lt;/title&gt;&lt;/titles&gt;&lt;number&gt;22 September 2022&lt;/number&gt;&lt;dates&gt;&lt;year&gt;2022&lt;/year&gt;&lt;/dates&gt;&lt;urls&gt;&lt;related-urls&gt;&lt;url&gt;https://minhealthnz.shinyapps.io/nz-health-survey-2020-21-annual-data-explorer/_w_871f0fb8/#!/&lt;/url&gt;&lt;/related-urls&gt;&lt;/urls&gt;&lt;/record&gt;&lt;/Cite&gt;&lt;/EndNote&gt;</w:instrText>
      </w:r>
      <w:r w:rsidR="00924A79" w:rsidRPr="00344776">
        <w:fldChar w:fldCharType="separate"/>
      </w:r>
      <w:r w:rsidR="00924A79" w:rsidRPr="00344776">
        <w:rPr>
          <w:noProof/>
        </w:rPr>
        <w:t>(Ministry of Health 2022b)</w:t>
      </w:r>
      <w:r w:rsidR="00924A79" w:rsidRPr="00344776">
        <w:fldChar w:fldCharType="end"/>
      </w:r>
      <w:r w:rsidR="00924A79" w:rsidRPr="00344776">
        <w:t xml:space="preserve">. </w:t>
      </w:r>
      <w:r w:rsidR="00924A79">
        <w:t>‘</w:t>
      </w:r>
      <w:r w:rsidR="00924A79" w:rsidRPr="00344776">
        <w:rPr>
          <w:shd w:val="clear" w:color="auto" w:fill="FFFFFF"/>
        </w:rPr>
        <w:t>Psychological distress</w:t>
      </w:r>
      <w:r w:rsidR="00924A79">
        <w:rPr>
          <w:shd w:val="clear" w:color="auto" w:fill="FFFFFF"/>
        </w:rPr>
        <w:t>’ in adults</w:t>
      </w:r>
      <w:r w:rsidR="00924A79" w:rsidRPr="00344776">
        <w:rPr>
          <w:shd w:val="clear" w:color="auto" w:fill="FFFFFF"/>
        </w:rPr>
        <w:t xml:space="preserve"> (aged 15+ years) refers to a person’s experience of symptoms such as anxiety, psychological fatigue or depression.</w:t>
      </w:r>
    </w:p>
    <w:p w14:paraId="585B68E1" w14:textId="77777777" w:rsidR="00924A79" w:rsidRPr="00344776" w:rsidRDefault="00924A79" w:rsidP="00924A79"/>
    <w:p w14:paraId="5FA91CA3" w14:textId="0F98C644" w:rsidR="00590B82" w:rsidRPr="00344776" w:rsidRDefault="00590B82" w:rsidP="00590B82">
      <w:r w:rsidRPr="00344776">
        <w:t xml:space="preserve">The prevalence of high psychological distress has fluctuated over time but </w:t>
      </w:r>
      <w:r>
        <w:t xml:space="preserve">is </w:t>
      </w:r>
      <w:r w:rsidRPr="00344776">
        <w:t>general</w:t>
      </w:r>
      <w:r>
        <w:t>ly trending</w:t>
      </w:r>
      <w:r w:rsidRPr="00344776">
        <w:t xml:space="preserve"> upwards</w:t>
      </w:r>
      <w:r>
        <w:t>: there was</w:t>
      </w:r>
      <w:r w:rsidRPr="00344776">
        <w:t xml:space="preserve"> a low of 4.6% in 2011/12 and a high of 9.6% in 2020/21 (</w:t>
      </w:r>
      <w:r w:rsidR="00300598">
        <w:fldChar w:fldCharType="begin"/>
      </w:r>
      <w:r w:rsidR="00300598">
        <w:instrText>REF _Ref114830301 \* MERGEFORMAT</w:instrText>
      </w:r>
      <w:r w:rsidR="00300598">
        <w:fldChar w:fldCharType="separate"/>
      </w:r>
      <w:r w:rsidR="00F61845" w:rsidRPr="00344776">
        <w:t xml:space="preserve">Figure </w:t>
      </w:r>
      <w:r w:rsidR="00F61845">
        <w:rPr>
          <w:noProof/>
        </w:rPr>
        <w:t>35</w:t>
      </w:r>
      <w:r w:rsidR="00300598">
        <w:rPr>
          <w:noProof/>
        </w:rPr>
        <w:fldChar w:fldCharType="end"/>
      </w:r>
      <w:r w:rsidRPr="00344776">
        <w:t>).</w:t>
      </w:r>
    </w:p>
    <w:p w14:paraId="75BC8F13" w14:textId="77777777" w:rsidR="00590B82" w:rsidRPr="00344776" w:rsidRDefault="00590B82" w:rsidP="00590B82"/>
    <w:p w14:paraId="5EF1E4D6" w14:textId="5DC9C163" w:rsidR="00924A79" w:rsidRPr="00344776" w:rsidRDefault="00590B82" w:rsidP="00590B82">
      <w:r w:rsidRPr="00344776">
        <w:t xml:space="preserve">Inequities occur between subgroups of the population reporting high psychological distress </w:t>
      </w:r>
      <w:r w:rsidRPr="00344776">
        <w:fldChar w:fldCharType="begin"/>
      </w:r>
      <w:r>
        <w:instrText xml:space="preserve"> ADDIN EN.CITE &lt;EndNote&gt;&lt;Cite&gt;&lt;Author&gt;Ministry of Health&lt;/Author&gt;&lt;Year&gt;2022&lt;/Year&gt;&lt;RecNum&gt;33&lt;/RecNum&gt;&lt;DisplayText&gt;(Ministry of Health 2022b)&lt;/DisplayText&gt;&lt;record&gt;&lt;rec-number&gt;33&lt;/rec-number&gt;&lt;foreign-keys&gt;&lt;key app="EN" db-id="aaepvppzs5wtfse95vsp2wahsrtvva2vvdet" timestamp="1632283821"&gt;33&lt;/key&gt;&lt;/foreign-keys&gt;&lt;ref-type name="Web Page"&gt;12&lt;/ref-type&gt;&lt;contributors&gt;&lt;authors&gt;&lt;author&gt;Ministry of Health,&lt;/author&gt;&lt;/authors&gt;&lt;/contributors&gt;&lt;titles&gt;&lt;title&gt;Annual Data Explorer 2020/21: New Zealand Health Survey (Data file)&lt;/title&gt;&lt;/titles&gt;&lt;number&gt;31 October 2022&lt;/number&gt;&lt;dates&gt;&lt;year&gt;2022&lt;/year&gt;&lt;/dates&gt;&lt;urls&gt;&lt;related-urls&gt;&lt;url&gt;https://minhealthnz.shinyapps.io/nz-health-survey-2020-21-annual-data-explorer/&lt;/url&gt;&lt;/related-urls&gt;&lt;/urls&gt;&lt;/record&gt;&lt;/Cite&gt;&lt;/EndNote&gt;</w:instrText>
      </w:r>
      <w:r w:rsidRPr="00344776">
        <w:fldChar w:fldCharType="separate"/>
      </w:r>
      <w:r w:rsidRPr="00344776">
        <w:rPr>
          <w:noProof/>
        </w:rPr>
        <w:t>(Ministry of Health 2022b)</w:t>
      </w:r>
      <w:r w:rsidRPr="00344776">
        <w:fldChar w:fldCharType="end"/>
      </w:r>
      <w:r w:rsidRPr="00344776">
        <w:t>. In 2020/21</w:t>
      </w:r>
      <w:r w:rsidR="00924A79" w:rsidRPr="00344776">
        <w:t>:</w:t>
      </w:r>
    </w:p>
    <w:p w14:paraId="1414B59E" w14:textId="77777777" w:rsidR="00590B82" w:rsidRDefault="00590B82" w:rsidP="00590B82">
      <w:pPr>
        <w:pStyle w:val="Bullet"/>
      </w:pPr>
      <w:r>
        <w:t xml:space="preserve">15.2% of adults living in the most deprived areas experienced high psychological distress, compared with 6.1% of adults living in the least deprived areas </w:t>
      </w:r>
    </w:p>
    <w:p w14:paraId="666ABCB3" w14:textId="68D1E432" w:rsidR="00924A79" w:rsidRDefault="00590B82" w:rsidP="00590B82">
      <w:pPr>
        <w:pStyle w:val="Bullet"/>
      </w:pPr>
      <w:r>
        <w:t>27.3% of disabled adults experienced high psychological distress, compared with 7.9% of non-disabled adults</w:t>
      </w:r>
      <w:r w:rsidR="00924A79" w:rsidRPr="00051D54">
        <w:t>.</w:t>
      </w:r>
    </w:p>
    <w:p w14:paraId="7CA4ECD5" w14:textId="33FD61EE" w:rsidR="00A233F4" w:rsidRDefault="00A233F4"/>
    <w:p w14:paraId="58C7421E" w14:textId="434442E9" w:rsidR="00924A79" w:rsidRPr="00344776" w:rsidRDefault="00590B82" w:rsidP="00924A79">
      <w:r w:rsidRPr="00590B82">
        <w:t xml:space="preserve">Over the 10 years to 2020/21, Māori and Pacific adults were more likely to report experiencing high psychological distress, compared to the Asian and European/other ethnic groups </w:t>
      </w:r>
      <w:r w:rsidR="00924A79" w:rsidRPr="00344776">
        <w:t>(</w:t>
      </w:r>
      <w:r w:rsidR="00051D54">
        <w:fldChar w:fldCharType="begin"/>
      </w:r>
      <w:r w:rsidR="00051D54">
        <w:instrText xml:space="preserve"> REF _Ref114830301 \h </w:instrText>
      </w:r>
      <w:r w:rsidR="00051D54">
        <w:fldChar w:fldCharType="separate"/>
      </w:r>
      <w:r w:rsidR="00F61845" w:rsidRPr="00344776">
        <w:t xml:space="preserve">Figure </w:t>
      </w:r>
      <w:r w:rsidR="00F61845">
        <w:rPr>
          <w:noProof/>
        </w:rPr>
        <w:t>35</w:t>
      </w:r>
      <w:r w:rsidR="00051D54">
        <w:fldChar w:fldCharType="end"/>
      </w:r>
      <w:r w:rsidR="00924A79" w:rsidRPr="00344776">
        <w:t xml:space="preserve">). </w:t>
      </w:r>
    </w:p>
    <w:p w14:paraId="6F405761" w14:textId="5CE6D410" w:rsidR="00AF1EA7" w:rsidRDefault="00AF1EA7">
      <w:r>
        <w:br w:type="page"/>
      </w:r>
    </w:p>
    <w:p w14:paraId="12652651" w14:textId="20C15259" w:rsidR="00924A79" w:rsidRPr="00344776" w:rsidRDefault="00924A79" w:rsidP="00924A79">
      <w:pPr>
        <w:pStyle w:val="Figure"/>
      </w:pPr>
      <w:bookmarkStart w:id="160" w:name="_Ref114830301"/>
      <w:bookmarkStart w:id="161" w:name="_Toc118446249"/>
      <w:bookmarkStart w:id="162" w:name="_Toc118730686"/>
      <w:bookmarkStart w:id="163" w:name="_Toc119047779"/>
      <w:r w:rsidRPr="00344776">
        <w:lastRenderedPageBreak/>
        <w:t xml:space="preserve">Figure </w:t>
      </w:r>
      <w:r w:rsidRPr="00344776">
        <w:fldChar w:fldCharType="begin"/>
      </w:r>
      <w:r w:rsidRPr="00344776">
        <w:instrText>SEQ Figure \* ARABIC</w:instrText>
      </w:r>
      <w:r w:rsidRPr="00344776">
        <w:fldChar w:fldCharType="separate"/>
      </w:r>
      <w:r w:rsidR="00F61845">
        <w:rPr>
          <w:noProof/>
        </w:rPr>
        <w:t>35</w:t>
      </w:r>
      <w:r w:rsidRPr="00344776">
        <w:fldChar w:fldCharType="end"/>
      </w:r>
      <w:bookmarkEnd w:id="160"/>
      <w:r w:rsidRPr="00344776">
        <w:t xml:space="preserve">: Prevalence of adults </w:t>
      </w:r>
      <w:r>
        <w:t xml:space="preserve">who </w:t>
      </w:r>
      <w:r w:rsidRPr="00344776">
        <w:t>experienced high psychological distress in the last 4 weeks, by ethnic group, 2011/12–2020/21</w:t>
      </w:r>
      <w:bookmarkEnd w:id="161"/>
      <w:bookmarkEnd w:id="162"/>
      <w:bookmarkEnd w:id="163"/>
    </w:p>
    <w:p w14:paraId="4D7BB17D" w14:textId="77777777" w:rsidR="00924A79" w:rsidRPr="00344776" w:rsidRDefault="00924A79" w:rsidP="00051D54">
      <w:pPr>
        <w:spacing w:after="120"/>
      </w:pPr>
      <w:r w:rsidRPr="00344776">
        <w:rPr>
          <w:noProof/>
        </w:rPr>
        <w:drawing>
          <wp:inline distT="0" distB="0" distL="0" distR="0" wp14:anchorId="3497F4D6" wp14:editId="4F7DA81C">
            <wp:extent cx="5400675" cy="4321271"/>
            <wp:effectExtent l="0" t="0" r="0" b="3175"/>
            <wp:docPr id="62" name="Picture 62" descr="This time series line chart shows the prevalence of adults that experienced high psychological distress in the last 4 weeks, by ethnic group. Psychological distress was highest for Māori and Pacific adults, increasing between 2011/12 and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his time series line chart shows the prevalence of adults that experienced high psychological distress in the last 4 weeks, by ethnic group. Psychological distress was highest for Māori and Pacific adults, increasing between 2011/12 and 2020/21."/>
                    <pic:cNvPicPr>
                      <a:picLocks noChangeAspect="1" noChangeArrowheads="1"/>
                    </pic:cNvPicPr>
                  </pic:nvPicPr>
                  <pic:blipFill>
                    <a:blip r:embed="rId97"/>
                    <a:stretch>
                      <a:fillRect/>
                    </a:stretch>
                  </pic:blipFill>
                  <pic:spPr bwMode="auto">
                    <a:xfrm>
                      <a:off x="0" y="0"/>
                      <a:ext cx="5400675" cy="4321271"/>
                    </a:xfrm>
                    <a:prstGeom prst="rect">
                      <a:avLst/>
                    </a:prstGeom>
                    <a:noFill/>
                    <a:ln>
                      <a:noFill/>
                    </a:ln>
                  </pic:spPr>
                </pic:pic>
              </a:graphicData>
            </a:graphic>
          </wp:inline>
        </w:drawing>
      </w:r>
    </w:p>
    <w:p w14:paraId="1D54EDDE" w14:textId="77777777" w:rsidR="00924A79" w:rsidRPr="00344776" w:rsidRDefault="00924A79" w:rsidP="00051D54">
      <w:pPr>
        <w:pStyle w:val="Source"/>
      </w:pPr>
      <w:r w:rsidRPr="00344776">
        <w:t xml:space="preserve">Source: </w:t>
      </w:r>
      <w:hyperlink r:id="rId98" w:anchor="!/">
        <w:r w:rsidRPr="00344776">
          <w:rPr>
            <w:rStyle w:val="Hyperlink"/>
          </w:rPr>
          <w:t>Ministry of Health (2022b)</w:t>
        </w:r>
      </w:hyperlink>
    </w:p>
    <w:p w14:paraId="5E360EE0" w14:textId="77777777" w:rsidR="00924A79" w:rsidRPr="00B51E1F" w:rsidRDefault="00924A79" w:rsidP="00924A79">
      <w:pPr>
        <w:pStyle w:val="Heading3"/>
        <w:rPr>
          <w:iCs/>
        </w:rPr>
      </w:pPr>
      <w:r w:rsidRPr="00B51E1F">
        <w:rPr>
          <w:iCs/>
        </w:rPr>
        <w:t>Kia Manawanui Aotearoa: Long-term pathway to mental wellbeing</w:t>
      </w:r>
    </w:p>
    <w:p w14:paraId="5AE58E2D" w14:textId="3EC11FEC" w:rsidR="00924A79" w:rsidRPr="00344776" w:rsidRDefault="00924A79" w:rsidP="00924A79">
      <w:r w:rsidRPr="00344776">
        <w:t xml:space="preserve">In 2021, the New Zealand Government released a </w:t>
      </w:r>
      <w:r>
        <w:t>10</w:t>
      </w:r>
      <w:r w:rsidRPr="00344776">
        <w:t xml:space="preserve">-year strategy and action plan for mental wellbeing, titled </w:t>
      </w:r>
      <w:hyperlink r:id="rId99" w:history="1">
        <w:r w:rsidRPr="00344776">
          <w:rPr>
            <w:rStyle w:val="Hyperlink"/>
            <w:i/>
          </w:rPr>
          <w:t>Kia Manawanui</w:t>
        </w:r>
        <w:r w:rsidRPr="00344776">
          <w:rPr>
            <w:rStyle w:val="Hyperlink"/>
          </w:rPr>
          <w:t xml:space="preserve"> </w:t>
        </w:r>
        <w:r w:rsidRPr="00344776">
          <w:rPr>
            <w:rStyle w:val="Hyperlink"/>
            <w:i/>
          </w:rPr>
          <w:t>Aotearoa</w:t>
        </w:r>
        <w:r>
          <w:rPr>
            <w:rStyle w:val="Hyperlink"/>
            <w:i/>
          </w:rPr>
          <w:t>: L</w:t>
        </w:r>
        <w:r w:rsidRPr="00344776">
          <w:rPr>
            <w:rStyle w:val="Hyperlink"/>
            <w:i/>
          </w:rPr>
          <w:t>ong-term pathway to mental wellbeing</w:t>
        </w:r>
      </w:hyperlink>
      <w:r w:rsidRPr="00344776">
        <w:t xml:space="preserve"> </w:t>
      </w:r>
      <w:r w:rsidRPr="00344776">
        <w:fldChar w:fldCharType="begin"/>
      </w:r>
      <w:r w:rsidRPr="00344776">
        <w:instrText xml:space="preserve"> ADDIN EN.CITE &lt;EndNote&gt;&lt;Cite&gt;&lt;Author&gt;Ministry of Health&lt;/Author&gt;&lt;Year&gt;2021&lt;/Year&gt;&lt;RecNum&gt;219&lt;/RecNum&gt;&lt;DisplayText&gt;(Ministry of Health 2021a)&lt;/DisplayText&gt;&lt;record&gt;&lt;rec-number&gt;219&lt;/rec-number&gt;&lt;foreign-keys&gt;&lt;key app="EN" db-id="aaepvppzs5wtfse95vsp2wahsrtvva2vvdet" timestamp="1663804183"&gt;219&lt;/key&gt;&lt;/foreign-keys&gt;&lt;ref-type name="Web Page"&gt;12&lt;/ref-type&gt;&lt;contributors&gt;&lt;authors&gt;&lt;author&gt;Ministry of Health,&lt;/author&gt;&lt;/authors&gt;&lt;/contributors&gt;&lt;titles&gt;&lt;title&gt;Kia Manawanui Aotearoa: Long-term pathway to mental wellbeing&lt;/title&gt;&lt;/titles&gt;&lt;number&gt;22 September 2022&lt;/number&gt;&lt;dates&gt;&lt;year&gt;2021&lt;/year&gt;&lt;/dates&gt;&lt;urls&gt;&lt;related-urls&gt;&lt;url&gt;https://www.health.govt.nz/system/files/documents/publications/web3-kia-manawanui-aotearoa-v9_0.pdf&lt;/url&gt;&lt;/related-urls&gt;&lt;/urls&gt;&lt;/record&gt;&lt;/Cite&gt;&lt;/EndNote&gt;</w:instrText>
      </w:r>
      <w:r w:rsidRPr="00344776">
        <w:fldChar w:fldCharType="separate"/>
      </w:r>
      <w:r w:rsidRPr="00344776">
        <w:rPr>
          <w:noProof/>
        </w:rPr>
        <w:t>(Ministry of Health 2021a)</w:t>
      </w:r>
      <w:r w:rsidRPr="00344776">
        <w:fldChar w:fldCharType="end"/>
      </w:r>
      <w:r w:rsidRPr="00344776">
        <w:t>.</w:t>
      </w:r>
    </w:p>
    <w:p w14:paraId="338C3648" w14:textId="77777777" w:rsidR="00924A79" w:rsidRPr="00344776" w:rsidRDefault="00924A79" w:rsidP="00924A79"/>
    <w:p w14:paraId="250B2B25" w14:textId="77777777" w:rsidR="00924A79" w:rsidRPr="00344776" w:rsidRDefault="00924A79" w:rsidP="00924A79">
      <w:r w:rsidRPr="00344776">
        <w:rPr>
          <w:i/>
        </w:rPr>
        <w:t>Kia Manawanui</w:t>
      </w:r>
      <w:r w:rsidRPr="00344776">
        <w:t xml:space="preserve"> defines the next stage of the transformation of New Zealand’s approach to mental wellbeing, including the mental health and addiction system. </w:t>
      </w:r>
      <w:r w:rsidRPr="00344776">
        <w:rPr>
          <w:iCs/>
        </w:rPr>
        <w:t>It</w:t>
      </w:r>
      <w:r w:rsidRPr="00344776">
        <w:t xml:space="preserve"> outlines the actions </w:t>
      </w:r>
      <w:r>
        <w:t>the G</w:t>
      </w:r>
      <w:r w:rsidRPr="00344776">
        <w:t xml:space="preserve">overnment will take over the short, medium and longer term. </w:t>
      </w:r>
    </w:p>
    <w:p w14:paraId="3882ECC1" w14:textId="77777777" w:rsidR="00924A79" w:rsidRPr="00344776" w:rsidRDefault="00924A79" w:rsidP="00924A79"/>
    <w:p w14:paraId="11C17871" w14:textId="77777777" w:rsidR="00924A79" w:rsidRPr="00344776" w:rsidRDefault="00924A79" w:rsidP="00924A79">
      <w:r w:rsidRPr="00344776">
        <w:rPr>
          <w:i/>
        </w:rPr>
        <w:t>Kia Manawanui</w:t>
      </w:r>
      <w:r w:rsidRPr="00344776">
        <w:t xml:space="preserve"> </w:t>
      </w:r>
      <w:r>
        <w:t xml:space="preserve">identifies 5 </w:t>
      </w:r>
      <w:r w:rsidRPr="00344776">
        <w:t>focus areas</w:t>
      </w:r>
      <w:r>
        <w:t>:</w:t>
      </w:r>
      <w:r w:rsidRPr="00344776">
        <w:t xml:space="preserve"> </w:t>
      </w:r>
    </w:p>
    <w:p w14:paraId="543320EB" w14:textId="77777777" w:rsidR="00590B82" w:rsidRDefault="00590B82" w:rsidP="00590B82">
      <w:pPr>
        <w:pStyle w:val="Bullet"/>
      </w:pPr>
      <w:r>
        <w:t>building the social, cultural, environmental and economic foundations for mental wellbeing</w:t>
      </w:r>
    </w:p>
    <w:p w14:paraId="4882A991" w14:textId="77777777" w:rsidR="00590B82" w:rsidRDefault="00590B82" w:rsidP="00590B82">
      <w:pPr>
        <w:pStyle w:val="Bullet"/>
      </w:pPr>
      <w:r>
        <w:t>equipping communities, whānau and individuals to look after their own mental wellbeing</w:t>
      </w:r>
    </w:p>
    <w:p w14:paraId="57B0037B" w14:textId="77777777" w:rsidR="00590B82" w:rsidRDefault="00590B82" w:rsidP="00590B82">
      <w:pPr>
        <w:pStyle w:val="Bullet"/>
      </w:pPr>
      <w:r>
        <w:t>fostering community-led solutions</w:t>
      </w:r>
    </w:p>
    <w:p w14:paraId="16825D6D" w14:textId="77777777" w:rsidR="00590B82" w:rsidRDefault="00590B82" w:rsidP="00590B82">
      <w:pPr>
        <w:pStyle w:val="Bullet"/>
      </w:pPr>
      <w:r>
        <w:t>expanding primary mental wellbeing support in communities</w:t>
      </w:r>
    </w:p>
    <w:p w14:paraId="460D42C7" w14:textId="2246ECFA" w:rsidR="00924A79" w:rsidRPr="00051D54" w:rsidRDefault="00590B82" w:rsidP="00590B82">
      <w:pPr>
        <w:pStyle w:val="Bullet"/>
      </w:pPr>
      <w:r>
        <w:t>strengthening specialist services</w:t>
      </w:r>
      <w:r w:rsidR="00924A79" w:rsidRPr="00051D54">
        <w:t xml:space="preserve">. </w:t>
      </w:r>
    </w:p>
    <w:p w14:paraId="05C7A576" w14:textId="77777777" w:rsidR="00924A79" w:rsidRPr="00344776" w:rsidRDefault="00924A79" w:rsidP="00924A79">
      <w:pPr>
        <w:pStyle w:val="Heading3"/>
      </w:pPr>
      <w:r w:rsidRPr="00344776">
        <w:lastRenderedPageBreak/>
        <w:t>Access and choice</w:t>
      </w:r>
    </w:p>
    <w:p w14:paraId="6421CD2F" w14:textId="77777777" w:rsidR="00590B82" w:rsidRPr="00344776" w:rsidRDefault="00590B82" w:rsidP="00590B82">
      <w:pPr>
        <w:rPr>
          <w:b/>
          <w:color w:val="595959" w:themeColor="text1" w:themeTint="A6"/>
          <w:lang w:eastAsia="en-NZ"/>
        </w:rPr>
      </w:pPr>
      <w:r w:rsidRPr="00001721">
        <w:rPr>
          <w:lang w:eastAsia="en-NZ"/>
        </w:rPr>
        <w:t xml:space="preserve">Kia Manawanui </w:t>
      </w:r>
      <w:r w:rsidRPr="00344776">
        <w:rPr>
          <w:lang w:eastAsia="en-NZ"/>
        </w:rPr>
        <w:t xml:space="preserve">takes forward the Government’s response to </w:t>
      </w:r>
      <w:proofErr w:type="spellStart"/>
      <w:r w:rsidRPr="00001721">
        <w:rPr>
          <w:lang w:eastAsia="en-NZ"/>
        </w:rPr>
        <w:t>He</w:t>
      </w:r>
      <w:proofErr w:type="spellEnd"/>
      <w:r w:rsidRPr="00001721">
        <w:rPr>
          <w:lang w:eastAsia="en-NZ"/>
        </w:rPr>
        <w:t xml:space="preserve"> Ara </w:t>
      </w:r>
      <w:proofErr w:type="spellStart"/>
      <w:r w:rsidRPr="00001721">
        <w:rPr>
          <w:lang w:eastAsia="en-NZ"/>
        </w:rPr>
        <w:t>Oranga</w:t>
      </w:r>
      <w:proofErr w:type="spellEnd"/>
      <w:r w:rsidRPr="00001721">
        <w:rPr>
          <w:lang w:eastAsia="en-NZ"/>
        </w:rPr>
        <w:t>: Report of the Government Inquiry into Mental Health and Addiction 201</w:t>
      </w:r>
      <w:r w:rsidRPr="00001721">
        <w:rPr>
          <w:iCs/>
          <w:lang w:eastAsia="en-NZ"/>
        </w:rPr>
        <w:t>8</w:t>
      </w:r>
      <w:r>
        <w:rPr>
          <w:iCs/>
          <w:lang w:eastAsia="en-NZ"/>
        </w:rPr>
        <w:t xml:space="preserve"> </w:t>
      </w:r>
      <w:r>
        <w:rPr>
          <w:iCs/>
          <w:lang w:eastAsia="en-NZ"/>
        </w:rPr>
        <w:fldChar w:fldCharType="begin"/>
      </w:r>
      <w:r>
        <w:rPr>
          <w:iCs/>
          <w:lang w:eastAsia="en-NZ"/>
        </w:rPr>
        <w:instrText xml:space="preserve"> ADDIN EN.CITE &lt;EndNote&gt;&lt;Cite&gt;&lt;Author&gt;Government Inquiry into Mental Health and Addiction&lt;/Author&gt;&lt;Year&gt;2018&lt;/Year&gt;&lt;RecNum&gt;221&lt;/RecNum&gt;&lt;DisplayText&gt;(Government Inquiry into Mental Health and Addiction 2018)&lt;/DisplayText&gt;&lt;record&gt;&lt;rec-number&gt;221&lt;/rec-number&gt;&lt;foreign-keys&gt;&lt;key app="EN" db-id="aaepvppzs5wtfse95vsp2wahsrtvva2vvdet" timestamp="1663805637"&gt;221&lt;/key&gt;&lt;/foreign-keys&gt;&lt;ref-type name="Web Page"&gt;12&lt;/ref-type&gt;&lt;contributors&gt;&lt;authors&gt;&lt;author&gt;Government Inquiry into Mental Health and Addiction,&lt;/author&gt;&lt;/authors&gt;&lt;/contributors&gt;&lt;titles&gt;&lt;title&gt;He Ara Oranga: Report of the Government inquiry into mental health and addiction&lt;/title&gt;&lt;/titles&gt;&lt;number&gt;31 October 2022&lt;/number&gt;&lt;dates&gt;&lt;year&gt;2018&lt;/year&gt;&lt;/dates&gt;&lt;urls&gt;&lt;related-urls&gt;&lt;url&gt;https://mentalhealth.inquiry.govt.nz/assets/Summary-reports/He-Ara-Oranga.pdf&lt;/url&gt;&lt;/related-urls&gt;&lt;/urls&gt;&lt;/record&gt;&lt;/Cite&gt;&lt;/EndNote&gt;</w:instrText>
      </w:r>
      <w:r>
        <w:rPr>
          <w:iCs/>
          <w:lang w:eastAsia="en-NZ"/>
        </w:rPr>
        <w:fldChar w:fldCharType="separate"/>
      </w:r>
      <w:r>
        <w:rPr>
          <w:iCs/>
          <w:noProof/>
          <w:lang w:eastAsia="en-NZ"/>
        </w:rPr>
        <w:t>(Government Inquiry into Mental Health and Addiction 2018)</w:t>
      </w:r>
      <w:r>
        <w:rPr>
          <w:iCs/>
          <w:lang w:eastAsia="en-NZ"/>
        </w:rPr>
        <w:fldChar w:fldCharType="end"/>
      </w:r>
      <w:r w:rsidRPr="00001721">
        <w:rPr>
          <w:iCs/>
          <w:lang w:eastAsia="en-NZ"/>
        </w:rPr>
        <w:t xml:space="preserve">, </w:t>
      </w:r>
      <w:r>
        <w:rPr>
          <w:szCs w:val="21"/>
          <w:lang w:eastAsia="en-NZ"/>
        </w:rPr>
        <w:t>e</w:t>
      </w:r>
      <w:r w:rsidRPr="00585F7A">
        <w:rPr>
          <w:szCs w:val="21"/>
          <w:lang w:eastAsia="en-NZ"/>
        </w:rPr>
        <w:t>xpanding access and choice of primary mental health and addiction support</w:t>
      </w:r>
      <w:r w:rsidRPr="00344776">
        <w:rPr>
          <w:iCs/>
          <w:lang w:eastAsia="en-NZ"/>
        </w:rPr>
        <w:t>. This programme</w:t>
      </w:r>
      <w:r>
        <w:rPr>
          <w:iCs/>
          <w:lang w:eastAsia="en-NZ"/>
        </w:rPr>
        <w:t xml:space="preserve"> </w:t>
      </w:r>
      <w:r w:rsidRPr="00585F7A">
        <w:rPr>
          <w:szCs w:val="21"/>
          <w:lang w:eastAsia="en-NZ"/>
        </w:rPr>
        <w:t>(known as Access and Choice</w:t>
      </w:r>
      <w:r>
        <w:rPr>
          <w:szCs w:val="21"/>
          <w:lang w:eastAsia="en-NZ"/>
        </w:rPr>
        <w:t>)</w:t>
      </w:r>
      <w:r w:rsidRPr="00344776">
        <w:rPr>
          <w:iCs/>
          <w:lang w:eastAsia="en-NZ"/>
        </w:rPr>
        <w:t xml:space="preserve"> </w:t>
      </w:r>
      <w:r w:rsidRPr="00344776">
        <w:rPr>
          <w:lang w:eastAsia="en-NZ"/>
        </w:rPr>
        <w:t xml:space="preserve">aims to expand access to, and choice of, primary mental health and addiction services across the country </w:t>
      </w:r>
      <w:r w:rsidRPr="00344776">
        <w:rPr>
          <w:lang w:eastAsia="en-NZ"/>
        </w:rPr>
        <w:fldChar w:fldCharType="begin"/>
      </w:r>
      <w:r>
        <w:rPr>
          <w:lang w:eastAsia="en-NZ"/>
        </w:rPr>
        <w:instrText xml:space="preserve"> ADDIN EN.CITE &lt;EndNote&gt;&lt;Cite&gt;&lt;Author&gt;Mental Health and Wellbeing Commission&lt;/Author&gt;&lt;Year&gt;2021&lt;/Year&gt;&lt;RecNum&gt;223&lt;/RecNum&gt;&lt;DisplayText&gt;(Mental Health and Wellbeing Commission 2021)&lt;/DisplayText&gt;&lt;record&gt;&lt;rec-number&gt;223&lt;/rec-number&gt;&lt;foreign-keys&gt;&lt;key app="EN" db-id="aaepvppzs5wtfse95vsp2wahsrtvva2vvdet" timestamp="1663806944"&gt;223&lt;/key&gt;&lt;/foreign-keys&gt;&lt;ref-type name="Web Page"&gt;12&lt;/ref-type&gt;&lt;contributors&gt;&lt;authors&gt;&lt;author&gt;Mental Health and Wellbeing Commission,&lt;/author&gt;&lt;/authors&gt;&lt;/contributors&gt;&lt;titles&gt;&lt;title&gt;&lt;style face="normal" font="default" size="100%"&gt;Access and Choice Programme: Report on the first two years – Te H&lt;/style&gt;&lt;style face="normal" font="default" charset="238" size="100%"&gt;ōtaka mō Ngā Whai Wāhitanga me Ngā Kōwhiringa:&lt;/style&gt;&lt;style face="normal" font="default" size="100%"&gt; &lt;/style&gt;&lt;style face="normal" font="default" charset="238" size="100%"&gt;He purongo mo ngā rua tau tuatahi&lt;/style&gt;&lt;/title&gt;&lt;/titles&gt;&lt;number&gt;31 October 2022&lt;/number&gt;&lt;dates&gt;&lt;year&gt;2021&lt;/year&gt;&lt;/dates&gt;&lt;urls&gt;&lt;related-urls&gt;&lt;url&gt;https://www.mhwc.govt.nz/assets/Our-reports/MHWC-Access-and-Choice-report-Final.pdf&lt;/url&gt;&lt;/related-urls&gt;&lt;/urls&gt;&lt;/record&gt;&lt;/Cite&gt;&lt;/EndNote&gt;</w:instrText>
      </w:r>
      <w:r w:rsidRPr="00344776">
        <w:rPr>
          <w:lang w:eastAsia="en-NZ"/>
        </w:rPr>
        <w:fldChar w:fldCharType="separate"/>
      </w:r>
      <w:r w:rsidRPr="00344776">
        <w:rPr>
          <w:noProof/>
          <w:lang w:eastAsia="en-NZ"/>
        </w:rPr>
        <w:t>(Mental Health and Wellbeing Commission 2021)</w:t>
      </w:r>
      <w:r w:rsidRPr="00344776">
        <w:rPr>
          <w:lang w:eastAsia="en-NZ"/>
        </w:rPr>
        <w:fldChar w:fldCharType="end"/>
      </w:r>
      <w:r w:rsidRPr="00344776">
        <w:rPr>
          <w:lang w:eastAsia="en-NZ"/>
        </w:rPr>
        <w:t xml:space="preserve">. </w:t>
      </w:r>
      <w:r>
        <w:rPr>
          <w:lang w:eastAsia="en-NZ"/>
        </w:rPr>
        <w:t xml:space="preserve">It </w:t>
      </w:r>
      <w:r w:rsidRPr="00344776">
        <w:rPr>
          <w:lang w:eastAsia="en-NZ"/>
        </w:rPr>
        <w:t xml:space="preserve">is a </w:t>
      </w:r>
      <w:r>
        <w:rPr>
          <w:lang w:eastAsia="en-NZ"/>
        </w:rPr>
        <w:t>5</w:t>
      </w:r>
      <w:r w:rsidRPr="00344776">
        <w:rPr>
          <w:lang w:eastAsia="en-NZ"/>
        </w:rPr>
        <w:t xml:space="preserve">-year programme and includes </w:t>
      </w:r>
      <w:r>
        <w:rPr>
          <w:lang w:eastAsia="en-NZ"/>
        </w:rPr>
        <w:t>4</w:t>
      </w:r>
      <w:r w:rsidRPr="00344776">
        <w:rPr>
          <w:lang w:eastAsia="en-NZ"/>
        </w:rPr>
        <w:t xml:space="preserve"> service delivery workstreams:</w:t>
      </w:r>
    </w:p>
    <w:p w14:paraId="6362AB71" w14:textId="77777777" w:rsidR="00590B82" w:rsidRPr="00344776" w:rsidRDefault="00590B82" w:rsidP="00590B82">
      <w:pPr>
        <w:pStyle w:val="Bullet"/>
      </w:pPr>
      <w:r>
        <w:t>i</w:t>
      </w:r>
      <w:r w:rsidRPr="00344776">
        <w:t>ntegrated primary mental health and addiction (IPMHA) services delivered through general practice teams</w:t>
      </w:r>
    </w:p>
    <w:p w14:paraId="5B57FCB8" w14:textId="77777777" w:rsidR="00590B82" w:rsidRPr="00344776" w:rsidRDefault="00590B82" w:rsidP="00590B82">
      <w:pPr>
        <w:pStyle w:val="Bullet"/>
      </w:pPr>
      <w:r>
        <w:t>y</w:t>
      </w:r>
      <w:r w:rsidRPr="00344776">
        <w:t>outh-specific primary mental health and addiction services for 12- to 24-year-olds</w:t>
      </w:r>
    </w:p>
    <w:p w14:paraId="5987038C" w14:textId="77777777" w:rsidR="00590B82" w:rsidRPr="00344776" w:rsidRDefault="00590B82" w:rsidP="00590B82">
      <w:pPr>
        <w:pStyle w:val="Bullet"/>
      </w:pPr>
      <w:proofErr w:type="spellStart"/>
      <w:r>
        <w:t>k</w:t>
      </w:r>
      <w:r w:rsidRPr="00344776">
        <w:t>aupapa</w:t>
      </w:r>
      <w:proofErr w:type="spellEnd"/>
      <w:r w:rsidRPr="00344776">
        <w:t xml:space="preserve"> Māori primary mental health and addiction services for people of all ages</w:t>
      </w:r>
    </w:p>
    <w:p w14:paraId="56B57753" w14:textId="2B9FF07F" w:rsidR="00924A79" w:rsidRPr="00051D54" w:rsidRDefault="00590B82" w:rsidP="00590B82">
      <w:pPr>
        <w:pStyle w:val="Bullet"/>
      </w:pPr>
      <w:r w:rsidRPr="00344776">
        <w:t xml:space="preserve">primary mental health and addiction services for </w:t>
      </w:r>
      <w:r>
        <w:t xml:space="preserve">Pacific </w:t>
      </w:r>
      <w:r w:rsidRPr="00344776">
        <w:t>people of all ages</w:t>
      </w:r>
      <w:r w:rsidR="00924A79" w:rsidRPr="00051D54">
        <w:t xml:space="preserve">. </w:t>
      </w:r>
    </w:p>
    <w:p w14:paraId="0AAF987A" w14:textId="77777777" w:rsidR="00924A79" w:rsidRPr="00344776" w:rsidRDefault="00924A79" w:rsidP="00924A79">
      <w:pPr>
        <w:rPr>
          <w:lang w:eastAsia="en-NZ"/>
        </w:rPr>
      </w:pPr>
    </w:p>
    <w:p w14:paraId="0D793453" w14:textId="1BC19700" w:rsidR="00924A79" w:rsidRPr="00344776" w:rsidRDefault="00590B82" w:rsidP="00924A79">
      <w:pPr>
        <w:rPr>
          <w:sz w:val="22"/>
          <w:szCs w:val="22"/>
          <w:lang w:eastAsia="en-NZ"/>
        </w:rPr>
      </w:pPr>
      <w:r>
        <w:rPr>
          <w:lang w:eastAsia="en-NZ"/>
        </w:rPr>
        <w:t>Manatū Hauora has made p</w:t>
      </w:r>
      <w:r w:rsidRPr="00344776">
        <w:rPr>
          <w:lang w:eastAsia="en-NZ"/>
        </w:rPr>
        <w:t>rogress</w:t>
      </w:r>
      <w:r w:rsidRPr="00344776" w:rsidDel="007F5F0D">
        <w:rPr>
          <w:lang w:eastAsia="en-NZ"/>
        </w:rPr>
        <w:t xml:space="preserve"> </w:t>
      </w:r>
      <w:r w:rsidRPr="00344776">
        <w:rPr>
          <w:lang w:eastAsia="en-NZ"/>
        </w:rPr>
        <w:t xml:space="preserve">in the delivery of </w:t>
      </w:r>
      <w:r>
        <w:rPr>
          <w:lang w:eastAsia="en-NZ"/>
        </w:rPr>
        <w:t xml:space="preserve">the </w:t>
      </w:r>
      <w:r w:rsidRPr="00344776">
        <w:rPr>
          <w:lang w:eastAsia="en-NZ"/>
        </w:rPr>
        <w:t>access and choice</w:t>
      </w:r>
      <w:r>
        <w:rPr>
          <w:lang w:eastAsia="en-NZ"/>
        </w:rPr>
        <w:t xml:space="preserve"> programme</w:t>
      </w:r>
      <w:r w:rsidRPr="00344776">
        <w:rPr>
          <w:lang w:eastAsia="en-NZ"/>
        </w:rPr>
        <w:t xml:space="preserve"> </w:t>
      </w:r>
      <w:r w:rsidRPr="00344776">
        <w:rPr>
          <w:lang w:eastAsia="en-NZ"/>
        </w:rPr>
        <w:fldChar w:fldCharType="begin"/>
      </w:r>
      <w:r w:rsidRPr="00344776">
        <w:rPr>
          <w:lang w:eastAsia="en-NZ"/>
        </w:rPr>
        <w:instrText xml:space="preserve"> ADDIN EN.CITE &lt;EndNote&gt;&lt;Cite&gt;&lt;Author&gt;Ministry of Health&lt;/Author&gt;&lt;Year&gt;2022&lt;/Year&gt;&lt;RecNum&gt;253&lt;/RecNum&gt;&lt;DisplayText&gt;(Ministry of Health 2022p)&lt;/DisplayText&gt;&lt;record&gt;&lt;rec-number&gt;253&lt;/rec-number&gt;&lt;foreign-keys&gt;&lt;key app="EN" db-id="aaepvppzs5wtfse95vsp2wahsrtvva2vvdet" timestamp="1664856569"&gt;253&lt;/key&gt;&lt;/foreign-keys&gt;&lt;ref-type name="Web Page"&gt;12&lt;/ref-type&gt;&lt;contributors&gt;&lt;authors&gt;&lt;author&gt;Ministry of Health,&lt;/author&gt;&lt;/authors&gt;&lt;/contributors&gt;&lt;titles&gt;&lt;title&gt;Mental health and addiction monitoring, reporting and data&lt;/title&gt;&lt;/titles&gt;&lt;number&gt;4 October 2022&lt;/number&gt;&lt;dates&gt;&lt;year&gt;2022&lt;/year&gt;&lt;/dates&gt;&lt;urls&gt;&lt;related-urls&gt;&lt;url&gt;https://www.health.govt.nz/our-work/mental-health-and-addiction/mental-health-and-addiction-monitoring-reporting-and-data&lt;/url&gt;&lt;/related-urls&gt;&lt;/urls&gt;&lt;/record&gt;&lt;/Cite&gt;&lt;/EndNote&gt;</w:instrText>
      </w:r>
      <w:r w:rsidRPr="00344776">
        <w:rPr>
          <w:lang w:eastAsia="en-NZ"/>
        </w:rPr>
        <w:fldChar w:fldCharType="separate"/>
      </w:r>
      <w:r w:rsidRPr="00344776">
        <w:rPr>
          <w:noProof/>
          <w:lang w:eastAsia="en-NZ"/>
        </w:rPr>
        <w:t>(Ministry of Health 2022p)</w:t>
      </w:r>
      <w:r w:rsidRPr="00344776">
        <w:rPr>
          <w:lang w:eastAsia="en-NZ"/>
        </w:rPr>
        <w:fldChar w:fldCharType="end"/>
      </w:r>
      <w:r>
        <w:rPr>
          <w:lang w:eastAsia="en-NZ"/>
        </w:rPr>
        <w:t>. A</w:t>
      </w:r>
      <w:r w:rsidRPr="00344776">
        <w:rPr>
          <w:lang w:eastAsia="en-NZ"/>
        </w:rPr>
        <w:t>s of 31 December 2021</w:t>
      </w:r>
      <w:r w:rsidR="00924A79" w:rsidRPr="00344776">
        <w:rPr>
          <w:lang w:eastAsia="en-NZ"/>
        </w:rPr>
        <w:t>:</w:t>
      </w:r>
    </w:p>
    <w:p w14:paraId="47ACF819" w14:textId="77777777" w:rsidR="00590B82" w:rsidRPr="00344776" w:rsidRDefault="00590B82" w:rsidP="00590B82">
      <w:pPr>
        <w:pStyle w:val="Bullet"/>
      </w:pPr>
      <w:r>
        <w:t>o</w:t>
      </w:r>
      <w:r w:rsidRPr="00344776">
        <w:t xml:space="preserve">ver 300,000 sessions </w:t>
      </w:r>
      <w:r>
        <w:t xml:space="preserve">had been </w:t>
      </w:r>
      <w:r w:rsidRPr="00344776">
        <w:t xml:space="preserve">provided across all service delivery workstreams since the </w:t>
      </w:r>
      <w:r>
        <w:t xml:space="preserve">programme </w:t>
      </w:r>
      <w:r w:rsidRPr="00344776">
        <w:t>began in July 2019</w:t>
      </w:r>
    </w:p>
    <w:p w14:paraId="51B6B677" w14:textId="77777777" w:rsidR="00590B82" w:rsidRPr="00344776" w:rsidRDefault="00590B82" w:rsidP="00590B82">
      <w:pPr>
        <w:pStyle w:val="Bullet"/>
      </w:pPr>
      <w:r w:rsidRPr="00344776">
        <w:t xml:space="preserve">IPMHA services in 307 general practices </w:t>
      </w:r>
      <w:r>
        <w:t xml:space="preserve">had </w:t>
      </w:r>
      <w:r w:rsidRPr="00344776">
        <w:t>cover</w:t>
      </w:r>
      <w:r>
        <w:t>ed</w:t>
      </w:r>
      <w:r w:rsidRPr="00344776">
        <w:t xml:space="preserve"> approximately 41% of the enrolled population</w:t>
      </w:r>
    </w:p>
    <w:p w14:paraId="6982D5D5" w14:textId="77777777" w:rsidR="00590B82" w:rsidRPr="00344776" w:rsidRDefault="00590B82" w:rsidP="00590B82">
      <w:pPr>
        <w:pStyle w:val="Bullet"/>
      </w:pPr>
      <w:r w:rsidRPr="00344776">
        <w:t xml:space="preserve">20 new youth primary mental health and addiction services </w:t>
      </w:r>
      <w:r>
        <w:t xml:space="preserve">had been created, </w:t>
      </w:r>
      <w:r w:rsidRPr="00344776">
        <w:t>including one national service</w:t>
      </w:r>
    </w:p>
    <w:p w14:paraId="5B524E14" w14:textId="77777777" w:rsidR="00590B82" w:rsidRPr="00344776" w:rsidRDefault="00590B82" w:rsidP="00590B82">
      <w:pPr>
        <w:pStyle w:val="Bullet"/>
      </w:pPr>
      <w:r w:rsidRPr="00344776">
        <w:t xml:space="preserve">26 </w:t>
      </w:r>
      <w:proofErr w:type="spellStart"/>
      <w:r w:rsidRPr="00344776">
        <w:t>kaupapa</w:t>
      </w:r>
      <w:proofErr w:type="spellEnd"/>
      <w:r w:rsidRPr="00344776">
        <w:t xml:space="preserve"> Māori primary mental health and addiction services</w:t>
      </w:r>
      <w:r>
        <w:t xml:space="preserve"> were contracted</w:t>
      </w:r>
    </w:p>
    <w:p w14:paraId="540E8D35" w14:textId="7F8A3F36" w:rsidR="00924A79" w:rsidRPr="00051D54" w:rsidRDefault="00590B82" w:rsidP="00590B82">
      <w:pPr>
        <w:pStyle w:val="Bullet"/>
      </w:pPr>
      <w:r>
        <w:t xml:space="preserve">9 </w:t>
      </w:r>
      <w:r w:rsidRPr="00344776">
        <w:t>Pacific primary mental health and addiction services</w:t>
      </w:r>
      <w:r>
        <w:t xml:space="preserve"> were contracted</w:t>
      </w:r>
      <w:r w:rsidR="00924A79" w:rsidRPr="00051D54">
        <w:t xml:space="preserve">. </w:t>
      </w:r>
    </w:p>
    <w:p w14:paraId="4D4C1840" w14:textId="77777777" w:rsidR="00924A79" w:rsidRPr="00344776" w:rsidRDefault="00924A79" w:rsidP="00924A79">
      <w:pPr>
        <w:pStyle w:val="Heading2"/>
      </w:pPr>
      <w:bookmarkStart w:id="164" w:name="_Toc118452237"/>
      <w:bookmarkStart w:id="165" w:name="_Toc119312998"/>
      <w:r w:rsidRPr="00344776">
        <w:t>Long-term conditions</w:t>
      </w:r>
      <w:bookmarkEnd w:id="164"/>
      <w:bookmarkEnd w:id="165"/>
    </w:p>
    <w:p w14:paraId="0EB0750F" w14:textId="77777777" w:rsidR="00590B82" w:rsidRPr="00344776" w:rsidRDefault="00590B82" w:rsidP="00590B82">
      <w:r>
        <w:t>Manatū Hauora defines l</w:t>
      </w:r>
      <w:r w:rsidRPr="00344776">
        <w:t xml:space="preserve">ong-term conditions as any ongoing, long-term or recurring conditions that can have a significant impact on people’s lives </w:t>
      </w:r>
      <w:r w:rsidRPr="00344776">
        <w:fldChar w:fldCharType="begin"/>
      </w:r>
      <w:r>
        <w:instrText xml:space="preserve"> ADDIN EN.CITE &lt;EndNote&gt;&lt;Cite&gt;&lt;Author&gt;Ministry of Health&lt;/Author&gt;&lt;Year&gt;2020&lt;/Year&gt;&lt;RecNum&gt;24&lt;/RecNum&gt;&lt;DisplayText&gt;(Ministry of Health 2020c)&lt;/DisplayText&gt;&lt;record&gt;&lt;rec-number&gt;24&lt;/rec-number&gt;&lt;foreign-keys&gt;&lt;key app="EN" db-id="aaepvppzs5wtfse95vsp2wahsrtvva2vvdet" timestamp="1632216400"&gt;24&lt;/key&gt;&lt;/foreign-keys&gt;&lt;ref-type name="Web Page"&gt;12&lt;/ref-type&gt;&lt;contributors&gt;&lt;authors&gt;&lt;author&gt;Ministry of Health,&lt;/author&gt;&lt;/authors&gt;&lt;/contributors&gt;&lt;titles&gt;&lt;title&gt;Longer, Healthier Lives: New Zealand&amp;apos;s health 1990-2017&lt;/title&gt;&lt;/titles&gt;&lt;number&gt;28 October 2022&lt;/number&gt;&lt;dates&gt;&lt;year&gt;2020&lt;/year&gt;&lt;/dates&gt;&lt;urls&gt;&lt;related-urls&gt;&lt;url&gt;www.health.govt.nz/publication/longer-healthier-lives-new-zealands-health-1990-2017&lt;/url&gt;&lt;/related-urls&gt;&lt;/urls&gt;&lt;/record&gt;&lt;/Cite&gt;&lt;/EndNote&gt;</w:instrText>
      </w:r>
      <w:r w:rsidRPr="00344776">
        <w:fldChar w:fldCharType="separate"/>
      </w:r>
      <w:r w:rsidRPr="00344776">
        <w:rPr>
          <w:noProof/>
        </w:rPr>
        <w:t>(Ministry of Health 2020c)</w:t>
      </w:r>
      <w:r w:rsidRPr="00344776">
        <w:fldChar w:fldCharType="end"/>
      </w:r>
      <w:r w:rsidRPr="00344776">
        <w:t xml:space="preserve">. </w:t>
      </w:r>
    </w:p>
    <w:p w14:paraId="228767DD" w14:textId="77777777" w:rsidR="00590B82" w:rsidRPr="00344776" w:rsidRDefault="00590B82" w:rsidP="00590B82"/>
    <w:p w14:paraId="3DAA3F7A" w14:textId="6C2B8212" w:rsidR="00590B82" w:rsidRDefault="00590B82" w:rsidP="00590B82">
      <w:r>
        <w:t>It should be n</w:t>
      </w:r>
      <w:r w:rsidRPr="00344776">
        <w:t>ote</w:t>
      </w:r>
      <w:r>
        <w:t>d that</w:t>
      </w:r>
      <w:r w:rsidRPr="00344776">
        <w:t xml:space="preserve"> the dataset analysed for this section of the report was compiled using definitions of long-term conditions based on hospital admission data, outpatient appointments</w:t>
      </w:r>
      <w:r>
        <w:t xml:space="preserve"> data</w:t>
      </w:r>
      <w:r w:rsidRPr="00344776">
        <w:t xml:space="preserve"> and pharmaceutical dispensing data. </w:t>
      </w:r>
      <w:r w:rsidR="00EB171B">
        <w:t xml:space="preserve">Since some conditions can be managed entirely within the community through primary care, </w:t>
      </w:r>
      <w:r w:rsidRPr="00344776">
        <w:t>or the pharmaceutical used for treatment is not specific to a particular condition</w:t>
      </w:r>
      <w:r w:rsidR="005D6708">
        <w:t xml:space="preserve">, the prevalence of some conditions will have been underestimated. Therefore, </w:t>
      </w:r>
      <w:r w:rsidR="00E713B4">
        <w:t xml:space="preserve">the </w:t>
      </w:r>
      <w:r w:rsidRPr="00344776">
        <w:t xml:space="preserve">rates calculated will sometimes be different to rates </w:t>
      </w:r>
      <w:r>
        <w:t xml:space="preserve">reported in </w:t>
      </w:r>
      <w:r w:rsidRPr="00344776">
        <w:t xml:space="preserve">the NZHS, as </w:t>
      </w:r>
      <w:r w:rsidR="00E713B4">
        <w:t xml:space="preserve">often </w:t>
      </w:r>
      <w:r w:rsidRPr="00344776">
        <w:t xml:space="preserve">only people with more acute forms of a long-term condition </w:t>
      </w:r>
      <w:r w:rsidR="00077703">
        <w:t>we</w:t>
      </w:r>
      <w:r w:rsidRPr="00344776">
        <w:t xml:space="preserve">re captured. </w:t>
      </w:r>
      <w:r>
        <w:t xml:space="preserve">We </w:t>
      </w:r>
      <w:r w:rsidR="00666278">
        <w:t>chose to use Manatū Hauora</w:t>
      </w:r>
      <w:r w:rsidR="00077E7C">
        <w:t xml:space="preserve"> data instead of </w:t>
      </w:r>
      <w:r>
        <w:t>t</w:t>
      </w:r>
      <w:r w:rsidRPr="00344776">
        <w:t>he Global Burden of Disease</w:t>
      </w:r>
      <w:r w:rsidR="00077E7C">
        <w:t xml:space="preserve"> (GBD)</w:t>
      </w:r>
      <w:r>
        <w:rPr>
          <w:rStyle w:val="FootnoteReference"/>
        </w:rPr>
        <w:footnoteReference w:id="4"/>
      </w:r>
      <w:r w:rsidRPr="00344776">
        <w:t xml:space="preserve"> data</w:t>
      </w:r>
      <w:r>
        <w:t>,</w:t>
      </w:r>
      <w:r w:rsidRPr="00344776">
        <w:t xml:space="preserve"> as </w:t>
      </w:r>
      <w:r w:rsidR="00D51D0E">
        <w:t>the GBD</w:t>
      </w:r>
      <w:r w:rsidRPr="00344776">
        <w:t xml:space="preserve"> does not provide an ethnic group breakdown for a</w:t>
      </w:r>
      <w:r w:rsidR="003850D3">
        <w:t>ny</w:t>
      </w:r>
      <w:r w:rsidRPr="00344776">
        <w:t xml:space="preserve"> conditions. </w:t>
      </w:r>
    </w:p>
    <w:p w14:paraId="74AB7819" w14:textId="77777777" w:rsidR="00623145" w:rsidRDefault="00623145" w:rsidP="00590B82"/>
    <w:p w14:paraId="7F1A56B6" w14:textId="21D511F1" w:rsidR="007D272F" w:rsidRDefault="00623145" w:rsidP="007D272F">
      <w:r w:rsidRPr="00344776">
        <w:lastRenderedPageBreak/>
        <w:t>14% of New Zealanders have at least one long-term condition. Of these, 29.3% have multiple conditions.</w:t>
      </w:r>
      <w:r w:rsidR="007D272F">
        <w:t xml:space="preserve"> </w:t>
      </w:r>
      <w:r w:rsidR="007D272F" w:rsidRPr="00344776">
        <w:t xml:space="preserve">Several of the conditions measured are only prevalent in the older population </w:t>
      </w:r>
      <w:r w:rsidR="007D272F">
        <w:t>(</w:t>
      </w:r>
      <w:proofErr w:type="spellStart"/>
      <w:r w:rsidR="007D272F" w:rsidRPr="00344776">
        <w:t>eg</w:t>
      </w:r>
      <w:proofErr w:type="spellEnd"/>
      <w:r w:rsidR="007D272F">
        <w:t>,</w:t>
      </w:r>
      <w:r w:rsidR="007D272F" w:rsidRPr="00344776">
        <w:t xml:space="preserve"> </w:t>
      </w:r>
      <w:r w:rsidR="007D272F">
        <w:t>g</w:t>
      </w:r>
      <w:r w:rsidR="007D272F" w:rsidRPr="00344776">
        <w:t xml:space="preserve">out and </w:t>
      </w:r>
      <w:r w:rsidR="007D272F">
        <w:t>d</w:t>
      </w:r>
      <w:r w:rsidR="007D272F" w:rsidRPr="00344776">
        <w:t>ementia</w:t>
      </w:r>
      <w:r w:rsidR="00920FCF">
        <w:t xml:space="preserve">; </w:t>
      </w:r>
      <w:r w:rsidR="00920FCF">
        <w:fldChar w:fldCharType="begin"/>
      </w:r>
      <w:r w:rsidR="00920FCF">
        <w:instrText xml:space="preserve"> REF _Ref117171485 \h </w:instrText>
      </w:r>
      <w:r w:rsidR="00920FCF">
        <w:fldChar w:fldCharType="separate"/>
      </w:r>
      <w:r w:rsidR="00F61845" w:rsidRPr="00344776">
        <w:t xml:space="preserve">Table </w:t>
      </w:r>
      <w:r w:rsidR="00F61845">
        <w:rPr>
          <w:noProof/>
        </w:rPr>
        <w:t>4</w:t>
      </w:r>
      <w:r w:rsidR="00920FCF">
        <w:fldChar w:fldCharType="end"/>
      </w:r>
      <w:r w:rsidR="007D272F">
        <w:t>).</w:t>
      </w:r>
    </w:p>
    <w:p w14:paraId="21CEEBC9" w14:textId="77777777" w:rsidR="00051D54" w:rsidRPr="00344776" w:rsidRDefault="00051D54" w:rsidP="00924A79"/>
    <w:p w14:paraId="2D0F94F3" w14:textId="19E528E6" w:rsidR="00924A79" w:rsidRPr="00344776" w:rsidRDefault="00924A79" w:rsidP="00051D54">
      <w:pPr>
        <w:pStyle w:val="Caption"/>
      </w:pPr>
      <w:bookmarkStart w:id="166" w:name="_Ref117171485"/>
      <w:bookmarkStart w:id="167" w:name="_Toc118446265"/>
      <w:bookmarkStart w:id="168" w:name="_Toc119047795"/>
      <w:r w:rsidRPr="00344776">
        <w:t xml:space="preserve">Table </w:t>
      </w:r>
      <w:r w:rsidRPr="00344776">
        <w:fldChar w:fldCharType="begin"/>
      </w:r>
      <w:r w:rsidRPr="00344776">
        <w:instrText>SEQ Table \* ARABIC</w:instrText>
      </w:r>
      <w:r w:rsidRPr="00344776">
        <w:fldChar w:fldCharType="separate"/>
      </w:r>
      <w:r w:rsidR="00F61845">
        <w:rPr>
          <w:noProof/>
        </w:rPr>
        <w:t>4</w:t>
      </w:r>
      <w:r w:rsidRPr="00344776">
        <w:fldChar w:fldCharType="end"/>
      </w:r>
      <w:bookmarkEnd w:id="166"/>
      <w:r w:rsidRPr="00344776">
        <w:t>: Top 10 long-term conditions and their prevalence in Aotearoa, for whole population and 65+ age group, 2020</w:t>
      </w:r>
      <w:bookmarkEnd w:id="167"/>
      <w:bookmarkEnd w:id="168"/>
    </w:p>
    <w:tbl>
      <w:tblPr>
        <w:tblStyle w:val="ListTable6Colorful-Accent1"/>
        <w:tblW w:w="8071" w:type="dxa"/>
        <w:tblBorders>
          <w:top w:val="none" w:sz="0" w:space="0" w:color="auto"/>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4395"/>
        <w:gridCol w:w="1829"/>
        <w:gridCol w:w="1847"/>
      </w:tblGrid>
      <w:tr w:rsidR="00051D54" w:rsidRPr="00051D54" w14:paraId="715714EC" w14:textId="77777777" w:rsidTr="00051D5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tcBorders>
            <w:shd w:val="clear" w:color="auto" w:fill="D9D9D9" w:themeFill="background1" w:themeFillShade="D9"/>
            <w:noWrap/>
            <w:hideMark/>
          </w:tcPr>
          <w:p w14:paraId="49D1F0BD" w14:textId="77777777" w:rsidR="00924A79" w:rsidRPr="00051D54" w:rsidRDefault="00924A79" w:rsidP="00051D54">
            <w:pPr>
              <w:pStyle w:val="TableText"/>
              <w:rPr>
                <w:color w:val="auto"/>
              </w:rPr>
            </w:pPr>
            <w:r w:rsidRPr="00051D54">
              <w:rPr>
                <w:color w:val="auto"/>
              </w:rPr>
              <w:t>Condition</w:t>
            </w:r>
          </w:p>
        </w:tc>
        <w:tc>
          <w:tcPr>
            <w:tcW w:w="1829" w:type="dxa"/>
            <w:tcBorders>
              <w:top w:val="nil"/>
              <w:bottom w:val="nil"/>
            </w:tcBorders>
            <w:shd w:val="clear" w:color="auto" w:fill="D9D9D9" w:themeFill="background1" w:themeFillShade="D9"/>
            <w:noWrap/>
            <w:hideMark/>
          </w:tcPr>
          <w:p w14:paraId="160D60EC" w14:textId="77777777" w:rsidR="00924A79" w:rsidRPr="00051D54" w:rsidRDefault="00924A79" w:rsidP="00051D54">
            <w:pPr>
              <w:pStyle w:val="TableText"/>
              <w:cnfStyle w:val="100000000000" w:firstRow="1" w:lastRow="0" w:firstColumn="0" w:lastColumn="0" w:oddVBand="0" w:evenVBand="0" w:oddHBand="0" w:evenHBand="0" w:firstRowFirstColumn="0" w:firstRowLastColumn="0" w:lastRowFirstColumn="0" w:lastRowLastColumn="0"/>
              <w:rPr>
                <w:color w:val="auto"/>
              </w:rPr>
            </w:pPr>
            <w:r w:rsidRPr="00051D54">
              <w:rPr>
                <w:color w:val="auto"/>
              </w:rPr>
              <w:t>% (whole population)</w:t>
            </w:r>
          </w:p>
        </w:tc>
        <w:tc>
          <w:tcPr>
            <w:tcW w:w="1847" w:type="dxa"/>
            <w:tcBorders>
              <w:top w:val="nil"/>
              <w:bottom w:val="nil"/>
            </w:tcBorders>
            <w:shd w:val="clear" w:color="auto" w:fill="D9D9D9" w:themeFill="background1" w:themeFillShade="D9"/>
          </w:tcPr>
          <w:p w14:paraId="1A4C048B" w14:textId="77777777" w:rsidR="00924A79" w:rsidRPr="00051D54" w:rsidRDefault="00924A79" w:rsidP="00051D54">
            <w:pPr>
              <w:pStyle w:val="TableText"/>
              <w:cnfStyle w:val="100000000000" w:firstRow="1" w:lastRow="0" w:firstColumn="0" w:lastColumn="0" w:oddVBand="0" w:evenVBand="0" w:oddHBand="0" w:evenHBand="0" w:firstRowFirstColumn="0" w:firstRowLastColumn="0" w:lastRowFirstColumn="0" w:lastRowLastColumn="0"/>
              <w:rPr>
                <w:color w:val="auto"/>
              </w:rPr>
            </w:pPr>
            <w:r w:rsidRPr="00051D54">
              <w:rPr>
                <w:color w:val="auto"/>
              </w:rPr>
              <w:t>% (65 years and over)</w:t>
            </w:r>
          </w:p>
        </w:tc>
      </w:tr>
      <w:tr w:rsidR="00051D54" w:rsidRPr="00051D54" w14:paraId="08D7C3C1" w14:textId="77777777" w:rsidTr="00051D5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395" w:type="dxa"/>
            <w:tcBorders>
              <w:top w:val="nil"/>
            </w:tcBorders>
            <w:shd w:val="clear" w:color="auto" w:fill="auto"/>
            <w:noWrap/>
            <w:hideMark/>
          </w:tcPr>
          <w:p w14:paraId="34CA8610" w14:textId="77777777" w:rsidR="00924A79" w:rsidRPr="00051D54" w:rsidRDefault="00924A79" w:rsidP="00051D54">
            <w:pPr>
              <w:pStyle w:val="TableText"/>
              <w:rPr>
                <w:b w:val="0"/>
                <w:bCs w:val="0"/>
                <w:color w:val="auto"/>
              </w:rPr>
            </w:pPr>
            <w:r w:rsidRPr="00051D54">
              <w:rPr>
                <w:b w:val="0"/>
                <w:bCs w:val="0"/>
                <w:color w:val="auto"/>
              </w:rPr>
              <w:t>Diabetes</w:t>
            </w:r>
          </w:p>
        </w:tc>
        <w:tc>
          <w:tcPr>
            <w:tcW w:w="1829" w:type="dxa"/>
            <w:tcBorders>
              <w:top w:val="nil"/>
            </w:tcBorders>
            <w:shd w:val="clear" w:color="auto" w:fill="auto"/>
            <w:noWrap/>
            <w:hideMark/>
          </w:tcPr>
          <w:p w14:paraId="5885F60B" w14:textId="77777777" w:rsidR="00924A79" w:rsidRPr="00051D54" w:rsidRDefault="00924A79" w:rsidP="00051D54">
            <w:pPr>
              <w:pStyle w:val="TableText"/>
              <w:cnfStyle w:val="000000100000" w:firstRow="0" w:lastRow="0" w:firstColumn="0" w:lastColumn="0" w:oddVBand="0" w:evenVBand="0" w:oddHBand="1" w:evenHBand="0" w:firstRowFirstColumn="0" w:firstRowLastColumn="0" w:lastRowFirstColumn="0" w:lastRowLastColumn="0"/>
              <w:rPr>
                <w:color w:val="auto"/>
              </w:rPr>
            </w:pPr>
            <w:r w:rsidRPr="00051D54">
              <w:rPr>
                <w:color w:val="auto"/>
              </w:rPr>
              <w:t>5.5</w:t>
            </w:r>
          </w:p>
        </w:tc>
        <w:tc>
          <w:tcPr>
            <w:tcW w:w="1847" w:type="dxa"/>
            <w:tcBorders>
              <w:top w:val="nil"/>
            </w:tcBorders>
            <w:shd w:val="clear" w:color="auto" w:fill="auto"/>
          </w:tcPr>
          <w:p w14:paraId="263CE2DB" w14:textId="77777777" w:rsidR="00924A79" w:rsidRPr="00051D54" w:rsidRDefault="00924A79" w:rsidP="00051D54">
            <w:pPr>
              <w:pStyle w:val="TableText"/>
              <w:cnfStyle w:val="000000100000" w:firstRow="0" w:lastRow="0" w:firstColumn="0" w:lastColumn="0" w:oddVBand="0" w:evenVBand="0" w:oddHBand="1" w:evenHBand="0" w:firstRowFirstColumn="0" w:firstRowLastColumn="0" w:lastRowFirstColumn="0" w:lastRowLastColumn="0"/>
              <w:rPr>
                <w:color w:val="auto"/>
              </w:rPr>
            </w:pPr>
            <w:r w:rsidRPr="00051D54">
              <w:rPr>
                <w:color w:val="auto"/>
              </w:rPr>
              <w:t>16.0</w:t>
            </w:r>
          </w:p>
        </w:tc>
      </w:tr>
      <w:tr w:rsidR="00051D54" w:rsidRPr="00051D54" w14:paraId="06D5FEDB" w14:textId="77777777" w:rsidTr="00051D54">
        <w:trPr>
          <w:trHeight w:val="358"/>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noWrap/>
            <w:hideMark/>
          </w:tcPr>
          <w:p w14:paraId="587D6E92" w14:textId="77777777" w:rsidR="00924A79" w:rsidRPr="00051D54" w:rsidRDefault="00924A79" w:rsidP="00051D54">
            <w:pPr>
              <w:pStyle w:val="TableText"/>
              <w:rPr>
                <w:b w:val="0"/>
                <w:bCs w:val="0"/>
                <w:color w:val="auto"/>
              </w:rPr>
            </w:pPr>
            <w:r w:rsidRPr="00051D54">
              <w:rPr>
                <w:b w:val="0"/>
                <w:bCs w:val="0"/>
                <w:color w:val="auto"/>
              </w:rPr>
              <w:t>Cardiovascular disease</w:t>
            </w:r>
            <w:r w:rsidRPr="004553AA">
              <w:rPr>
                <w:rStyle w:val="FootnoteReference"/>
                <w:b w:val="0"/>
                <w:bCs w:val="0"/>
                <w:color w:val="auto"/>
              </w:rPr>
              <w:footnoteReference w:id="5"/>
            </w:r>
          </w:p>
        </w:tc>
        <w:tc>
          <w:tcPr>
            <w:tcW w:w="1829" w:type="dxa"/>
            <w:shd w:val="clear" w:color="auto" w:fill="auto"/>
            <w:noWrap/>
            <w:hideMark/>
          </w:tcPr>
          <w:p w14:paraId="5F07BE5D" w14:textId="77777777" w:rsidR="00924A79" w:rsidRPr="00051D54" w:rsidRDefault="00924A79" w:rsidP="00051D54">
            <w:pPr>
              <w:pStyle w:val="TableText"/>
              <w:cnfStyle w:val="000000000000" w:firstRow="0" w:lastRow="0" w:firstColumn="0" w:lastColumn="0" w:oddVBand="0" w:evenVBand="0" w:oddHBand="0" w:evenHBand="0" w:firstRowFirstColumn="0" w:firstRowLastColumn="0" w:lastRowFirstColumn="0" w:lastRowLastColumn="0"/>
              <w:rPr>
                <w:color w:val="auto"/>
              </w:rPr>
            </w:pPr>
            <w:r w:rsidRPr="00051D54">
              <w:rPr>
                <w:color w:val="auto"/>
              </w:rPr>
              <w:t>4.9</w:t>
            </w:r>
          </w:p>
        </w:tc>
        <w:tc>
          <w:tcPr>
            <w:tcW w:w="1847" w:type="dxa"/>
            <w:shd w:val="clear" w:color="auto" w:fill="auto"/>
          </w:tcPr>
          <w:p w14:paraId="471EE222" w14:textId="77777777" w:rsidR="00924A79" w:rsidRPr="00051D54" w:rsidRDefault="00924A79" w:rsidP="00051D54">
            <w:pPr>
              <w:pStyle w:val="TableText"/>
              <w:cnfStyle w:val="000000000000" w:firstRow="0" w:lastRow="0" w:firstColumn="0" w:lastColumn="0" w:oddVBand="0" w:evenVBand="0" w:oddHBand="0" w:evenHBand="0" w:firstRowFirstColumn="0" w:firstRowLastColumn="0" w:lastRowFirstColumn="0" w:lastRowLastColumn="0"/>
              <w:rPr>
                <w:color w:val="auto"/>
              </w:rPr>
            </w:pPr>
            <w:r w:rsidRPr="00051D54">
              <w:rPr>
                <w:color w:val="auto"/>
              </w:rPr>
              <w:t>21.3</w:t>
            </w:r>
          </w:p>
        </w:tc>
      </w:tr>
      <w:tr w:rsidR="00051D54" w:rsidRPr="00051D54" w14:paraId="6EC63A05" w14:textId="77777777" w:rsidTr="00051D5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noWrap/>
            <w:hideMark/>
          </w:tcPr>
          <w:p w14:paraId="5A9EDC7E" w14:textId="77777777" w:rsidR="00924A79" w:rsidRPr="00051D54" w:rsidRDefault="00924A79" w:rsidP="00051D54">
            <w:pPr>
              <w:pStyle w:val="TableText"/>
              <w:rPr>
                <w:b w:val="0"/>
                <w:bCs w:val="0"/>
                <w:color w:val="auto"/>
              </w:rPr>
            </w:pPr>
            <w:r w:rsidRPr="00051D54">
              <w:rPr>
                <w:b w:val="0"/>
                <w:bCs w:val="0"/>
                <w:color w:val="auto"/>
              </w:rPr>
              <w:t>Gout</w:t>
            </w:r>
          </w:p>
        </w:tc>
        <w:tc>
          <w:tcPr>
            <w:tcW w:w="1829" w:type="dxa"/>
            <w:shd w:val="clear" w:color="auto" w:fill="auto"/>
            <w:noWrap/>
            <w:hideMark/>
          </w:tcPr>
          <w:p w14:paraId="1B7DABD0" w14:textId="77777777" w:rsidR="00924A79" w:rsidRPr="00051D54" w:rsidRDefault="00924A79" w:rsidP="00051D54">
            <w:pPr>
              <w:pStyle w:val="TableText"/>
              <w:cnfStyle w:val="000000100000" w:firstRow="0" w:lastRow="0" w:firstColumn="0" w:lastColumn="0" w:oddVBand="0" w:evenVBand="0" w:oddHBand="1" w:evenHBand="0" w:firstRowFirstColumn="0" w:firstRowLastColumn="0" w:lastRowFirstColumn="0" w:lastRowLastColumn="0"/>
              <w:rPr>
                <w:color w:val="auto"/>
              </w:rPr>
            </w:pPr>
            <w:r w:rsidRPr="00051D54">
              <w:rPr>
                <w:color w:val="auto"/>
              </w:rPr>
              <w:t>2.8</w:t>
            </w:r>
          </w:p>
        </w:tc>
        <w:tc>
          <w:tcPr>
            <w:tcW w:w="1847" w:type="dxa"/>
            <w:shd w:val="clear" w:color="auto" w:fill="auto"/>
          </w:tcPr>
          <w:p w14:paraId="3F34FC77" w14:textId="77777777" w:rsidR="00924A79" w:rsidRPr="00051D54" w:rsidRDefault="00924A79" w:rsidP="00051D54">
            <w:pPr>
              <w:pStyle w:val="TableText"/>
              <w:cnfStyle w:val="000000100000" w:firstRow="0" w:lastRow="0" w:firstColumn="0" w:lastColumn="0" w:oddVBand="0" w:evenVBand="0" w:oddHBand="1" w:evenHBand="0" w:firstRowFirstColumn="0" w:firstRowLastColumn="0" w:lastRowFirstColumn="0" w:lastRowLastColumn="0"/>
              <w:rPr>
                <w:color w:val="auto"/>
              </w:rPr>
            </w:pPr>
            <w:r w:rsidRPr="00051D54">
              <w:rPr>
                <w:color w:val="auto"/>
              </w:rPr>
              <w:t>8.8</w:t>
            </w:r>
          </w:p>
        </w:tc>
      </w:tr>
      <w:tr w:rsidR="00051D54" w:rsidRPr="00051D54" w14:paraId="1062FF3B" w14:textId="77777777" w:rsidTr="00051D54">
        <w:trPr>
          <w:trHeight w:val="291"/>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noWrap/>
            <w:hideMark/>
          </w:tcPr>
          <w:p w14:paraId="45ACB505" w14:textId="77777777" w:rsidR="00924A79" w:rsidRPr="00051D54" w:rsidRDefault="00924A79" w:rsidP="00051D54">
            <w:pPr>
              <w:pStyle w:val="TableText"/>
              <w:rPr>
                <w:b w:val="0"/>
                <w:bCs w:val="0"/>
                <w:color w:val="auto"/>
              </w:rPr>
            </w:pPr>
            <w:r w:rsidRPr="00051D54">
              <w:rPr>
                <w:b w:val="0"/>
                <w:bCs w:val="0"/>
                <w:color w:val="auto"/>
              </w:rPr>
              <w:t xml:space="preserve">Chronic obstructive pulmonary disorder </w:t>
            </w:r>
          </w:p>
        </w:tc>
        <w:tc>
          <w:tcPr>
            <w:tcW w:w="1829" w:type="dxa"/>
            <w:shd w:val="clear" w:color="auto" w:fill="auto"/>
            <w:noWrap/>
            <w:hideMark/>
          </w:tcPr>
          <w:p w14:paraId="0DA96D8A" w14:textId="77777777" w:rsidR="00924A79" w:rsidRPr="00051D54" w:rsidRDefault="00924A79" w:rsidP="00051D54">
            <w:pPr>
              <w:pStyle w:val="TableText"/>
              <w:cnfStyle w:val="000000000000" w:firstRow="0" w:lastRow="0" w:firstColumn="0" w:lastColumn="0" w:oddVBand="0" w:evenVBand="0" w:oddHBand="0" w:evenHBand="0" w:firstRowFirstColumn="0" w:firstRowLastColumn="0" w:lastRowFirstColumn="0" w:lastRowLastColumn="0"/>
              <w:rPr>
                <w:color w:val="auto"/>
              </w:rPr>
            </w:pPr>
            <w:r w:rsidRPr="00051D54">
              <w:rPr>
                <w:color w:val="auto"/>
              </w:rPr>
              <w:t>1.5</w:t>
            </w:r>
          </w:p>
        </w:tc>
        <w:tc>
          <w:tcPr>
            <w:tcW w:w="1847" w:type="dxa"/>
            <w:shd w:val="clear" w:color="auto" w:fill="auto"/>
          </w:tcPr>
          <w:p w14:paraId="37DC101D" w14:textId="77777777" w:rsidR="00924A79" w:rsidRPr="00051D54" w:rsidRDefault="00924A79" w:rsidP="00051D54">
            <w:pPr>
              <w:pStyle w:val="TableText"/>
              <w:cnfStyle w:val="000000000000" w:firstRow="0" w:lastRow="0" w:firstColumn="0" w:lastColumn="0" w:oddVBand="0" w:evenVBand="0" w:oddHBand="0" w:evenHBand="0" w:firstRowFirstColumn="0" w:firstRowLastColumn="0" w:lastRowFirstColumn="0" w:lastRowLastColumn="0"/>
              <w:rPr>
                <w:color w:val="auto"/>
              </w:rPr>
            </w:pPr>
            <w:r w:rsidRPr="00051D54">
              <w:rPr>
                <w:color w:val="auto"/>
              </w:rPr>
              <w:t>6.3</w:t>
            </w:r>
          </w:p>
        </w:tc>
      </w:tr>
      <w:tr w:rsidR="00051D54" w:rsidRPr="00051D54" w14:paraId="3CBA8993" w14:textId="77777777" w:rsidTr="00051D54">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noWrap/>
            <w:hideMark/>
          </w:tcPr>
          <w:p w14:paraId="40E633FB" w14:textId="77777777" w:rsidR="00924A79" w:rsidRPr="00051D54" w:rsidRDefault="00924A79" w:rsidP="00051D54">
            <w:pPr>
              <w:pStyle w:val="TableText"/>
              <w:rPr>
                <w:b w:val="0"/>
                <w:bCs w:val="0"/>
                <w:color w:val="auto"/>
              </w:rPr>
            </w:pPr>
            <w:r w:rsidRPr="00051D54">
              <w:rPr>
                <w:b w:val="0"/>
                <w:bCs w:val="0"/>
                <w:color w:val="auto"/>
              </w:rPr>
              <w:t>Cancer</w:t>
            </w:r>
          </w:p>
        </w:tc>
        <w:tc>
          <w:tcPr>
            <w:tcW w:w="1829" w:type="dxa"/>
            <w:shd w:val="clear" w:color="auto" w:fill="auto"/>
            <w:noWrap/>
            <w:hideMark/>
          </w:tcPr>
          <w:p w14:paraId="5A64EAD7" w14:textId="77777777" w:rsidR="00924A79" w:rsidRPr="00051D54" w:rsidRDefault="00924A79" w:rsidP="00051D54">
            <w:pPr>
              <w:pStyle w:val="TableText"/>
              <w:cnfStyle w:val="000000100000" w:firstRow="0" w:lastRow="0" w:firstColumn="0" w:lastColumn="0" w:oddVBand="0" w:evenVBand="0" w:oddHBand="1" w:evenHBand="0" w:firstRowFirstColumn="0" w:firstRowLastColumn="0" w:lastRowFirstColumn="0" w:lastRowLastColumn="0"/>
              <w:rPr>
                <w:color w:val="auto"/>
              </w:rPr>
            </w:pPr>
            <w:r w:rsidRPr="00051D54">
              <w:rPr>
                <w:color w:val="auto"/>
              </w:rPr>
              <w:t>1.1</w:t>
            </w:r>
          </w:p>
        </w:tc>
        <w:tc>
          <w:tcPr>
            <w:tcW w:w="1847" w:type="dxa"/>
            <w:shd w:val="clear" w:color="auto" w:fill="auto"/>
          </w:tcPr>
          <w:p w14:paraId="6C921EF5" w14:textId="77777777" w:rsidR="00924A79" w:rsidRPr="00051D54" w:rsidRDefault="00924A79" w:rsidP="00051D54">
            <w:pPr>
              <w:pStyle w:val="TableText"/>
              <w:cnfStyle w:val="000000100000" w:firstRow="0" w:lastRow="0" w:firstColumn="0" w:lastColumn="0" w:oddVBand="0" w:evenVBand="0" w:oddHBand="1" w:evenHBand="0" w:firstRowFirstColumn="0" w:firstRowLastColumn="0" w:lastRowFirstColumn="0" w:lastRowLastColumn="0"/>
              <w:rPr>
                <w:color w:val="auto"/>
              </w:rPr>
            </w:pPr>
            <w:r w:rsidRPr="00051D54">
              <w:rPr>
                <w:color w:val="auto"/>
              </w:rPr>
              <w:t>3.8</w:t>
            </w:r>
          </w:p>
        </w:tc>
      </w:tr>
      <w:tr w:rsidR="00051D54" w:rsidRPr="00051D54" w14:paraId="3DBEDF7E" w14:textId="77777777" w:rsidTr="00051D54">
        <w:trPr>
          <w:trHeight w:val="256"/>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noWrap/>
            <w:hideMark/>
          </w:tcPr>
          <w:p w14:paraId="5B3CADE2" w14:textId="77777777" w:rsidR="00924A79" w:rsidRPr="00051D54" w:rsidRDefault="00924A79" w:rsidP="00051D54">
            <w:pPr>
              <w:pStyle w:val="TableText"/>
              <w:rPr>
                <w:b w:val="0"/>
                <w:bCs w:val="0"/>
                <w:color w:val="auto"/>
              </w:rPr>
            </w:pPr>
            <w:r w:rsidRPr="00051D54">
              <w:rPr>
                <w:b w:val="0"/>
                <w:bCs w:val="0"/>
                <w:color w:val="auto"/>
              </w:rPr>
              <w:t>Sleep apnoea</w:t>
            </w:r>
          </w:p>
        </w:tc>
        <w:tc>
          <w:tcPr>
            <w:tcW w:w="1829" w:type="dxa"/>
            <w:shd w:val="clear" w:color="auto" w:fill="auto"/>
            <w:noWrap/>
            <w:hideMark/>
          </w:tcPr>
          <w:p w14:paraId="41E79D01" w14:textId="77777777" w:rsidR="00924A79" w:rsidRPr="00051D54" w:rsidRDefault="00924A79" w:rsidP="00051D54">
            <w:pPr>
              <w:pStyle w:val="TableText"/>
              <w:cnfStyle w:val="000000000000" w:firstRow="0" w:lastRow="0" w:firstColumn="0" w:lastColumn="0" w:oddVBand="0" w:evenVBand="0" w:oddHBand="0" w:evenHBand="0" w:firstRowFirstColumn="0" w:firstRowLastColumn="0" w:lastRowFirstColumn="0" w:lastRowLastColumn="0"/>
              <w:rPr>
                <w:color w:val="auto"/>
              </w:rPr>
            </w:pPr>
            <w:r w:rsidRPr="00051D54">
              <w:rPr>
                <w:color w:val="auto"/>
              </w:rPr>
              <w:t>0.8</w:t>
            </w:r>
          </w:p>
        </w:tc>
        <w:tc>
          <w:tcPr>
            <w:tcW w:w="1847" w:type="dxa"/>
            <w:shd w:val="clear" w:color="auto" w:fill="auto"/>
          </w:tcPr>
          <w:p w14:paraId="6D7F0A66" w14:textId="77777777" w:rsidR="00924A79" w:rsidRPr="00051D54" w:rsidRDefault="00924A79" w:rsidP="00051D54">
            <w:pPr>
              <w:pStyle w:val="TableText"/>
              <w:cnfStyle w:val="000000000000" w:firstRow="0" w:lastRow="0" w:firstColumn="0" w:lastColumn="0" w:oddVBand="0" w:evenVBand="0" w:oddHBand="0" w:evenHBand="0" w:firstRowFirstColumn="0" w:firstRowLastColumn="0" w:lastRowFirstColumn="0" w:lastRowLastColumn="0"/>
              <w:rPr>
                <w:color w:val="auto"/>
              </w:rPr>
            </w:pPr>
            <w:r w:rsidRPr="00051D54">
              <w:rPr>
                <w:color w:val="auto"/>
              </w:rPr>
              <w:t>1.0</w:t>
            </w:r>
          </w:p>
        </w:tc>
      </w:tr>
      <w:tr w:rsidR="00051D54" w:rsidRPr="00051D54" w14:paraId="090E7922" w14:textId="77777777" w:rsidTr="00051D54">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noWrap/>
            <w:hideMark/>
          </w:tcPr>
          <w:p w14:paraId="5E90C91A" w14:textId="77777777" w:rsidR="00924A79" w:rsidRPr="00051D54" w:rsidRDefault="00924A79" w:rsidP="00051D54">
            <w:pPr>
              <w:pStyle w:val="TableText"/>
              <w:rPr>
                <w:b w:val="0"/>
                <w:bCs w:val="0"/>
                <w:color w:val="auto"/>
              </w:rPr>
            </w:pPr>
            <w:r w:rsidRPr="00051D54">
              <w:rPr>
                <w:b w:val="0"/>
                <w:bCs w:val="0"/>
                <w:color w:val="auto"/>
              </w:rPr>
              <w:t>Chronic kidney disease</w:t>
            </w:r>
          </w:p>
        </w:tc>
        <w:tc>
          <w:tcPr>
            <w:tcW w:w="1829" w:type="dxa"/>
            <w:shd w:val="clear" w:color="auto" w:fill="auto"/>
            <w:noWrap/>
            <w:hideMark/>
          </w:tcPr>
          <w:p w14:paraId="737FCC99" w14:textId="77777777" w:rsidR="00924A79" w:rsidRPr="00051D54" w:rsidRDefault="00924A79" w:rsidP="00051D54">
            <w:pPr>
              <w:pStyle w:val="TableText"/>
              <w:cnfStyle w:val="000000100000" w:firstRow="0" w:lastRow="0" w:firstColumn="0" w:lastColumn="0" w:oddVBand="0" w:evenVBand="0" w:oddHBand="1" w:evenHBand="0" w:firstRowFirstColumn="0" w:firstRowLastColumn="0" w:lastRowFirstColumn="0" w:lastRowLastColumn="0"/>
              <w:rPr>
                <w:color w:val="auto"/>
              </w:rPr>
            </w:pPr>
            <w:r w:rsidRPr="00051D54">
              <w:rPr>
                <w:color w:val="auto"/>
              </w:rPr>
              <w:t>0.8</w:t>
            </w:r>
          </w:p>
        </w:tc>
        <w:tc>
          <w:tcPr>
            <w:tcW w:w="1847" w:type="dxa"/>
            <w:shd w:val="clear" w:color="auto" w:fill="auto"/>
          </w:tcPr>
          <w:p w14:paraId="08D907D7" w14:textId="77777777" w:rsidR="00924A79" w:rsidRPr="00051D54" w:rsidRDefault="00924A79" w:rsidP="00051D54">
            <w:pPr>
              <w:pStyle w:val="TableText"/>
              <w:cnfStyle w:val="000000100000" w:firstRow="0" w:lastRow="0" w:firstColumn="0" w:lastColumn="0" w:oddVBand="0" w:evenVBand="0" w:oddHBand="1" w:evenHBand="0" w:firstRowFirstColumn="0" w:firstRowLastColumn="0" w:lastRowFirstColumn="0" w:lastRowLastColumn="0"/>
              <w:rPr>
                <w:color w:val="auto"/>
              </w:rPr>
            </w:pPr>
            <w:r w:rsidRPr="00051D54">
              <w:rPr>
                <w:color w:val="auto"/>
              </w:rPr>
              <w:t>3.6</w:t>
            </w:r>
          </w:p>
        </w:tc>
      </w:tr>
      <w:tr w:rsidR="00051D54" w:rsidRPr="00051D54" w14:paraId="4D55ABE3" w14:textId="77777777" w:rsidTr="00051D54">
        <w:trPr>
          <w:trHeight w:val="252"/>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noWrap/>
            <w:hideMark/>
          </w:tcPr>
          <w:p w14:paraId="0B49BF68" w14:textId="77777777" w:rsidR="00924A79" w:rsidRPr="00051D54" w:rsidRDefault="00924A79" w:rsidP="00051D54">
            <w:pPr>
              <w:pStyle w:val="TableText"/>
              <w:rPr>
                <w:b w:val="0"/>
                <w:bCs w:val="0"/>
                <w:color w:val="auto"/>
              </w:rPr>
            </w:pPr>
            <w:r w:rsidRPr="00051D54">
              <w:rPr>
                <w:b w:val="0"/>
                <w:bCs w:val="0"/>
                <w:color w:val="auto"/>
              </w:rPr>
              <w:t>Other neurological disease</w:t>
            </w:r>
          </w:p>
        </w:tc>
        <w:tc>
          <w:tcPr>
            <w:tcW w:w="1829" w:type="dxa"/>
            <w:shd w:val="clear" w:color="auto" w:fill="auto"/>
            <w:noWrap/>
            <w:hideMark/>
          </w:tcPr>
          <w:p w14:paraId="2740B926" w14:textId="77777777" w:rsidR="00924A79" w:rsidRPr="00051D54" w:rsidRDefault="00924A79" w:rsidP="00051D54">
            <w:pPr>
              <w:pStyle w:val="TableText"/>
              <w:cnfStyle w:val="000000000000" w:firstRow="0" w:lastRow="0" w:firstColumn="0" w:lastColumn="0" w:oddVBand="0" w:evenVBand="0" w:oddHBand="0" w:evenHBand="0" w:firstRowFirstColumn="0" w:firstRowLastColumn="0" w:lastRowFirstColumn="0" w:lastRowLastColumn="0"/>
              <w:rPr>
                <w:color w:val="auto"/>
              </w:rPr>
            </w:pPr>
            <w:r w:rsidRPr="00051D54">
              <w:rPr>
                <w:color w:val="auto"/>
              </w:rPr>
              <w:t>0.7</w:t>
            </w:r>
          </w:p>
        </w:tc>
        <w:tc>
          <w:tcPr>
            <w:tcW w:w="1847" w:type="dxa"/>
            <w:shd w:val="clear" w:color="auto" w:fill="auto"/>
          </w:tcPr>
          <w:p w14:paraId="790B9B67" w14:textId="77777777" w:rsidR="00924A79" w:rsidRPr="00051D54" w:rsidRDefault="00924A79" w:rsidP="00051D54">
            <w:pPr>
              <w:pStyle w:val="TableText"/>
              <w:cnfStyle w:val="000000000000" w:firstRow="0" w:lastRow="0" w:firstColumn="0" w:lastColumn="0" w:oddVBand="0" w:evenVBand="0" w:oddHBand="0" w:evenHBand="0" w:firstRowFirstColumn="0" w:firstRowLastColumn="0" w:lastRowFirstColumn="0" w:lastRowLastColumn="0"/>
              <w:rPr>
                <w:color w:val="auto"/>
              </w:rPr>
            </w:pPr>
            <w:r w:rsidRPr="00051D54">
              <w:rPr>
                <w:color w:val="auto"/>
              </w:rPr>
              <w:t>1.6</w:t>
            </w:r>
          </w:p>
        </w:tc>
      </w:tr>
      <w:tr w:rsidR="00051D54" w:rsidRPr="00051D54" w14:paraId="58A0E589" w14:textId="77777777" w:rsidTr="00051D5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noWrap/>
            <w:hideMark/>
          </w:tcPr>
          <w:p w14:paraId="6AB00BD6" w14:textId="77777777" w:rsidR="00924A79" w:rsidRPr="00051D54" w:rsidRDefault="00924A79" w:rsidP="00051D54">
            <w:pPr>
              <w:pStyle w:val="TableText"/>
              <w:rPr>
                <w:b w:val="0"/>
                <w:bCs w:val="0"/>
                <w:color w:val="auto"/>
              </w:rPr>
            </w:pPr>
            <w:r w:rsidRPr="00051D54">
              <w:rPr>
                <w:b w:val="0"/>
                <w:bCs w:val="0"/>
                <w:color w:val="auto"/>
              </w:rPr>
              <w:t>Dementia</w:t>
            </w:r>
          </w:p>
        </w:tc>
        <w:tc>
          <w:tcPr>
            <w:tcW w:w="1829" w:type="dxa"/>
            <w:shd w:val="clear" w:color="auto" w:fill="auto"/>
            <w:noWrap/>
            <w:hideMark/>
          </w:tcPr>
          <w:p w14:paraId="7EC311EA" w14:textId="77777777" w:rsidR="00924A79" w:rsidRPr="00051D54" w:rsidRDefault="00924A79" w:rsidP="00051D54">
            <w:pPr>
              <w:pStyle w:val="TableText"/>
              <w:cnfStyle w:val="000000100000" w:firstRow="0" w:lastRow="0" w:firstColumn="0" w:lastColumn="0" w:oddVBand="0" w:evenVBand="0" w:oddHBand="1" w:evenHBand="0" w:firstRowFirstColumn="0" w:firstRowLastColumn="0" w:lastRowFirstColumn="0" w:lastRowLastColumn="0"/>
              <w:rPr>
                <w:color w:val="auto"/>
              </w:rPr>
            </w:pPr>
            <w:r w:rsidRPr="00051D54">
              <w:rPr>
                <w:color w:val="auto"/>
              </w:rPr>
              <w:t>0.5</w:t>
            </w:r>
          </w:p>
        </w:tc>
        <w:tc>
          <w:tcPr>
            <w:tcW w:w="1847" w:type="dxa"/>
            <w:shd w:val="clear" w:color="auto" w:fill="auto"/>
          </w:tcPr>
          <w:p w14:paraId="1C9343E8" w14:textId="77777777" w:rsidR="00924A79" w:rsidRPr="00051D54" w:rsidRDefault="00924A79" w:rsidP="00051D54">
            <w:pPr>
              <w:pStyle w:val="TableText"/>
              <w:cnfStyle w:val="000000100000" w:firstRow="0" w:lastRow="0" w:firstColumn="0" w:lastColumn="0" w:oddVBand="0" w:evenVBand="0" w:oddHBand="1" w:evenHBand="0" w:firstRowFirstColumn="0" w:firstRowLastColumn="0" w:lastRowFirstColumn="0" w:lastRowLastColumn="0"/>
              <w:rPr>
                <w:color w:val="auto"/>
              </w:rPr>
            </w:pPr>
            <w:r w:rsidRPr="00051D54">
              <w:rPr>
                <w:color w:val="auto"/>
              </w:rPr>
              <w:t>2.8</w:t>
            </w:r>
          </w:p>
        </w:tc>
      </w:tr>
      <w:tr w:rsidR="00051D54" w:rsidRPr="00051D54" w14:paraId="770CE941" w14:textId="77777777" w:rsidTr="00051D54">
        <w:trPr>
          <w:trHeight w:val="205"/>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noWrap/>
            <w:hideMark/>
          </w:tcPr>
          <w:p w14:paraId="2F9292D6" w14:textId="77777777" w:rsidR="00924A79" w:rsidRPr="00051D54" w:rsidRDefault="00924A79" w:rsidP="00051D54">
            <w:pPr>
              <w:pStyle w:val="TableText"/>
              <w:rPr>
                <w:b w:val="0"/>
                <w:bCs w:val="0"/>
                <w:color w:val="auto"/>
              </w:rPr>
            </w:pPr>
            <w:r w:rsidRPr="00051D54">
              <w:rPr>
                <w:b w:val="0"/>
                <w:bCs w:val="0"/>
                <w:color w:val="auto"/>
              </w:rPr>
              <w:t>Epilepsy</w:t>
            </w:r>
          </w:p>
        </w:tc>
        <w:tc>
          <w:tcPr>
            <w:tcW w:w="1829" w:type="dxa"/>
            <w:shd w:val="clear" w:color="auto" w:fill="auto"/>
            <w:noWrap/>
            <w:hideMark/>
          </w:tcPr>
          <w:p w14:paraId="2517DBF5" w14:textId="77777777" w:rsidR="00924A79" w:rsidRPr="00051D54" w:rsidRDefault="00924A79" w:rsidP="00051D54">
            <w:pPr>
              <w:pStyle w:val="TableText"/>
              <w:cnfStyle w:val="000000000000" w:firstRow="0" w:lastRow="0" w:firstColumn="0" w:lastColumn="0" w:oddVBand="0" w:evenVBand="0" w:oddHBand="0" w:evenHBand="0" w:firstRowFirstColumn="0" w:firstRowLastColumn="0" w:lastRowFirstColumn="0" w:lastRowLastColumn="0"/>
              <w:rPr>
                <w:color w:val="auto"/>
              </w:rPr>
            </w:pPr>
            <w:r w:rsidRPr="00051D54">
              <w:rPr>
                <w:color w:val="auto"/>
              </w:rPr>
              <w:t>0.4</w:t>
            </w:r>
          </w:p>
        </w:tc>
        <w:tc>
          <w:tcPr>
            <w:tcW w:w="1847" w:type="dxa"/>
            <w:shd w:val="clear" w:color="auto" w:fill="auto"/>
          </w:tcPr>
          <w:p w14:paraId="1F5E1308" w14:textId="77777777" w:rsidR="00924A79" w:rsidRPr="00051D54" w:rsidRDefault="00924A79" w:rsidP="00051D54">
            <w:pPr>
              <w:pStyle w:val="TableText"/>
              <w:cnfStyle w:val="000000000000" w:firstRow="0" w:lastRow="0" w:firstColumn="0" w:lastColumn="0" w:oddVBand="0" w:evenVBand="0" w:oddHBand="0" w:evenHBand="0" w:firstRowFirstColumn="0" w:firstRowLastColumn="0" w:lastRowFirstColumn="0" w:lastRowLastColumn="0"/>
              <w:rPr>
                <w:color w:val="auto"/>
              </w:rPr>
            </w:pPr>
            <w:r w:rsidRPr="00051D54">
              <w:rPr>
                <w:color w:val="auto"/>
              </w:rPr>
              <w:t>0.4</w:t>
            </w:r>
          </w:p>
        </w:tc>
      </w:tr>
    </w:tbl>
    <w:p w14:paraId="455D4A2A" w14:textId="77777777" w:rsidR="00924A79" w:rsidRPr="00344776" w:rsidRDefault="00924A79" w:rsidP="00051D54">
      <w:pPr>
        <w:pStyle w:val="Source"/>
      </w:pPr>
      <w:r w:rsidRPr="00344776">
        <w:t>Source: Ministry of Health unpublished data (2022)</w:t>
      </w:r>
    </w:p>
    <w:p w14:paraId="26F3084C" w14:textId="77777777" w:rsidR="00924A79" w:rsidRPr="00344776" w:rsidRDefault="00924A79" w:rsidP="00924A79">
      <w:pPr>
        <w:pStyle w:val="Heading3"/>
      </w:pPr>
      <w:r w:rsidRPr="00344776">
        <w:t>Differences between groups</w:t>
      </w:r>
    </w:p>
    <w:p w14:paraId="549219AF" w14:textId="7506D5A2" w:rsidR="00924A79" w:rsidRPr="00344776" w:rsidRDefault="00590B82" w:rsidP="00924A79">
      <w:r w:rsidRPr="00344776">
        <w:t>Long</w:t>
      </w:r>
      <w:r>
        <w:t>-</w:t>
      </w:r>
      <w:r w:rsidRPr="00344776">
        <w:t>term conditions are not distributed evenly throughout the population</w:t>
      </w:r>
      <w:r>
        <w:t>:</w:t>
      </w:r>
      <w:r w:rsidRPr="00344776">
        <w:t xml:space="preserve"> they</w:t>
      </w:r>
      <w:r w:rsidRPr="00344776" w:rsidDel="008374D7">
        <w:t xml:space="preserve"> </w:t>
      </w:r>
      <w:r>
        <w:t xml:space="preserve">affect </w:t>
      </w:r>
      <w:r w:rsidRPr="00344776">
        <w:t>ethnic groups and age groups differently. The likelihood of having a long-term condition increases with increasing age</w:t>
      </w:r>
      <w:r w:rsidR="00924A79" w:rsidRPr="00344776">
        <w:t xml:space="preserve">. </w:t>
      </w:r>
      <w:r w:rsidR="00051D54">
        <w:fldChar w:fldCharType="begin"/>
      </w:r>
      <w:r w:rsidR="00051D54">
        <w:instrText xml:space="preserve"> REF _Ref114830397 \h </w:instrText>
      </w:r>
      <w:r w:rsidR="00051D54">
        <w:fldChar w:fldCharType="separate"/>
      </w:r>
      <w:r w:rsidR="00F61845" w:rsidRPr="00344776">
        <w:t xml:space="preserve">Figure </w:t>
      </w:r>
      <w:r w:rsidR="00F61845">
        <w:rPr>
          <w:noProof/>
        </w:rPr>
        <w:t>36</w:t>
      </w:r>
      <w:r w:rsidR="00051D54">
        <w:fldChar w:fldCharType="end"/>
      </w:r>
      <w:r w:rsidR="00051D54">
        <w:t xml:space="preserve"> </w:t>
      </w:r>
      <w:r w:rsidR="00924A79" w:rsidRPr="00344776">
        <w:t xml:space="preserve">below </w:t>
      </w:r>
      <w:r w:rsidRPr="00344776">
        <w:t>show</w:t>
      </w:r>
      <w:r>
        <w:t>s that</w:t>
      </w:r>
      <w:r w:rsidRPr="00344776">
        <w:t xml:space="preserve"> Māori and Pacific peoples develop long-term conditions at younger ages and have a higher prevalence of multiple long-term conditions.</w:t>
      </w:r>
    </w:p>
    <w:p w14:paraId="03F032C2" w14:textId="3FAB6B85" w:rsidR="00924A79" w:rsidRPr="00344776" w:rsidRDefault="00924A79" w:rsidP="00924A79">
      <w:pPr>
        <w:pStyle w:val="Figure"/>
      </w:pPr>
      <w:bookmarkStart w:id="169" w:name="_Ref114830397"/>
      <w:bookmarkStart w:id="170" w:name="_Toc118446250"/>
      <w:bookmarkStart w:id="171" w:name="_Toc118730687"/>
      <w:bookmarkStart w:id="172" w:name="_Toc119047780"/>
      <w:r w:rsidRPr="00344776">
        <w:lastRenderedPageBreak/>
        <w:t xml:space="preserve">Figure </w:t>
      </w:r>
      <w:r w:rsidRPr="00344776">
        <w:fldChar w:fldCharType="begin"/>
      </w:r>
      <w:r w:rsidRPr="00344776">
        <w:instrText>SEQ Figure \* ARABIC</w:instrText>
      </w:r>
      <w:r w:rsidRPr="00344776">
        <w:fldChar w:fldCharType="separate"/>
      </w:r>
      <w:r w:rsidR="00F61845">
        <w:rPr>
          <w:noProof/>
        </w:rPr>
        <w:t>36</w:t>
      </w:r>
      <w:r w:rsidRPr="00344776">
        <w:fldChar w:fldCharType="end"/>
      </w:r>
      <w:bookmarkEnd w:id="169"/>
      <w:r w:rsidRPr="00344776">
        <w:t>: Proportion of population with one or multiple long-term conditions, by ethnic group and age, 2020</w:t>
      </w:r>
      <w:bookmarkEnd w:id="170"/>
      <w:bookmarkEnd w:id="171"/>
      <w:bookmarkEnd w:id="172"/>
    </w:p>
    <w:p w14:paraId="30D7EA55" w14:textId="77777777" w:rsidR="00924A79" w:rsidRPr="00344776" w:rsidRDefault="00924A79" w:rsidP="00924A79">
      <w:r w:rsidRPr="00344776">
        <w:rPr>
          <w:noProof/>
        </w:rPr>
        <w:drawing>
          <wp:inline distT="0" distB="0" distL="0" distR="0" wp14:anchorId="27AFE802" wp14:editId="3718AD26">
            <wp:extent cx="5129930" cy="3923636"/>
            <wp:effectExtent l="0" t="0" r="0" b="1270"/>
            <wp:docPr id="7" name="Picture 7" descr="A series of 4 stacked line charts showing the percentage of people with one long term condition and multiple long-term conditions. There is one chart for each of the following ethnic groups: Māori, Pacific peoples, Asian, and European/other. For all ethnicities, long term conditions increased with age. For Pacific peoples and Māori, this increase occurs at a younger age and there were a greater percentage of people with long term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eries of 4 stacked line charts showing the percentage of people with one long term condition and multiple long-term conditions. There is one chart for each of the following ethnic groups: Māori, Pacific peoples, Asian, and European/other. For all ethnicities, long term conditions increased with age. For Pacific peoples and Māori, this increase occurs at a younger age and there were a greater percentage of people with long term conditions."/>
                    <pic:cNvPicPr/>
                  </pic:nvPicPr>
                  <pic:blipFill>
                    <a:blip r:embed="rId100" cstate="print">
                      <a:extLst>
                        <a:ext uri="{28A0092B-C50C-407E-A947-70E740481C1C}">
                          <a14:useLocalDpi xmlns:a14="http://schemas.microsoft.com/office/drawing/2010/main" val="0"/>
                        </a:ext>
                      </a:extLst>
                    </a:blip>
                    <a:srcRect t="2205" b="2205"/>
                    <a:stretch>
                      <a:fillRect/>
                    </a:stretch>
                  </pic:blipFill>
                  <pic:spPr bwMode="auto">
                    <a:xfrm>
                      <a:off x="0" y="0"/>
                      <a:ext cx="5129930" cy="3923636"/>
                    </a:xfrm>
                    <a:prstGeom prst="rect">
                      <a:avLst/>
                    </a:prstGeom>
                    <a:ln>
                      <a:noFill/>
                    </a:ln>
                    <a:extLst>
                      <a:ext uri="{53640926-AAD7-44D8-BBD7-CCE9431645EC}">
                        <a14:shadowObscured xmlns:a14="http://schemas.microsoft.com/office/drawing/2010/main"/>
                      </a:ext>
                    </a:extLst>
                  </pic:spPr>
                </pic:pic>
              </a:graphicData>
            </a:graphic>
          </wp:inline>
        </w:drawing>
      </w:r>
    </w:p>
    <w:p w14:paraId="66459F03" w14:textId="77777777" w:rsidR="00924A79" w:rsidRPr="00344776" w:rsidRDefault="00924A79" w:rsidP="00051D54">
      <w:pPr>
        <w:pStyle w:val="Source"/>
      </w:pPr>
      <w:r w:rsidRPr="00344776">
        <w:t>Source: Ministry of Health unpublished data (2022)</w:t>
      </w:r>
    </w:p>
    <w:p w14:paraId="17F211A8" w14:textId="77777777" w:rsidR="00924A79" w:rsidRPr="00344776" w:rsidRDefault="00924A79" w:rsidP="00924A79"/>
    <w:p w14:paraId="42C55B83" w14:textId="67D6B116" w:rsidR="00590B82" w:rsidRPr="00344776" w:rsidRDefault="004E5E8D" w:rsidP="00590B82">
      <w:r>
        <w:t>Working age</w:t>
      </w:r>
      <w:r w:rsidR="00B74921">
        <w:t xml:space="preserve"> Māori and Pacific peoples are disproportionately affected by long-term conditions, because they are more likely to develop a condition at a younger age </w:t>
      </w:r>
      <w:r w:rsidR="00590B82" w:rsidRPr="00344776">
        <w:t>(</w:t>
      </w:r>
      <w:r w:rsidR="005000F5">
        <w:t xml:space="preserve">working age: 15-64 years; </w:t>
      </w:r>
      <w:r w:rsidR="00921D30">
        <w:t xml:space="preserve">see </w:t>
      </w:r>
      <w:r w:rsidR="009D589F">
        <w:fldChar w:fldCharType="begin"/>
      </w:r>
      <w:r w:rsidR="009D589F">
        <w:instrText xml:space="preserve"> REF _Ref118782542 \h </w:instrText>
      </w:r>
      <w:r w:rsidR="009D589F">
        <w:fldChar w:fldCharType="separate"/>
      </w:r>
      <w:r w:rsidR="00F61845" w:rsidRPr="00344776">
        <w:t xml:space="preserve">Table </w:t>
      </w:r>
      <w:r w:rsidR="00F61845">
        <w:rPr>
          <w:noProof/>
        </w:rPr>
        <w:t>5</w:t>
      </w:r>
      <w:r w:rsidR="009D589F">
        <w:fldChar w:fldCharType="end"/>
      </w:r>
      <w:r w:rsidR="00B74921">
        <w:t>)</w:t>
      </w:r>
      <w:r w:rsidR="009D589F">
        <w:t xml:space="preserve">. </w:t>
      </w:r>
      <w:r w:rsidR="00590B82" w:rsidRPr="00344776">
        <w:t>The estimated prevalence of multiple long-term conditions is 5.2% of working</w:t>
      </w:r>
      <w:r w:rsidR="00590B82">
        <w:t>-</w:t>
      </w:r>
      <w:r w:rsidR="00590B82" w:rsidRPr="00344776">
        <w:t>age Pacific peoples, in comparison to 4.0%</w:t>
      </w:r>
      <w:r w:rsidR="00590B82">
        <w:t xml:space="preserve"> of </w:t>
      </w:r>
      <w:r w:rsidR="00590B82" w:rsidRPr="00344776">
        <w:t>Māori, 1.6%</w:t>
      </w:r>
      <w:r w:rsidR="00590B82">
        <w:t xml:space="preserve"> of the </w:t>
      </w:r>
      <w:r w:rsidR="00590B82" w:rsidRPr="00344776">
        <w:t>European/other</w:t>
      </w:r>
      <w:r w:rsidR="00590B82" w:rsidRPr="00344776" w:rsidDel="001A0B3C">
        <w:t xml:space="preserve"> </w:t>
      </w:r>
      <w:r w:rsidR="00590B82">
        <w:t>group</w:t>
      </w:r>
      <w:r w:rsidR="00590B82" w:rsidRPr="00344776">
        <w:t xml:space="preserve"> and 1.2%</w:t>
      </w:r>
      <w:r w:rsidR="00590B82">
        <w:t xml:space="preserve"> of the </w:t>
      </w:r>
      <w:r w:rsidR="00590B82" w:rsidRPr="00344776">
        <w:t>Asian</w:t>
      </w:r>
      <w:r w:rsidR="00590B82" w:rsidRPr="00344776" w:rsidDel="001A0B3C">
        <w:t xml:space="preserve"> </w:t>
      </w:r>
      <w:r w:rsidR="00590B82">
        <w:t>group</w:t>
      </w:r>
      <w:r w:rsidR="00590B82" w:rsidRPr="00344776">
        <w:t xml:space="preserve">. </w:t>
      </w:r>
    </w:p>
    <w:p w14:paraId="28547E11" w14:textId="77777777" w:rsidR="00590B82" w:rsidRPr="00344776" w:rsidRDefault="00590B82" w:rsidP="00590B82"/>
    <w:p w14:paraId="4C7524F9" w14:textId="44E881C9" w:rsidR="00590B82" w:rsidRPr="00344776" w:rsidRDefault="00590B82" w:rsidP="00590B82">
      <w:r w:rsidRPr="00344776">
        <w:t>Developing long</w:t>
      </w:r>
      <w:r>
        <w:t>-</w:t>
      </w:r>
      <w:r w:rsidRPr="00344776">
        <w:t xml:space="preserve">term conditions earlier likely contributes to greater morbidity and earlier death </w:t>
      </w:r>
      <w:r w:rsidRPr="00344776">
        <w:fldChar w:fldCharType="begin"/>
      </w:r>
      <w:r>
        <w:instrText xml:space="preserve"> ADDIN EN.CITE &lt;EndNote&gt;&lt;Cite&gt;&lt;Author&gt;Ministry of Health&lt;/Author&gt;&lt;Year&gt;2020&lt;/Year&gt;&lt;RecNum&gt;24&lt;/RecNum&gt;&lt;DisplayText&gt;(Ministry of Health 2020c)&lt;/DisplayText&gt;&lt;record&gt;&lt;rec-number&gt;24&lt;/rec-number&gt;&lt;foreign-keys&gt;&lt;key app="EN" db-id="aaepvppzs5wtfse95vsp2wahsrtvva2vvdet" timestamp="1632216400"&gt;24&lt;/key&gt;&lt;/foreign-keys&gt;&lt;ref-type name="Web Page"&gt;12&lt;/ref-type&gt;&lt;contributors&gt;&lt;authors&gt;&lt;author&gt;Ministry of Health,&lt;/author&gt;&lt;/authors&gt;&lt;/contributors&gt;&lt;titles&gt;&lt;title&gt;Longer, Healthier Lives: New Zealand&amp;apos;s health 1990-2017&lt;/title&gt;&lt;/titles&gt;&lt;number&gt;28 October 2022&lt;/number&gt;&lt;dates&gt;&lt;year&gt;2020&lt;/year&gt;&lt;/dates&gt;&lt;urls&gt;&lt;related-urls&gt;&lt;url&gt;www.health.govt.nz/publication/longer-healthier-lives-new-zealands-health-1990-2017&lt;/url&gt;&lt;/related-urls&gt;&lt;/urls&gt;&lt;/record&gt;&lt;/Cite&gt;&lt;/EndNote&gt;</w:instrText>
      </w:r>
      <w:r w:rsidRPr="00344776">
        <w:fldChar w:fldCharType="separate"/>
      </w:r>
      <w:r w:rsidRPr="00344776">
        <w:rPr>
          <w:noProof/>
        </w:rPr>
        <w:t>(Ministry of Health 2020c)</w:t>
      </w:r>
      <w:r w:rsidRPr="00344776">
        <w:fldChar w:fldCharType="end"/>
      </w:r>
      <w:r w:rsidRPr="00344776">
        <w:t xml:space="preserve">. As discussed in the </w:t>
      </w:r>
      <w:r>
        <w:t>P</w:t>
      </w:r>
      <w:r w:rsidRPr="00344776">
        <w:t>opulation section of this report, the age distribution of the population is structured differently between ethnic groups. Māori, Pacific peoples and Asian populations are younger than the European/other ethnic group</w:t>
      </w:r>
      <w:r>
        <w:t xml:space="preserve"> (</w:t>
      </w:r>
      <w:r>
        <w:fldChar w:fldCharType="begin"/>
      </w:r>
      <w:r>
        <w:instrText xml:space="preserve"> REF _Ref118728325 \h </w:instrText>
      </w:r>
      <w:r>
        <w:fldChar w:fldCharType="separate"/>
      </w:r>
      <w:r w:rsidR="00F61845" w:rsidRPr="00982FE4">
        <w:t xml:space="preserve">Figure </w:t>
      </w:r>
      <w:r w:rsidR="00F61845">
        <w:rPr>
          <w:noProof/>
        </w:rPr>
        <w:t>3</w:t>
      </w:r>
      <w:r>
        <w:fldChar w:fldCharType="end"/>
      </w:r>
      <w:r>
        <w:t>).</w:t>
      </w:r>
      <w:r w:rsidRPr="00344776">
        <w:t xml:space="preserve"> </w:t>
      </w:r>
    </w:p>
    <w:p w14:paraId="45183348" w14:textId="77777777" w:rsidR="00590B82" w:rsidRPr="00344776" w:rsidRDefault="00590B82" w:rsidP="00590B82"/>
    <w:p w14:paraId="2CF0F9DC" w14:textId="19B552F1" w:rsidR="00924A79" w:rsidRDefault="00590B82" w:rsidP="00590B82">
      <w:r w:rsidRPr="00344776">
        <w:t>Pacific peoples develop long-term conditions earlier</w:t>
      </w:r>
      <w:r>
        <w:t>:</w:t>
      </w:r>
      <w:r w:rsidRPr="00344776">
        <w:t xml:space="preserve"> at 59 years of age, 50% of the Pacific</w:t>
      </w:r>
      <w:r>
        <w:t xml:space="preserve"> </w:t>
      </w:r>
      <w:proofErr w:type="gramStart"/>
      <w:r>
        <w:t>peoples</w:t>
      </w:r>
      <w:proofErr w:type="gramEnd"/>
      <w:r w:rsidRPr="00344776">
        <w:t xml:space="preserve"> population have at least one long-term condition (</w:t>
      </w:r>
      <w:r w:rsidR="00300598">
        <w:fldChar w:fldCharType="begin"/>
      </w:r>
      <w:r w:rsidR="00300598">
        <w:instrText>REF _Ref114830397  \* MERGEFORMAT</w:instrText>
      </w:r>
      <w:r w:rsidR="00300598">
        <w:fldChar w:fldCharType="separate"/>
      </w:r>
      <w:r w:rsidR="00F61845" w:rsidRPr="00344776">
        <w:t xml:space="preserve">Figure </w:t>
      </w:r>
      <w:r w:rsidR="00F61845">
        <w:rPr>
          <w:noProof/>
        </w:rPr>
        <w:t>36</w:t>
      </w:r>
      <w:r w:rsidR="00300598">
        <w:rPr>
          <w:noProof/>
        </w:rPr>
        <w:fldChar w:fldCharType="end"/>
      </w:r>
      <w:r w:rsidRPr="00344776">
        <w:t>). For Māori, the point</w:t>
      </w:r>
      <w:r w:rsidRPr="00344776" w:rsidDel="009D6012">
        <w:t xml:space="preserve"> </w:t>
      </w:r>
      <w:r w:rsidRPr="00344776">
        <w:t xml:space="preserve">at </w:t>
      </w:r>
      <w:r>
        <w:t xml:space="preserve">which at </w:t>
      </w:r>
      <w:r w:rsidRPr="00344776">
        <w:t>least 50% of the ethnic group have a long-term condition is 66 years, whereas people from the Asian and European/other ethnic groups are generally much older when they develop long-term conditions, reaching the same level of prevalence at 78 and 80 years respectively</w:t>
      </w:r>
      <w:r w:rsidR="00924A79" w:rsidRPr="00344776">
        <w:t>.</w:t>
      </w:r>
    </w:p>
    <w:p w14:paraId="3D79BFE3" w14:textId="77777777" w:rsidR="00051D54" w:rsidRPr="00344776" w:rsidRDefault="00051D54" w:rsidP="00924A79"/>
    <w:p w14:paraId="33AE2AD0" w14:textId="02C34AF9" w:rsidR="00924A79" w:rsidRDefault="00924A79" w:rsidP="00924A79">
      <w:pPr>
        <w:pStyle w:val="Caption"/>
      </w:pPr>
      <w:bookmarkStart w:id="173" w:name="_Ref117173349"/>
    </w:p>
    <w:p w14:paraId="1EE2D47C" w14:textId="77777777" w:rsidR="0006271C" w:rsidRDefault="0006271C" w:rsidP="00051D54">
      <w:pPr>
        <w:pStyle w:val="Caption"/>
        <w:sectPr w:rsidR="0006271C" w:rsidSect="00B206F0">
          <w:pgSz w:w="11907" w:h="16840" w:code="9"/>
          <w:pgMar w:top="1418" w:right="1701" w:bottom="1134" w:left="1843" w:header="284" w:footer="425" w:gutter="284"/>
          <w:cols w:space="720"/>
        </w:sectPr>
      </w:pPr>
      <w:bookmarkStart w:id="174" w:name="_Ref118728295"/>
      <w:bookmarkStart w:id="175" w:name="_Toc118446266"/>
    </w:p>
    <w:p w14:paraId="3BAD48C0" w14:textId="2781ED6A" w:rsidR="00924A79" w:rsidRPr="00344776" w:rsidRDefault="00924A79" w:rsidP="00051D54">
      <w:pPr>
        <w:pStyle w:val="Caption"/>
      </w:pPr>
      <w:bookmarkStart w:id="176" w:name="_Ref118782542"/>
      <w:bookmarkStart w:id="177" w:name="_Toc119047796"/>
      <w:r w:rsidRPr="00344776">
        <w:lastRenderedPageBreak/>
        <w:t xml:space="preserve">Table </w:t>
      </w:r>
      <w:r w:rsidRPr="00344776">
        <w:fldChar w:fldCharType="begin"/>
      </w:r>
      <w:r w:rsidRPr="00344776">
        <w:instrText>SEQ Table \* ARABIC</w:instrText>
      </w:r>
      <w:r w:rsidRPr="00344776">
        <w:fldChar w:fldCharType="separate"/>
      </w:r>
      <w:r w:rsidR="00F61845">
        <w:rPr>
          <w:noProof/>
        </w:rPr>
        <w:t>5</w:t>
      </w:r>
      <w:r w:rsidRPr="00344776">
        <w:fldChar w:fldCharType="end"/>
      </w:r>
      <w:bookmarkEnd w:id="173"/>
      <w:bookmarkEnd w:id="174"/>
      <w:bookmarkEnd w:id="176"/>
      <w:r>
        <w:t>:</w:t>
      </w:r>
      <w:r w:rsidRPr="00344776">
        <w:t xml:space="preserve"> Proportion of population</w:t>
      </w:r>
      <w:r>
        <w:t>,</w:t>
      </w:r>
      <w:r w:rsidRPr="00344776">
        <w:t xml:space="preserve"> by number of long-term conditions and ethnic group, 2020</w:t>
      </w:r>
      <w:bookmarkEnd w:id="175"/>
      <w:bookmarkEnd w:id="1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1"/>
        <w:gridCol w:w="1416"/>
        <w:gridCol w:w="1743"/>
        <w:gridCol w:w="1428"/>
        <w:gridCol w:w="1581"/>
      </w:tblGrid>
      <w:tr w:rsidR="00051D54" w:rsidRPr="00344776" w14:paraId="5C2C3084" w14:textId="77777777" w:rsidTr="00A42095">
        <w:tc>
          <w:tcPr>
            <w:tcW w:w="1911" w:type="dxa"/>
            <w:shd w:val="clear" w:color="auto" w:fill="D9D9D9" w:themeFill="background1" w:themeFillShade="D9"/>
          </w:tcPr>
          <w:p w14:paraId="01CCC9C4" w14:textId="77777777" w:rsidR="00924A79" w:rsidRPr="00051D54" w:rsidRDefault="00924A79" w:rsidP="00051D54">
            <w:pPr>
              <w:pStyle w:val="TableText"/>
              <w:rPr>
                <w:b/>
                <w:bCs/>
                <w:lang w:eastAsia="en-US"/>
              </w:rPr>
            </w:pPr>
            <w:r w:rsidRPr="00051D54">
              <w:rPr>
                <w:b/>
                <w:bCs/>
                <w:lang w:eastAsia="en-US"/>
              </w:rPr>
              <w:t>Ethnic group</w:t>
            </w:r>
          </w:p>
        </w:tc>
        <w:tc>
          <w:tcPr>
            <w:tcW w:w="1416" w:type="dxa"/>
            <w:shd w:val="clear" w:color="auto" w:fill="D9D9D9" w:themeFill="background1" w:themeFillShade="D9"/>
          </w:tcPr>
          <w:p w14:paraId="286519C7" w14:textId="77777777" w:rsidR="00924A79" w:rsidRPr="00051D54" w:rsidRDefault="00924A79" w:rsidP="00051D54">
            <w:pPr>
              <w:pStyle w:val="TableText"/>
              <w:rPr>
                <w:b/>
                <w:bCs/>
                <w:lang w:eastAsia="en-US"/>
              </w:rPr>
            </w:pPr>
            <w:r w:rsidRPr="00051D54">
              <w:rPr>
                <w:b/>
                <w:bCs/>
                <w:lang w:eastAsia="en-US"/>
              </w:rPr>
              <w:t>Age group (life stage)</w:t>
            </w:r>
          </w:p>
        </w:tc>
        <w:tc>
          <w:tcPr>
            <w:tcW w:w="1743" w:type="dxa"/>
            <w:shd w:val="clear" w:color="auto" w:fill="D9D9D9" w:themeFill="background1" w:themeFillShade="D9"/>
          </w:tcPr>
          <w:p w14:paraId="499ABC44" w14:textId="77777777" w:rsidR="00924A79" w:rsidRPr="00051D54" w:rsidRDefault="00924A79" w:rsidP="00051D54">
            <w:pPr>
              <w:pStyle w:val="TableText"/>
              <w:rPr>
                <w:b/>
                <w:bCs/>
                <w:lang w:eastAsia="en-US"/>
              </w:rPr>
            </w:pPr>
            <w:r w:rsidRPr="00051D54">
              <w:rPr>
                <w:b/>
                <w:bCs/>
                <w:lang w:eastAsia="en-US"/>
              </w:rPr>
              <w:t>No long-term condition (%)</w:t>
            </w:r>
          </w:p>
        </w:tc>
        <w:tc>
          <w:tcPr>
            <w:tcW w:w="1428" w:type="dxa"/>
            <w:shd w:val="clear" w:color="auto" w:fill="D9D9D9" w:themeFill="background1" w:themeFillShade="D9"/>
          </w:tcPr>
          <w:p w14:paraId="5035466F" w14:textId="77777777" w:rsidR="00924A79" w:rsidRPr="00051D54" w:rsidRDefault="00924A79" w:rsidP="00051D54">
            <w:pPr>
              <w:pStyle w:val="TableText"/>
              <w:rPr>
                <w:b/>
                <w:bCs/>
                <w:lang w:eastAsia="en-US"/>
              </w:rPr>
            </w:pPr>
            <w:r w:rsidRPr="00051D54">
              <w:rPr>
                <w:b/>
                <w:bCs/>
                <w:lang w:eastAsia="en-US"/>
              </w:rPr>
              <w:t>Single long-term condition (%)</w:t>
            </w:r>
          </w:p>
        </w:tc>
        <w:tc>
          <w:tcPr>
            <w:tcW w:w="1581" w:type="dxa"/>
            <w:shd w:val="clear" w:color="auto" w:fill="D9D9D9" w:themeFill="background1" w:themeFillShade="D9"/>
          </w:tcPr>
          <w:p w14:paraId="26DBDFFA" w14:textId="77777777" w:rsidR="00924A79" w:rsidRPr="00051D54" w:rsidRDefault="00924A79" w:rsidP="00051D54">
            <w:pPr>
              <w:pStyle w:val="TableText"/>
              <w:rPr>
                <w:b/>
                <w:bCs/>
                <w:lang w:eastAsia="en-US"/>
              </w:rPr>
            </w:pPr>
            <w:r w:rsidRPr="00051D54">
              <w:rPr>
                <w:b/>
                <w:bCs/>
                <w:lang w:eastAsia="en-US"/>
              </w:rPr>
              <w:t>Multiple long-term conditions (%)</w:t>
            </w:r>
          </w:p>
        </w:tc>
      </w:tr>
      <w:tr w:rsidR="00A42095" w:rsidRPr="00344776" w14:paraId="55E97B4F" w14:textId="77777777" w:rsidTr="00A42095">
        <w:tc>
          <w:tcPr>
            <w:tcW w:w="1911" w:type="dxa"/>
            <w:vMerge w:val="restart"/>
          </w:tcPr>
          <w:p w14:paraId="264E28B9" w14:textId="77777777" w:rsidR="00A42095" w:rsidRPr="00344776" w:rsidRDefault="00A42095" w:rsidP="00051D54">
            <w:pPr>
              <w:pStyle w:val="TableText"/>
              <w:rPr>
                <w:lang w:eastAsia="en-US"/>
              </w:rPr>
            </w:pPr>
            <w:r w:rsidRPr="00344776">
              <w:rPr>
                <w:lang w:eastAsia="en-US"/>
              </w:rPr>
              <w:t>Māori</w:t>
            </w:r>
          </w:p>
        </w:tc>
        <w:tc>
          <w:tcPr>
            <w:tcW w:w="1416" w:type="dxa"/>
            <w:tcBorders>
              <w:bottom w:val="single" w:sz="4" w:space="0" w:color="A6A6A6" w:themeColor="background1" w:themeShade="A6"/>
            </w:tcBorders>
            <w:vAlign w:val="bottom"/>
          </w:tcPr>
          <w:p w14:paraId="1F7D02D9" w14:textId="77777777" w:rsidR="00A42095" w:rsidRPr="00344776" w:rsidRDefault="00A42095" w:rsidP="00051D54">
            <w:pPr>
              <w:pStyle w:val="TableText"/>
              <w:rPr>
                <w:lang w:eastAsia="en-US"/>
              </w:rPr>
            </w:pPr>
            <w:r w:rsidRPr="00344776">
              <w:rPr>
                <w:rFonts w:ascii="Calibri" w:hAnsi="Calibri" w:cs="Calibri"/>
                <w:color w:val="000000"/>
                <w:sz w:val="22"/>
                <w:szCs w:val="22"/>
              </w:rPr>
              <w:t>0</w:t>
            </w:r>
            <w:r>
              <w:t>–</w:t>
            </w:r>
            <w:r w:rsidRPr="00344776">
              <w:rPr>
                <w:rFonts w:ascii="Calibri" w:hAnsi="Calibri" w:cs="Calibri"/>
                <w:color w:val="000000"/>
                <w:sz w:val="22"/>
                <w:szCs w:val="22"/>
              </w:rPr>
              <w:t>14</w:t>
            </w:r>
          </w:p>
        </w:tc>
        <w:tc>
          <w:tcPr>
            <w:tcW w:w="1743" w:type="dxa"/>
            <w:tcBorders>
              <w:bottom w:val="single" w:sz="4" w:space="0" w:color="A6A6A6" w:themeColor="background1" w:themeShade="A6"/>
            </w:tcBorders>
            <w:vAlign w:val="bottom"/>
          </w:tcPr>
          <w:p w14:paraId="19E2F6CE" w14:textId="77777777" w:rsidR="00A42095" w:rsidRPr="00344776" w:rsidRDefault="00A42095" w:rsidP="00051D54">
            <w:pPr>
              <w:pStyle w:val="TableText"/>
              <w:rPr>
                <w:lang w:eastAsia="en-US"/>
              </w:rPr>
            </w:pPr>
            <w:r w:rsidRPr="00344776">
              <w:rPr>
                <w:rFonts w:ascii="Calibri" w:hAnsi="Calibri" w:cs="Calibri"/>
                <w:color w:val="000000"/>
                <w:sz w:val="22"/>
                <w:szCs w:val="22"/>
              </w:rPr>
              <w:t>96.9</w:t>
            </w:r>
          </w:p>
        </w:tc>
        <w:tc>
          <w:tcPr>
            <w:tcW w:w="1428" w:type="dxa"/>
            <w:tcBorders>
              <w:bottom w:val="single" w:sz="4" w:space="0" w:color="A6A6A6" w:themeColor="background1" w:themeShade="A6"/>
            </w:tcBorders>
          </w:tcPr>
          <w:p w14:paraId="33230A9D" w14:textId="77777777" w:rsidR="00A42095" w:rsidRPr="00344776" w:rsidRDefault="00A42095" w:rsidP="00051D54">
            <w:pPr>
              <w:pStyle w:val="TableText"/>
              <w:rPr>
                <w:rFonts w:ascii="Calibri" w:hAnsi="Calibri" w:cs="Calibri"/>
                <w:color w:val="000000"/>
                <w:sz w:val="22"/>
                <w:szCs w:val="22"/>
              </w:rPr>
            </w:pPr>
            <w:r w:rsidRPr="00344776">
              <w:rPr>
                <w:rFonts w:ascii="Calibri" w:hAnsi="Calibri" w:cs="Calibri"/>
                <w:color w:val="000000"/>
                <w:sz w:val="22"/>
                <w:szCs w:val="22"/>
              </w:rPr>
              <w:t>2.8</w:t>
            </w:r>
          </w:p>
        </w:tc>
        <w:tc>
          <w:tcPr>
            <w:tcW w:w="1581" w:type="dxa"/>
            <w:tcBorders>
              <w:bottom w:val="single" w:sz="4" w:space="0" w:color="A6A6A6" w:themeColor="background1" w:themeShade="A6"/>
            </w:tcBorders>
            <w:vAlign w:val="bottom"/>
          </w:tcPr>
          <w:p w14:paraId="625AF157" w14:textId="77777777" w:rsidR="00A42095" w:rsidRPr="00344776" w:rsidRDefault="00A42095" w:rsidP="00051D54">
            <w:pPr>
              <w:pStyle w:val="TableText"/>
              <w:rPr>
                <w:lang w:eastAsia="en-US"/>
              </w:rPr>
            </w:pPr>
            <w:r w:rsidRPr="00344776">
              <w:rPr>
                <w:rFonts w:ascii="Calibri" w:hAnsi="Calibri" w:cs="Calibri"/>
                <w:color w:val="000000"/>
                <w:sz w:val="22"/>
                <w:szCs w:val="22"/>
              </w:rPr>
              <w:t>0.3</w:t>
            </w:r>
          </w:p>
        </w:tc>
      </w:tr>
      <w:tr w:rsidR="00A42095" w:rsidRPr="00344776" w14:paraId="3B8F1A2E" w14:textId="77777777" w:rsidTr="00A42095">
        <w:tc>
          <w:tcPr>
            <w:tcW w:w="1911" w:type="dxa"/>
            <w:vMerge/>
          </w:tcPr>
          <w:p w14:paraId="792C6455" w14:textId="77777777" w:rsidR="00A42095" w:rsidRPr="00344776" w:rsidRDefault="00A42095" w:rsidP="00051D54">
            <w:pPr>
              <w:pStyle w:val="TableText"/>
              <w:rPr>
                <w:lang w:eastAsia="en-US"/>
              </w:rPr>
            </w:pPr>
          </w:p>
        </w:tc>
        <w:tc>
          <w:tcPr>
            <w:tcW w:w="1416" w:type="dxa"/>
            <w:tcBorders>
              <w:top w:val="single" w:sz="4" w:space="0" w:color="A6A6A6" w:themeColor="background1" w:themeShade="A6"/>
              <w:bottom w:val="single" w:sz="4" w:space="0" w:color="A6A6A6" w:themeColor="background1" w:themeShade="A6"/>
            </w:tcBorders>
            <w:vAlign w:val="bottom"/>
          </w:tcPr>
          <w:p w14:paraId="3711FA87" w14:textId="77777777" w:rsidR="00A42095" w:rsidRPr="00344776" w:rsidRDefault="00A42095" w:rsidP="00051D54">
            <w:pPr>
              <w:pStyle w:val="TableText"/>
              <w:rPr>
                <w:lang w:eastAsia="en-US"/>
              </w:rPr>
            </w:pPr>
            <w:r w:rsidRPr="00344776">
              <w:rPr>
                <w:rFonts w:ascii="Calibri" w:hAnsi="Calibri" w:cs="Calibri"/>
                <w:color w:val="000000"/>
                <w:sz w:val="22"/>
                <w:szCs w:val="22"/>
              </w:rPr>
              <w:t>15</w:t>
            </w:r>
            <w:r>
              <w:t>–</w:t>
            </w:r>
            <w:r w:rsidRPr="00344776">
              <w:rPr>
                <w:rFonts w:ascii="Calibri" w:hAnsi="Calibri" w:cs="Calibri"/>
                <w:color w:val="000000"/>
                <w:sz w:val="22"/>
                <w:szCs w:val="22"/>
              </w:rPr>
              <w:t>64</w:t>
            </w:r>
          </w:p>
        </w:tc>
        <w:tc>
          <w:tcPr>
            <w:tcW w:w="1743" w:type="dxa"/>
            <w:tcBorders>
              <w:top w:val="single" w:sz="4" w:space="0" w:color="A6A6A6" w:themeColor="background1" w:themeShade="A6"/>
              <w:bottom w:val="single" w:sz="4" w:space="0" w:color="A6A6A6" w:themeColor="background1" w:themeShade="A6"/>
            </w:tcBorders>
            <w:vAlign w:val="bottom"/>
          </w:tcPr>
          <w:p w14:paraId="47C4EB61" w14:textId="77777777" w:rsidR="00A42095" w:rsidRPr="00344776" w:rsidRDefault="00A42095" w:rsidP="00051D54">
            <w:pPr>
              <w:pStyle w:val="TableText"/>
              <w:rPr>
                <w:lang w:eastAsia="en-US"/>
              </w:rPr>
            </w:pPr>
            <w:r w:rsidRPr="00344776">
              <w:rPr>
                <w:rFonts w:ascii="Calibri" w:hAnsi="Calibri" w:cs="Calibri"/>
                <w:color w:val="000000"/>
                <w:sz w:val="22"/>
                <w:szCs w:val="22"/>
              </w:rPr>
              <w:t>85.5</w:t>
            </w:r>
          </w:p>
        </w:tc>
        <w:tc>
          <w:tcPr>
            <w:tcW w:w="1428" w:type="dxa"/>
            <w:tcBorders>
              <w:top w:val="single" w:sz="4" w:space="0" w:color="A6A6A6" w:themeColor="background1" w:themeShade="A6"/>
              <w:bottom w:val="single" w:sz="4" w:space="0" w:color="A6A6A6" w:themeColor="background1" w:themeShade="A6"/>
            </w:tcBorders>
          </w:tcPr>
          <w:p w14:paraId="6886B603" w14:textId="77777777" w:rsidR="00A42095" w:rsidRPr="00344776" w:rsidRDefault="00A42095" w:rsidP="00051D54">
            <w:pPr>
              <w:pStyle w:val="TableText"/>
              <w:rPr>
                <w:rFonts w:ascii="Calibri" w:hAnsi="Calibri" w:cs="Calibri"/>
                <w:color w:val="000000"/>
                <w:sz w:val="22"/>
                <w:szCs w:val="22"/>
              </w:rPr>
            </w:pPr>
            <w:r w:rsidRPr="00344776">
              <w:rPr>
                <w:rFonts w:ascii="Calibri" w:hAnsi="Calibri" w:cs="Calibri"/>
                <w:color w:val="000000"/>
                <w:sz w:val="22"/>
                <w:szCs w:val="22"/>
              </w:rPr>
              <w:t>10.5</w:t>
            </w:r>
          </w:p>
        </w:tc>
        <w:tc>
          <w:tcPr>
            <w:tcW w:w="1581" w:type="dxa"/>
            <w:tcBorders>
              <w:top w:val="single" w:sz="4" w:space="0" w:color="A6A6A6" w:themeColor="background1" w:themeShade="A6"/>
              <w:bottom w:val="single" w:sz="4" w:space="0" w:color="A6A6A6" w:themeColor="background1" w:themeShade="A6"/>
            </w:tcBorders>
            <w:vAlign w:val="bottom"/>
          </w:tcPr>
          <w:p w14:paraId="13017FC3" w14:textId="77777777" w:rsidR="00A42095" w:rsidRPr="00344776" w:rsidRDefault="00A42095" w:rsidP="00051D54">
            <w:pPr>
              <w:pStyle w:val="TableText"/>
              <w:rPr>
                <w:lang w:eastAsia="en-US"/>
              </w:rPr>
            </w:pPr>
            <w:r w:rsidRPr="00344776">
              <w:rPr>
                <w:rFonts w:ascii="Calibri" w:hAnsi="Calibri" w:cs="Calibri"/>
                <w:color w:val="000000"/>
                <w:sz w:val="22"/>
                <w:szCs w:val="22"/>
              </w:rPr>
              <w:t>4.0</w:t>
            </w:r>
          </w:p>
        </w:tc>
      </w:tr>
      <w:tr w:rsidR="00A42095" w:rsidRPr="00344776" w14:paraId="77ABCDF4" w14:textId="77777777" w:rsidTr="00A42095">
        <w:tc>
          <w:tcPr>
            <w:tcW w:w="1911" w:type="dxa"/>
            <w:vMerge/>
            <w:tcBorders>
              <w:bottom w:val="single" w:sz="4" w:space="0" w:color="A6A6A6" w:themeColor="background1" w:themeShade="A6"/>
            </w:tcBorders>
          </w:tcPr>
          <w:p w14:paraId="7BEC3558" w14:textId="77777777" w:rsidR="00A42095" w:rsidRPr="00344776" w:rsidRDefault="00A42095" w:rsidP="00051D54">
            <w:pPr>
              <w:pStyle w:val="TableText"/>
              <w:rPr>
                <w:lang w:eastAsia="en-US"/>
              </w:rPr>
            </w:pPr>
          </w:p>
        </w:tc>
        <w:tc>
          <w:tcPr>
            <w:tcW w:w="1416" w:type="dxa"/>
            <w:tcBorders>
              <w:top w:val="single" w:sz="4" w:space="0" w:color="A6A6A6" w:themeColor="background1" w:themeShade="A6"/>
              <w:bottom w:val="single" w:sz="4" w:space="0" w:color="A6A6A6" w:themeColor="background1" w:themeShade="A6"/>
            </w:tcBorders>
            <w:vAlign w:val="bottom"/>
          </w:tcPr>
          <w:p w14:paraId="2FC75A9E" w14:textId="77777777" w:rsidR="00A42095" w:rsidRPr="00344776" w:rsidRDefault="00A42095" w:rsidP="00051D54">
            <w:pPr>
              <w:pStyle w:val="TableText"/>
              <w:rPr>
                <w:lang w:eastAsia="en-US"/>
              </w:rPr>
            </w:pPr>
            <w:r w:rsidRPr="00344776">
              <w:rPr>
                <w:rFonts w:ascii="Calibri" w:hAnsi="Calibri" w:cs="Calibri"/>
                <w:color w:val="000000"/>
                <w:sz w:val="22"/>
                <w:szCs w:val="22"/>
              </w:rPr>
              <w:t>65</w:t>
            </w:r>
            <w:r>
              <w:rPr>
                <w:rFonts w:ascii="Calibri" w:hAnsi="Calibri" w:cs="Calibri"/>
                <w:color w:val="000000"/>
                <w:sz w:val="22"/>
                <w:szCs w:val="22"/>
              </w:rPr>
              <w:t>+</w:t>
            </w:r>
          </w:p>
        </w:tc>
        <w:tc>
          <w:tcPr>
            <w:tcW w:w="1743" w:type="dxa"/>
            <w:tcBorders>
              <w:top w:val="single" w:sz="4" w:space="0" w:color="A6A6A6" w:themeColor="background1" w:themeShade="A6"/>
              <w:bottom w:val="single" w:sz="4" w:space="0" w:color="A6A6A6" w:themeColor="background1" w:themeShade="A6"/>
            </w:tcBorders>
            <w:vAlign w:val="bottom"/>
          </w:tcPr>
          <w:p w14:paraId="0DEC3DBD" w14:textId="77777777" w:rsidR="00A42095" w:rsidRPr="00344776" w:rsidRDefault="00A42095" w:rsidP="00051D54">
            <w:pPr>
              <w:pStyle w:val="TableText"/>
              <w:rPr>
                <w:lang w:eastAsia="en-US"/>
              </w:rPr>
            </w:pPr>
            <w:r w:rsidRPr="00344776">
              <w:rPr>
                <w:rFonts w:ascii="Calibri" w:hAnsi="Calibri" w:cs="Calibri"/>
                <w:color w:val="000000"/>
                <w:sz w:val="22"/>
                <w:szCs w:val="22"/>
              </w:rPr>
              <w:t>39.6</w:t>
            </w:r>
          </w:p>
        </w:tc>
        <w:tc>
          <w:tcPr>
            <w:tcW w:w="1428" w:type="dxa"/>
            <w:tcBorders>
              <w:top w:val="single" w:sz="4" w:space="0" w:color="A6A6A6" w:themeColor="background1" w:themeShade="A6"/>
              <w:bottom w:val="single" w:sz="4" w:space="0" w:color="A6A6A6" w:themeColor="background1" w:themeShade="A6"/>
            </w:tcBorders>
          </w:tcPr>
          <w:p w14:paraId="3B092313" w14:textId="77777777" w:rsidR="00A42095" w:rsidRPr="00344776" w:rsidRDefault="00A42095" w:rsidP="00051D54">
            <w:pPr>
              <w:pStyle w:val="TableText"/>
              <w:rPr>
                <w:rFonts w:ascii="Calibri" w:hAnsi="Calibri" w:cs="Calibri"/>
                <w:color w:val="000000"/>
                <w:sz w:val="22"/>
                <w:szCs w:val="22"/>
              </w:rPr>
            </w:pPr>
            <w:r w:rsidRPr="00344776">
              <w:rPr>
                <w:rFonts w:ascii="Calibri" w:hAnsi="Calibri" w:cs="Calibri"/>
                <w:color w:val="000000"/>
                <w:sz w:val="22"/>
                <w:szCs w:val="22"/>
              </w:rPr>
              <w:t>29.5</w:t>
            </w:r>
          </w:p>
        </w:tc>
        <w:tc>
          <w:tcPr>
            <w:tcW w:w="1581" w:type="dxa"/>
            <w:tcBorders>
              <w:top w:val="single" w:sz="4" w:space="0" w:color="A6A6A6" w:themeColor="background1" w:themeShade="A6"/>
              <w:bottom w:val="single" w:sz="4" w:space="0" w:color="A6A6A6" w:themeColor="background1" w:themeShade="A6"/>
            </w:tcBorders>
            <w:vAlign w:val="bottom"/>
          </w:tcPr>
          <w:p w14:paraId="68935835" w14:textId="77777777" w:rsidR="00A42095" w:rsidRPr="00344776" w:rsidRDefault="00A42095" w:rsidP="00051D54">
            <w:pPr>
              <w:pStyle w:val="TableText"/>
              <w:rPr>
                <w:lang w:eastAsia="en-US"/>
              </w:rPr>
            </w:pPr>
            <w:r w:rsidRPr="00344776">
              <w:rPr>
                <w:rFonts w:ascii="Calibri" w:hAnsi="Calibri" w:cs="Calibri"/>
                <w:color w:val="000000"/>
                <w:sz w:val="22"/>
                <w:szCs w:val="22"/>
              </w:rPr>
              <w:t>31</w:t>
            </w:r>
          </w:p>
        </w:tc>
      </w:tr>
      <w:tr w:rsidR="00A42095" w:rsidRPr="00344776" w14:paraId="22F6435B" w14:textId="77777777" w:rsidTr="00FD1435">
        <w:tc>
          <w:tcPr>
            <w:tcW w:w="1911" w:type="dxa"/>
            <w:vMerge w:val="restart"/>
            <w:tcBorders>
              <w:top w:val="single" w:sz="4" w:space="0" w:color="A6A6A6" w:themeColor="background1" w:themeShade="A6"/>
            </w:tcBorders>
          </w:tcPr>
          <w:p w14:paraId="15090EA4" w14:textId="77777777" w:rsidR="00A42095" w:rsidRPr="00344776" w:rsidRDefault="00A42095" w:rsidP="00051D54">
            <w:pPr>
              <w:pStyle w:val="TableText"/>
              <w:rPr>
                <w:lang w:eastAsia="en-US"/>
              </w:rPr>
            </w:pPr>
            <w:r w:rsidRPr="00344776">
              <w:rPr>
                <w:lang w:eastAsia="en-US"/>
              </w:rPr>
              <w:t>Pacific peoples</w:t>
            </w:r>
          </w:p>
        </w:tc>
        <w:tc>
          <w:tcPr>
            <w:tcW w:w="1416" w:type="dxa"/>
            <w:tcBorders>
              <w:top w:val="single" w:sz="4" w:space="0" w:color="A6A6A6" w:themeColor="background1" w:themeShade="A6"/>
              <w:bottom w:val="single" w:sz="4" w:space="0" w:color="A6A6A6" w:themeColor="background1" w:themeShade="A6"/>
            </w:tcBorders>
            <w:vAlign w:val="bottom"/>
          </w:tcPr>
          <w:p w14:paraId="17836CF1" w14:textId="77777777" w:rsidR="00A42095" w:rsidRPr="00344776" w:rsidRDefault="00A42095" w:rsidP="00051D54">
            <w:pPr>
              <w:pStyle w:val="TableText"/>
              <w:rPr>
                <w:lang w:eastAsia="en-US"/>
              </w:rPr>
            </w:pPr>
            <w:r w:rsidRPr="00344776">
              <w:rPr>
                <w:rFonts w:ascii="Calibri" w:hAnsi="Calibri" w:cs="Calibri"/>
                <w:color w:val="000000"/>
                <w:sz w:val="22"/>
                <w:szCs w:val="22"/>
              </w:rPr>
              <w:t>0</w:t>
            </w:r>
            <w:r>
              <w:t>–</w:t>
            </w:r>
            <w:r w:rsidRPr="00344776">
              <w:rPr>
                <w:rFonts w:ascii="Calibri" w:hAnsi="Calibri" w:cs="Calibri"/>
                <w:color w:val="000000"/>
                <w:sz w:val="22"/>
                <w:szCs w:val="22"/>
              </w:rPr>
              <w:t>14</w:t>
            </w:r>
          </w:p>
        </w:tc>
        <w:tc>
          <w:tcPr>
            <w:tcW w:w="1743" w:type="dxa"/>
            <w:tcBorders>
              <w:top w:val="single" w:sz="4" w:space="0" w:color="A6A6A6" w:themeColor="background1" w:themeShade="A6"/>
              <w:bottom w:val="single" w:sz="4" w:space="0" w:color="A6A6A6" w:themeColor="background1" w:themeShade="A6"/>
            </w:tcBorders>
            <w:vAlign w:val="bottom"/>
          </w:tcPr>
          <w:p w14:paraId="27F71858" w14:textId="77777777" w:rsidR="00A42095" w:rsidRPr="00344776" w:rsidRDefault="00A42095" w:rsidP="00051D54">
            <w:pPr>
              <w:pStyle w:val="TableText"/>
              <w:rPr>
                <w:lang w:eastAsia="en-US"/>
              </w:rPr>
            </w:pPr>
            <w:r w:rsidRPr="00344776">
              <w:rPr>
                <w:rFonts w:ascii="Calibri" w:hAnsi="Calibri" w:cs="Calibri"/>
                <w:color w:val="000000"/>
                <w:sz w:val="22"/>
                <w:szCs w:val="22"/>
              </w:rPr>
              <w:t>97.4</w:t>
            </w:r>
          </w:p>
        </w:tc>
        <w:tc>
          <w:tcPr>
            <w:tcW w:w="1428" w:type="dxa"/>
            <w:tcBorders>
              <w:top w:val="single" w:sz="4" w:space="0" w:color="A6A6A6" w:themeColor="background1" w:themeShade="A6"/>
              <w:bottom w:val="single" w:sz="4" w:space="0" w:color="A6A6A6" w:themeColor="background1" w:themeShade="A6"/>
            </w:tcBorders>
            <w:vAlign w:val="bottom"/>
          </w:tcPr>
          <w:p w14:paraId="4D6DA3B0" w14:textId="77777777" w:rsidR="00A42095" w:rsidRPr="00344776" w:rsidRDefault="00A42095" w:rsidP="00051D54">
            <w:pPr>
              <w:pStyle w:val="TableText"/>
              <w:rPr>
                <w:rFonts w:ascii="Calibri" w:hAnsi="Calibri" w:cs="Calibri"/>
                <w:color w:val="000000"/>
                <w:sz w:val="22"/>
                <w:szCs w:val="22"/>
              </w:rPr>
            </w:pPr>
            <w:r w:rsidRPr="00344776">
              <w:rPr>
                <w:rFonts w:ascii="Calibri" w:hAnsi="Calibri" w:cs="Calibri"/>
                <w:color w:val="000000"/>
                <w:sz w:val="22"/>
                <w:szCs w:val="22"/>
              </w:rPr>
              <w:t>2.3</w:t>
            </w:r>
          </w:p>
        </w:tc>
        <w:tc>
          <w:tcPr>
            <w:tcW w:w="1581" w:type="dxa"/>
            <w:tcBorders>
              <w:top w:val="single" w:sz="4" w:space="0" w:color="A6A6A6" w:themeColor="background1" w:themeShade="A6"/>
              <w:bottom w:val="single" w:sz="4" w:space="0" w:color="A6A6A6" w:themeColor="background1" w:themeShade="A6"/>
            </w:tcBorders>
            <w:vAlign w:val="bottom"/>
          </w:tcPr>
          <w:p w14:paraId="022D67DD" w14:textId="77777777" w:rsidR="00A42095" w:rsidRPr="00344776" w:rsidRDefault="00A42095" w:rsidP="00051D54">
            <w:pPr>
              <w:pStyle w:val="TableText"/>
              <w:rPr>
                <w:lang w:eastAsia="en-US"/>
              </w:rPr>
            </w:pPr>
            <w:r w:rsidRPr="00344776">
              <w:rPr>
                <w:rFonts w:ascii="Calibri" w:hAnsi="Calibri" w:cs="Calibri"/>
                <w:color w:val="000000"/>
                <w:sz w:val="22"/>
                <w:szCs w:val="22"/>
              </w:rPr>
              <w:t>0.3</w:t>
            </w:r>
          </w:p>
        </w:tc>
      </w:tr>
      <w:tr w:rsidR="00A42095" w:rsidRPr="00344776" w14:paraId="5E90BB29" w14:textId="77777777" w:rsidTr="00FD1435">
        <w:tc>
          <w:tcPr>
            <w:tcW w:w="1911" w:type="dxa"/>
            <w:vMerge/>
          </w:tcPr>
          <w:p w14:paraId="5C82CB22" w14:textId="77777777" w:rsidR="00A42095" w:rsidRPr="00344776" w:rsidRDefault="00A42095" w:rsidP="00051D54">
            <w:pPr>
              <w:pStyle w:val="TableText"/>
              <w:rPr>
                <w:lang w:eastAsia="en-US"/>
              </w:rPr>
            </w:pPr>
          </w:p>
        </w:tc>
        <w:tc>
          <w:tcPr>
            <w:tcW w:w="1416" w:type="dxa"/>
            <w:tcBorders>
              <w:top w:val="single" w:sz="4" w:space="0" w:color="A6A6A6" w:themeColor="background1" w:themeShade="A6"/>
              <w:bottom w:val="single" w:sz="4" w:space="0" w:color="A6A6A6" w:themeColor="background1" w:themeShade="A6"/>
            </w:tcBorders>
            <w:vAlign w:val="bottom"/>
          </w:tcPr>
          <w:p w14:paraId="20B7B65D" w14:textId="77777777" w:rsidR="00A42095" w:rsidRPr="00344776" w:rsidRDefault="00A42095" w:rsidP="00051D54">
            <w:pPr>
              <w:pStyle w:val="TableText"/>
              <w:rPr>
                <w:lang w:eastAsia="en-US"/>
              </w:rPr>
            </w:pPr>
            <w:r w:rsidRPr="00344776">
              <w:rPr>
                <w:rFonts w:ascii="Calibri" w:hAnsi="Calibri" w:cs="Calibri"/>
                <w:color w:val="000000"/>
                <w:sz w:val="22"/>
                <w:szCs w:val="22"/>
              </w:rPr>
              <w:t>15</w:t>
            </w:r>
            <w:r>
              <w:t>–</w:t>
            </w:r>
            <w:r w:rsidRPr="00344776">
              <w:rPr>
                <w:rFonts w:ascii="Calibri" w:hAnsi="Calibri" w:cs="Calibri"/>
                <w:color w:val="000000"/>
                <w:sz w:val="22"/>
                <w:szCs w:val="22"/>
              </w:rPr>
              <w:t>64</w:t>
            </w:r>
          </w:p>
        </w:tc>
        <w:tc>
          <w:tcPr>
            <w:tcW w:w="1743" w:type="dxa"/>
            <w:tcBorders>
              <w:top w:val="single" w:sz="4" w:space="0" w:color="A6A6A6" w:themeColor="background1" w:themeShade="A6"/>
              <w:bottom w:val="single" w:sz="4" w:space="0" w:color="A6A6A6" w:themeColor="background1" w:themeShade="A6"/>
            </w:tcBorders>
            <w:vAlign w:val="bottom"/>
          </w:tcPr>
          <w:p w14:paraId="42DBCD8D" w14:textId="77777777" w:rsidR="00A42095" w:rsidRPr="00344776" w:rsidRDefault="00A42095" w:rsidP="00051D54">
            <w:pPr>
              <w:pStyle w:val="TableText"/>
              <w:rPr>
                <w:lang w:eastAsia="en-US"/>
              </w:rPr>
            </w:pPr>
            <w:r w:rsidRPr="00344776">
              <w:rPr>
                <w:rFonts w:ascii="Calibri" w:hAnsi="Calibri" w:cs="Calibri"/>
                <w:color w:val="000000"/>
                <w:sz w:val="22"/>
                <w:szCs w:val="22"/>
              </w:rPr>
              <w:t>81.0</w:t>
            </w:r>
          </w:p>
        </w:tc>
        <w:tc>
          <w:tcPr>
            <w:tcW w:w="1428" w:type="dxa"/>
            <w:tcBorders>
              <w:top w:val="single" w:sz="4" w:space="0" w:color="A6A6A6" w:themeColor="background1" w:themeShade="A6"/>
              <w:bottom w:val="single" w:sz="4" w:space="0" w:color="A6A6A6" w:themeColor="background1" w:themeShade="A6"/>
            </w:tcBorders>
          </w:tcPr>
          <w:p w14:paraId="056963CE" w14:textId="77777777" w:rsidR="00A42095" w:rsidRPr="00344776" w:rsidRDefault="00A42095" w:rsidP="00051D54">
            <w:pPr>
              <w:pStyle w:val="TableText"/>
              <w:rPr>
                <w:rFonts w:ascii="Calibri" w:hAnsi="Calibri" w:cs="Calibri"/>
                <w:color w:val="000000"/>
                <w:sz w:val="22"/>
                <w:szCs w:val="22"/>
              </w:rPr>
            </w:pPr>
            <w:r w:rsidRPr="00344776">
              <w:rPr>
                <w:rFonts w:ascii="Calibri" w:hAnsi="Calibri" w:cs="Calibri"/>
                <w:color w:val="000000"/>
                <w:sz w:val="22"/>
                <w:szCs w:val="22"/>
              </w:rPr>
              <w:t>13.8</w:t>
            </w:r>
          </w:p>
        </w:tc>
        <w:tc>
          <w:tcPr>
            <w:tcW w:w="1581" w:type="dxa"/>
            <w:tcBorders>
              <w:top w:val="single" w:sz="4" w:space="0" w:color="A6A6A6" w:themeColor="background1" w:themeShade="A6"/>
              <w:bottom w:val="single" w:sz="4" w:space="0" w:color="A6A6A6" w:themeColor="background1" w:themeShade="A6"/>
            </w:tcBorders>
            <w:vAlign w:val="bottom"/>
          </w:tcPr>
          <w:p w14:paraId="3726978D" w14:textId="77777777" w:rsidR="00A42095" w:rsidRPr="00344776" w:rsidRDefault="00A42095" w:rsidP="00051D54">
            <w:pPr>
              <w:pStyle w:val="TableText"/>
              <w:rPr>
                <w:lang w:eastAsia="en-US"/>
              </w:rPr>
            </w:pPr>
            <w:r w:rsidRPr="00344776">
              <w:t>5.2</w:t>
            </w:r>
          </w:p>
        </w:tc>
      </w:tr>
      <w:tr w:rsidR="00A42095" w:rsidRPr="00344776" w14:paraId="78B418C3" w14:textId="77777777" w:rsidTr="00FD1435">
        <w:tc>
          <w:tcPr>
            <w:tcW w:w="1911" w:type="dxa"/>
            <w:vMerge/>
            <w:tcBorders>
              <w:bottom w:val="single" w:sz="4" w:space="0" w:color="A6A6A6" w:themeColor="background1" w:themeShade="A6"/>
            </w:tcBorders>
          </w:tcPr>
          <w:p w14:paraId="716903E9" w14:textId="77777777" w:rsidR="00A42095" w:rsidRPr="00344776" w:rsidRDefault="00A42095" w:rsidP="00051D54">
            <w:pPr>
              <w:pStyle w:val="TableText"/>
              <w:rPr>
                <w:lang w:eastAsia="en-US"/>
              </w:rPr>
            </w:pPr>
          </w:p>
        </w:tc>
        <w:tc>
          <w:tcPr>
            <w:tcW w:w="1416" w:type="dxa"/>
            <w:tcBorders>
              <w:top w:val="single" w:sz="4" w:space="0" w:color="A6A6A6" w:themeColor="background1" w:themeShade="A6"/>
              <w:bottom w:val="single" w:sz="4" w:space="0" w:color="A6A6A6" w:themeColor="background1" w:themeShade="A6"/>
            </w:tcBorders>
            <w:vAlign w:val="bottom"/>
          </w:tcPr>
          <w:p w14:paraId="64C7F0B0" w14:textId="77777777" w:rsidR="00A42095" w:rsidRPr="00344776" w:rsidRDefault="00A42095" w:rsidP="00051D54">
            <w:pPr>
              <w:pStyle w:val="TableText"/>
              <w:rPr>
                <w:lang w:eastAsia="en-US"/>
              </w:rPr>
            </w:pPr>
            <w:r w:rsidRPr="00344776">
              <w:rPr>
                <w:rFonts w:ascii="Calibri" w:hAnsi="Calibri" w:cs="Calibri"/>
                <w:color w:val="000000"/>
                <w:sz w:val="22"/>
                <w:szCs w:val="22"/>
              </w:rPr>
              <w:t>65</w:t>
            </w:r>
            <w:r>
              <w:rPr>
                <w:rFonts w:ascii="Calibri" w:hAnsi="Calibri" w:cs="Calibri"/>
                <w:color w:val="000000"/>
                <w:sz w:val="22"/>
                <w:szCs w:val="22"/>
              </w:rPr>
              <w:t>+</w:t>
            </w:r>
          </w:p>
        </w:tc>
        <w:tc>
          <w:tcPr>
            <w:tcW w:w="1743" w:type="dxa"/>
            <w:tcBorders>
              <w:top w:val="single" w:sz="4" w:space="0" w:color="A6A6A6" w:themeColor="background1" w:themeShade="A6"/>
              <w:bottom w:val="single" w:sz="4" w:space="0" w:color="A6A6A6" w:themeColor="background1" w:themeShade="A6"/>
            </w:tcBorders>
            <w:vAlign w:val="bottom"/>
          </w:tcPr>
          <w:p w14:paraId="65697144" w14:textId="77777777" w:rsidR="00A42095" w:rsidRPr="00344776" w:rsidRDefault="00A42095" w:rsidP="00051D54">
            <w:pPr>
              <w:pStyle w:val="TableText"/>
              <w:rPr>
                <w:lang w:eastAsia="en-US"/>
              </w:rPr>
            </w:pPr>
            <w:r w:rsidRPr="00344776">
              <w:rPr>
                <w:rFonts w:ascii="Calibri" w:hAnsi="Calibri" w:cs="Calibri"/>
                <w:color w:val="000000"/>
                <w:sz w:val="22"/>
                <w:szCs w:val="22"/>
              </w:rPr>
              <w:t>33</w:t>
            </w:r>
          </w:p>
        </w:tc>
        <w:tc>
          <w:tcPr>
            <w:tcW w:w="1428" w:type="dxa"/>
            <w:tcBorders>
              <w:top w:val="single" w:sz="4" w:space="0" w:color="A6A6A6" w:themeColor="background1" w:themeShade="A6"/>
              <w:bottom w:val="single" w:sz="4" w:space="0" w:color="A6A6A6" w:themeColor="background1" w:themeShade="A6"/>
            </w:tcBorders>
          </w:tcPr>
          <w:p w14:paraId="192B3C09" w14:textId="77777777" w:rsidR="00A42095" w:rsidRPr="00344776" w:rsidRDefault="00A42095" w:rsidP="00051D54">
            <w:pPr>
              <w:pStyle w:val="TableText"/>
              <w:rPr>
                <w:rFonts w:ascii="Calibri" w:hAnsi="Calibri" w:cs="Calibri"/>
                <w:color w:val="000000"/>
                <w:sz w:val="22"/>
                <w:szCs w:val="22"/>
              </w:rPr>
            </w:pPr>
            <w:r w:rsidRPr="00344776">
              <w:rPr>
                <w:rFonts w:ascii="Calibri" w:hAnsi="Calibri" w:cs="Calibri"/>
                <w:color w:val="000000"/>
                <w:sz w:val="22"/>
                <w:szCs w:val="22"/>
              </w:rPr>
              <w:t>31.6</w:t>
            </w:r>
          </w:p>
        </w:tc>
        <w:tc>
          <w:tcPr>
            <w:tcW w:w="1581" w:type="dxa"/>
            <w:tcBorders>
              <w:top w:val="single" w:sz="4" w:space="0" w:color="A6A6A6" w:themeColor="background1" w:themeShade="A6"/>
              <w:bottom w:val="single" w:sz="4" w:space="0" w:color="A6A6A6" w:themeColor="background1" w:themeShade="A6"/>
            </w:tcBorders>
            <w:vAlign w:val="bottom"/>
          </w:tcPr>
          <w:p w14:paraId="2AAAE230" w14:textId="77777777" w:rsidR="00A42095" w:rsidRPr="00344776" w:rsidRDefault="00A42095" w:rsidP="00051D54">
            <w:pPr>
              <w:pStyle w:val="TableText"/>
              <w:rPr>
                <w:lang w:eastAsia="en-US"/>
              </w:rPr>
            </w:pPr>
            <w:r w:rsidRPr="00344776">
              <w:rPr>
                <w:rFonts w:ascii="Calibri" w:hAnsi="Calibri" w:cs="Calibri"/>
                <w:color w:val="000000"/>
                <w:sz w:val="22"/>
                <w:szCs w:val="22"/>
              </w:rPr>
              <w:t>35.3</w:t>
            </w:r>
          </w:p>
        </w:tc>
      </w:tr>
      <w:tr w:rsidR="00A42095" w:rsidRPr="00344776" w14:paraId="01AED9C2" w14:textId="77777777" w:rsidTr="00FD1435">
        <w:tc>
          <w:tcPr>
            <w:tcW w:w="1911" w:type="dxa"/>
            <w:vMerge w:val="restart"/>
            <w:tcBorders>
              <w:top w:val="single" w:sz="4" w:space="0" w:color="A6A6A6" w:themeColor="background1" w:themeShade="A6"/>
            </w:tcBorders>
          </w:tcPr>
          <w:p w14:paraId="3026DC10" w14:textId="77777777" w:rsidR="00A42095" w:rsidRPr="00344776" w:rsidRDefault="00A42095" w:rsidP="00051D54">
            <w:pPr>
              <w:pStyle w:val="TableText"/>
              <w:rPr>
                <w:lang w:eastAsia="en-US"/>
              </w:rPr>
            </w:pPr>
            <w:r w:rsidRPr="00344776">
              <w:rPr>
                <w:lang w:eastAsia="en-US"/>
              </w:rPr>
              <w:t>Asian</w:t>
            </w:r>
          </w:p>
        </w:tc>
        <w:tc>
          <w:tcPr>
            <w:tcW w:w="1416" w:type="dxa"/>
            <w:tcBorders>
              <w:top w:val="single" w:sz="4" w:space="0" w:color="A6A6A6" w:themeColor="background1" w:themeShade="A6"/>
              <w:bottom w:val="single" w:sz="4" w:space="0" w:color="A6A6A6" w:themeColor="background1" w:themeShade="A6"/>
            </w:tcBorders>
            <w:vAlign w:val="bottom"/>
          </w:tcPr>
          <w:p w14:paraId="5DD528F4" w14:textId="77777777" w:rsidR="00A42095" w:rsidRPr="00344776" w:rsidRDefault="00A42095" w:rsidP="00051D54">
            <w:pPr>
              <w:pStyle w:val="TableText"/>
              <w:rPr>
                <w:lang w:eastAsia="en-US"/>
              </w:rPr>
            </w:pPr>
            <w:r w:rsidRPr="00344776">
              <w:rPr>
                <w:rFonts w:ascii="Calibri" w:hAnsi="Calibri" w:cs="Calibri"/>
                <w:color w:val="000000"/>
                <w:sz w:val="22"/>
                <w:szCs w:val="22"/>
              </w:rPr>
              <w:t>0</w:t>
            </w:r>
            <w:r>
              <w:t>–</w:t>
            </w:r>
            <w:r w:rsidRPr="00344776">
              <w:rPr>
                <w:rFonts w:ascii="Calibri" w:hAnsi="Calibri" w:cs="Calibri"/>
                <w:color w:val="000000"/>
                <w:sz w:val="22"/>
                <w:szCs w:val="22"/>
              </w:rPr>
              <w:t>14</w:t>
            </w:r>
          </w:p>
        </w:tc>
        <w:tc>
          <w:tcPr>
            <w:tcW w:w="1743" w:type="dxa"/>
            <w:tcBorders>
              <w:top w:val="single" w:sz="4" w:space="0" w:color="A6A6A6" w:themeColor="background1" w:themeShade="A6"/>
              <w:bottom w:val="single" w:sz="4" w:space="0" w:color="A6A6A6" w:themeColor="background1" w:themeShade="A6"/>
            </w:tcBorders>
            <w:vAlign w:val="bottom"/>
          </w:tcPr>
          <w:p w14:paraId="5590FBFF" w14:textId="77777777" w:rsidR="00A42095" w:rsidRPr="00344776" w:rsidRDefault="00A42095" w:rsidP="00051D54">
            <w:pPr>
              <w:pStyle w:val="TableText"/>
              <w:rPr>
                <w:lang w:eastAsia="en-US"/>
              </w:rPr>
            </w:pPr>
            <w:r w:rsidRPr="00344776">
              <w:rPr>
                <w:rFonts w:ascii="Calibri" w:hAnsi="Calibri" w:cs="Calibri"/>
                <w:color w:val="000000"/>
                <w:sz w:val="22"/>
                <w:szCs w:val="22"/>
              </w:rPr>
              <w:t>98.5</w:t>
            </w:r>
          </w:p>
        </w:tc>
        <w:tc>
          <w:tcPr>
            <w:tcW w:w="1428" w:type="dxa"/>
            <w:tcBorders>
              <w:top w:val="single" w:sz="4" w:space="0" w:color="A6A6A6" w:themeColor="background1" w:themeShade="A6"/>
              <w:bottom w:val="single" w:sz="4" w:space="0" w:color="A6A6A6" w:themeColor="background1" w:themeShade="A6"/>
            </w:tcBorders>
          </w:tcPr>
          <w:p w14:paraId="362039EF" w14:textId="77777777" w:rsidR="00A42095" w:rsidRPr="00344776" w:rsidRDefault="00A42095" w:rsidP="00051D54">
            <w:pPr>
              <w:pStyle w:val="TableText"/>
              <w:rPr>
                <w:rFonts w:ascii="Calibri" w:hAnsi="Calibri" w:cs="Calibri"/>
                <w:color w:val="000000"/>
                <w:sz w:val="22"/>
                <w:szCs w:val="22"/>
              </w:rPr>
            </w:pPr>
            <w:r w:rsidRPr="00344776">
              <w:rPr>
                <w:rFonts w:ascii="Calibri" w:hAnsi="Calibri" w:cs="Calibri"/>
                <w:color w:val="000000"/>
                <w:sz w:val="22"/>
                <w:szCs w:val="22"/>
              </w:rPr>
              <w:t>1.4</w:t>
            </w:r>
          </w:p>
        </w:tc>
        <w:tc>
          <w:tcPr>
            <w:tcW w:w="1581" w:type="dxa"/>
            <w:tcBorders>
              <w:top w:val="single" w:sz="4" w:space="0" w:color="A6A6A6" w:themeColor="background1" w:themeShade="A6"/>
              <w:bottom w:val="single" w:sz="4" w:space="0" w:color="A6A6A6" w:themeColor="background1" w:themeShade="A6"/>
            </w:tcBorders>
            <w:vAlign w:val="bottom"/>
          </w:tcPr>
          <w:p w14:paraId="0D5B4691" w14:textId="77777777" w:rsidR="00A42095" w:rsidRPr="00344776" w:rsidRDefault="00A42095" w:rsidP="00051D54">
            <w:pPr>
              <w:pStyle w:val="TableText"/>
              <w:rPr>
                <w:lang w:eastAsia="en-US"/>
              </w:rPr>
            </w:pPr>
            <w:r w:rsidRPr="00344776">
              <w:rPr>
                <w:rFonts w:ascii="Calibri" w:hAnsi="Calibri" w:cs="Calibri"/>
                <w:color w:val="000000"/>
                <w:sz w:val="22"/>
                <w:szCs w:val="22"/>
              </w:rPr>
              <w:t>0.2</w:t>
            </w:r>
          </w:p>
        </w:tc>
      </w:tr>
      <w:tr w:rsidR="00A42095" w:rsidRPr="00344776" w14:paraId="5D3BCB40" w14:textId="77777777" w:rsidTr="00FD1435">
        <w:tc>
          <w:tcPr>
            <w:tcW w:w="1911" w:type="dxa"/>
            <w:vMerge/>
          </w:tcPr>
          <w:p w14:paraId="2BE499FB" w14:textId="77777777" w:rsidR="00A42095" w:rsidRPr="00344776" w:rsidRDefault="00A42095" w:rsidP="00051D54">
            <w:pPr>
              <w:pStyle w:val="TableText"/>
              <w:rPr>
                <w:lang w:eastAsia="en-US"/>
              </w:rPr>
            </w:pPr>
          </w:p>
        </w:tc>
        <w:tc>
          <w:tcPr>
            <w:tcW w:w="1416" w:type="dxa"/>
            <w:tcBorders>
              <w:top w:val="single" w:sz="4" w:space="0" w:color="A6A6A6" w:themeColor="background1" w:themeShade="A6"/>
              <w:bottom w:val="single" w:sz="4" w:space="0" w:color="A6A6A6" w:themeColor="background1" w:themeShade="A6"/>
            </w:tcBorders>
            <w:vAlign w:val="bottom"/>
          </w:tcPr>
          <w:p w14:paraId="7BF3F5FE" w14:textId="77777777" w:rsidR="00A42095" w:rsidRPr="00344776" w:rsidRDefault="00A42095" w:rsidP="00051D54">
            <w:pPr>
              <w:pStyle w:val="TableText"/>
              <w:rPr>
                <w:lang w:eastAsia="en-US"/>
              </w:rPr>
            </w:pPr>
            <w:r w:rsidRPr="00344776">
              <w:rPr>
                <w:rFonts w:ascii="Calibri" w:hAnsi="Calibri" w:cs="Calibri"/>
                <w:color w:val="000000"/>
                <w:sz w:val="22"/>
                <w:szCs w:val="22"/>
              </w:rPr>
              <w:t>15</w:t>
            </w:r>
            <w:r>
              <w:t>–</w:t>
            </w:r>
            <w:r w:rsidRPr="00344776">
              <w:rPr>
                <w:rFonts w:ascii="Calibri" w:hAnsi="Calibri" w:cs="Calibri"/>
                <w:color w:val="000000"/>
                <w:sz w:val="22"/>
                <w:szCs w:val="22"/>
              </w:rPr>
              <w:t>64</w:t>
            </w:r>
          </w:p>
        </w:tc>
        <w:tc>
          <w:tcPr>
            <w:tcW w:w="1743" w:type="dxa"/>
            <w:tcBorders>
              <w:top w:val="single" w:sz="4" w:space="0" w:color="A6A6A6" w:themeColor="background1" w:themeShade="A6"/>
              <w:bottom w:val="single" w:sz="4" w:space="0" w:color="A6A6A6" w:themeColor="background1" w:themeShade="A6"/>
            </w:tcBorders>
            <w:vAlign w:val="bottom"/>
          </w:tcPr>
          <w:p w14:paraId="593110E0" w14:textId="77777777" w:rsidR="00A42095" w:rsidRPr="00344776" w:rsidRDefault="00A42095" w:rsidP="00051D54">
            <w:pPr>
              <w:pStyle w:val="TableText"/>
              <w:rPr>
                <w:lang w:eastAsia="en-US"/>
              </w:rPr>
            </w:pPr>
            <w:r w:rsidRPr="00344776">
              <w:rPr>
                <w:rFonts w:ascii="Calibri" w:hAnsi="Calibri" w:cs="Calibri"/>
                <w:color w:val="000000"/>
                <w:sz w:val="22"/>
                <w:szCs w:val="22"/>
              </w:rPr>
              <w:t>91.7</w:t>
            </w:r>
          </w:p>
        </w:tc>
        <w:tc>
          <w:tcPr>
            <w:tcW w:w="1428" w:type="dxa"/>
            <w:tcBorders>
              <w:top w:val="single" w:sz="4" w:space="0" w:color="A6A6A6" w:themeColor="background1" w:themeShade="A6"/>
              <w:bottom w:val="single" w:sz="4" w:space="0" w:color="A6A6A6" w:themeColor="background1" w:themeShade="A6"/>
            </w:tcBorders>
          </w:tcPr>
          <w:p w14:paraId="4A61481A" w14:textId="77777777" w:rsidR="00A42095" w:rsidRPr="00344776" w:rsidRDefault="00A42095" w:rsidP="00051D54">
            <w:pPr>
              <w:pStyle w:val="TableText"/>
              <w:rPr>
                <w:rFonts w:ascii="Calibri" w:hAnsi="Calibri" w:cs="Calibri"/>
                <w:color w:val="000000"/>
                <w:sz w:val="22"/>
                <w:szCs w:val="22"/>
              </w:rPr>
            </w:pPr>
            <w:r w:rsidRPr="00344776">
              <w:rPr>
                <w:rFonts w:ascii="Calibri" w:hAnsi="Calibri" w:cs="Calibri"/>
                <w:color w:val="000000"/>
                <w:sz w:val="22"/>
                <w:szCs w:val="22"/>
              </w:rPr>
              <w:t>7.1</w:t>
            </w:r>
          </w:p>
        </w:tc>
        <w:tc>
          <w:tcPr>
            <w:tcW w:w="1581" w:type="dxa"/>
            <w:tcBorders>
              <w:top w:val="single" w:sz="4" w:space="0" w:color="A6A6A6" w:themeColor="background1" w:themeShade="A6"/>
              <w:bottom w:val="single" w:sz="4" w:space="0" w:color="A6A6A6" w:themeColor="background1" w:themeShade="A6"/>
            </w:tcBorders>
            <w:vAlign w:val="bottom"/>
          </w:tcPr>
          <w:p w14:paraId="1117E869" w14:textId="77777777" w:rsidR="00A42095" w:rsidRPr="00344776" w:rsidRDefault="00A42095" w:rsidP="00051D54">
            <w:pPr>
              <w:pStyle w:val="TableText"/>
              <w:rPr>
                <w:lang w:eastAsia="en-US"/>
              </w:rPr>
            </w:pPr>
            <w:r w:rsidRPr="00344776">
              <w:rPr>
                <w:rFonts w:ascii="Calibri" w:hAnsi="Calibri" w:cs="Calibri"/>
                <w:color w:val="000000"/>
                <w:sz w:val="22"/>
                <w:szCs w:val="22"/>
              </w:rPr>
              <w:t>1.2</w:t>
            </w:r>
          </w:p>
        </w:tc>
      </w:tr>
      <w:tr w:rsidR="00A42095" w:rsidRPr="00344776" w14:paraId="5CB3AF1C" w14:textId="77777777" w:rsidTr="00FD1435">
        <w:tc>
          <w:tcPr>
            <w:tcW w:w="1911" w:type="dxa"/>
            <w:vMerge/>
            <w:tcBorders>
              <w:bottom w:val="single" w:sz="4" w:space="0" w:color="A6A6A6" w:themeColor="background1" w:themeShade="A6"/>
            </w:tcBorders>
          </w:tcPr>
          <w:p w14:paraId="59F13E8D" w14:textId="77777777" w:rsidR="00A42095" w:rsidRPr="00344776" w:rsidRDefault="00A42095" w:rsidP="00051D54">
            <w:pPr>
              <w:pStyle w:val="TableText"/>
              <w:rPr>
                <w:lang w:eastAsia="en-US"/>
              </w:rPr>
            </w:pPr>
          </w:p>
        </w:tc>
        <w:tc>
          <w:tcPr>
            <w:tcW w:w="1416" w:type="dxa"/>
            <w:tcBorders>
              <w:top w:val="single" w:sz="4" w:space="0" w:color="A6A6A6" w:themeColor="background1" w:themeShade="A6"/>
              <w:bottom w:val="single" w:sz="4" w:space="0" w:color="A6A6A6" w:themeColor="background1" w:themeShade="A6"/>
            </w:tcBorders>
            <w:vAlign w:val="bottom"/>
          </w:tcPr>
          <w:p w14:paraId="16F97B12" w14:textId="77777777" w:rsidR="00A42095" w:rsidRPr="00344776" w:rsidRDefault="00A42095" w:rsidP="00051D54">
            <w:pPr>
              <w:pStyle w:val="TableText"/>
              <w:rPr>
                <w:lang w:eastAsia="en-US"/>
              </w:rPr>
            </w:pPr>
            <w:r w:rsidRPr="00344776">
              <w:rPr>
                <w:rFonts w:ascii="Calibri" w:hAnsi="Calibri" w:cs="Calibri"/>
                <w:color w:val="000000"/>
                <w:sz w:val="22"/>
                <w:szCs w:val="22"/>
              </w:rPr>
              <w:t>65</w:t>
            </w:r>
            <w:r>
              <w:rPr>
                <w:rFonts w:ascii="Calibri" w:hAnsi="Calibri" w:cs="Calibri"/>
                <w:color w:val="000000"/>
                <w:sz w:val="22"/>
                <w:szCs w:val="22"/>
              </w:rPr>
              <w:t>+</w:t>
            </w:r>
          </w:p>
        </w:tc>
        <w:tc>
          <w:tcPr>
            <w:tcW w:w="1743" w:type="dxa"/>
            <w:tcBorders>
              <w:top w:val="single" w:sz="4" w:space="0" w:color="A6A6A6" w:themeColor="background1" w:themeShade="A6"/>
              <w:bottom w:val="single" w:sz="4" w:space="0" w:color="A6A6A6" w:themeColor="background1" w:themeShade="A6"/>
            </w:tcBorders>
            <w:vAlign w:val="bottom"/>
          </w:tcPr>
          <w:p w14:paraId="7BF31ED4" w14:textId="77777777" w:rsidR="00A42095" w:rsidRPr="00344776" w:rsidRDefault="00A42095" w:rsidP="00051D54">
            <w:pPr>
              <w:pStyle w:val="TableText"/>
              <w:rPr>
                <w:lang w:eastAsia="en-US"/>
              </w:rPr>
            </w:pPr>
            <w:r w:rsidRPr="00344776">
              <w:rPr>
                <w:rFonts w:ascii="Calibri" w:hAnsi="Calibri" w:cs="Calibri"/>
                <w:color w:val="000000"/>
                <w:sz w:val="22"/>
                <w:szCs w:val="22"/>
              </w:rPr>
              <w:t>58.6</w:t>
            </w:r>
          </w:p>
        </w:tc>
        <w:tc>
          <w:tcPr>
            <w:tcW w:w="1428" w:type="dxa"/>
            <w:tcBorders>
              <w:top w:val="single" w:sz="4" w:space="0" w:color="A6A6A6" w:themeColor="background1" w:themeShade="A6"/>
              <w:bottom w:val="single" w:sz="4" w:space="0" w:color="A6A6A6" w:themeColor="background1" w:themeShade="A6"/>
            </w:tcBorders>
          </w:tcPr>
          <w:p w14:paraId="38F29B2F" w14:textId="77777777" w:rsidR="00A42095" w:rsidRPr="00344776" w:rsidRDefault="00A42095" w:rsidP="00051D54">
            <w:pPr>
              <w:pStyle w:val="TableText"/>
              <w:rPr>
                <w:rFonts w:ascii="Calibri" w:hAnsi="Calibri" w:cs="Calibri"/>
                <w:color w:val="000000"/>
                <w:sz w:val="22"/>
                <w:szCs w:val="22"/>
              </w:rPr>
            </w:pPr>
            <w:r w:rsidRPr="00344776">
              <w:rPr>
                <w:rFonts w:ascii="Calibri" w:hAnsi="Calibri" w:cs="Calibri"/>
                <w:color w:val="000000"/>
                <w:sz w:val="22"/>
                <w:szCs w:val="22"/>
              </w:rPr>
              <w:t>27.5</w:t>
            </w:r>
          </w:p>
        </w:tc>
        <w:tc>
          <w:tcPr>
            <w:tcW w:w="1581" w:type="dxa"/>
            <w:tcBorders>
              <w:top w:val="single" w:sz="4" w:space="0" w:color="A6A6A6" w:themeColor="background1" w:themeShade="A6"/>
              <w:bottom w:val="single" w:sz="4" w:space="0" w:color="A6A6A6" w:themeColor="background1" w:themeShade="A6"/>
            </w:tcBorders>
            <w:vAlign w:val="bottom"/>
          </w:tcPr>
          <w:p w14:paraId="4E3830C4" w14:textId="77777777" w:rsidR="00A42095" w:rsidRPr="00344776" w:rsidRDefault="00A42095" w:rsidP="00051D54">
            <w:pPr>
              <w:pStyle w:val="TableText"/>
              <w:rPr>
                <w:lang w:eastAsia="en-US"/>
              </w:rPr>
            </w:pPr>
            <w:r w:rsidRPr="00344776">
              <w:rPr>
                <w:rFonts w:ascii="Calibri" w:hAnsi="Calibri" w:cs="Calibri"/>
                <w:color w:val="000000"/>
                <w:sz w:val="22"/>
                <w:szCs w:val="22"/>
              </w:rPr>
              <w:t>13.9</w:t>
            </w:r>
          </w:p>
        </w:tc>
      </w:tr>
      <w:tr w:rsidR="00A42095" w:rsidRPr="00344776" w14:paraId="2FDE5121" w14:textId="77777777" w:rsidTr="00FD1435">
        <w:tc>
          <w:tcPr>
            <w:tcW w:w="1911" w:type="dxa"/>
            <w:vMerge w:val="restart"/>
            <w:tcBorders>
              <w:top w:val="single" w:sz="4" w:space="0" w:color="A6A6A6" w:themeColor="background1" w:themeShade="A6"/>
            </w:tcBorders>
          </w:tcPr>
          <w:p w14:paraId="7451B231" w14:textId="77777777" w:rsidR="00A42095" w:rsidRPr="00344776" w:rsidRDefault="00A42095" w:rsidP="00051D54">
            <w:pPr>
              <w:pStyle w:val="TableText"/>
              <w:rPr>
                <w:lang w:eastAsia="en-US"/>
              </w:rPr>
            </w:pPr>
            <w:r w:rsidRPr="00344776">
              <w:rPr>
                <w:lang w:eastAsia="en-US"/>
              </w:rPr>
              <w:t>European/other</w:t>
            </w:r>
          </w:p>
        </w:tc>
        <w:tc>
          <w:tcPr>
            <w:tcW w:w="1416" w:type="dxa"/>
            <w:tcBorders>
              <w:top w:val="single" w:sz="4" w:space="0" w:color="A6A6A6" w:themeColor="background1" w:themeShade="A6"/>
              <w:bottom w:val="single" w:sz="4" w:space="0" w:color="A6A6A6" w:themeColor="background1" w:themeShade="A6"/>
            </w:tcBorders>
            <w:vAlign w:val="bottom"/>
          </w:tcPr>
          <w:p w14:paraId="7D2DE6A7" w14:textId="77777777" w:rsidR="00A42095" w:rsidRPr="00344776" w:rsidRDefault="00A42095" w:rsidP="00051D54">
            <w:pPr>
              <w:pStyle w:val="TableText"/>
              <w:rPr>
                <w:lang w:eastAsia="en-US"/>
              </w:rPr>
            </w:pPr>
            <w:r w:rsidRPr="00344776">
              <w:rPr>
                <w:rFonts w:ascii="Calibri" w:hAnsi="Calibri" w:cs="Calibri"/>
                <w:color w:val="000000"/>
                <w:sz w:val="22"/>
                <w:szCs w:val="22"/>
              </w:rPr>
              <w:t>0</w:t>
            </w:r>
            <w:r>
              <w:t>–</w:t>
            </w:r>
            <w:r w:rsidRPr="00344776">
              <w:rPr>
                <w:rFonts w:ascii="Calibri" w:hAnsi="Calibri" w:cs="Calibri"/>
                <w:color w:val="000000"/>
                <w:sz w:val="22"/>
                <w:szCs w:val="22"/>
              </w:rPr>
              <w:t>14</w:t>
            </w:r>
          </w:p>
        </w:tc>
        <w:tc>
          <w:tcPr>
            <w:tcW w:w="1743" w:type="dxa"/>
            <w:tcBorders>
              <w:top w:val="single" w:sz="4" w:space="0" w:color="A6A6A6" w:themeColor="background1" w:themeShade="A6"/>
              <w:bottom w:val="single" w:sz="4" w:space="0" w:color="A6A6A6" w:themeColor="background1" w:themeShade="A6"/>
            </w:tcBorders>
            <w:vAlign w:val="bottom"/>
          </w:tcPr>
          <w:p w14:paraId="64F68163" w14:textId="77777777" w:rsidR="00A42095" w:rsidRPr="00344776" w:rsidRDefault="00A42095" w:rsidP="00051D54">
            <w:pPr>
              <w:pStyle w:val="TableText"/>
              <w:rPr>
                <w:lang w:eastAsia="en-US"/>
              </w:rPr>
            </w:pPr>
            <w:r w:rsidRPr="00344776">
              <w:rPr>
                <w:rFonts w:ascii="Calibri" w:hAnsi="Calibri" w:cs="Calibri"/>
                <w:color w:val="000000"/>
                <w:sz w:val="22"/>
                <w:szCs w:val="22"/>
              </w:rPr>
              <w:t>97.3</w:t>
            </w:r>
          </w:p>
        </w:tc>
        <w:tc>
          <w:tcPr>
            <w:tcW w:w="1428" w:type="dxa"/>
            <w:tcBorders>
              <w:top w:val="single" w:sz="4" w:space="0" w:color="A6A6A6" w:themeColor="background1" w:themeShade="A6"/>
              <w:bottom w:val="single" w:sz="4" w:space="0" w:color="A6A6A6" w:themeColor="background1" w:themeShade="A6"/>
            </w:tcBorders>
          </w:tcPr>
          <w:p w14:paraId="5FCEA262" w14:textId="77777777" w:rsidR="00A42095" w:rsidRPr="00344776" w:rsidRDefault="00A42095" w:rsidP="00051D54">
            <w:pPr>
              <w:pStyle w:val="TableText"/>
              <w:rPr>
                <w:rFonts w:ascii="Calibri" w:hAnsi="Calibri" w:cs="Calibri"/>
                <w:color w:val="000000"/>
                <w:sz w:val="22"/>
                <w:szCs w:val="22"/>
              </w:rPr>
            </w:pPr>
            <w:r w:rsidRPr="00344776">
              <w:rPr>
                <w:rFonts w:ascii="Calibri" w:hAnsi="Calibri" w:cs="Calibri"/>
                <w:color w:val="000000"/>
                <w:sz w:val="22"/>
                <w:szCs w:val="22"/>
              </w:rPr>
              <w:t>2.5</w:t>
            </w:r>
          </w:p>
        </w:tc>
        <w:tc>
          <w:tcPr>
            <w:tcW w:w="1581" w:type="dxa"/>
            <w:tcBorders>
              <w:top w:val="single" w:sz="4" w:space="0" w:color="A6A6A6" w:themeColor="background1" w:themeShade="A6"/>
              <w:bottom w:val="single" w:sz="4" w:space="0" w:color="A6A6A6" w:themeColor="background1" w:themeShade="A6"/>
            </w:tcBorders>
            <w:vAlign w:val="bottom"/>
          </w:tcPr>
          <w:p w14:paraId="15386744" w14:textId="77777777" w:rsidR="00A42095" w:rsidRPr="00344776" w:rsidRDefault="00A42095" w:rsidP="00051D54">
            <w:pPr>
              <w:pStyle w:val="TableText"/>
              <w:rPr>
                <w:lang w:eastAsia="en-US"/>
              </w:rPr>
            </w:pPr>
            <w:r w:rsidRPr="00344776">
              <w:rPr>
                <w:rFonts w:ascii="Calibri" w:hAnsi="Calibri" w:cs="Calibri"/>
                <w:color w:val="000000"/>
                <w:sz w:val="22"/>
                <w:szCs w:val="22"/>
              </w:rPr>
              <w:t>0.2</w:t>
            </w:r>
          </w:p>
        </w:tc>
      </w:tr>
      <w:tr w:rsidR="00A42095" w:rsidRPr="00344776" w14:paraId="472BF7F5" w14:textId="77777777" w:rsidTr="00FD1435">
        <w:tc>
          <w:tcPr>
            <w:tcW w:w="1911" w:type="dxa"/>
            <w:vMerge/>
          </w:tcPr>
          <w:p w14:paraId="7EDB2604" w14:textId="77777777" w:rsidR="00A42095" w:rsidRPr="00344776" w:rsidRDefault="00A42095" w:rsidP="00051D54">
            <w:pPr>
              <w:pStyle w:val="TableText"/>
              <w:rPr>
                <w:lang w:eastAsia="en-US"/>
              </w:rPr>
            </w:pPr>
          </w:p>
        </w:tc>
        <w:tc>
          <w:tcPr>
            <w:tcW w:w="1416" w:type="dxa"/>
            <w:tcBorders>
              <w:top w:val="single" w:sz="4" w:space="0" w:color="A6A6A6" w:themeColor="background1" w:themeShade="A6"/>
              <w:bottom w:val="single" w:sz="4" w:space="0" w:color="A6A6A6" w:themeColor="background1" w:themeShade="A6"/>
            </w:tcBorders>
            <w:vAlign w:val="bottom"/>
          </w:tcPr>
          <w:p w14:paraId="384E6F26" w14:textId="77777777" w:rsidR="00A42095" w:rsidRPr="00344776" w:rsidRDefault="00A42095" w:rsidP="00051D54">
            <w:pPr>
              <w:pStyle w:val="TableText"/>
              <w:rPr>
                <w:lang w:eastAsia="en-US"/>
              </w:rPr>
            </w:pPr>
            <w:r w:rsidRPr="00344776">
              <w:rPr>
                <w:rFonts w:ascii="Calibri" w:hAnsi="Calibri" w:cs="Calibri"/>
                <w:color w:val="000000"/>
                <w:sz w:val="22"/>
                <w:szCs w:val="22"/>
              </w:rPr>
              <w:t>15</w:t>
            </w:r>
            <w:r>
              <w:t>–</w:t>
            </w:r>
            <w:r w:rsidRPr="00344776">
              <w:rPr>
                <w:rFonts w:ascii="Calibri" w:hAnsi="Calibri" w:cs="Calibri"/>
                <w:color w:val="000000"/>
                <w:sz w:val="22"/>
                <w:szCs w:val="22"/>
              </w:rPr>
              <w:t>64</w:t>
            </w:r>
          </w:p>
        </w:tc>
        <w:tc>
          <w:tcPr>
            <w:tcW w:w="1743" w:type="dxa"/>
            <w:tcBorders>
              <w:top w:val="single" w:sz="4" w:space="0" w:color="A6A6A6" w:themeColor="background1" w:themeShade="A6"/>
              <w:bottom w:val="single" w:sz="4" w:space="0" w:color="A6A6A6" w:themeColor="background1" w:themeShade="A6"/>
            </w:tcBorders>
            <w:vAlign w:val="bottom"/>
          </w:tcPr>
          <w:p w14:paraId="340ADCD9" w14:textId="77777777" w:rsidR="00A42095" w:rsidRPr="00344776" w:rsidRDefault="00A42095" w:rsidP="00051D54">
            <w:pPr>
              <w:pStyle w:val="TableText"/>
              <w:rPr>
                <w:lang w:eastAsia="en-US"/>
              </w:rPr>
            </w:pPr>
            <w:r w:rsidRPr="00344776">
              <w:rPr>
                <w:rFonts w:ascii="Calibri" w:hAnsi="Calibri" w:cs="Calibri"/>
                <w:color w:val="000000"/>
                <w:sz w:val="22"/>
                <w:szCs w:val="22"/>
              </w:rPr>
              <w:t>91.3</w:t>
            </w:r>
          </w:p>
        </w:tc>
        <w:tc>
          <w:tcPr>
            <w:tcW w:w="1428" w:type="dxa"/>
            <w:tcBorders>
              <w:top w:val="single" w:sz="4" w:space="0" w:color="A6A6A6" w:themeColor="background1" w:themeShade="A6"/>
              <w:bottom w:val="single" w:sz="4" w:space="0" w:color="A6A6A6" w:themeColor="background1" w:themeShade="A6"/>
            </w:tcBorders>
          </w:tcPr>
          <w:p w14:paraId="1FC734B8" w14:textId="77777777" w:rsidR="00A42095" w:rsidRPr="00344776" w:rsidRDefault="00A42095" w:rsidP="00051D54">
            <w:pPr>
              <w:pStyle w:val="TableText"/>
              <w:rPr>
                <w:rFonts w:ascii="Calibri" w:hAnsi="Calibri" w:cs="Calibri"/>
                <w:color w:val="000000"/>
                <w:sz w:val="22"/>
                <w:szCs w:val="22"/>
              </w:rPr>
            </w:pPr>
            <w:r w:rsidRPr="00344776">
              <w:rPr>
                <w:rFonts w:ascii="Calibri" w:hAnsi="Calibri" w:cs="Calibri"/>
                <w:color w:val="000000"/>
                <w:sz w:val="22"/>
                <w:szCs w:val="22"/>
              </w:rPr>
              <w:t>7.1</w:t>
            </w:r>
          </w:p>
        </w:tc>
        <w:tc>
          <w:tcPr>
            <w:tcW w:w="1581" w:type="dxa"/>
            <w:tcBorders>
              <w:top w:val="single" w:sz="4" w:space="0" w:color="A6A6A6" w:themeColor="background1" w:themeShade="A6"/>
              <w:bottom w:val="single" w:sz="4" w:space="0" w:color="A6A6A6" w:themeColor="background1" w:themeShade="A6"/>
            </w:tcBorders>
            <w:vAlign w:val="bottom"/>
          </w:tcPr>
          <w:p w14:paraId="383E400D" w14:textId="77777777" w:rsidR="00A42095" w:rsidRPr="00344776" w:rsidRDefault="00A42095" w:rsidP="00051D54">
            <w:pPr>
              <w:pStyle w:val="TableText"/>
              <w:rPr>
                <w:lang w:eastAsia="en-US"/>
              </w:rPr>
            </w:pPr>
            <w:r w:rsidRPr="00344776">
              <w:t>1.6</w:t>
            </w:r>
          </w:p>
        </w:tc>
      </w:tr>
      <w:tr w:rsidR="00A42095" w:rsidRPr="00344776" w14:paraId="6DB9E220" w14:textId="77777777" w:rsidTr="00FD1435">
        <w:tc>
          <w:tcPr>
            <w:tcW w:w="1911" w:type="dxa"/>
            <w:vMerge/>
            <w:tcBorders>
              <w:bottom w:val="single" w:sz="4" w:space="0" w:color="A6A6A6" w:themeColor="background1" w:themeShade="A6"/>
            </w:tcBorders>
          </w:tcPr>
          <w:p w14:paraId="7CD4458C" w14:textId="77777777" w:rsidR="00A42095" w:rsidRPr="00344776" w:rsidRDefault="00A42095" w:rsidP="00051D54">
            <w:pPr>
              <w:pStyle w:val="TableText"/>
              <w:rPr>
                <w:lang w:eastAsia="en-US"/>
              </w:rPr>
            </w:pPr>
          </w:p>
        </w:tc>
        <w:tc>
          <w:tcPr>
            <w:tcW w:w="1416" w:type="dxa"/>
            <w:tcBorders>
              <w:top w:val="single" w:sz="4" w:space="0" w:color="A6A6A6" w:themeColor="background1" w:themeShade="A6"/>
              <w:bottom w:val="single" w:sz="4" w:space="0" w:color="A6A6A6" w:themeColor="background1" w:themeShade="A6"/>
            </w:tcBorders>
            <w:vAlign w:val="bottom"/>
          </w:tcPr>
          <w:p w14:paraId="767CFA00" w14:textId="77777777" w:rsidR="00A42095" w:rsidRPr="00344776" w:rsidRDefault="00A42095" w:rsidP="00051D54">
            <w:pPr>
              <w:pStyle w:val="TableText"/>
              <w:rPr>
                <w:lang w:eastAsia="en-US"/>
              </w:rPr>
            </w:pPr>
            <w:r w:rsidRPr="00344776">
              <w:rPr>
                <w:rFonts w:ascii="Calibri" w:hAnsi="Calibri" w:cs="Calibri"/>
                <w:color w:val="000000"/>
                <w:sz w:val="22"/>
                <w:szCs w:val="22"/>
              </w:rPr>
              <w:t>65</w:t>
            </w:r>
            <w:r>
              <w:rPr>
                <w:rFonts w:ascii="Calibri" w:hAnsi="Calibri" w:cs="Calibri"/>
                <w:color w:val="000000"/>
                <w:sz w:val="22"/>
                <w:szCs w:val="22"/>
              </w:rPr>
              <w:t>+</w:t>
            </w:r>
          </w:p>
        </w:tc>
        <w:tc>
          <w:tcPr>
            <w:tcW w:w="1743" w:type="dxa"/>
            <w:tcBorders>
              <w:top w:val="single" w:sz="4" w:space="0" w:color="A6A6A6" w:themeColor="background1" w:themeShade="A6"/>
              <w:bottom w:val="single" w:sz="4" w:space="0" w:color="A6A6A6" w:themeColor="background1" w:themeShade="A6"/>
            </w:tcBorders>
            <w:vAlign w:val="bottom"/>
          </w:tcPr>
          <w:p w14:paraId="338FD2CE" w14:textId="77777777" w:rsidR="00A42095" w:rsidRPr="00344776" w:rsidRDefault="00A42095" w:rsidP="00051D54">
            <w:pPr>
              <w:pStyle w:val="TableText"/>
              <w:rPr>
                <w:lang w:eastAsia="en-US"/>
              </w:rPr>
            </w:pPr>
            <w:r w:rsidRPr="00344776">
              <w:t>58.7</w:t>
            </w:r>
          </w:p>
        </w:tc>
        <w:tc>
          <w:tcPr>
            <w:tcW w:w="1428" w:type="dxa"/>
            <w:tcBorders>
              <w:top w:val="single" w:sz="4" w:space="0" w:color="A6A6A6" w:themeColor="background1" w:themeShade="A6"/>
              <w:bottom w:val="single" w:sz="4" w:space="0" w:color="A6A6A6" w:themeColor="background1" w:themeShade="A6"/>
            </w:tcBorders>
          </w:tcPr>
          <w:p w14:paraId="2F96E59B" w14:textId="77777777" w:rsidR="00A42095" w:rsidRPr="00344776" w:rsidRDefault="00A42095" w:rsidP="00051D54">
            <w:pPr>
              <w:pStyle w:val="TableText"/>
              <w:rPr>
                <w:rFonts w:ascii="Calibri" w:hAnsi="Calibri" w:cs="Calibri"/>
                <w:color w:val="000000"/>
                <w:sz w:val="22"/>
                <w:szCs w:val="22"/>
              </w:rPr>
            </w:pPr>
            <w:r w:rsidRPr="00344776">
              <w:rPr>
                <w:rFonts w:ascii="Calibri" w:hAnsi="Calibri" w:cs="Calibri"/>
                <w:color w:val="000000"/>
                <w:sz w:val="22"/>
                <w:szCs w:val="22"/>
              </w:rPr>
              <w:t>26.1</w:t>
            </w:r>
          </w:p>
        </w:tc>
        <w:tc>
          <w:tcPr>
            <w:tcW w:w="1581" w:type="dxa"/>
            <w:tcBorders>
              <w:top w:val="single" w:sz="4" w:space="0" w:color="A6A6A6" w:themeColor="background1" w:themeShade="A6"/>
              <w:bottom w:val="single" w:sz="4" w:space="0" w:color="A6A6A6" w:themeColor="background1" w:themeShade="A6"/>
            </w:tcBorders>
            <w:vAlign w:val="bottom"/>
          </w:tcPr>
          <w:p w14:paraId="4AF32AB3" w14:textId="77777777" w:rsidR="00A42095" w:rsidRPr="00344776" w:rsidRDefault="00A42095" w:rsidP="00051D54">
            <w:pPr>
              <w:pStyle w:val="TableText"/>
              <w:rPr>
                <w:lang w:eastAsia="en-US"/>
              </w:rPr>
            </w:pPr>
            <w:r w:rsidRPr="00344776">
              <w:rPr>
                <w:rFonts w:ascii="Calibri" w:hAnsi="Calibri" w:cs="Calibri"/>
                <w:color w:val="000000"/>
                <w:sz w:val="22"/>
                <w:szCs w:val="22"/>
              </w:rPr>
              <w:t>15.2</w:t>
            </w:r>
          </w:p>
        </w:tc>
      </w:tr>
    </w:tbl>
    <w:p w14:paraId="30EB4ACA" w14:textId="5956867F" w:rsidR="008B5E7A" w:rsidRDefault="00924A79" w:rsidP="008B5E7A">
      <w:pPr>
        <w:pStyle w:val="Source"/>
      </w:pPr>
      <w:r w:rsidRPr="00344776">
        <w:t>Source: Ministry of Health unpublished data (2022)</w:t>
      </w:r>
    </w:p>
    <w:p w14:paraId="55B91377" w14:textId="1523E687" w:rsidR="00924A79" w:rsidRPr="00344776" w:rsidRDefault="00924A79" w:rsidP="00924A79">
      <w:pPr>
        <w:pStyle w:val="Heading3"/>
      </w:pPr>
      <w:r w:rsidRPr="00344776">
        <w:t>Common combinations of long-term conditions</w:t>
      </w:r>
    </w:p>
    <w:p w14:paraId="382C9F36" w14:textId="77777777" w:rsidR="00924A79" w:rsidRPr="00344776" w:rsidRDefault="00924A79" w:rsidP="00924A79">
      <w:pPr>
        <w:pStyle w:val="Heading4"/>
      </w:pPr>
      <w:r w:rsidRPr="00344776">
        <w:t>Diabetes</w:t>
      </w:r>
    </w:p>
    <w:p w14:paraId="6BE22103" w14:textId="77777777" w:rsidR="00590B82" w:rsidRPr="00344776" w:rsidRDefault="00590B82" w:rsidP="00590B82">
      <w:r w:rsidRPr="00344776">
        <w:t>Diabetes is the most common long-term condition in New Zealand, with an overall prevalence of 5.5%. The distribution changes by ethnic group and age. The prevalence of diabetes in the population appears to decrease in the population aged 80 years and over. The median age of people who have diabetes is oldest for the European/other ethnic group</w:t>
      </w:r>
      <w:r>
        <w:t>,</w:t>
      </w:r>
      <w:r w:rsidRPr="00344776">
        <w:t xml:space="preserve"> at 66 years, and younger for Pacific peoples (57 years), Indian </w:t>
      </w:r>
      <w:r>
        <w:t xml:space="preserve">people </w:t>
      </w:r>
      <w:r w:rsidRPr="00344776">
        <w:t>(58 years) and Māori (58 years).</w:t>
      </w:r>
    </w:p>
    <w:p w14:paraId="5D19632E" w14:textId="77777777" w:rsidR="00590B82" w:rsidRPr="00344776" w:rsidRDefault="00590B82" w:rsidP="00590B82"/>
    <w:p w14:paraId="31FEB58D" w14:textId="77777777" w:rsidR="00590B82" w:rsidRPr="00344776" w:rsidRDefault="00590B82" w:rsidP="00590B82">
      <w:r w:rsidRPr="00344776">
        <w:t>The distribution of diabetes varies considerably within the Asian ethnic group</w:t>
      </w:r>
      <w:r>
        <w:t>;</w:t>
      </w:r>
      <w:r w:rsidRPr="00344776" w:rsidDel="00E33315">
        <w:t xml:space="preserve"> </w:t>
      </w:r>
      <w:r w:rsidRPr="00344776">
        <w:t xml:space="preserve">prevalence is highest in the Indian population. </w:t>
      </w:r>
      <w:r>
        <w:t>T</w:t>
      </w:r>
      <w:r w:rsidRPr="00344776">
        <w:t xml:space="preserve">he following data and graphs </w:t>
      </w:r>
      <w:r>
        <w:t xml:space="preserve">therefore </w:t>
      </w:r>
      <w:r w:rsidRPr="00344776">
        <w:t>separate the Indian subgroup and combine the rest of the Asian ethnic group under European/other.</w:t>
      </w:r>
    </w:p>
    <w:p w14:paraId="12656B0D" w14:textId="77777777" w:rsidR="00B51E1F" w:rsidRDefault="00B51E1F" w:rsidP="0006271C">
      <w:pPr>
        <w:pStyle w:val="Caption"/>
      </w:pPr>
      <w:bookmarkStart w:id="178" w:name="_Toc118446251"/>
      <w:bookmarkStart w:id="179" w:name="_Toc118730688"/>
    </w:p>
    <w:p w14:paraId="3138396D" w14:textId="77777777" w:rsidR="008B5E7A" w:rsidRDefault="008B5E7A">
      <w:pPr>
        <w:rPr>
          <w:b/>
          <w:iCs/>
          <w:sz w:val="20"/>
          <w:szCs w:val="18"/>
        </w:rPr>
      </w:pPr>
      <w:r>
        <w:br w:type="page"/>
      </w:r>
    </w:p>
    <w:p w14:paraId="1D909DE6" w14:textId="051DA682" w:rsidR="006659D5" w:rsidRPr="00344776" w:rsidRDefault="006659D5" w:rsidP="0006271C">
      <w:pPr>
        <w:pStyle w:val="Caption"/>
      </w:pPr>
      <w:bookmarkStart w:id="180" w:name="_Toc119047781"/>
      <w:r w:rsidRPr="00344776">
        <w:lastRenderedPageBreak/>
        <w:t xml:space="preserve">Figure </w:t>
      </w:r>
      <w:r w:rsidRPr="00344776">
        <w:fldChar w:fldCharType="begin"/>
      </w:r>
      <w:r w:rsidRPr="00344776">
        <w:instrText>SEQ Figure \* ARABIC</w:instrText>
      </w:r>
      <w:r w:rsidRPr="00344776">
        <w:fldChar w:fldCharType="separate"/>
      </w:r>
      <w:r w:rsidR="00F61845">
        <w:rPr>
          <w:noProof/>
        </w:rPr>
        <w:t>37</w:t>
      </w:r>
      <w:r w:rsidRPr="00344776">
        <w:fldChar w:fldCharType="end"/>
      </w:r>
      <w:r w:rsidRPr="00344776">
        <w:t>: Proportion of population with diabetes, by ethnic group and age, 2020</w:t>
      </w:r>
      <w:bookmarkEnd w:id="178"/>
      <w:bookmarkEnd w:id="179"/>
      <w:bookmarkEnd w:id="180"/>
    </w:p>
    <w:p w14:paraId="50064616" w14:textId="77777777" w:rsidR="006659D5" w:rsidRPr="00344776" w:rsidRDefault="006659D5" w:rsidP="006659D5">
      <w:r w:rsidRPr="00344776">
        <w:rPr>
          <w:noProof/>
        </w:rPr>
        <w:drawing>
          <wp:inline distT="0" distB="0" distL="0" distR="0" wp14:anchorId="61E51F08" wp14:editId="2DE455F7">
            <wp:extent cx="5398109" cy="3238500"/>
            <wp:effectExtent l="0" t="0" r="0" b="0"/>
            <wp:docPr id="21" name="Picture 21" descr="A series of 4 line charts showing the percentage of people with diabetes. There is one chart for each of the following ethnic groups: Māori, Pacific Peoples, Indian, and European/other. For all ethnic groups, the proportion of people with diabetes generally increased with age but decreased slightly for very old people - beyond about 75 years old. Compared to the European/other ethnic group, Indian, Pacific peoples, and Māori had higher proportions of their populations with diabetes, and a higher percentage of people with diabetes at younger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eries of 4 line charts showing the percentage of people with diabetes. There is one chart for each of the following ethnic groups: Māori, Pacific Peoples, Indian, and European/other. For all ethnic groups, the proportion of people with diabetes generally increased with age but decreased slightly for very old people - beyond about 75 years old. Compared to the European/other ethnic group, Indian, Pacific peoples, and Māori had higher proportions of their populations with diabetes, and a higher percentage of people with diabetes at younger ages."/>
                    <pic:cNvPicPr>
                      <a:picLocks noChangeAspect="1" noChangeArrowheads="1"/>
                    </pic:cNvPicPr>
                  </pic:nvPicPr>
                  <pic:blipFill>
                    <a:blip r:embed="rId101"/>
                    <a:stretch>
                      <a:fillRect/>
                    </a:stretch>
                  </pic:blipFill>
                  <pic:spPr bwMode="auto">
                    <a:xfrm>
                      <a:off x="0" y="0"/>
                      <a:ext cx="5398109" cy="3238500"/>
                    </a:xfrm>
                    <a:prstGeom prst="rect">
                      <a:avLst/>
                    </a:prstGeom>
                    <a:noFill/>
                    <a:ln>
                      <a:noFill/>
                    </a:ln>
                  </pic:spPr>
                </pic:pic>
              </a:graphicData>
            </a:graphic>
          </wp:inline>
        </w:drawing>
      </w:r>
    </w:p>
    <w:p w14:paraId="095EFECF" w14:textId="77777777" w:rsidR="006659D5" w:rsidRPr="00344776" w:rsidRDefault="006659D5" w:rsidP="00590B82">
      <w:pPr>
        <w:pStyle w:val="Source"/>
      </w:pPr>
      <w:r w:rsidRPr="00344776">
        <w:t>Source: Ministry of Health unpublished data (2022)</w:t>
      </w:r>
    </w:p>
    <w:p w14:paraId="1C6200A0" w14:textId="77777777" w:rsidR="006659D5" w:rsidRPr="00344776" w:rsidRDefault="006659D5" w:rsidP="006659D5"/>
    <w:p w14:paraId="65F39643" w14:textId="77777777" w:rsidR="00590B82" w:rsidRPr="00344776" w:rsidRDefault="00590B82" w:rsidP="00590B82">
      <w:r w:rsidRPr="00344776">
        <w:t xml:space="preserve">Over one in </w:t>
      </w:r>
      <w:r>
        <w:t>10</w:t>
      </w:r>
      <w:r w:rsidRPr="00344776">
        <w:t xml:space="preserve"> working</w:t>
      </w:r>
      <w:r>
        <w:t>-</w:t>
      </w:r>
      <w:r w:rsidRPr="00344776">
        <w:t>age Pacific peoples have diabetes (11%). This is more than 3.6 times the level of prevalence in the working</w:t>
      </w:r>
      <w:r>
        <w:t>-</w:t>
      </w:r>
      <w:r w:rsidRPr="00344776">
        <w:t>age group for the European/other ethnic group (3.3%).</w:t>
      </w:r>
    </w:p>
    <w:p w14:paraId="4CD86FF7" w14:textId="77777777" w:rsidR="00590B82" w:rsidRPr="00344776" w:rsidRDefault="00590B82" w:rsidP="00590B82"/>
    <w:p w14:paraId="55DEBBCE" w14:textId="1CCD3CEA" w:rsidR="00590B82" w:rsidRPr="00344776" w:rsidRDefault="00590B82" w:rsidP="00590B82">
      <w:r w:rsidRPr="00344776">
        <w:t>The most common comorbidity of all those who have diabetes is cardiovascular disease</w:t>
      </w:r>
      <w:r>
        <w:t>,</w:t>
      </w:r>
      <w:r w:rsidRPr="00344776">
        <w:t xml:space="preserve"> at 22.3%, followed by gout at 13.8% and chronic kidney disease at 9.3%. </w:t>
      </w:r>
      <w:r w:rsidR="003C3B78">
        <w:t>The increased prevalence of these conditions is because the risk factors for developing</w:t>
      </w:r>
      <w:r w:rsidR="00441F85">
        <w:t xml:space="preserve"> a </w:t>
      </w:r>
      <w:r w:rsidR="00DE71F9">
        <w:t>cardiovascular disease are similar</w:t>
      </w:r>
      <w:r w:rsidR="002F2CEC">
        <w:t xml:space="preserve"> to diabetes, and diabetes itself is a risk factor for developing a heart or kidney disease or having a stroke </w:t>
      </w:r>
      <w:r w:rsidR="002F2CEC" w:rsidRPr="00344776">
        <w:fldChar w:fldCharType="begin"/>
      </w:r>
      <w:r w:rsidR="002F2CEC">
        <w:instrText xml:space="preserve"> ADDIN EN.CITE &lt;EndNote&gt;&lt;Cite&gt;&lt;Author&gt;Heart Research Institute NZ&lt;/Author&gt;&lt;Year&gt;2021&lt;/Year&gt;&lt;RecNum&gt;153&lt;/RecNum&gt;&lt;DisplayText&gt;(Heart Research Institute NZ 2021)&lt;/DisplayText&gt;&lt;record&gt;&lt;rec-number&gt;153&lt;/rec-number&gt;&lt;foreign-keys&gt;&lt;key app="EN" db-id="aaepvppzs5wtfse95vsp2wahsrtvva2vvdet" timestamp="1641778400"&gt;153&lt;/key&gt;&lt;/foreign-keys&gt;&lt;ref-type name="Web Page"&gt;12&lt;/ref-type&gt;&lt;contributors&gt;&lt;authors&gt;&lt;author&gt;Heart Research Institute NZ,&lt;/author&gt;&lt;/authors&gt;&lt;/contributors&gt;&lt;titles&gt;&lt;title&gt;Diabetes&lt;/title&gt;&lt;/titles&gt;&lt;number&gt;31 October 2022&lt;/number&gt;&lt;dates&gt;&lt;year&gt;2021&lt;/year&gt;&lt;/dates&gt;&lt;urls&gt;&lt;related-urls&gt;&lt;url&gt;https://www.hri.org.nz/health/learn/cardiovascular-disease/diabetes&lt;/url&gt;&lt;/related-urls&gt;&lt;/urls&gt;&lt;/record&gt;&lt;/Cite&gt;&lt;/EndNote&gt;</w:instrText>
      </w:r>
      <w:r w:rsidR="002F2CEC" w:rsidRPr="00344776">
        <w:fldChar w:fldCharType="separate"/>
      </w:r>
      <w:r w:rsidR="002F2CEC" w:rsidRPr="00344776">
        <w:rPr>
          <w:noProof/>
        </w:rPr>
        <w:t>(Heart Research Institute NZ 2021)</w:t>
      </w:r>
      <w:r w:rsidR="002F2CEC" w:rsidRPr="00344776">
        <w:fldChar w:fldCharType="end"/>
      </w:r>
      <w:r w:rsidR="002F2CEC">
        <w:t>.</w:t>
      </w:r>
      <w:r w:rsidR="00BD1856">
        <w:t xml:space="preserve"> This is evident in the population</w:t>
      </w:r>
      <w:r w:rsidR="00C30D83">
        <w:t xml:space="preserve"> as p</w:t>
      </w:r>
      <w:r w:rsidRPr="00344776">
        <w:t xml:space="preserve">eople with diabetes are </w:t>
      </w:r>
      <w:r>
        <w:t>2</w:t>
      </w:r>
      <w:r w:rsidRPr="00344776">
        <w:t xml:space="preserve"> to</w:t>
      </w:r>
      <w:r w:rsidRPr="00344776" w:rsidDel="009105E0">
        <w:t xml:space="preserve"> </w:t>
      </w:r>
      <w:r>
        <w:t>4</w:t>
      </w:r>
      <w:r w:rsidRPr="00344776">
        <w:t xml:space="preserve"> times more likely to have a heart attack or stroke than people who do not have diabetes.</w:t>
      </w:r>
    </w:p>
    <w:p w14:paraId="1D49DBF8" w14:textId="77777777" w:rsidR="006659D5" w:rsidRPr="00344776" w:rsidRDefault="006659D5" w:rsidP="006659D5">
      <w:pPr>
        <w:pStyle w:val="Heading4"/>
      </w:pPr>
      <w:r w:rsidRPr="00344776">
        <w:t>Cardiovascular disease</w:t>
      </w:r>
    </w:p>
    <w:p w14:paraId="5DF63D38" w14:textId="77777777" w:rsidR="00590B82" w:rsidRPr="00344776" w:rsidRDefault="00590B82" w:rsidP="00590B82">
      <w:r w:rsidRPr="00344776">
        <w:t xml:space="preserve">Cardiovascular disease is the second most common long-term condition in the whole population, </w:t>
      </w:r>
      <w:r>
        <w:t xml:space="preserve">affecting </w:t>
      </w:r>
      <w:r w:rsidRPr="00344776">
        <w:t>9% of those aged 35 years and over</w:t>
      </w:r>
      <w:r>
        <w:t>.</w:t>
      </w:r>
      <w:r w:rsidRPr="00344776">
        <w:rPr>
          <w:rStyle w:val="FootnoteReference"/>
        </w:rPr>
        <w:footnoteReference w:id="6"/>
      </w:r>
      <w:r w:rsidRPr="00344776">
        <w:t xml:space="preserve"> The most common comorbidity of those who have cardiovascular disease is diabetes</w:t>
      </w:r>
      <w:r>
        <w:t>,</w:t>
      </w:r>
      <w:r w:rsidRPr="00344776">
        <w:t xml:space="preserve"> at 25.6%, followed by gout at 14.7% and chronic obstructive pulmonary disorder </w:t>
      </w:r>
      <w:r>
        <w:t xml:space="preserve">at </w:t>
      </w:r>
      <w:r w:rsidRPr="00344776">
        <w:t>11.6%.</w:t>
      </w:r>
    </w:p>
    <w:p w14:paraId="4A97829B" w14:textId="77777777" w:rsidR="00590B82" w:rsidRPr="00344776" w:rsidRDefault="00590B82" w:rsidP="00590B82">
      <w:r w:rsidRPr="00344776">
        <w:t xml:space="preserve"> </w:t>
      </w:r>
    </w:p>
    <w:p w14:paraId="317A586A" w14:textId="2B32781B" w:rsidR="00590B82" w:rsidRPr="00344776" w:rsidRDefault="00590B82" w:rsidP="00590B82">
      <w:r w:rsidRPr="00344776">
        <w:t xml:space="preserve">Māori, Pacific peoples and </w:t>
      </w:r>
      <w:r>
        <w:t xml:space="preserve">the </w:t>
      </w:r>
      <w:r w:rsidRPr="00344776">
        <w:t xml:space="preserve">European/other ethnic group have </w:t>
      </w:r>
      <w:r>
        <w:t xml:space="preserve">a </w:t>
      </w:r>
      <w:r w:rsidRPr="00344776">
        <w:t>similar prevalence of cardiovascular disease</w:t>
      </w:r>
      <w:r>
        <w:t>,</w:t>
      </w:r>
      <w:r w:rsidRPr="00344776">
        <w:t xml:space="preserve"> at 10.0, 9.4 and 9.7% respectively, whereas the Asian ethnic group has the lowest </w:t>
      </w:r>
      <w:r>
        <w:t xml:space="preserve">prevalence, </w:t>
      </w:r>
      <w:r w:rsidRPr="00344776">
        <w:t xml:space="preserve">at 4%. </w:t>
      </w:r>
      <w:r>
        <w:t xml:space="preserve">However, </w:t>
      </w:r>
      <w:r w:rsidRPr="00344776">
        <w:t>the median age of</w:t>
      </w:r>
      <w:r>
        <w:t xml:space="preserve"> people in</w:t>
      </w:r>
      <w:r w:rsidRPr="00344776">
        <w:t xml:space="preserve"> the Asian ethnic group who have cardiovascular disease is 68 years, which is more similar to the </w:t>
      </w:r>
      <w:r>
        <w:t xml:space="preserve">equivalent age in </w:t>
      </w:r>
      <w:r w:rsidRPr="00344776">
        <w:t>Māori (64 years) and Pacific peoples (64 years)</w:t>
      </w:r>
      <w:r>
        <w:t>. T</w:t>
      </w:r>
      <w:r w:rsidRPr="00344776">
        <w:t xml:space="preserve">he median age of </w:t>
      </w:r>
      <w:r>
        <w:t xml:space="preserve">people in the </w:t>
      </w:r>
      <w:r w:rsidRPr="00344776">
        <w:t xml:space="preserve">European/other </w:t>
      </w:r>
      <w:r>
        <w:t xml:space="preserve">ethnic group who have cardiovascular disease </w:t>
      </w:r>
      <w:r w:rsidRPr="00344776">
        <w:t>is older</w:t>
      </w:r>
      <w:r>
        <w:t>,</w:t>
      </w:r>
      <w:r w:rsidRPr="00344776">
        <w:t xml:space="preserve"> at 74 years.</w:t>
      </w:r>
    </w:p>
    <w:p w14:paraId="48C85167" w14:textId="785E89C8" w:rsidR="006659D5" w:rsidRPr="00344776" w:rsidRDefault="006659D5" w:rsidP="006659D5">
      <w:pPr>
        <w:pStyle w:val="Figure"/>
      </w:pPr>
      <w:bookmarkStart w:id="181" w:name="_Toc118446252"/>
      <w:bookmarkStart w:id="182" w:name="_Toc118730689"/>
      <w:bookmarkStart w:id="183" w:name="_Toc119047782"/>
      <w:r w:rsidRPr="00344776">
        <w:lastRenderedPageBreak/>
        <w:t xml:space="preserve">Figure </w:t>
      </w:r>
      <w:r w:rsidRPr="00344776">
        <w:fldChar w:fldCharType="begin"/>
      </w:r>
      <w:r w:rsidRPr="00344776">
        <w:instrText>SEQ Figure \* ARABIC</w:instrText>
      </w:r>
      <w:r w:rsidRPr="00344776">
        <w:fldChar w:fldCharType="separate"/>
      </w:r>
      <w:r w:rsidR="00F61845">
        <w:rPr>
          <w:noProof/>
        </w:rPr>
        <w:t>38</w:t>
      </w:r>
      <w:r w:rsidRPr="00344776">
        <w:fldChar w:fldCharType="end"/>
      </w:r>
      <w:r w:rsidRPr="00344776">
        <w:t>: Proportion of population with cardiovascular disease (35+ years), by ethnic group and age, 2020</w:t>
      </w:r>
      <w:bookmarkEnd w:id="181"/>
      <w:bookmarkEnd w:id="182"/>
      <w:bookmarkEnd w:id="183"/>
    </w:p>
    <w:p w14:paraId="47E7ACE4" w14:textId="77777777" w:rsidR="006659D5" w:rsidRPr="00344776" w:rsidRDefault="006659D5" w:rsidP="006659D5">
      <w:r w:rsidRPr="00344776">
        <w:rPr>
          <w:noProof/>
        </w:rPr>
        <w:drawing>
          <wp:inline distT="0" distB="0" distL="0" distR="0" wp14:anchorId="2BC2B953" wp14:editId="684C81C3">
            <wp:extent cx="5398109" cy="3238500"/>
            <wp:effectExtent l="0" t="0" r="0" b="0"/>
            <wp:docPr id="1566655169" name="Picture 1566655169" descr="A series of 4 line charts showing the percentage of people with cardiovascular disease, starting at age 35. There is one chart for each of the following ethnic groups: Māori, Pacific peoples, Asian, and European/other. For all ethnicities, the percentage of people with cardiovascular disease generally increased with age. Māori had the highest proportion of their population with cardiovascular disease, and the Asian ethnic group had the lowest. For younger age groups, Māori and Pacific peoples had higher proportions of people with cardiovascular disease compared to European/other, and Asian ethnic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55169" name="Picture 1566655169" descr="A series of 4 line charts showing the percentage of people with cardiovascular disease, starting at age 35. There is one chart for each of the following ethnic groups: Māori, Pacific peoples, Asian, and European/other. For all ethnicities, the percentage of people with cardiovascular disease generally increased with age. Māori had the highest proportion of their population with cardiovascular disease, and the Asian ethnic group had the lowest. For younger age groups, Māori and Pacific peoples had higher proportions of people with cardiovascular disease compared to European/other, and Asian ethnic groups."/>
                    <pic:cNvPicPr>
                      <a:picLocks noChangeAspect="1" noChangeArrowheads="1"/>
                    </pic:cNvPicPr>
                  </pic:nvPicPr>
                  <pic:blipFill>
                    <a:blip r:embed="rId102"/>
                    <a:stretch>
                      <a:fillRect/>
                    </a:stretch>
                  </pic:blipFill>
                  <pic:spPr bwMode="auto">
                    <a:xfrm>
                      <a:off x="0" y="0"/>
                      <a:ext cx="5398109" cy="3238500"/>
                    </a:xfrm>
                    <a:prstGeom prst="rect">
                      <a:avLst/>
                    </a:prstGeom>
                    <a:noFill/>
                    <a:ln>
                      <a:noFill/>
                    </a:ln>
                  </pic:spPr>
                </pic:pic>
              </a:graphicData>
            </a:graphic>
          </wp:inline>
        </w:drawing>
      </w:r>
    </w:p>
    <w:p w14:paraId="1DE083D1" w14:textId="77777777" w:rsidR="006659D5" w:rsidRPr="00344776" w:rsidRDefault="006659D5" w:rsidP="006659D5"/>
    <w:p w14:paraId="492DAC5C" w14:textId="77777777" w:rsidR="006659D5" w:rsidRPr="00344776" w:rsidRDefault="006659D5" w:rsidP="00590B82">
      <w:pPr>
        <w:pStyle w:val="Source"/>
      </w:pPr>
      <w:r w:rsidRPr="00344776">
        <w:t>Source: Ministry of Health unpublished data (2022)</w:t>
      </w:r>
    </w:p>
    <w:p w14:paraId="6B8B7F74" w14:textId="0EA34E24" w:rsidR="006659D5" w:rsidRPr="00B51E1F" w:rsidRDefault="006659D5" w:rsidP="00B51E1F">
      <w:pPr>
        <w:pStyle w:val="Heading2"/>
      </w:pPr>
      <w:bookmarkStart w:id="184" w:name="_Toc118452238"/>
      <w:bookmarkStart w:id="185" w:name="_Toc119312999"/>
      <w:r w:rsidRPr="00B51E1F">
        <w:t>Hospitalisations</w:t>
      </w:r>
      <w:bookmarkEnd w:id="184"/>
      <w:bookmarkEnd w:id="185"/>
    </w:p>
    <w:p w14:paraId="6F4E6EF3" w14:textId="77777777" w:rsidR="00590B82" w:rsidRPr="00344776" w:rsidRDefault="00590B82" w:rsidP="00590B82">
      <w:r>
        <w:t>People interact with hospitals in 2</w:t>
      </w:r>
      <w:r w:rsidRPr="00344776">
        <w:t xml:space="preserve"> ways</w:t>
      </w:r>
      <w:r>
        <w:t>:</w:t>
      </w:r>
      <w:r w:rsidRPr="00344776">
        <w:t xml:space="preserve"> through </w:t>
      </w:r>
      <w:r>
        <w:t xml:space="preserve">planned care or in </w:t>
      </w:r>
      <w:r w:rsidRPr="00344776">
        <w:t xml:space="preserve">the ED. </w:t>
      </w:r>
      <w:r>
        <w:t>There are challenges in reaching timeliness targets in the context of b</w:t>
      </w:r>
      <w:r w:rsidRPr="00344776">
        <w:t xml:space="preserve">oth unplanned and planned care </w:t>
      </w:r>
      <w:r w:rsidRPr="00344776">
        <w:fldChar w:fldCharType="begin"/>
      </w:r>
      <w:r>
        <w:instrText xml:space="preserve"> ADDIN EN.CITE &lt;EndNote&gt;&lt;Cite&gt;&lt;Author&gt;Health Quality &amp;amp; Safety Commission&lt;/Author&gt;&lt;Year&gt;2021&lt;/Year&gt;&lt;RecNum&gt;226&lt;/RecNum&gt;&lt;DisplayText&gt;(Health Quality &amp;amp; Safety Commission 2021b)&lt;/DisplayText&gt;&lt;record&gt;&lt;rec-number&gt;226&lt;/rec-number&gt;&lt;foreign-keys&gt;&lt;key app="EN" db-id="aaepvppzs5wtfse95vsp2wahsrtvva2vvdet" timestamp="1663808893"&gt;226&lt;/key&gt;&lt;/foreign-keys&gt;&lt;ref-type name="Web Page"&gt;12&lt;/ref-type&gt;&lt;contributors&gt;&lt;authors&gt;&lt;author&gt;Health Quality &amp;amp; Safety Commission,&lt;/author&gt;&lt;/authors&gt;&lt;/contributors&gt;&lt;titles&gt;&lt;title&gt;A window on quality 2021: COVID-19 and impacts on our broader health system&lt;/title&gt;&lt;/titles&gt;&lt;number&gt;1 November 2022&lt;/number&gt;&lt;dates&gt;&lt;year&gt;2021&lt;/year&gt;&lt;/dates&gt;&lt;urls&gt;&lt;related-urls&gt;&lt;url&gt;https://www.hqsc.govt.nz/assets/Our-data/Publications-resources/COVID-Window-2021-final-web.pdf&lt;/url&gt;&lt;/related-urls&gt;&lt;/urls&gt;&lt;/record&gt;&lt;/Cite&gt;&lt;/EndNote&gt;</w:instrText>
      </w:r>
      <w:r w:rsidRPr="00344776">
        <w:fldChar w:fldCharType="separate"/>
      </w:r>
      <w:r>
        <w:rPr>
          <w:noProof/>
        </w:rPr>
        <w:t>(Health Quality &amp; Safety Commission 2021b)</w:t>
      </w:r>
      <w:r w:rsidRPr="00344776">
        <w:fldChar w:fldCharType="end"/>
      </w:r>
      <w:r w:rsidRPr="00344776">
        <w:t xml:space="preserve">. </w:t>
      </w:r>
    </w:p>
    <w:p w14:paraId="24B76134" w14:textId="77777777" w:rsidR="006659D5" w:rsidRPr="00344776" w:rsidRDefault="006659D5" w:rsidP="006659D5">
      <w:pPr>
        <w:pStyle w:val="Heading3"/>
      </w:pPr>
      <w:r w:rsidRPr="00344776">
        <w:t>Unplanned/acute care</w:t>
      </w:r>
    </w:p>
    <w:p w14:paraId="4C274F56" w14:textId="77777777" w:rsidR="00590B82" w:rsidRPr="00344776" w:rsidRDefault="00590B82" w:rsidP="00590B82">
      <w:r w:rsidRPr="00344776">
        <w:t>In 2021, 3.</w:t>
      </w:r>
      <w:r>
        <w:t>3</w:t>
      </w:r>
      <w:r w:rsidRPr="00344776">
        <w:t xml:space="preserve">% of people who attended </w:t>
      </w:r>
      <w:r>
        <w:t xml:space="preserve">an </w:t>
      </w:r>
      <w:r w:rsidRPr="00344776">
        <w:t xml:space="preserve">ED left before they received care. Aside from this group, there were 1,190,227 attendances to </w:t>
      </w:r>
      <w:r>
        <w:t xml:space="preserve">EDs </w:t>
      </w:r>
      <w:r w:rsidRPr="00344776">
        <w:t xml:space="preserve">around the country. As discussed in </w:t>
      </w:r>
      <w:r w:rsidRPr="003770D6">
        <w:t>the PHO enrolment section</w:t>
      </w:r>
      <w:r w:rsidRPr="00344776">
        <w:t xml:space="preserve">, people reporting barriers with access to general practice may have contributed to number of people attending ED. </w:t>
      </w:r>
    </w:p>
    <w:p w14:paraId="1B1B83F1" w14:textId="77777777" w:rsidR="00590B82" w:rsidRPr="00344776" w:rsidRDefault="00590B82" w:rsidP="00590B82"/>
    <w:p w14:paraId="250AAA6B" w14:textId="09A16508" w:rsidR="006659D5" w:rsidRDefault="00590B82" w:rsidP="00590B82">
      <w:r>
        <w:t xml:space="preserve">The </w:t>
      </w:r>
      <w:r w:rsidRPr="00344776">
        <w:t xml:space="preserve">percentage of people waiting more than </w:t>
      </w:r>
      <w:r>
        <w:t>6</w:t>
      </w:r>
      <w:r w:rsidRPr="00344776">
        <w:t xml:space="preserve"> hours increas</w:t>
      </w:r>
      <w:r>
        <w:t>ed</w:t>
      </w:r>
      <w:r w:rsidRPr="00344776">
        <w:t xml:space="preserve"> from 9% in 2017 to 19% in 2021</w:t>
      </w:r>
      <w:r w:rsidR="006659D5" w:rsidRPr="00344776">
        <w:t>.</w:t>
      </w:r>
    </w:p>
    <w:p w14:paraId="25389953" w14:textId="77777777" w:rsidR="006659D5" w:rsidRPr="00344776" w:rsidRDefault="006659D5" w:rsidP="006659D5">
      <w:pPr>
        <w:pStyle w:val="Heading4"/>
      </w:pPr>
      <w:r w:rsidRPr="00344776">
        <w:t xml:space="preserve">Ambulatory sensitive hospital admissions </w:t>
      </w:r>
    </w:p>
    <w:p w14:paraId="6F175157" w14:textId="77777777" w:rsidR="00590B82" w:rsidRPr="00344776" w:rsidRDefault="00590B82" w:rsidP="00590B82">
      <w:pPr>
        <w:spacing w:after="240"/>
      </w:pPr>
      <w:r w:rsidRPr="00344776">
        <w:rPr>
          <w:shd w:val="clear" w:color="auto" w:fill="FFFFFF"/>
        </w:rPr>
        <w:t xml:space="preserve">Ambulatory sensitive hospital (ASH) events are hospital admissions that are considered potentially </w:t>
      </w:r>
      <w:r>
        <w:rPr>
          <w:shd w:val="clear" w:color="auto" w:fill="FFFFFF"/>
        </w:rPr>
        <w:t>avoidable</w:t>
      </w:r>
      <w:r w:rsidRPr="00344776">
        <w:rPr>
          <w:shd w:val="clear" w:color="auto" w:fill="FFFFFF"/>
        </w:rPr>
        <w:t xml:space="preserve"> through disease-preventing or therapeutic interventions delivered in a primary health</w:t>
      </w:r>
      <w:r>
        <w:rPr>
          <w:shd w:val="clear" w:color="auto" w:fill="FFFFFF"/>
        </w:rPr>
        <w:t xml:space="preserve"> </w:t>
      </w:r>
      <w:r w:rsidRPr="00344776">
        <w:rPr>
          <w:shd w:val="clear" w:color="auto" w:fill="FFFFFF"/>
        </w:rPr>
        <w:t>care setting.</w:t>
      </w:r>
    </w:p>
    <w:p w14:paraId="58E35E64" w14:textId="6C9861AD" w:rsidR="006659D5" w:rsidRPr="00344776" w:rsidRDefault="00590B82" w:rsidP="00590B82">
      <w:r w:rsidRPr="00344776">
        <w:rPr>
          <w:shd w:val="clear" w:color="auto" w:fill="FFFFFF"/>
        </w:rPr>
        <w:t xml:space="preserve">The measures taken in response to the COVID-19 epidemic in 2020, such as lockdowns and border closures, </w:t>
      </w:r>
      <w:r w:rsidRPr="00344776">
        <w:t>led to a drop in ASH rates for both the 0</w:t>
      </w:r>
      <w:r>
        <w:t>–</w:t>
      </w:r>
      <w:r w:rsidRPr="00344776">
        <w:t>4</w:t>
      </w:r>
      <w:r>
        <w:t>-year</w:t>
      </w:r>
      <w:r w:rsidRPr="00344776">
        <w:t xml:space="preserve"> and 45</w:t>
      </w:r>
      <w:r>
        <w:t>–</w:t>
      </w:r>
      <w:r w:rsidRPr="00344776">
        <w:t>64</w:t>
      </w:r>
      <w:r>
        <w:t>-year</w:t>
      </w:r>
      <w:r w:rsidRPr="00344776">
        <w:t xml:space="preserve"> </w:t>
      </w:r>
      <w:r w:rsidRPr="00344776">
        <w:lastRenderedPageBreak/>
        <w:t xml:space="preserve">age groups in 2020 </w:t>
      </w:r>
      <w:r w:rsidRPr="00344776">
        <w:fldChar w:fldCharType="begin"/>
      </w:r>
      <w:r>
        <w:instrText xml:space="preserve"> ADDIN EN.CITE &lt;EndNote&gt;&lt;Cite&gt;&lt;Author&gt;Ministry of Health&lt;/Author&gt;&lt;Year&gt;2022&lt;/Year&gt;&lt;RecNum&gt;237&lt;/RecNum&gt;&lt;DisplayText&gt;(Ministry of Health 2022k)&lt;/DisplayText&gt;&lt;record&gt;&lt;rec-number&gt;237&lt;/rec-number&gt;&lt;foreign-keys&gt;&lt;key app="EN" db-id="aaepvppzs5wtfse95vsp2wahsrtvva2vvdet" timestamp="1664336089"&gt;237&lt;/key&gt;&lt;/foreign-keys&gt;&lt;ref-type name="Web Page"&gt;12&lt;/ref-type&gt;&lt;contributors&gt;&lt;authors&gt;&lt;author&gt;Ministry of Health,&lt;/author&gt;&lt;/authors&gt;&lt;/contributors&gt;&lt;titles&gt;&lt;title&gt;Health System Indicators framework&lt;/title&gt;&lt;/titles&gt;&lt;number&gt;31 October 2022&lt;/number&gt;&lt;dates&gt;&lt;year&gt;2022&lt;/year&gt;&lt;/dates&gt;&lt;urls&gt;&lt;related-urls&gt;&lt;url&gt;https://www.health.govt.nz/new-zealand-health-system/health-system-indicators-framework&lt;/url&gt;&lt;/related-urls&gt;&lt;/urls&gt;&lt;/record&gt;&lt;/Cite&gt;&lt;/EndNote&gt;</w:instrText>
      </w:r>
      <w:r w:rsidRPr="00344776">
        <w:fldChar w:fldCharType="separate"/>
      </w:r>
      <w:r w:rsidRPr="00344776">
        <w:rPr>
          <w:noProof/>
        </w:rPr>
        <w:t>(Ministry of Health 2022k)</w:t>
      </w:r>
      <w:r w:rsidRPr="00344776">
        <w:fldChar w:fldCharType="end"/>
      </w:r>
      <w:r w:rsidRPr="00344776">
        <w:t>. In 2021, ASH rates</w:t>
      </w:r>
      <w:r w:rsidRPr="00344776" w:rsidDel="001C6E8B">
        <w:t xml:space="preserve"> </w:t>
      </w:r>
      <w:r w:rsidRPr="00344776">
        <w:t>increased, but not to the same levels as in 2019</w:t>
      </w:r>
      <w:r w:rsidR="006659D5" w:rsidRPr="00344776">
        <w:t xml:space="preserve">. </w:t>
      </w:r>
    </w:p>
    <w:p w14:paraId="60182132" w14:textId="77777777" w:rsidR="006659D5" w:rsidRPr="00344776" w:rsidRDefault="006659D5" w:rsidP="006659D5">
      <w:pPr>
        <w:pStyle w:val="Heading5"/>
      </w:pPr>
      <w:r>
        <w:t xml:space="preserve">Ambulatory sensitive hospital admissions </w:t>
      </w:r>
      <w:r w:rsidRPr="00344776">
        <w:t>for 0–4-year-olds</w:t>
      </w:r>
    </w:p>
    <w:p w14:paraId="18BE5FB8" w14:textId="762AB2C7" w:rsidR="006659D5" w:rsidRDefault="00590B82" w:rsidP="006659D5">
      <w:r w:rsidRPr="00344776">
        <w:t xml:space="preserve">In New Zealand, upper ear, nose and throat respiratory infections and asthma are the top </w:t>
      </w:r>
      <w:r>
        <w:t>causes of</w:t>
      </w:r>
      <w:r w:rsidRPr="00344776">
        <w:t xml:space="preserve"> ASH </w:t>
      </w:r>
      <w:r>
        <w:t>admissions</w:t>
      </w:r>
      <w:r w:rsidRPr="00344776">
        <w:t xml:space="preserve"> for 0–4-year-olds (4,704 and 4,076 admissions in 2021 respectively), followed by gastroenteritis/dehydration (2,735) and dental conditions (2,421). Pacific children have significantly higher ASH rates than children of other ethnic groups </w:t>
      </w:r>
      <w:r w:rsidRPr="00344776">
        <w:fldChar w:fldCharType="begin"/>
      </w:r>
      <w:r>
        <w:instrText xml:space="preserve"> ADDIN EN.CITE &lt;EndNote&gt;&lt;Cite&gt;&lt;Author&gt;Nationwide Service Framework Library&lt;/Author&gt;&lt;Year&gt;2022&lt;/Year&gt;&lt;RecNum&gt;89&lt;/RecNum&gt;&lt;DisplayText&gt;(Nationwide Service Framework Library 2022a)&lt;/DisplayText&gt;&lt;record&gt;&lt;rec-number&gt;89&lt;/rec-number&gt;&lt;foreign-keys&gt;&lt;key app="EN" db-id="aaepvppzs5wtfse95vsp2wahsrtvva2vvdet" timestamp="1632439813"&gt;89&lt;/key&gt;&lt;/foreign-keys&gt;&lt;ref-type name="Web Page"&gt;12&lt;/ref-type&gt;&lt;contributors&gt;&lt;authors&gt;&lt;author&gt;Nationwide Service Framework Library,&lt;/author&gt;&lt;/authors&gt;&lt;/contributors&gt;&lt;titles&gt;&lt;title&gt;Ambulatory sensitive (avoidable) hospital admissions&lt;/title&gt;&lt;/titles&gt;&lt;number&gt;31 October 2022&lt;/number&gt;&lt;dates&gt;&lt;year&gt;2022&lt;/year&gt;&lt;/dates&gt;&lt;urls&gt;&lt;related-urls&gt;&lt;url&gt;https://nsfl.health.govt.nz/accountability/performance-and-monitoring/data-quarterly-reports-and-reporting/ambulatory-sensitive&lt;/url&gt;&lt;/related-urls&gt;&lt;/urls&gt;&lt;/record&gt;&lt;/Cite&gt;&lt;/EndNote&gt;</w:instrText>
      </w:r>
      <w:r w:rsidRPr="00344776">
        <w:fldChar w:fldCharType="separate"/>
      </w:r>
      <w:r w:rsidRPr="00344776">
        <w:rPr>
          <w:noProof/>
        </w:rPr>
        <w:t>(Nationwide Service Framework Library 2022a)</w:t>
      </w:r>
      <w:r w:rsidRPr="00344776">
        <w:fldChar w:fldCharType="end"/>
      </w:r>
      <w:r w:rsidR="006659D5" w:rsidRPr="00344776">
        <w:t>.</w:t>
      </w:r>
    </w:p>
    <w:p w14:paraId="6DB92ECD" w14:textId="77777777" w:rsidR="006659D5" w:rsidRPr="00344776" w:rsidRDefault="006659D5" w:rsidP="006659D5"/>
    <w:p w14:paraId="5A6AE68A" w14:textId="74368B28" w:rsidR="006659D5" w:rsidRPr="00344776" w:rsidRDefault="006659D5" w:rsidP="006659D5">
      <w:pPr>
        <w:pStyle w:val="Caption"/>
      </w:pPr>
      <w:bookmarkStart w:id="186" w:name="_Toc118446253"/>
      <w:bookmarkStart w:id="187" w:name="_Toc119047783"/>
      <w:r w:rsidRPr="00344776">
        <w:t xml:space="preserve">Figure </w:t>
      </w:r>
      <w:r w:rsidRPr="00344776">
        <w:fldChar w:fldCharType="begin"/>
      </w:r>
      <w:r w:rsidRPr="00344776">
        <w:instrText>SEQ Figure \* ARABIC</w:instrText>
      </w:r>
      <w:r w:rsidRPr="00344776">
        <w:fldChar w:fldCharType="separate"/>
      </w:r>
      <w:r w:rsidR="00F61845">
        <w:rPr>
          <w:noProof/>
        </w:rPr>
        <w:t>39</w:t>
      </w:r>
      <w:r w:rsidRPr="00344776">
        <w:fldChar w:fldCharType="end"/>
      </w:r>
      <w:r w:rsidRPr="00344776">
        <w:t xml:space="preserve">: </w:t>
      </w:r>
      <w:r w:rsidRPr="00BE13A3">
        <w:t>Ambulatory sensitive hospital</w:t>
      </w:r>
      <w:r w:rsidRPr="00344776">
        <w:t xml:space="preserve"> rates for 0–4-year-olds, by prioritised ethnic group, 2017–2021</w:t>
      </w:r>
      <w:bookmarkEnd w:id="186"/>
      <w:bookmarkEnd w:id="187"/>
    </w:p>
    <w:p w14:paraId="521B2E06" w14:textId="77777777" w:rsidR="006659D5" w:rsidRPr="00344776" w:rsidRDefault="006659D5" w:rsidP="006659D5">
      <w:r w:rsidRPr="00344776">
        <w:rPr>
          <w:noProof/>
        </w:rPr>
        <w:drawing>
          <wp:inline distT="0" distB="0" distL="0" distR="0" wp14:anchorId="5A1B0329" wp14:editId="70D68956">
            <wp:extent cx="5394325" cy="2685174"/>
            <wp:effectExtent l="0" t="0" r="0" b="1270"/>
            <wp:docPr id="63" name="Picture 63" descr="This time series line chart shows the ASH rate for 0–4-year-olds by ethnic group between 2017 and 2021. Across the time series, rates were highest for Pacific peoples, followed by Māori, and then non-Māori / non-Pacific. For the total, ASH rates fell from around 6,500 per 100,000 between 2017 and 2019, to around 4,300 in 2020, before rising again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is time series line chart shows the ASH rate for 0–4-year-olds by ethnic group between 2017 and 2021. Across the time series, rates were highest for Pacific peoples, followed by Māori, and then non-Māori / non-Pacific. For the total, ASH rates fell from around 6,500 per 100,000 between 2017 and 2019, to around 4,300 in 2020, before rising again in 2021."/>
                    <pic:cNvPicPr>
                      <a:picLocks noChangeAspect="1" noChangeArrowheads="1"/>
                    </pic:cNvPicPr>
                  </pic:nvPicPr>
                  <pic:blipFill rotWithShape="1">
                    <a:blip r:embed="rId103"/>
                    <a:srcRect t="6643"/>
                    <a:stretch/>
                  </pic:blipFill>
                  <pic:spPr bwMode="auto">
                    <a:xfrm>
                      <a:off x="0" y="0"/>
                      <a:ext cx="5394901" cy="2685461"/>
                    </a:xfrm>
                    <a:prstGeom prst="rect">
                      <a:avLst/>
                    </a:prstGeom>
                    <a:noFill/>
                    <a:ln>
                      <a:noFill/>
                    </a:ln>
                    <a:extLst>
                      <a:ext uri="{53640926-AAD7-44D8-BBD7-CCE9431645EC}">
                        <a14:shadowObscured xmlns:a14="http://schemas.microsoft.com/office/drawing/2010/main"/>
                      </a:ext>
                    </a:extLst>
                  </pic:spPr>
                </pic:pic>
              </a:graphicData>
            </a:graphic>
          </wp:inline>
        </w:drawing>
      </w:r>
    </w:p>
    <w:p w14:paraId="77C1799D" w14:textId="11F2812C" w:rsidR="006659D5" w:rsidRPr="00344776" w:rsidRDefault="006659D5" w:rsidP="006659D5">
      <w:pPr>
        <w:pStyle w:val="Source"/>
      </w:pPr>
      <w:r w:rsidRPr="00344776">
        <w:t xml:space="preserve">Source: </w:t>
      </w:r>
      <w:hyperlink r:id="rId104" w:history="1">
        <w:r w:rsidRPr="00344776">
          <w:rPr>
            <w:rStyle w:val="Hyperlink"/>
          </w:rPr>
          <w:t>Nationwide Service Framework Library (2022a)</w:t>
        </w:r>
      </w:hyperlink>
    </w:p>
    <w:p w14:paraId="54636948" w14:textId="77777777" w:rsidR="006659D5" w:rsidRPr="00344776" w:rsidRDefault="006659D5" w:rsidP="006659D5"/>
    <w:p w14:paraId="04CAC2B5" w14:textId="77777777" w:rsidR="006659D5" w:rsidRPr="00344776" w:rsidRDefault="006659D5" w:rsidP="006659D5">
      <w:pPr>
        <w:pStyle w:val="Heading5"/>
      </w:pPr>
      <w:r w:rsidRPr="00BE13A3">
        <w:t xml:space="preserve">Ambulatory sensitive hospital </w:t>
      </w:r>
      <w:r w:rsidRPr="00344776">
        <w:t>rate</w:t>
      </w:r>
      <w:r>
        <w:t>s</w:t>
      </w:r>
      <w:r w:rsidRPr="00344776">
        <w:t xml:space="preserve"> for 45</w:t>
      </w:r>
      <w:r>
        <w:t>–</w:t>
      </w:r>
      <w:r w:rsidRPr="00344776">
        <w:t>64-year-olds</w:t>
      </w:r>
    </w:p>
    <w:p w14:paraId="34449BE2" w14:textId="4A366752" w:rsidR="00590B82" w:rsidRPr="00344776" w:rsidRDefault="00590B82" w:rsidP="00590B82">
      <w:bookmarkStart w:id="188" w:name="_Toc118446254"/>
      <w:r w:rsidRPr="00344776">
        <w:t xml:space="preserve">In New Zealand, angina and chest pain </w:t>
      </w:r>
      <w:r>
        <w:t>are</w:t>
      </w:r>
      <w:r w:rsidRPr="00344776">
        <w:t xml:space="preserve"> the leading </w:t>
      </w:r>
      <w:r>
        <w:t>causes of</w:t>
      </w:r>
      <w:r w:rsidRPr="00344776">
        <w:t xml:space="preserve"> ASH </w:t>
      </w:r>
      <w:r>
        <w:t>admissions</w:t>
      </w:r>
      <w:r w:rsidRPr="00344776">
        <w:t xml:space="preserve"> for 45</w:t>
      </w:r>
      <w:r>
        <w:t>–</w:t>
      </w:r>
      <w:r w:rsidRPr="00344776">
        <w:t xml:space="preserve">64-year-olds. Among the other leading </w:t>
      </w:r>
      <w:r>
        <w:t xml:space="preserve">causes </w:t>
      </w:r>
      <w:r w:rsidRPr="00344776">
        <w:t xml:space="preserve">are myocardial infarction, cellulitis and gastroenteritis </w:t>
      </w:r>
      <w:r w:rsidRPr="00344776">
        <w:fldChar w:fldCharType="begin"/>
      </w:r>
      <w:r>
        <w:instrText xml:space="preserve"> ADDIN EN.CITE &lt;EndNote&gt;&lt;Cite&gt;&lt;Author&gt;Nationwide Service Framework Library&lt;/Author&gt;&lt;Year&gt;2022&lt;/Year&gt;&lt;RecNum&gt;89&lt;/RecNum&gt;&lt;DisplayText&gt;(Nationwide Service Framework Library 2022a)&lt;/DisplayText&gt;&lt;record&gt;&lt;rec-number&gt;89&lt;/rec-number&gt;&lt;foreign-keys&gt;&lt;key app="EN" db-id="aaepvppzs5wtfse95vsp2wahsrtvva2vvdet" timestamp="1632439813"&gt;89&lt;/key&gt;&lt;/foreign-keys&gt;&lt;ref-type name="Web Page"&gt;12&lt;/ref-type&gt;&lt;contributors&gt;&lt;authors&gt;&lt;author&gt;Nationwide Service Framework Library,&lt;/author&gt;&lt;/authors&gt;&lt;/contributors&gt;&lt;titles&gt;&lt;title&gt;Ambulatory sensitive (avoidable) hospital admissions&lt;/title&gt;&lt;/titles&gt;&lt;number&gt;31 October 2022&lt;/number&gt;&lt;dates&gt;&lt;year&gt;2022&lt;/year&gt;&lt;/dates&gt;&lt;urls&gt;&lt;related-urls&gt;&lt;url&gt;https://nsfl.health.govt.nz/accountability/performance-and-monitoring/data-quarterly-reports-and-reporting/ambulatory-sensitive&lt;/url&gt;&lt;/related-urls&gt;&lt;/urls&gt;&lt;/record&gt;&lt;/Cite&gt;&lt;/EndNote&gt;</w:instrText>
      </w:r>
      <w:r w:rsidRPr="00344776">
        <w:fldChar w:fldCharType="separate"/>
      </w:r>
      <w:r w:rsidRPr="00344776">
        <w:rPr>
          <w:noProof/>
        </w:rPr>
        <w:t>(Nationwide Service Framework Library 2022a)</w:t>
      </w:r>
      <w:r w:rsidRPr="00344776">
        <w:fldChar w:fldCharType="end"/>
      </w:r>
      <w:r w:rsidRPr="00344776">
        <w:t>. For Māori, c</w:t>
      </w:r>
      <w:r w:rsidRPr="00344776">
        <w:rPr>
          <w:shd w:val="clear" w:color="auto" w:fill="FFFFFF"/>
        </w:rPr>
        <w:t xml:space="preserve">hronic obstructive pulmonary disease </w:t>
      </w:r>
      <w:r w:rsidRPr="00344776">
        <w:t>is the second highest</w:t>
      </w:r>
      <w:r>
        <w:t xml:space="preserve"> </w:t>
      </w:r>
      <w:r w:rsidRPr="00344776">
        <w:t xml:space="preserve">ASH </w:t>
      </w:r>
      <w:r>
        <w:t>condition;</w:t>
      </w:r>
      <w:r w:rsidRPr="00344776">
        <w:t xml:space="preserve"> the age-standardised </w:t>
      </w:r>
      <w:r>
        <w:t xml:space="preserve">ASH </w:t>
      </w:r>
      <w:r w:rsidRPr="00344776">
        <w:t xml:space="preserve">rate </w:t>
      </w:r>
      <w:r>
        <w:t xml:space="preserve">for Māori is </w:t>
      </w:r>
      <w:r w:rsidRPr="00344776">
        <w:t>more than double the rate for the other ethnic groups (</w:t>
      </w:r>
      <w:r>
        <w:t xml:space="preserve">the age-standardised rate of </w:t>
      </w:r>
      <w:r w:rsidRPr="00344776">
        <w:t>c</w:t>
      </w:r>
      <w:r w:rsidRPr="00344776">
        <w:rPr>
          <w:shd w:val="clear" w:color="auto" w:fill="FFFFFF"/>
        </w:rPr>
        <w:t>hronic obstructive pulmonary disease</w:t>
      </w:r>
      <w:r>
        <w:rPr>
          <w:shd w:val="clear" w:color="auto" w:fill="FFFFFF"/>
        </w:rPr>
        <w:t xml:space="preserve"> for </w:t>
      </w:r>
      <w:r w:rsidRPr="00344776">
        <w:t>Māor</w:t>
      </w:r>
      <w:r>
        <w:t>i is</w:t>
      </w:r>
      <w:r w:rsidRPr="00344776">
        <w:t xml:space="preserve"> 696</w:t>
      </w:r>
      <w:r>
        <w:t xml:space="preserve"> per 100,000</w:t>
      </w:r>
      <w:r w:rsidRPr="00344776">
        <w:t xml:space="preserve">, </w:t>
      </w:r>
      <w:r>
        <w:t>for</w:t>
      </w:r>
      <w:r w:rsidRPr="00344776">
        <w:t xml:space="preserve"> Pacific peoples 299, </w:t>
      </w:r>
      <w:r>
        <w:t xml:space="preserve">and </w:t>
      </w:r>
      <w:r w:rsidRPr="00344776">
        <w:t xml:space="preserve">non-Māori/non-Pacific 122). </w:t>
      </w:r>
    </w:p>
    <w:p w14:paraId="73B85EB9" w14:textId="77777777" w:rsidR="008B5E7A" w:rsidRDefault="008B5E7A">
      <w:pPr>
        <w:rPr>
          <w:b/>
          <w:iCs/>
          <w:sz w:val="20"/>
          <w:szCs w:val="18"/>
        </w:rPr>
      </w:pPr>
      <w:r>
        <w:br w:type="page"/>
      </w:r>
    </w:p>
    <w:p w14:paraId="1196E147" w14:textId="34E4BDFE" w:rsidR="006659D5" w:rsidRPr="00344776" w:rsidRDefault="006659D5" w:rsidP="006659D5">
      <w:pPr>
        <w:pStyle w:val="Caption"/>
      </w:pPr>
      <w:bookmarkStart w:id="189" w:name="_Toc119047784"/>
      <w:r w:rsidRPr="00344776">
        <w:lastRenderedPageBreak/>
        <w:t xml:space="preserve">Figure </w:t>
      </w:r>
      <w:r w:rsidRPr="00344776">
        <w:fldChar w:fldCharType="begin"/>
      </w:r>
      <w:r w:rsidRPr="00344776">
        <w:instrText>SEQ Figure \* ARABIC</w:instrText>
      </w:r>
      <w:r w:rsidRPr="00344776">
        <w:fldChar w:fldCharType="separate"/>
      </w:r>
      <w:r w:rsidR="00F61845">
        <w:rPr>
          <w:noProof/>
        </w:rPr>
        <w:t>40</w:t>
      </w:r>
      <w:r w:rsidRPr="00344776">
        <w:fldChar w:fldCharType="end"/>
      </w:r>
      <w:r w:rsidRPr="00344776">
        <w:t xml:space="preserve">: </w:t>
      </w:r>
      <w:r w:rsidRPr="00BE13A3">
        <w:t>Ambulatory sensitive hospital</w:t>
      </w:r>
      <w:r w:rsidRPr="00344776">
        <w:t xml:space="preserve"> rates for 45</w:t>
      </w:r>
      <w:r>
        <w:t>–</w:t>
      </w:r>
      <w:r w:rsidRPr="00344776">
        <w:t>64-year-olds, by prioritised ethnic</w:t>
      </w:r>
      <w:r>
        <w:t xml:space="preserve"> group</w:t>
      </w:r>
      <w:r w:rsidRPr="00344776">
        <w:t>, 2017–2021</w:t>
      </w:r>
      <w:bookmarkEnd w:id="188"/>
      <w:bookmarkEnd w:id="189"/>
    </w:p>
    <w:p w14:paraId="644D0F9F" w14:textId="35175964" w:rsidR="006659D5" w:rsidRPr="00344776" w:rsidRDefault="006659D5" w:rsidP="00CC579C">
      <w:r w:rsidRPr="00344776">
        <w:rPr>
          <w:noProof/>
        </w:rPr>
        <w:drawing>
          <wp:inline distT="0" distB="0" distL="0" distR="0" wp14:anchorId="3043BE11" wp14:editId="31DF4EB8">
            <wp:extent cx="5394901" cy="2876550"/>
            <wp:effectExtent l="0" t="0" r="0" b="0"/>
            <wp:docPr id="320162240" name="Picture 320162240" descr="This time series line chart shows the ASH rate for 45–64-year-olds by ethnic group between 2017 and 2021. Across the time series, Pacific peoples had the highest rates, followed by Māori and then non-Māori / non-Pacific. For the total population, the rate remained between about 3,500 to 3,900 fo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62240" name="Picture 320162240" descr="This time series line chart shows the ASH rate for 45–64-year-olds by ethnic group between 2017 and 2021. Across the time series, Pacific peoples had the highest rates, followed by Māori and then non-Māori / non-Pacific. For the total population, the rate remained between about 3,500 to 3,900 for the period."/>
                    <pic:cNvPicPr>
                      <a:picLocks noChangeAspect="1" noChangeArrowheads="1"/>
                    </pic:cNvPicPr>
                  </pic:nvPicPr>
                  <pic:blipFill>
                    <a:blip r:embed="rId105"/>
                    <a:stretch>
                      <a:fillRect/>
                    </a:stretch>
                  </pic:blipFill>
                  <pic:spPr bwMode="auto">
                    <a:xfrm>
                      <a:off x="0" y="0"/>
                      <a:ext cx="5394901" cy="2876550"/>
                    </a:xfrm>
                    <a:prstGeom prst="rect">
                      <a:avLst/>
                    </a:prstGeom>
                    <a:noFill/>
                    <a:ln>
                      <a:noFill/>
                    </a:ln>
                  </pic:spPr>
                </pic:pic>
              </a:graphicData>
            </a:graphic>
          </wp:inline>
        </w:drawing>
      </w:r>
    </w:p>
    <w:p w14:paraId="7B5D34C1" w14:textId="5BCD14B0" w:rsidR="006659D5" w:rsidRDefault="006659D5" w:rsidP="006659D5">
      <w:pPr>
        <w:pStyle w:val="Source"/>
      </w:pPr>
      <w:r w:rsidRPr="00344776">
        <w:t xml:space="preserve">Source: </w:t>
      </w:r>
      <w:hyperlink r:id="rId106" w:history="1">
        <w:r w:rsidRPr="00344776">
          <w:rPr>
            <w:rStyle w:val="Hyperlink"/>
          </w:rPr>
          <w:t>Nationwide Service Framework Library (2022a)</w:t>
        </w:r>
      </w:hyperlink>
      <w:r w:rsidRPr="00344776">
        <w:t xml:space="preserve"> </w:t>
      </w:r>
    </w:p>
    <w:p w14:paraId="659F8917" w14:textId="77777777" w:rsidR="006659D5" w:rsidRPr="006659D5" w:rsidRDefault="006659D5" w:rsidP="006659D5"/>
    <w:p w14:paraId="41BDC2D4" w14:textId="0089C816" w:rsidR="006659D5" w:rsidRPr="00344776" w:rsidRDefault="00B51E1F" w:rsidP="006659D5">
      <w:pPr>
        <w:pStyle w:val="Heading5"/>
      </w:pPr>
      <w:r w:rsidRPr="00344776">
        <w:rPr>
          <w:noProof/>
        </w:rPr>
        <w:drawing>
          <wp:anchor distT="0" distB="0" distL="114300" distR="114300" simplePos="0" relativeHeight="251658243" behindDoc="0" locked="0" layoutInCell="1" allowOverlap="1" wp14:anchorId="5EDBB9B1" wp14:editId="2D908493">
            <wp:simplePos x="0" y="0"/>
            <wp:positionH relativeFrom="margin">
              <wp:posOffset>2787015</wp:posOffset>
            </wp:positionH>
            <wp:positionV relativeFrom="paragraph">
              <wp:posOffset>320723</wp:posOffset>
            </wp:positionV>
            <wp:extent cx="2336165" cy="1149985"/>
            <wp:effectExtent l="0" t="0" r="6985" b="0"/>
            <wp:wrapSquare wrapText="bothSides"/>
            <wp:docPr id="16" name="Picture 16" descr="In 2021, over 1 in 9 people were readmitted to hospital within 28 days of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n 2021, over 1 in 9 people were readmitted to hospital within 28 days of discharge"/>
                    <pic:cNvPicPr/>
                  </pic:nvPicPr>
                  <pic:blipFill>
                    <a:blip r:embed="rId107"/>
                    <a:stretch>
                      <a:fillRect/>
                    </a:stretch>
                  </pic:blipFill>
                  <pic:spPr>
                    <a:xfrm>
                      <a:off x="0" y="0"/>
                      <a:ext cx="2336165" cy="1149985"/>
                    </a:xfrm>
                    <a:prstGeom prst="rect">
                      <a:avLst/>
                    </a:prstGeom>
                  </pic:spPr>
                </pic:pic>
              </a:graphicData>
            </a:graphic>
          </wp:anchor>
        </w:drawing>
      </w:r>
      <w:r w:rsidR="006659D5" w:rsidRPr="00344776">
        <w:t>Readmission</w:t>
      </w:r>
    </w:p>
    <w:p w14:paraId="27E81C74" w14:textId="3D6C5871" w:rsidR="006659D5" w:rsidRPr="00344776" w:rsidRDefault="00590B82" w:rsidP="006659D5">
      <w:r w:rsidRPr="00344776">
        <w:t xml:space="preserve">An acute readmission is usually an emergency, or </w:t>
      </w:r>
      <w:r>
        <w:t xml:space="preserve">the </w:t>
      </w:r>
      <w:r w:rsidRPr="00344776">
        <w:t xml:space="preserve">unexpected return of a patient to hospital. Acute readmissions </w:t>
      </w:r>
      <w:r>
        <w:t xml:space="preserve">are </w:t>
      </w:r>
      <w:r w:rsidRPr="00344776">
        <w:t>sometimes part of an expected course of patient care</w:t>
      </w:r>
      <w:r>
        <w:t>;</w:t>
      </w:r>
      <w:r w:rsidRPr="00344776">
        <w:t xml:space="preserve"> however</w:t>
      </w:r>
      <w:r>
        <w:t>,</w:t>
      </w:r>
      <w:r w:rsidRPr="00344776">
        <w:t xml:space="preserve"> unplanned readmissions are associated with poor patient outcomes such as mortality</w:t>
      </w:r>
      <w:r>
        <w:t>,</w:t>
      </w:r>
      <w:r w:rsidRPr="00344776">
        <w:t xml:space="preserve"> and are deemed preventable to a degree </w:t>
      </w:r>
      <w:r w:rsidRPr="00344776">
        <w:fldChar w:fldCharType="begin"/>
      </w:r>
      <w:r w:rsidRPr="00344776">
        <w:instrText xml:space="preserve"> ADDIN EN.CITE &lt;EndNote&gt;&lt;Cite&gt;&lt;Author&gt;Dsouza&lt;/Author&gt;&lt;Year&gt;2018&lt;/Year&gt;&lt;RecNum&gt;269&lt;/RecNum&gt;&lt;DisplayText&gt;(Dsouza and Richards 2018)&lt;/DisplayText&gt;&lt;record&gt;&lt;rec-number&gt;269&lt;/rec-number&gt;&lt;foreign-keys&gt;&lt;key app="EN" db-id="aaepvppzs5wtfse95vsp2wahsrtvva2vvdet" timestamp="1666050252"&gt;269&lt;/key&gt;&lt;/foreign-keys&gt;&lt;ref-type name="Journal Article"&gt;17&lt;/ref-type&gt;&lt;contributors&gt;&lt;authors&gt;&lt;author&gt;Dsouza, Joel&lt;/author&gt;&lt;author&gt;Richards, Simon&lt;/author&gt;&lt;/authors&gt;&lt;/contributors&gt;&lt;titles&gt;&lt;title&gt;Unplanned readmissions in frail individuals&lt;/title&gt;&lt;secondary-title&gt;New Zealand Medical Journal&lt;/secondary-title&gt;&lt;/titles&gt;&lt;periodical&gt;&lt;full-title&gt;New Zealand Medical Journal&lt;/full-title&gt;&lt;/periodical&gt;&lt;pages&gt;1484&lt;/pages&gt;&lt;volume&gt;131&lt;/volume&gt;&lt;dates&gt;&lt;year&gt;2018&lt;/year&gt;&lt;/dates&gt;&lt;urls&gt;&lt;related-urls&gt;&lt;url&gt;https://journal.nzma.org.nz/journal-articles/unplanned-readmissions-in-frail-individuals&lt;/url&gt;&lt;/related-urls&gt;&lt;/urls&gt;&lt;/record&gt;&lt;/Cite&gt;&lt;/EndNote&gt;</w:instrText>
      </w:r>
      <w:r w:rsidRPr="00344776">
        <w:fldChar w:fldCharType="separate"/>
      </w:r>
      <w:r w:rsidRPr="00344776">
        <w:rPr>
          <w:noProof/>
        </w:rPr>
        <w:t>(Dsouza and Richards 2018)</w:t>
      </w:r>
      <w:r w:rsidRPr="00344776">
        <w:fldChar w:fldCharType="end"/>
      </w:r>
      <w:r w:rsidRPr="00344776">
        <w:t>.</w:t>
      </w:r>
      <w:r w:rsidR="006659D5" w:rsidRPr="00344776">
        <w:t xml:space="preserve"> </w:t>
      </w:r>
    </w:p>
    <w:p w14:paraId="0E985507" w14:textId="77777777" w:rsidR="006659D5" w:rsidRPr="00344776" w:rsidRDefault="006659D5" w:rsidP="006659D5"/>
    <w:p w14:paraId="05029A94" w14:textId="34CEF3EE" w:rsidR="006659D5" w:rsidRDefault="006659D5" w:rsidP="006659D5">
      <w:r>
        <w:t>Rates of a</w:t>
      </w:r>
      <w:r w:rsidRPr="00344776">
        <w:t>cute readmissions have been stable since 2017</w:t>
      </w:r>
      <w:r>
        <w:t>:</w:t>
      </w:r>
      <w:r w:rsidRPr="00344776">
        <w:t xml:space="preserve"> approximately 12% of discharges result in readmission within 28 days (12.2% in 2021).  </w:t>
      </w:r>
    </w:p>
    <w:p w14:paraId="3C7F2FC7" w14:textId="77777777" w:rsidR="00CC579C" w:rsidRDefault="00CC579C">
      <w:pPr>
        <w:rPr>
          <w:color w:val="0A6AB4"/>
          <w:sz w:val="28"/>
        </w:rPr>
      </w:pPr>
      <w:r>
        <w:br w:type="page"/>
      </w:r>
    </w:p>
    <w:p w14:paraId="4FF0D99C" w14:textId="12B4C891" w:rsidR="006659D5" w:rsidRPr="00344776" w:rsidRDefault="006659D5" w:rsidP="006659D5">
      <w:pPr>
        <w:pStyle w:val="Heading4"/>
      </w:pPr>
      <w:r w:rsidRPr="00344776">
        <w:lastRenderedPageBreak/>
        <w:t>Length of hospital stay for acute conditions</w:t>
      </w:r>
    </w:p>
    <w:p w14:paraId="4FBCD782" w14:textId="77777777" w:rsidR="00590B82" w:rsidRPr="00344776" w:rsidRDefault="00590B82" w:rsidP="00590B82">
      <w:r w:rsidRPr="00344776">
        <w:t xml:space="preserve">The average length of stay in hospital for acute conditions has been increasing since 2019 </w:t>
      </w:r>
      <w:r w:rsidRPr="00344776">
        <w:fldChar w:fldCharType="begin"/>
      </w:r>
      <w:r>
        <w:instrText xml:space="preserve"> ADDIN EN.CITE &lt;EndNote&gt;&lt;Cite&gt;&lt;Author&gt;Nationwide Service Framework Library&lt;/Author&gt;&lt;Year&gt;2022&lt;/Year&gt;&lt;RecNum&gt;248&lt;/RecNum&gt;&lt;DisplayText&gt;(Nationwide Service Framework Library 2022b)&lt;/DisplayText&gt;&lt;record&gt;&lt;rec-number&gt;248&lt;/rec-number&gt;&lt;foreign-keys&gt;&lt;key app="EN" db-id="aaepvppzs5wtfse95vsp2wahsrtvva2vvdet" timestamp="1664497329"&gt;248&lt;/key&gt;&lt;/foreign-keys&gt;&lt;ref-type name="Web Page"&gt;12&lt;/ref-type&gt;&lt;contributors&gt;&lt;authors&gt;&lt;author&gt;Nationwide Service Framework Library,&lt;/author&gt;&lt;/authors&gt;&lt;/contributors&gt;&lt;titles&gt;&lt;title&gt;Inpatient average length of stay (Data file)&lt;/title&gt;&lt;/titles&gt;&lt;number&gt;31 October 2022&lt;/number&gt;&lt;dates&gt;&lt;year&gt;2022&lt;/year&gt;&lt;/dates&gt;&lt;urls&gt;&lt;related-urls&gt;&lt;url&gt;https://nsfl.health.govt.nz/accountability/performance-and-monitoring/data-quarterly-reports-and-reporting/inpatient-average&lt;/url&gt;&lt;/related-urls&gt;&lt;/urls&gt;&lt;/record&gt;&lt;/Cite&gt;&lt;/EndNote&gt;</w:instrText>
      </w:r>
      <w:r w:rsidRPr="00344776">
        <w:fldChar w:fldCharType="separate"/>
      </w:r>
      <w:r w:rsidRPr="00344776">
        <w:rPr>
          <w:noProof/>
        </w:rPr>
        <w:t>(Nationwide Service Framework Library 2022b)</w:t>
      </w:r>
      <w:r w:rsidRPr="00344776">
        <w:fldChar w:fldCharType="end"/>
      </w:r>
      <w:r w:rsidRPr="00344776">
        <w:t>. Over the last</w:t>
      </w:r>
      <w:r w:rsidRPr="00344776" w:rsidDel="00612550">
        <w:t xml:space="preserve"> </w:t>
      </w:r>
      <w:r>
        <w:t>5</w:t>
      </w:r>
      <w:r w:rsidRPr="00344776">
        <w:t xml:space="preserve"> years, Māori have had a shorter </w:t>
      </w:r>
      <w:r>
        <w:t xml:space="preserve">average </w:t>
      </w:r>
      <w:r w:rsidRPr="00344776">
        <w:t xml:space="preserve">length of stay than Pacific peoples and non-Māori/non-Pacific </w:t>
      </w:r>
      <w:r>
        <w:t>people</w:t>
      </w:r>
      <w:r w:rsidRPr="00344776">
        <w:t>.</w:t>
      </w:r>
    </w:p>
    <w:p w14:paraId="54825742" w14:textId="7A329663" w:rsidR="006659D5" w:rsidRPr="00344776" w:rsidRDefault="006659D5" w:rsidP="006659D5">
      <w:pPr>
        <w:pStyle w:val="Figure"/>
      </w:pPr>
      <w:bookmarkStart w:id="190" w:name="_Toc118446255"/>
      <w:bookmarkStart w:id="191" w:name="_Toc118730690"/>
      <w:bookmarkStart w:id="192" w:name="_Toc119047785"/>
      <w:r w:rsidRPr="00344776">
        <w:t xml:space="preserve">Figure </w:t>
      </w:r>
      <w:r w:rsidRPr="00344776">
        <w:fldChar w:fldCharType="begin"/>
      </w:r>
      <w:r w:rsidRPr="00344776">
        <w:instrText>SEQ Figure \* ARABIC</w:instrText>
      </w:r>
      <w:r w:rsidRPr="00344776">
        <w:fldChar w:fldCharType="separate"/>
      </w:r>
      <w:r w:rsidR="00F61845">
        <w:rPr>
          <w:noProof/>
        </w:rPr>
        <w:t>41</w:t>
      </w:r>
      <w:r w:rsidRPr="00344776">
        <w:fldChar w:fldCharType="end"/>
      </w:r>
      <w:r w:rsidRPr="00344776">
        <w:t xml:space="preserve">: </w:t>
      </w:r>
      <w:r>
        <w:t>Acute inpatient discharges standardised a</w:t>
      </w:r>
      <w:r w:rsidRPr="00344776">
        <w:t>verage length of stay</w:t>
      </w:r>
      <w:r>
        <w:t>, in days</w:t>
      </w:r>
      <w:r w:rsidRPr="00344776">
        <w:t>, by prioritised ethnic group, 2017–2021</w:t>
      </w:r>
      <w:bookmarkEnd w:id="190"/>
      <w:bookmarkEnd w:id="191"/>
      <w:bookmarkEnd w:id="192"/>
    </w:p>
    <w:p w14:paraId="275A6D0C" w14:textId="77777777" w:rsidR="006659D5" w:rsidRPr="00344776" w:rsidRDefault="006659D5" w:rsidP="00CC579C">
      <w:r w:rsidRPr="00344776">
        <w:rPr>
          <w:noProof/>
        </w:rPr>
        <w:drawing>
          <wp:inline distT="0" distB="0" distL="0" distR="0" wp14:anchorId="09AAF866" wp14:editId="7F0828AF">
            <wp:extent cx="5394901" cy="2876550"/>
            <wp:effectExtent l="0" t="0" r="0" b="0"/>
            <wp:docPr id="320162241" name="Picture 320162241" descr="This is a timeseries line chart showing the standardises average length of stay, in days, for acute conditions by prioritised ethnic group between 2017 and 2021. Across the time series, European/other had the longest stay, followed by Pacific peoples, and then Māori. For the total population, the average discharge length increased from 2.5 days in 2017 to 2.6 day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62241" name="Picture 320162241" descr="This is a timeseries line chart showing the standardises average length of stay, in days, for acute conditions by prioritised ethnic group between 2017 and 2021. Across the time series, European/other had the longest stay, followed by Pacific peoples, and then Māori. For the total population, the average discharge length increased from 2.5 days in 2017 to 2.6 days in 2021."/>
                    <pic:cNvPicPr>
                      <a:picLocks noChangeAspect="1" noChangeArrowheads="1"/>
                    </pic:cNvPicPr>
                  </pic:nvPicPr>
                  <pic:blipFill>
                    <a:blip r:embed="rId108"/>
                    <a:stretch>
                      <a:fillRect/>
                    </a:stretch>
                  </pic:blipFill>
                  <pic:spPr bwMode="auto">
                    <a:xfrm>
                      <a:off x="0" y="0"/>
                      <a:ext cx="5394901" cy="2876550"/>
                    </a:xfrm>
                    <a:prstGeom prst="rect">
                      <a:avLst/>
                    </a:prstGeom>
                    <a:noFill/>
                    <a:ln>
                      <a:noFill/>
                    </a:ln>
                  </pic:spPr>
                </pic:pic>
              </a:graphicData>
            </a:graphic>
          </wp:inline>
        </w:drawing>
      </w:r>
    </w:p>
    <w:p w14:paraId="531638AE" w14:textId="1F521FB2" w:rsidR="006659D5" w:rsidRPr="00344776" w:rsidRDefault="006659D5" w:rsidP="006659D5">
      <w:pPr>
        <w:pStyle w:val="Source"/>
      </w:pPr>
      <w:r w:rsidRPr="00344776">
        <w:t xml:space="preserve">Source: </w:t>
      </w:r>
      <w:hyperlink r:id="rId109" w:history="1">
        <w:r w:rsidRPr="00344776">
          <w:rPr>
            <w:rStyle w:val="Hyperlink"/>
          </w:rPr>
          <w:t>Nationwide Service Framework Library (2022b)</w:t>
        </w:r>
      </w:hyperlink>
    </w:p>
    <w:p w14:paraId="4F391C6E" w14:textId="77777777" w:rsidR="00B51E1F" w:rsidRDefault="00B51E1F" w:rsidP="006659D5">
      <w:pPr>
        <w:pStyle w:val="Heading3"/>
        <w:sectPr w:rsidR="00B51E1F" w:rsidSect="00D91482">
          <w:headerReference w:type="default" r:id="rId110"/>
          <w:footerReference w:type="even" r:id="rId111"/>
          <w:footerReference w:type="default" r:id="rId112"/>
          <w:pgSz w:w="11907" w:h="16840" w:code="9"/>
          <w:pgMar w:top="1418" w:right="1701" w:bottom="1134" w:left="1843" w:header="284" w:footer="425" w:gutter="284"/>
          <w:cols w:space="720"/>
        </w:sectPr>
      </w:pPr>
    </w:p>
    <w:p w14:paraId="2B13D66E" w14:textId="618BE766" w:rsidR="006659D5" w:rsidRPr="006659D5" w:rsidRDefault="006659D5" w:rsidP="00B51E1F">
      <w:pPr>
        <w:pStyle w:val="Heading3"/>
        <w:spacing w:before="0"/>
      </w:pPr>
      <w:r w:rsidRPr="006659D5">
        <w:lastRenderedPageBreak/>
        <w:t>Planned care</w:t>
      </w:r>
    </w:p>
    <w:p w14:paraId="33160DF5" w14:textId="2222612F" w:rsidR="006659D5" w:rsidRPr="00344776" w:rsidRDefault="006659D5" w:rsidP="006659D5">
      <w:pPr>
        <w:pStyle w:val="Heading4"/>
      </w:pPr>
      <w:r w:rsidRPr="00344776">
        <w:t xml:space="preserve">Wait times </w:t>
      </w:r>
    </w:p>
    <w:p w14:paraId="70223B3B" w14:textId="1BF703DF" w:rsidR="006659D5" w:rsidRPr="00344776" w:rsidRDefault="00253316" w:rsidP="006659D5">
      <w:pPr>
        <w:pStyle w:val="Heading5"/>
      </w:pPr>
      <w:r w:rsidRPr="00344776">
        <w:rPr>
          <w:noProof/>
        </w:rPr>
        <w:drawing>
          <wp:anchor distT="0" distB="0" distL="114300" distR="114300" simplePos="0" relativeHeight="251658242" behindDoc="0" locked="0" layoutInCell="1" allowOverlap="1" wp14:anchorId="770DB449" wp14:editId="79A81499">
            <wp:simplePos x="0" y="0"/>
            <wp:positionH relativeFrom="margin">
              <wp:posOffset>2954020</wp:posOffset>
            </wp:positionH>
            <wp:positionV relativeFrom="paragraph">
              <wp:posOffset>102832</wp:posOffset>
            </wp:positionV>
            <wp:extent cx="2176145" cy="1160780"/>
            <wp:effectExtent l="0" t="0" r="0" b="1270"/>
            <wp:wrapSquare wrapText="bothSides"/>
            <wp:docPr id="20" name="Picture 1008" descr="By the end of 2021 almost 2 in 5 people were waiting longer than 4 months for elective treatment/surgery">
              <a:extLst xmlns:a="http://schemas.openxmlformats.org/drawingml/2006/main">
                <a:ext uri="{FF2B5EF4-FFF2-40B4-BE49-F238E27FC236}">
                  <a16:creationId xmlns:a16="http://schemas.microsoft.com/office/drawing/2014/main" id="{5D2B0A6E-FF6E-4D06-8589-867408C04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08" descr="By the end of 2021 almost 2 in 5 people were waiting longer than 4 months for elective treatment/surgery">
                      <a:extLst>
                        <a:ext uri="{FF2B5EF4-FFF2-40B4-BE49-F238E27FC236}">
                          <a16:creationId xmlns:a16="http://schemas.microsoft.com/office/drawing/2014/main" id="{5D2B0A6E-FF6E-4D06-8589-867408C0439E}"/>
                        </a:ext>
                      </a:extLst>
                    </pic:cNvPr>
                    <pic:cNvPicPr>
                      <a:picLocks noChangeAspect="1"/>
                    </pic:cNvPicPr>
                  </pic:nvPicPr>
                  <pic:blipFill>
                    <a:blip r:embed="rId113"/>
                    <a:stretch>
                      <a:fillRect/>
                    </a:stretch>
                  </pic:blipFill>
                  <pic:spPr>
                    <a:xfrm>
                      <a:off x="0" y="0"/>
                      <a:ext cx="2176145" cy="1160780"/>
                    </a:xfrm>
                    <a:prstGeom prst="rect">
                      <a:avLst/>
                    </a:prstGeom>
                  </pic:spPr>
                </pic:pic>
              </a:graphicData>
            </a:graphic>
          </wp:anchor>
        </w:drawing>
      </w:r>
      <w:r w:rsidR="006659D5" w:rsidRPr="00344776">
        <w:t>Elective surgery/treatment</w:t>
      </w:r>
    </w:p>
    <w:p w14:paraId="6C472E5B" w14:textId="5B7C28C7" w:rsidR="006659D5" w:rsidRPr="00344776" w:rsidRDefault="00590B82" w:rsidP="006659D5">
      <w:r w:rsidRPr="00344776">
        <w:t xml:space="preserve">The COVID-19 pandemic </w:t>
      </w:r>
      <w:r>
        <w:t xml:space="preserve">affected </w:t>
      </w:r>
      <w:r w:rsidRPr="00344776">
        <w:t xml:space="preserve">wait times for planned care in 2021. </w:t>
      </w:r>
      <w:r w:rsidR="00B51E1F">
        <w:fldChar w:fldCharType="begin"/>
      </w:r>
      <w:r w:rsidR="00B51E1F">
        <w:instrText xml:space="preserve"> REF _Ref118728817 \h </w:instrText>
      </w:r>
      <w:r w:rsidR="00B51E1F">
        <w:fldChar w:fldCharType="separate"/>
      </w:r>
      <w:r w:rsidR="00F61845" w:rsidRPr="00344776">
        <w:t xml:space="preserve">Figure </w:t>
      </w:r>
      <w:r w:rsidR="00F61845">
        <w:rPr>
          <w:noProof/>
        </w:rPr>
        <w:t>42</w:t>
      </w:r>
      <w:r w:rsidR="00B51E1F">
        <w:fldChar w:fldCharType="end"/>
      </w:r>
      <w:r w:rsidR="00B51E1F">
        <w:t xml:space="preserve"> </w:t>
      </w:r>
      <w:r w:rsidRPr="00344776">
        <w:t>shows</w:t>
      </w:r>
      <w:r>
        <w:t xml:space="preserve"> that</w:t>
      </w:r>
      <w:r w:rsidRPr="00344776">
        <w:t xml:space="preserve"> the peaks in wait time correspond</w:t>
      </w:r>
      <w:r>
        <w:t>ed</w:t>
      </w:r>
      <w:r w:rsidRPr="00344776">
        <w:t xml:space="preserve"> with lockdown periods and the Delta COVID-19 wave </w:t>
      </w:r>
      <w:r w:rsidRPr="00344776">
        <w:fldChar w:fldCharType="begin"/>
      </w:r>
      <w:r>
        <w:instrText xml:space="preserve"> ADDIN EN.CITE &lt;EndNote&gt;&lt;Cite&gt;&lt;Author&gt;Ministry of Health&lt;/Author&gt;&lt;Year&gt;2022&lt;/Year&gt;&lt;RecNum&gt;231&lt;/RecNum&gt;&lt;DisplayText&gt;(Ministry of Health 2022s)&lt;/DisplayText&gt;&lt;record&gt;&lt;rec-number&gt;231&lt;/rec-number&gt;&lt;foreign-keys&gt;&lt;key app="EN" db-id="aaepvppzs5wtfse95vsp2wahsrtvva2vvdet" timestamp="1663903826"&gt;231&lt;/key&gt;&lt;/foreign-keys&gt;&lt;ref-type name="Web Page"&gt;12&lt;/ref-type&gt;&lt;contributors&gt;&lt;authors&gt;&lt;author&gt;Ministry of Health,&lt;/author&gt;&lt;/authors&gt;&lt;/contributors&gt;&lt;titles&gt;&lt;title&gt;National Booking Reporting System data dictionary&lt;/title&gt;&lt;/titles&gt;&lt;number&gt;31 October 2022&lt;/number&gt;&lt;dates&gt;&lt;year&gt;2022&lt;/year&gt;&lt;/dates&gt;&lt;urls&gt;&lt;related-urls&gt;&lt;url&gt;https://www.health.govt.nz/publication/national-booking-reporting-system-data-dictionary&lt;/url&gt;&lt;/related-urls&gt;&lt;/urls&gt;&lt;/record&gt;&lt;/Cite&gt;&lt;/EndNote&gt;</w:instrText>
      </w:r>
      <w:r w:rsidRPr="00344776">
        <w:fldChar w:fldCharType="separate"/>
      </w:r>
      <w:r w:rsidRPr="00344776">
        <w:rPr>
          <w:noProof/>
        </w:rPr>
        <w:t>(Ministry of Health 2022s)</w:t>
      </w:r>
      <w:r w:rsidRPr="00344776">
        <w:fldChar w:fldCharType="end"/>
      </w:r>
      <w:r w:rsidR="006659D5" w:rsidRPr="00344776">
        <w:t>.</w:t>
      </w:r>
    </w:p>
    <w:p w14:paraId="01CA56DE" w14:textId="77777777" w:rsidR="006659D5" w:rsidRPr="00344776" w:rsidRDefault="006659D5" w:rsidP="006659D5"/>
    <w:p w14:paraId="4A73353A" w14:textId="2ACF9335" w:rsidR="006659D5" w:rsidRPr="00344776" w:rsidRDefault="006659D5" w:rsidP="006659D5">
      <w:pPr>
        <w:pStyle w:val="Figure"/>
      </w:pPr>
      <w:bookmarkStart w:id="193" w:name="_Ref118728817"/>
      <w:bookmarkStart w:id="194" w:name="_Toc118446256"/>
      <w:bookmarkStart w:id="195" w:name="_Toc118730691"/>
      <w:bookmarkStart w:id="196" w:name="_Toc119047786"/>
      <w:r w:rsidRPr="00344776">
        <w:t xml:space="preserve">Figure </w:t>
      </w:r>
      <w:r w:rsidRPr="00344776">
        <w:fldChar w:fldCharType="begin"/>
      </w:r>
      <w:r w:rsidRPr="00344776">
        <w:instrText>SEQ Figure \* ARABIC</w:instrText>
      </w:r>
      <w:r w:rsidRPr="00344776">
        <w:fldChar w:fldCharType="separate"/>
      </w:r>
      <w:r w:rsidR="00F61845">
        <w:rPr>
          <w:noProof/>
        </w:rPr>
        <w:t>42</w:t>
      </w:r>
      <w:r w:rsidRPr="00344776">
        <w:fldChar w:fldCharType="end"/>
      </w:r>
      <w:bookmarkEnd w:id="193"/>
      <w:r w:rsidRPr="00344776">
        <w:t xml:space="preserve">: Proportion of patients </w:t>
      </w:r>
      <w:r>
        <w:t>who</w:t>
      </w:r>
      <w:r w:rsidRPr="00344776">
        <w:t xml:space="preserve"> waited longer than 4 months for assessment and elective treatment or surgery, January 2019–December 2021</w:t>
      </w:r>
      <w:bookmarkEnd w:id="194"/>
      <w:bookmarkEnd w:id="195"/>
      <w:bookmarkEnd w:id="196"/>
    </w:p>
    <w:p w14:paraId="40CDBCDA" w14:textId="77777777" w:rsidR="006659D5" w:rsidRPr="00344776" w:rsidRDefault="006659D5" w:rsidP="006659D5">
      <w:pPr>
        <w:rPr>
          <w:szCs w:val="21"/>
        </w:rPr>
      </w:pPr>
      <w:r w:rsidRPr="00344776">
        <w:rPr>
          <w:noProof/>
        </w:rPr>
        <w:drawing>
          <wp:inline distT="0" distB="0" distL="0" distR="0" wp14:anchorId="64AB08BF" wp14:editId="107B61C1">
            <wp:extent cx="5394901" cy="2876550"/>
            <wp:effectExtent l="0" t="0" r="0" b="0"/>
            <wp:docPr id="320162242" name="Picture 320162242" descr="This is a timeseries line chart showing the proportion of patients that waited for longer than 4 months for assessment or elective surgery. In December 2018, both were around 10%, but increased to 25% and 38% respectively by the end of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62242" name="Picture 320162242" descr="This is a timeseries line chart showing the proportion of patients that waited for longer than 4 months for assessment or elective surgery. In December 2018, both were around 10%, but increased to 25% and 38% respectively by the end of 2021."/>
                    <pic:cNvPicPr>
                      <a:picLocks noChangeAspect="1" noChangeArrowheads="1"/>
                    </pic:cNvPicPr>
                  </pic:nvPicPr>
                  <pic:blipFill>
                    <a:blip r:embed="rId114"/>
                    <a:stretch>
                      <a:fillRect/>
                    </a:stretch>
                  </pic:blipFill>
                  <pic:spPr bwMode="auto">
                    <a:xfrm>
                      <a:off x="0" y="0"/>
                      <a:ext cx="5394901" cy="2876550"/>
                    </a:xfrm>
                    <a:prstGeom prst="rect">
                      <a:avLst/>
                    </a:prstGeom>
                    <a:noFill/>
                    <a:ln>
                      <a:noFill/>
                    </a:ln>
                  </pic:spPr>
                </pic:pic>
              </a:graphicData>
            </a:graphic>
          </wp:inline>
        </w:drawing>
      </w:r>
    </w:p>
    <w:p w14:paraId="2FD2CC51" w14:textId="77777777" w:rsidR="006659D5" w:rsidRPr="00344776" w:rsidRDefault="006659D5" w:rsidP="006659D5">
      <w:pPr>
        <w:pStyle w:val="Source"/>
      </w:pPr>
      <w:r w:rsidRPr="00344776">
        <w:t>Source: Ministry of Health unpublished data (2022)</w:t>
      </w:r>
    </w:p>
    <w:p w14:paraId="44F50017" w14:textId="77777777" w:rsidR="006659D5" w:rsidRPr="00344776" w:rsidRDefault="006659D5" w:rsidP="006659D5"/>
    <w:p w14:paraId="1119C577" w14:textId="77777777" w:rsidR="00B51E1F" w:rsidRDefault="00B51E1F" w:rsidP="006659D5">
      <w:pPr>
        <w:sectPr w:rsidR="00B51E1F" w:rsidSect="00D91482">
          <w:pgSz w:w="11907" w:h="16840" w:code="9"/>
          <w:pgMar w:top="1418" w:right="1701" w:bottom="1134" w:left="1843" w:header="284" w:footer="425" w:gutter="284"/>
          <w:cols w:space="720"/>
        </w:sectPr>
      </w:pPr>
    </w:p>
    <w:p w14:paraId="061142D5" w14:textId="5B2C0EE5" w:rsidR="006659D5" w:rsidRDefault="006659D5" w:rsidP="006659D5">
      <w:r w:rsidRPr="00344776">
        <w:lastRenderedPageBreak/>
        <w:t xml:space="preserve">Wait times vary between specialty, as shown in </w:t>
      </w:r>
      <w:r>
        <w:fldChar w:fldCharType="begin"/>
      </w:r>
      <w:r>
        <w:instrText xml:space="preserve"> REF _Ref117092320 \h </w:instrText>
      </w:r>
      <w:r>
        <w:fldChar w:fldCharType="separate"/>
      </w:r>
      <w:r w:rsidR="00F61845" w:rsidRPr="00344776">
        <w:t xml:space="preserve">Figure </w:t>
      </w:r>
      <w:r w:rsidR="00F61845">
        <w:rPr>
          <w:noProof/>
        </w:rPr>
        <w:t>43</w:t>
      </w:r>
      <w:r>
        <w:fldChar w:fldCharType="end"/>
      </w:r>
      <w:r w:rsidRPr="00344776">
        <w:t xml:space="preserve"> below. </w:t>
      </w:r>
    </w:p>
    <w:p w14:paraId="5F3D9C00" w14:textId="445BB8DE" w:rsidR="006659D5" w:rsidRPr="00344776" w:rsidRDefault="006659D5" w:rsidP="00253316">
      <w:pPr>
        <w:pStyle w:val="Figure"/>
      </w:pPr>
      <w:bookmarkStart w:id="197" w:name="_Ref117092320"/>
      <w:bookmarkStart w:id="198" w:name="_Toc118446257"/>
      <w:bookmarkStart w:id="199" w:name="_Toc119047787"/>
      <w:r w:rsidRPr="00344776">
        <w:t xml:space="preserve">Figure </w:t>
      </w:r>
      <w:r w:rsidRPr="00344776">
        <w:fldChar w:fldCharType="begin"/>
      </w:r>
      <w:r w:rsidRPr="00344776">
        <w:instrText>SEQ Figure \* ARABIC</w:instrText>
      </w:r>
      <w:r w:rsidRPr="00344776">
        <w:fldChar w:fldCharType="separate"/>
      </w:r>
      <w:r w:rsidR="00F61845">
        <w:rPr>
          <w:noProof/>
        </w:rPr>
        <w:t>43</w:t>
      </w:r>
      <w:r w:rsidRPr="00344776">
        <w:fldChar w:fldCharType="end"/>
      </w:r>
      <w:bookmarkEnd w:id="197"/>
      <w:r w:rsidRPr="00344776">
        <w:t xml:space="preserve">: Proportion of patients </w:t>
      </w:r>
      <w:r>
        <w:t xml:space="preserve">who </w:t>
      </w:r>
      <w:r w:rsidRPr="00344776">
        <w:t>waited longer than 4 months for elective treatment/surgery</w:t>
      </w:r>
      <w:r>
        <w:t>,</w:t>
      </w:r>
      <w:r w:rsidRPr="00344776">
        <w:t xml:space="preserve"> by specialty, 2021</w:t>
      </w:r>
      <w:bookmarkEnd w:id="198"/>
      <w:bookmarkEnd w:id="199"/>
    </w:p>
    <w:p w14:paraId="599695CC" w14:textId="77777777" w:rsidR="006659D5" w:rsidRPr="00344776" w:rsidRDefault="006659D5" w:rsidP="006659D5">
      <w:r w:rsidRPr="00344776">
        <w:rPr>
          <w:noProof/>
        </w:rPr>
        <w:drawing>
          <wp:inline distT="0" distB="0" distL="0" distR="0" wp14:anchorId="6861DED6" wp14:editId="69200689">
            <wp:extent cx="5138353" cy="2648607"/>
            <wp:effectExtent l="0" t="0" r="5715" b="0"/>
            <wp:docPr id="320162243" name="Picture 320162243" descr="This is a bar chart showing the proportion of patients that waited longer than 4 months for elective treatment/surgery by specialty in 2021. Orthopaedics (50%), followed by Dental (47%), then Vascular and Urology (both 38%) had the highest proportion of patients waiting longer than 4 months. Cardiology (16%), Cardiothoracic (24%), and Plastics (26%) had the lowest proportion of patients waiting longer than 4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62243" name="Picture 320162243" descr="This is a bar chart showing the proportion of patients that waited longer than 4 months for elective treatment/surgery by specialty in 2021. Orthopaedics (50%), followed by Dental (47%), then Vascular and Urology (both 38%) had the highest proportion of patients waiting longer than 4 months. Cardiology (16%), Cardiothoracic (24%), and Plastics (26%) had the lowest proportion of patients waiting longer than 4 months."/>
                    <pic:cNvPicPr>
                      <a:picLocks noChangeAspect="1" noChangeArrowheads="1"/>
                    </pic:cNvPicPr>
                  </pic:nvPicPr>
                  <pic:blipFill rotWithShape="1">
                    <a:blip r:embed="rId115"/>
                    <a:srcRect t="3327"/>
                    <a:stretch/>
                  </pic:blipFill>
                  <pic:spPr bwMode="auto">
                    <a:xfrm>
                      <a:off x="0" y="0"/>
                      <a:ext cx="5146119" cy="2652610"/>
                    </a:xfrm>
                    <a:prstGeom prst="rect">
                      <a:avLst/>
                    </a:prstGeom>
                    <a:noFill/>
                    <a:ln>
                      <a:noFill/>
                    </a:ln>
                    <a:extLst>
                      <a:ext uri="{53640926-AAD7-44D8-BBD7-CCE9431645EC}">
                        <a14:shadowObscured xmlns:a14="http://schemas.microsoft.com/office/drawing/2010/main"/>
                      </a:ext>
                    </a:extLst>
                  </pic:spPr>
                </pic:pic>
              </a:graphicData>
            </a:graphic>
          </wp:inline>
        </w:drawing>
      </w:r>
    </w:p>
    <w:p w14:paraId="00FD9F3C" w14:textId="77777777" w:rsidR="006659D5" w:rsidRPr="00344776" w:rsidRDefault="006659D5" w:rsidP="006659D5">
      <w:pPr>
        <w:pStyle w:val="Source"/>
      </w:pPr>
      <w:r w:rsidRPr="00344776">
        <w:t>Source: Ministry of Health unpublished data (2022)</w:t>
      </w:r>
    </w:p>
    <w:p w14:paraId="51618BFD" w14:textId="2AEE4551" w:rsidR="006659D5" w:rsidRPr="00344776" w:rsidRDefault="006659D5" w:rsidP="006659D5">
      <w:pPr>
        <w:pStyle w:val="Heading5"/>
      </w:pPr>
      <w:r w:rsidRPr="00344776">
        <w:t xml:space="preserve">First specialist assessment </w:t>
      </w:r>
    </w:p>
    <w:p w14:paraId="66279BBA" w14:textId="76EDE191" w:rsidR="00590B82" w:rsidRPr="00344776" w:rsidRDefault="00B76C72" w:rsidP="00590B82">
      <w:r w:rsidRPr="00344776">
        <w:rPr>
          <w:noProof/>
        </w:rPr>
        <w:drawing>
          <wp:anchor distT="0" distB="0" distL="114300" distR="114300" simplePos="0" relativeHeight="251658249" behindDoc="0" locked="0" layoutInCell="1" allowOverlap="1" wp14:anchorId="7E6FA326" wp14:editId="41175FE0">
            <wp:simplePos x="0" y="0"/>
            <wp:positionH relativeFrom="margin">
              <wp:align>right</wp:align>
            </wp:positionH>
            <wp:positionV relativeFrom="paragraph">
              <wp:posOffset>7669</wp:posOffset>
            </wp:positionV>
            <wp:extent cx="2176145" cy="1188720"/>
            <wp:effectExtent l="0" t="0" r="0" b="0"/>
            <wp:wrapSquare wrapText="bothSides"/>
            <wp:docPr id="25" name="Picture 1086" descr="By the end of 2021, 1 in 4 people were waiting longer than 4 months for their first specialist assessment">
              <a:extLst xmlns:a="http://schemas.openxmlformats.org/drawingml/2006/main">
                <a:ext uri="{FF2B5EF4-FFF2-40B4-BE49-F238E27FC236}">
                  <a16:creationId xmlns:a16="http://schemas.microsoft.com/office/drawing/2014/main" id="{893C6504-3CA0-48E0-88DB-4CDB2F84BF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86" descr="By the end of 2021, 1 in 4 people were waiting longer than 4 months for their first specialist assessment">
                      <a:extLst>
                        <a:ext uri="{FF2B5EF4-FFF2-40B4-BE49-F238E27FC236}">
                          <a16:creationId xmlns:a16="http://schemas.microsoft.com/office/drawing/2014/main" id="{893C6504-3CA0-48E0-88DB-4CDB2F84BF9E}"/>
                        </a:ext>
                      </a:extLst>
                    </pic:cNvPr>
                    <pic:cNvPicPr>
                      <a:picLocks noChangeAspect="1"/>
                    </pic:cNvPicPr>
                  </pic:nvPicPr>
                  <pic:blipFill>
                    <a:blip r:embed="rId116"/>
                    <a:stretch>
                      <a:fillRect/>
                    </a:stretch>
                  </pic:blipFill>
                  <pic:spPr>
                    <a:xfrm>
                      <a:off x="0" y="0"/>
                      <a:ext cx="2176145" cy="1188720"/>
                    </a:xfrm>
                    <a:prstGeom prst="rect">
                      <a:avLst/>
                    </a:prstGeom>
                  </pic:spPr>
                </pic:pic>
              </a:graphicData>
            </a:graphic>
          </wp:anchor>
        </w:drawing>
      </w:r>
      <w:r w:rsidR="00590B82">
        <w:rPr>
          <w:noProof/>
        </w:rPr>
        <w:t xml:space="preserve">The term ‘first specialist assessment’ (FSA) refers to </w:t>
      </w:r>
      <w:r w:rsidR="00590B82" w:rsidRPr="008266DC">
        <w:rPr>
          <w:noProof/>
        </w:rPr>
        <w:t>the assessment undertaken by a hospital specialist following referral by a patient’s primary care practitioner, usually a general practitioner (GP).</w:t>
      </w:r>
      <w:r w:rsidR="00590B82">
        <w:rPr>
          <w:noProof/>
        </w:rPr>
        <w:t xml:space="preserve"> </w:t>
      </w:r>
      <w:r w:rsidR="00590B82" w:rsidRPr="00344776">
        <w:rPr>
          <w:noProof/>
        </w:rPr>
        <w:t xml:space="preserve">By the end of 2021, one in </w:t>
      </w:r>
      <w:r w:rsidR="00590B82">
        <w:rPr>
          <w:noProof/>
        </w:rPr>
        <w:t>4</w:t>
      </w:r>
      <w:r w:rsidR="00590B82" w:rsidRPr="00344776">
        <w:rPr>
          <w:noProof/>
        </w:rPr>
        <w:t xml:space="preserve"> people were waiting longer than </w:t>
      </w:r>
      <w:r w:rsidR="00590B82">
        <w:rPr>
          <w:noProof/>
        </w:rPr>
        <w:t>4</w:t>
      </w:r>
      <w:r w:rsidR="00590B82" w:rsidRPr="00344776">
        <w:rPr>
          <w:noProof/>
        </w:rPr>
        <w:t xml:space="preserve"> months for the</w:t>
      </w:r>
      <w:r w:rsidR="00590B82">
        <w:rPr>
          <w:noProof/>
        </w:rPr>
        <w:t>ir</w:t>
      </w:r>
      <w:r w:rsidR="00590B82" w:rsidRPr="00344776">
        <w:rPr>
          <w:noProof/>
        </w:rPr>
        <w:t xml:space="preserve"> FSA. </w:t>
      </w:r>
      <w:r w:rsidR="00590B82">
        <w:rPr>
          <w:noProof/>
        </w:rPr>
        <w:t xml:space="preserve">Figure 44 </w:t>
      </w:r>
      <w:r w:rsidR="00590B82" w:rsidRPr="00344776">
        <w:rPr>
          <w:noProof/>
        </w:rPr>
        <w:t xml:space="preserve">shows </w:t>
      </w:r>
      <w:r w:rsidR="00590B82" w:rsidRPr="00344776">
        <w:t xml:space="preserve">wait times for FSA by specialty </w:t>
      </w:r>
      <w:r w:rsidR="00590B82" w:rsidRPr="00344776">
        <w:fldChar w:fldCharType="begin"/>
      </w:r>
      <w:r w:rsidR="00590B82">
        <w:instrText xml:space="preserve"> ADDIN EN.CITE &lt;EndNote&gt;&lt;Cite&gt;&lt;Author&gt;Ministry of Health&lt;/Author&gt;&lt;Year&gt;2022&lt;/Year&gt;&lt;RecNum&gt;249&lt;/RecNum&gt;&lt;DisplayText&gt;(Ministry of Health 2022g)&lt;/DisplayText&gt;&lt;record&gt;&lt;rec-number&gt;249&lt;/rec-number&gt;&lt;foreign-keys&gt;&lt;key app="EN" db-id="aaepvppzs5wtfse95vsp2wahsrtvva2vvdet" timestamp="1664497612"&gt;249&lt;/key&gt;&lt;/foreign-keys&gt;&lt;ref-type name="Web Page"&gt;12&lt;/ref-type&gt;&lt;contributors&gt;&lt;authors&gt;&lt;author&gt;Ministry of Health,&lt;/author&gt;&lt;/authors&gt;&lt;/contributors&gt;&lt;titles&gt;&lt;title&gt;Elective Services Patient Flow Indicators Web Tool (Data file)&lt;/title&gt;&lt;/titles&gt;&lt;number&gt;31 October 2022&lt;/number&gt;&lt;dates&gt;&lt;year&gt;2022&lt;/year&gt;&lt;/dates&gt;&lt;urls&gt;&lt;related-urls&gt;&lt;url&gt;https://minhealthnz2.shinyapps.io/ESPI-app/&lt;/url&gt;&lt;/related-urls&gt;&lt;/urls&gt;&lt;/record&gt;&lt;/Cite&gt;&lt;/EndNote&gt;</w:instrText>
      </w:r>
      <w:r w:rsidR="00590B82" w:rsidRPr="00344776">
        <w:fldChar w:fldCharType="separate"/>
      </w:r>
      <w:r w:rsidR="00590B82" w:rsidRPr="00344776">
        <w:rPr>
          <w:noProof/>
        </w:rPr>
        <w:t>(Ministry of Health 2022g)</w:t>
      </w:r>
      <w:r w:rsidR="00590B82" w:rsidRPr="00344776">
        <w:fldChar w:fldCharType="end"/>
      </w:r>
      <w:r w:rsidR="00590B82" w:rsidRPr="00344776">
        <w:t>.</w:t>
      </w:r>
    </w:p>
    <w:p w14:paraId="08742A74" w14:textId="775BBEAF" w:rsidR="006659D5" w:rsidRPr="00344776" w:rsidRDefault="006659D5" w:rsidP="00253316">
      <w:pPr>
        <w:pStyle w:val="Figure"/>
      </w:pPr>
      <w:bookmarkStart w:id="200" w:name="_Ref118731465"/>
      <w:bookmarkStart w:id="201" w:name="_Toc118446258"/>
      <w:bookmarkStart w:id="202" w:name="_Toc119047788"/>
      <w:r w:rsidRPr="00344776">
        <w:t xml:space="preserve">Figure </w:t>
      </w:r>
      <w:r w:rsidRPr="00344776">
        <w:fldChar w:fldCharType="begin"/>
      </w:r>
      <w:r w:rsidRPr="00344776">
        <w:instrText>SEQ Figure \* ARABIC</w:instrText>
      </w:r>
      <w:r w:rsidRPr="00344776">
        <w:fldChar w:fldCharType="separate"/>
      </w:r>
      <w:r w:rsidR="00F61845">
        <w:rPr>
          <w:noProof/>
        </w:rPr>
        <w:t>44</w:t>
      </w:r>
      <w:r w:rsidRPr="00344776">
        <w:fldChar w:fldCharType="end"/>
      </w:r>
      <w:bookmarkEnd w:id="200"/>
      <w:r w:rsidRPr="00344776">
        <w:t xml:space="preserve">: Proportion of patients </w:t>
      </w:r>
      <w:r>
        <w:t>who</w:t>
      </w:r>
      <w:r w:rsidRPr="00344776">
        <w:t xml:space="preserve"> waited longer than 4 months for first specialist assessment by specialty, 2021</w:t>
      </w:r>
      <w:bookmarkEnd w:id="201"/>
      <w:bookmarkEnd w:id="202"/>
    </w:p>
    <w:p w14:paraId="6B8D4974" w14:textId="77777777" w:rsidR="006659D5" w:rsidRPr="00344776" w:rsidRDefault="006659D5" w:rsidP="006659D5">
      <w:r w:rsidRPr="00344776">
        <w:rPr>
          <w:noProof/>
        </w:rPr>
        <w:drawing>
          <wp:inline distT="0" distB="0" distL="0" distR="0" wp14:anchorId="05336433" wp14:editId="4B4F89CD">
            <wp:extent cx="5234152" cy="2600044"/>
            <wp:effectExtent l="0" t="0" r="5080" b="0"/>
            <wp:docPr id="320162244" name="Picture 320162244" descr="This bar chart shows the proportion of patients that waited longer than 4 months for their first specialist assessment by specialty in 2021. Ear, Nose and throat (39%), followed by Orthopaedics (35%), and Plastics (35%) had the highest proportion of patients waiting longer than 4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62244" name="Picture 320162244" descr="This bar chart shows the proportion of patients that waited longer than 4 months for their first specialist assessment by specialty in 2021. Ear, Nose and throat (39%), followed by Orthopaedics (35%), and Plastics (35%) had the highest proportion of patients waiting longer than 4 months."/>
                    <pic:cNvPicPr>
                      <a:picLocks noChangeAspect="1" noChangeArrowheads="1"/>
                    </pic:cNvPicPr>
                  </pic:nvPicPr>
                  <pic:blipFill rotWithShape="1">
                    <a:blip r:embed="rId117"/>
                    <a:srcRect t="4065" b="2770"/>
                    <a:stretch/>
                  </pic:blipFill>
                  <pic:spPr bwMode="auto">
                    <a:xfrm>
                      <a:off x="0" y="0"/>
                      <a:ext cx="5239477" cy="2602689"/>
                    </a:xfrm>
                    <a:prstGeom prst="rect">
                      <a:avLst/>
                    </a:prstGeom>
                    <a:noFill/>
                    <a:ln>
                      <a:noFill/>
                    </a:ln>
                    <a:extLst>
                      <a:ext uri="{53640926-AAD7-44D8-BBD7-CCE9431645EC}">
                        <a14:shadowObscured xmlns:a14="http://schemas.microsoft.com/office/drawing/2010/main"/>
                      </a:ext>
                    </a:extLst>
                  </pic:spPr>
                </pic:pic>
              </a:graphicData>
            </a:graphic>
          </wp:inline>
        </w:drawing>
      </w:r>
    </w:p>
    <w:p w14:paraId="2722EE6B" w14:textId="77777777" w:rsidR="006659D5" w:rsidRPr="00344776" w:rsidRDefault="006659D5" w:rsidP="006659D5">
      <w:pPr>
        <w:pStyle w:val="Source"/>
      </w:pPr>
      <w:r w:rsidRPr="00344776">
        <w:t xml:space="preserve">Source: </w:t>
      </w:r>
      <w:hyperlink r:id="rId118">
        <w:r w:rsidRPr="00344776">
          <w:rPr>
            <w:rStyle w:val="Hyperlink"/>
          </w:rPr>
          <w:t>Ministry of Health (2022g)</w:t>
        </w:r>
      </w:hyperlink>
    </w:p>
    <w:p w14:paraId="2C63D0AB" w14:textId="7BB3765F" w:rsidR="006659D5" w:rsidRPr="00344776" w:rsidRDefault="006659D5" w:rsidP="006659D5">
      <w:pPr>
        <w:pStyle w:val="Note"/>
      </w:pPr>
      <w:r w:rsidRPr="00344776">
        <w:t xml:space="preserve">Note: There are a total of 36 speciality categories. </w:t>
      </w:r>
      <w:r>
        <w:t xml:space="preserve">This figure presents </w:t>
      </w:r>
      <w:r w:rsidRPr="00344776">
        <w:t xml:space="preserve">only the top </w:t>
      </w:r>
      <w:r>
        <w:t>8</w:t>
      </w:r>
      <w:r w:rsidRPr="00344776">
        <w:t xml:space="preserve"> specialities by volume.</w:t>
      </w:r>
    </w:p>
    <w:p w14:paraId="76BF0529" w14:textId="77777777" w:rsidR="006659D5" w:rsidRPr="00344776" w:rsidRDefault="006659D5" w:rsidP="006659D5">
      <w:pPr>
        <w:pStyle w:val="Heading4"/>
      </w:pPr>
      <w:r w:rsidRPr="00344776">
        <w:lastRenderedPageBreak/>
        <w:t>Planned care interventions</w:t>
      </w:r>
    </w:p>
    <w:p w14:paraId="1935F0DB" w14:textId="00C4C124" w:rsidR="006659D5" w:rsidRPr="00344776" w:rsidRDefault="00590B82" w:rsidP="006659D5">
      <w:r w:rsidRPr="00344776">
        <w:t xml:space="preserve">Over the last </w:t>
      </w:r>
      <w:r>
        <w:t>5</w:t>
      </w:r>
      <w:r w:rsidRPr="00344776">
        <w:t xml:space="preserve"> years, the number of minor procedures (selected procedures defined as minor surgical operations completed in an inpatient, outpatient or community setting) continued to increase</w:t>
      </w:r>
      <w:r>
        <w:t>. T</w:t>
      </w:r>
      <w:r w:rsidRPr="00344776">
        <w:t>he number of inpatient surgical treatment</w:t>
      </w:r>
      <w:r>
        <w:t>s</w:t>
      </w:r>
      <w:r w:rsidRPr="00344776">
        <w:t xml:space="preserve"> reduced slightly in 2020 but is now back to pre-COVID-19 levels.</w:t>
      </w:r>
      <w:r w:rsidR="006659D5" w:rsidRPr="00344776">
        <w:t xml:space="preserve"> </w:t>
      </w:r>
      <w:r w:rsidR="00AA6E7B">
        <w:fldChar w:fldCharType="begin"/>
      </w:r>
      <w:r w:rsidR="00AA6E7B">
        <w:instrText xml:space="preserve"> REF _Ref118730657 \h </w:instrText>
      </w:r>
      <w:r w:rsidR="00AA6E7B">
        <w:fldChar w:fldCharType="separate"/>
      </w:r>
      <w:r w:rsidR="00F61845" w:rsidRPr="00344776">
        <w:t xml:space="preserve">Figure </w:t>
      </w:r>
      <w:r w:rsidR="00F61845">
        <w:rPr>
          <w:noProof/>
        </w:rPr>
        <w:t>45</w:t>
      </w:r>
      <w:r w:rsidR="00AA6E7B">
        <w:fldChar w:fldCharType="end"/>
      </w:r>
      <w:r w:rsidR="006659D5">
        <w:t xml:space="preserve"> </w:t>
      </w:r>
      <w:r w:rsidR="006659D5" w:rsidRPr="00344776">
        <w:t xml:space="preserve">shows </w:t>
      </w:r>
      <w:r w:rsidRPr="00344776">
        <w:t>planned care delivery</w:t>
      </w:r>
      <w:r>
        <w:t xml:space="preserve"> in 2021. In total</w:t>
      </w:r>
      <w:r w:rsidRPr="00344776">
        <w:t xml:space="preserve">, 142,707 minor procedures and 174,104 inpatient surgical </w:t>
      </w:r>
      <w:r>
        <w:t xml:space="preserve">treatments were </w:t>
      </w:r>
      <w:r w:rsidRPr="00344776">
        <w:t>delivered.</w:t>
      </w:r>
    </w:p>
    <w:p w14:paraId="06820DCA" w14:textId="289AA05A" w:rsidR="006659D5" w:rsidRPr="00344776" w:rsidRDefault="006659D5" w:rsidP="006659D5">
      <w:pPr>
        <w:pStyle w:val="Figure"/>
      </w:pPr>
      <w:bookmarkStart w:id="203" w:name="_Ref118730657"/>
      <w:bookmarkStart w:id="204" w:name="_Toc118446259"/>
      <w:bookmarkStart w:id="205" w:name="_Toc118730692"/>
      <w:bookmarkStart w:id="206" w:name="_Toc119047789"/>
      <w:r w:rsidRPr="00344776">
        <w:t xml:space="preserve">Figure </w:t>
      </w:r>
      <w:r w:rsidRPr="00344776">
        <w:fldChar w:fldCharType="begin"/>
      </w:r>
      <w:r w:rsidRPr="00344776">
        <w:instrText>SEQ Figure \* ARABIC</w:instrText>
      </w:r>
      <w:r w:rsidRPr="00344776">
        <w:fldChar w:fldCharType="separate"/>
      </w:r>
      <w:r w:rsidR="00F61845">
        <w:rPr>
          <w:noProof/>
        </w:rPr>
        <w:t>45</w:t>
      </w:r>
      <w:r w:rsidRPr="00344776">
        <w:fldChar w:fldCharType="end"/>
      </w:r>
      <w:bookmarkEnd w:id="203"/>
      <w:r w:rsidRPr="00344776">
        <w:t>: Number of planned care interventions delivered, 2017–2021</w:t>
      </w:r>
      <w:bookmarkEnd w:id="204"/>
      <w:bookmarkEnd w:id="205"/>
      <w:bookmarkEnd w:id="206"/>
    </w:p>
    <w:p w14:paraId="4657B47B" w14:textId="77777777" w:rsidR="006659D5" w:rsidRPr="00344776" w:rsidRDefault="006659D5" w:rsidP="006659D5">
      <w:r w:rsidRPr="00344776">
        <w:rPr>
          <w:noProof/>
        </w:rPr>
        <w:drawing>
          <wp:inline distT="0" distB="0" distL="0" distR="0" wp14:anchorId="180A9B69" wp14:editId="69F8C2E4">
            <wp:extent cx="5394901" cy="2876550"/>
            <wp:effectExtent l="0" t="0" r="0" b="0"/>
            <wp:docPr id="320162245" name="Picture 320162245" descr="This timeseries line chart shows the number of planned care interventions delivered between 2017 and 2021. The number of inpatient surgical treatments remained between 170,000 to 180,000, while the number of minor procedures increased from 84,000 in 2017 to 143,000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62245" name="Picture 320162245" descr="This timeseries line chart shows the number of planned care interventions delivered between 2017 and 2021. The number of inpatient surgical treatments remained between 170,000 to 180,000, while the number of minor procedures increased from 84,000 in 2017 to 143,000 in 2021."/>
                    <pic:cNvPicPr>
                      <a:picLocks noChangeAspect="1" noChangeArrowheads="1"/>
                    </pic:cNvPicPr>
                  </pic:nvPicPr>
                  <pic:blipFill>
                    <a:blip r:embed="rId119"/>
                    <a:stretch>
                      <a:fillRect/>
                    </a:stretch>
                  </pic:blipFill>
                  <pic:spPr bwMode="auto">
                    <a:xfrm>
                      <a:off x="0" y="0"/>
                      <a:ext cx="5394901" cy="2876550"/>
                    </a:xfrm>
                    <a:prstGeom prst="rect">
                      <a:avLst/>
                    </a:prstGeom>
                    <a:noFill/>
                    <a:ln>
                      <a:noFill/>
                    </a:ln>
                  </pic:spPr>
                </pic:pic>
              </a:graphicData>
            </a:graphic>
          </wp:inline>
        </w:drawing>
      </w:r>
    </w:p>
    <w:p w14:paraId="2DB3B212" w14:textId="77777777" w:rsidR="006659D5" w:rsidRPr="00344776" w:rsidRDefault="006659D5" w:rsidP="006659D5"/>
    <w:p w14:paraId="61C318C8" w14:textId="77777777" w:rsidR="006659D5" w:rsidRPr="00344776" w:rsidRDefault="006659D5" w:rsidP="006659D5">
      <w:pPr>
        <w:pStyle w:val="Source"/>
      </w:pPr>
      <w:r w:rsidRPr="00344776">
        <w:t>Source: Ministry of Health unpublished data (2022)</w:t>
      </w:r>
    </w:p>
    <w:p w14:paraId="0504C926" w14:textId="77777777" w:rsidR="00B51E1F" w:rsidRDefault="00B51E1F" w:rsidP="006659D5">
      <w:pPr>
        <w:pStyle w:val="Heading4"/>
        <w:sectPr w:rsidR="00B51E1F" w:rsidSect="00D91482">
          <w:pgSz w:w="11907" w:h="16840" w:code="9"/>
          <w:pgMar w:top="1418" w:right="1701" w:bottom="1134" w:left="1843" w:header="284" w:footer="425" w:gutter="284"/>
          <w:cols w:space="720"/>
        </w:sectPr>
      </w:pPr>
      <w:bookmarkStart w:id="207" w:name="_Hlk116977125"/>
    </w:p>
    <w:p w14:paraId="07F9793A" w14:textId="45666A32" w:rsidR="006659D5" w:rsidRPr="00344776" w:rsidRDefault="006659D5" w:rsidP="006659D5">
      <w:pPr>
        <w:pStyle w:val="Heading4"/>
      </w:pPr>
      <w:r w:rsidRPr="00344776">
        <w:lastRenderedPageBreak/>
        <w:t>Length of stay in planned care</w:t>
      </w:r>
    </w:p>
    <w:p w14:paraId="08AC5368" w14:textId="2E297EFE" w:rsidR="006659D5" w:rsidRDefault="00590B82" w:rsidP="006659D5">
      <w:r w:rsidRPr="00344776">
        <w:t>The average length of stay for planned inpatient stays differs between ethnic groups</w:t>
      </w:r>
      <w:r>
        <w:t>. In general,</w:t>
      </w:r>
      <w:r w:rsidRPr="00344776">
        <w:t xml:space="preserve"> European/other patients spend longer in hospital than </w:t>
      </w:r>
      <w:r>
        <w:t xml:space="preserve">people in </w:t>
      </w:r>
      <w:r w:rsidRPr="00344776">
        <w:t>other ethnic</w:t>
      </w:r>
      <w:r>
        <w:t xml:space="preserve"> groups</w:t>
      </w:r>
      <w:r w:rsidR="006659D5" w:rsidRPr="00344776">
        <w:t xml:space="preserve">. </w:t>
      </w:r>
    </w:p>
    <w:p w14:paraId="56086C23" w14:textId="25B487CF" w:rsidR="006659D5" w:rsidRPr="006659D5" w:rsidRDefault="006659D5" w:rsidP="00253316">
      <w:pPr>
        <w:pStyle w:val="Figure"/>
      </w:pPr>
      <w:bookmarkStart w:id="208" w:name="_Ref117092266"/>
      <w:bookmarkStart w:id="209" w:name="_Toc118446260"/>
      <w:bookmarkStart w:id="210" w:name="_Toc119047790"/>
      <w:r w:rsidRPr="006659D5">
        <w:t xml:space="preserve">Figure </w:t>
      </w:r>
      <w:r w:rsidRPr="006659D5">
        <w:fldChar w:fldCharType="begin"/>
      </w:r>
      <w:r w:rsidRPr="006659D5">
        <w:instrText>SEQ Figure \* ARABIC</w:instrText>
      </w:r>
      <w:r w:rsidRPr="006659D5">
        <w:fldChar w:fldCharType="separate"/>
      </w:r>
      <w:r w:rsidR="00F61845">
        <w:rPr>
          <w:noProof/>
        </w:rPr>
        <w:t>46</w:t>
      </w:r>
      <w:r w:rsidRPr="006659D5">
        <w:fldChar w:fldCharType="end"/>
      </w:r>
      <w:bookmarkEnd w:id="208"/>
      <w:r w:rsidRPr="006659D5">
        <w:t>: Planned inpatient discharges standardised average length of stay, in days, by prioritised ethnic group, 2017–2021</w:t>
      </w:r>
      <w:bookmarkEnd w:id="209"/>
      <w:bookmarkEnd w:id="210"/>
    </w:p>
    <w:p w14:paraId="1C294CC4" w14:textId="77777777" w:rsidR="006659D5" w:rsidRPr="00344776" w:rsidRDefault="006659D5" w:rsidP="00590B82">
      <w:pPr>
        <w:spacing w:after="120"/>
      </w:pPr>
      <w:r w:rsidRPr="00344776">
        <w:rPr>
          <w:noProof/>
        </w:rPr>
        <w:drawing>
          <wp:inline distT="0" distB="0" distL="0" distR="0" wp14:anchorId="07598411" wp14:editId="102C2E7C">
            <wp:extent cx="5394901" cy="2876550"/>
            <wp:effectExtent l="0" t="0" r="0" b="0"/>
            <wp:docPr id="320162246" name="Picture 320162246" descr="This timeseries line chart shows the inpatient discharges standardised average length of stay, in days, by ethnic group between 2017 and 2021. Across the timeseries, European/other had the longest length of stay, followed by either Māori or Pacific peoples. For Total ethnicity, the standardised length of stay dropped slightly between 2017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62246" name="Picture 320162246" descr="This timeseries line chart shows the inpatient discharges standardised average length of stay, in days, by ethnic group between 2017 and 2021. Across the timeseries, European/other had the longest length of stay, followed by either Māori or Pacific peoples. For Total ethnicity, the standardised length of stay dropped slightly between 2017 and 2021."/>
                    <pic:cNvPicPr>
                      <a:picLocks noChangeAspect="1" noChangeArrowheads="1"/>
                    </pic:cNvPicPr>
                  </pic:nvPicPr>
                  <pic:blipFill>
                    <a:blip r:embed="rId120"/>
                    <a:stretch>
                      <a:fillRect/>
                    </a:stretch>
                  </pic:blipFill>
                  <pic:spPr bwMode="auto">
                    <a:xfrm>
                      <a:off x="0" y="0"/>
                      <a:ext cx="5394901" cy="2876550"/>
                    </a:xfrm>
                    <a:prstGeom prst="rect">
                      <a:avLst/>
                    </a:prstGeom>
                    <a:noFill/>
                    <a:ln>
                      <a:noFill/>
                    </a:ln>
                  </pic:spPr>
                </pic:pic>
              </a:graphicData>
            </a:graphic>
          </wp:inline>
        </w:drawing>
      </w:r>
    </w:p>
    <w:p w14:paraId="7772AAB4" w14:textId="2C96B7AC" w:rsidR="006659D5" w:rsidRPr="00344776" w:rsidRDefault="006659D5" w:rsidP="006659D5">
      <w:pPr>
        <w:pStyle w:val="Source"/>
      </w:pPr>
      <w:r w:rsidRPr="00344776">
        <w:t xml:space="preserve">Source: </w:t>
      </w:r>
      <w:hyperlink r:id="rId121" w:history="1">
        <w:r w:rsidRPr="00344776">
          <w:rPr>
            <w:rStyle w:val="Hyperlink"/>
          </w:rPr>
          <w:t>Nationwide Service Framework Library (2022b)</w:t>
        </w:r>
      </w:hyperlink>
    </w:p>
    <w:p w14:paraId="050BC1BE" w14:textId="77777777" w:rsidR="006659D5" w:rsidRPr="00344776" w:rsidRDefault="006659D5" w:rsidP="006659D5">
      <w:pPr>
        <w:pStyle w:val="Heading2"/>
      </w:pPr>
      <w:bookmarkStart w:id="211" w:name="_Toc118452239"/>
      <w:bookmarkStart w:id="212" w:name="_Toc119313000"/>
      <w:bookmarkEnd w:id="207"/>
      <w:r w:rsidRPr="00344776">
        <w:t xml:space="preserve">Health </w:t>
      </w:r>
      <w:r>
        <w:t>w</w:t>
      </w:r>
      <w:r w:rsidRPr="00344776">
        <w:t>orkforce</w:t>
      </w:r>
      <w:bookmarkEnd w:id="211"/>
      <w:bookmarkEnd w:id="212"/>
    </w:p>
    <w:p w14:paraId="2F143D5D" w14:textId="4A6A1FD6" w:rsidR="006659D5" w:rsidRPr="00344776" w:rsidRDefault="00590B82" w:rsidP="006659D5">
      <w:r w:rsidRPr="00344776">
        <w:t>In 2021, the health workforce came under pressure due to the COVID-19 pandemic</w:t>
      </w:r>
      <w:r>
        <w:t>,</w:t>
      </w:r>
      <w:r w:rsidRPr="00344776">
        <w:t xml:space="preserve"> </w:t>
      </w:r>
      <w:r>
        <w:t>in terms of b</w:t>
      </w:r>
      <w:r w:rsidRPr="00344776">
        <w:t>oth</w:t>
      </w:r>
      <w:r w:rsidRPr="00344776" w:rsidDel="00622D11">
        <w:t xml:space="preserve"> </w:t>
      </w:r>
      <w:r w:rsidRPr="00344776">
        <w:t>the reallocation of workers to respond to COVID-19 and the border</w:t>
      </w:r>
      <w:r>
        <w:t xml:space="preserve"> closure</w:t>
      </w:r>
      <w:r w:rsidRPr="00344776">
        <w:t xml:space="preserve">, </w:t>
      </w:r>
      <w:r>
        <w:t xml:space="preserve">which </w:t>
      </w:r>
      <w:r w:rsidRPr="00344776">
        <w:t>reduc</w:t>
      </w:r>
      <w:r>
        <w:t>ed</w:t>
      </w:r>
      <w:r w:rsidRPr="00344776">
        <w:t xml:space="preserve"> the number of migrant workers in the country. New Zealand </w:t>
      </w:r>
      <w:r>
        <w:t xml:space="preserve">generally relies on a significant number of </w:t>
      </w:r>
      <w:r w:rsidRPr="00344776">
        <w:t xml:space="preserve">internationally trained workers. For example, 42.1% of doctors in </w:t>
      </w:r>
      <w:r>
        <w:t>N</w:t>
      </w:r>
      <w:r w:rsidRPr="00344776">
        <w:t xml:space="preserve">ew Zealand are trained internationally </w:t>
      </w:r>
      <w:r w:rsidRPr="00344776">
        <w:fldChar w:fldCharType="begin"/>
      </w:r>
      <w:r>
        <w:instrText xml:space="preserve"> ADDIN EN.CITE &lt;EndNote&gt;&lt;Cite&gt;&lt;Author&gt;Medical Council of New Zealand&lt;/Author&gt;&lt;Year&gt;2022&lt;/Year&gt;&lt;RecNum&gt;209&lt;/RecNum&gt;&lt;DisplayText&gt;(Medical Council of New Zealand 2022)&lt;/DisplayText&gt;&lt;record&gt;&lt;rec-number&gt;209&lt;/rec-number&gt;&lt;foreign-keys&gt;&lt;key app="EN" db-id="aaepvppzs5wtfse95vsp2wahsrtvva2vvdet" timestamp="1663739410"&gt;209&lt;/key&gt;&lt;/foreign-keys&gt;&lt;ref-type name="Web Page"&gt;12&lt;/ref-type&gt;&lt;contributors&gt;&lt;authors&gt;&lt;author&gt;Medical Council of New Zealand,&lt;/author&gt;&lt;/authors&gt;&lt;/contributors&gt;&lt;titles&gt;&lt;title&gt;The New Zealand medical workforce in 2021&lt;/title&gt;&lt;/titles&gt;&lt;number&gt;31 October 2022&lt;/number&gt;&lt;dates&gt;&lt;year&gt;2022&lt;/year&gt;&lt;/dates&gt;&lt;urls&gt;&lt;related-urls&gt;&lt;url&gt;https://www.mcnz.org.nz/assets/Publications/Workforce-Survey/d9d2757aad/Workforce-Survey-Report-2021.pdf&lt;/url&gt;&lt;/related-urls&gt;&lt;/urls&gt;&lt;/record&gt;&lt;/Cite&gt;&lt;/EndNote&gt;</w:instrText>
      </w:r>
      <w:r w:rsidRPr="00344776">
        <w:fldChar w:fldCharType="separate"/>
      </w:r>
      <w:r w:rsidRPr="00344776">
        <w:rPr>
          <w:noProof/>
        </w:rPr>
        <w:t>(Medical Council of New Zealand 2022)</w:t>
      </w:r>
      <w:r w:rsidRPr="00344776">
        <w:fldChar w:fldCharType="end"/>
      </w:r>
      <w:r w:rsidR="006659D5" w:rsidRPr="00344776">
        <w:t>.</w:t>
      </w:r>
    </w:p>
    <w:p w14:paraId="3682DA20" w14:textId="77777777" w:rsidR="006659D5" w:rsidRPr="00344776" w:rsidRDefault="006659D5" w:rsidP="006659D5"/>
    <w:p w14:paraId="54F6C016" w14:textId="2D110A51" w:rsidR="006659D5" w:rsidRPr="00344776" w:rsidRDefault="006659D5" w:rsidP="006659D5">
      <w:r w:rsidRPr="00344776">
        <w:t xml:space="preserve">A fuller account of health workforce issues in 2021 </w:t>
      </w:r>
      <w:r>
        <w:t xml:space="preserve">is available </w:t>
      </w:r>
      <w:r w:rsidRPr="00344776">
        <w:t>in</w:t>
      </w:r>
      <w:r w:rsidRPr="00344776" w:rsidDel="00B84EC2">
        <w:t xml:space="preserve"> </w:t>
      </w:r>
      <w:hyperlink r:id="rId122" w:history="1">
        <w:r w:rsidRPr="00344776">
          <w:rPr>
            <w:rStyle w:val="Hyperlink"/>
            <w:i/>
          </w:rPr>
          <w:t>Health Workforce Advisory Board 2021 Annual Report to the Minister of Health</w:t>
        </w:r>
      </w:hyperlink>
      <w:r w:rsidRPr="00344776">
        <w:rPr>
          <w:i/>
        </w:rPr>
        <w:t xml:space="preserve"> </w:t>
      </w:r>
      <w:r w:rsidRPr="00344776">
        <w:fldChar w:fldCharType="begin"/>
      </w:r>
      <w:r w:rsidRPr="00344776">
        <w:instrText xml:space="preserve"> ADDIN EN.CITE &lt;EndNote&gt;&lt;Cite&gt;&lt;Author&gt;Ministry of Health&lt;/Author&gt;&lt;Year&gt;2022&lt;/Year&gt;&lt;RecNum&gt;208&lt;/RecNum&gt;&lt;DisplayText&gt;(Ministry of Health 2022l)&lt;/DisplayText&gt;&lt;record&gt;&lt;rec-number&gt;208&lt;/rec-number&gt;&lt;foreign-keys&gt;&lt;key app="EN" db-id="aaepvppzs5wtfse95vsp2wahsrtvva2vvdet" timestamp="1663738975"&gt;208&lt;/key&gt;&lt;/foreign-keys&gt;&lt;ref-type name="Web Page"&gt;12&lt;/ref-type&gt;&lt;contributors&gt;&lt;authors&gt;&lt;author&gt;Ministry of Health,&lt;/author&gt;&lt;/authors&gt;&lt;/contributors&gt;&lt;titles&gt;&lt;title&gt;Health Workforce Advisory Board 2021 Annual Report to the Minister of Health&lt;/title&gt;&lt;/titles&gt;&lt;number&gt;21 September 2022&lt;/number&gt;&lt;dates&gt;&lt;year&gt;2022&lt;/year&gt;&lt;/dates&gt;&lt;urls&gt;&lt;related-urls&gt;&lt;url&gt;https://www.health.govt.nz/publication/health-workforce-advisory-board-2021-annual-report-minister-health&lt;/url&gt;&lt;/related-urls&gt;&lt;/urls&gt;&lt;/record&gt;&lt;/Cite&gt;&lt;/EndNote&gt;</w:instrText>
      </w:r>
      <w:r w:rsidRPr="00344776">
        <w:fldChar w:fldCharType="separate"/>
      </w:r>
      <w:r w:rsidRPr="00344776">
        <w:rPr>
          <w:noProof/>
        </w:rPr>
        <w:t>(Ministry of Health 2022l)</w:t>
      </w:r>
      <w:r w:rsidRPr="00344776">
        <w:fldChar w:fldCharType="end"/>
      </w:r>
      <w:r w:rsidRPr="00344776">
        <w:t>.</w:t>
      </w:r>
    </w:p>
    <w:p w14:paraId="1B726343" w14:textId="77777777" w:rsidR="00B51E1F" w:rsidRDefault="00B51E1F" w:rsidP="006659D5">
      <w:pPr>
        <w:pStyle w:val="Heading3"/>
        <w:sectPr w:rsidR="00B51E1F" w:rsidSect="00D91482">
          <w:pgSz w:w="11907" w:h="16840" w:code="9"/>
          <w:pgMar w:top="1418" w:right="1701" w:bottom="1134" w:left="1843" w:header="284" w:footer="425" w:gutter="284"/>
          <w:cols w:space="720"/>
        </w:sectPr>
      </w:pPr>
    </w:p>
    <w:p w14:paraId="1933EA41" w14:textId="23A56723" w:rsidR="006659D5" w:rsidRPr="00344776" w:rsidRDefault="006659D5" w:rsidP="00757770">
      <w:pPr>
        <w:pStyle w:val="Heading3"/>
        <w:spacing w:before="0"/>
      </w:pPr>
      <w:r w:rsidRPr="00344776">
        <w:lastRenderedPageBreak/>
        <w:t xml:space="preserve">Impact of COVID-19 </w:t>
      </w:r>
    </w:p>
    <w:p w14:paraId="77AE866B" w14:textId="77777777" w:rsidR="006659D5" w:rsidRPr="00344776" w:rsidRDefault="006659D5" w:rsidP="006659D5">
      <w:pPr>
        <w:pStyle w:val="Heading4"/>
      </w:pPr>
      <w:r w:rsidRPr="00344776">
        <w:t xml:space="preserve">Reduced international supply </w:t>
      </w:r>
    </w:p>
    <w:p w14:paraId="7D67A9A8" w14:textId="7EB24A58" w:rsidR="006659D5" w:rsidRPr="00344776" w:rsidRDefault="00590B82" w:rsidP="006659D5">
      <w:r w:rsidRPr="00344776">
        <w:t xml:space="preserve">The New Zealand health workforce is made up of local and international health workers </w:t>
      </w:r>
      <w:r w:rsidRPr="00344776">
        <w:fldChar w:fldCharType="begin"/>
      </w:r>
      <w:r>
        <w:instrText xml:space="preserve"> ADDIN EN.CITE &lt;EndNote&gt;&lt;Cite&gt;&lt;Author&gt;Medical Council of New Zealand&lt;/Author&gt;&lt;Year&gt;2022&lt;/Year&gt;&lt;RecNum&gt;209&lt;/RecNum&gt;&lt;DisplayText&gt;(Medical Council of New Zealand 2022)&lt;/DisplayText&gt;&lt;record&gt;&lt;rec-number&gt;209&lt;/rec-number&gt;&lt;foreign-keys&gt;&lt;key app="EN" db-id="aaepvppzs5wtfse95vsp2wahsrtvva2vvdet" timestamp="1663739410"&gt;209&lt;/key&gt;&lt;/foreign-keys&gt;&lt;ref-type name="Web Page"&gt;12&lt;/ref-type&gt;&lt;contributors&gt;&lt;authors&gt;&lt;author&gt;Medical Council of New Zealand,&lt;/author&gt;&lt;/authors&gt;&lt;/contributors&gt;&lt;titles&gt;&lt;title&gt;The New Zealand medical workforce in 2021&lt;/title&gt;&lt;/titles&gt;&lt;number&gt;31 October 2022&lt;/number&gt;&lt;dates&gt;&lt;year&gt;2022&lt;/year&gt;&lt;/dates&gt;&lt;urls&gt;&lt;related-urls&gt;&lt;url&gt;https://www.mcnz.org.nz/assets/Publications/Workforce-Survey/d9d2757aad/Workforce-Survey-Report-2021.pdf&lt;/url&gt;&lt;/related-urls&gt;&lt;/urls&gt;&lt;/record&gt;&lt;/Cite&gt;&lt;/EndNote&gt;</w:instrText>
      </w:r>
      <w:r w:rsidRPr="00344776">
        <w:fldChar w:fldCharType="separate"/>
      </w:r>
      <w:r w:rsidRPr="00344776">
        <w:rPr>
          <w:noProof/>
        </w:rPr>
        <w:t>(Medical Council of New Zealand 2022)</w:t>
      </w:r>
      <w:r w:rsidRPr="00344776">
        <w:fldChar w:fldCharType="end"/>
      </w:r>
      <w:r w:rsidRPr="00344776">
        <w:t xml:space="preserve">. Due to COVID-19, immigration into the country was reduced, reducing the supply of health workers </w:t>
      </w:r>
      <w:r w:rsidRPr="00344776">
        <w:fldChar w:fldCharType="begin"/>
      </w:r>
      <w:r>
        <w:instrText xml:space="preserve"> ADDIN EN.CITE &lt;EndNote&gt;&lt;Cite&gt;&lt;Author&gt;Stats NZ&lt;/Author&gt;&lt;Year&gt;2022&lt;/Year&gt;&lt;RecNum&gt;118&lt;/RecNum&gt;&lt;DisplayText&gt;(Stats NZ 2022d)&lt;/DisplayText&gt;&lt;record&gt;&lt;rec-number&gt;118&lt;/rec-number&gt;&lt;foreign-keys&gt;&lt;key app="EN" db-id="aaepvppzs5wtfse95vsp2wahsrtvva2vvdet" timestamp="1634503875"&gt;118&lt;/key&gt;&lt;/foreign-keys&gt;&lt;ref-type name="Web Page"&gt;12&lt;/ref-type&gt;&lt;contributors&gt;&lt;authors&gt;&lt;author&gt;Stats NZ,&lt;/author&gt;&lt;/authors&gt;&lt;/contributors&gt;&lt;titles&gt;&lt;title&gt;Stats NZ: Infoshare (Data file)&lt;/title&gt;&lt;/titles&gt;&lt;number&gt;31 October 2022&lt;/number&gt;&lt;dates&gt;&lt;year&gt;2022&lt;/year&gt;&lt;/dates&gt;&lt;urls&gt;&lt;related-urls&gt;&lt;url&gt;http://infoshare.stats.govt.nz/Default.aspx&lt;/url&gt;&lt;/related-urls&gt;&lt;/urls&gt;&lt;/record&gt;&lt;/Cite&gt;&lt;/EndNote&gt;</w:instrText>
      </w:r>
      <w:r w:rsidRPr="00344776">
        <w:fldChar w:fldCharType="separate"/>
      </w:r>
      <w:r w:rsidRPr="00344776">
        <w:rPr>
          <w:noProof/>
        </w:rPr>
        <w:t>(Stats NZ 2022d)</w:t>
      </w:r>
      <w:r w:rsidRPr="00344776">
        <w:fldChar w:fldCharType="end"/>
      </w:r>
      <w:r w:rsidR="006659D5" w:rsidRPr="00344776">
        <w:t>.</w:t>
      </w:r>
    </w:p>
    <w:p w14:paraId="395D4770" w14:textId="66968138" w:rsidR="006659D5" w:rsidRPr="00344776" w:rsidRDefault="006659D5" w:rsidP="00253316">
      <w:pPr>
        <w:pStyle w:val="Figure"/>
      </w:pPr>
      <w:bookmarkStart w:id="213" w:name="_Toc118446261"/>
      <w:bookmarkStart w:id="214" w:name="_Toc119047791"/>
      <w:r w:rsidRPr="00344776">
        <w:t xml:space="preserve">Figure </w:t>
      </w:r>
      <w:r w:rsidRPr="00344776">
        <w:fldChar w:fldCharType="begin"/>
      </w:r>
      <w:r w:rsidRPr="00344776">
        <w:instrText>SEQ Figure \* ARABIC</w:instrText>
      </w:r>
      <w:r w:rsidRPr="00344776">
        <w:fldChar w:fldCharType="separate"/>
      </w:r>
      <w:r w:rsidR="00F61845">
        <w:rPr>
          <w:noProof/>
        </w:rPr>
        <w:t>47</w:t>
      </w:r>
      <w:r w:rsidRPr="00344776">
        <w:fldChar w:fldCharType="end"/>
      </w:r>
      <w:r w:rsidRPr="00344776">
        <w:t>: International supply of new health workers, 2016–2021</w:t>
      </w:r>
      <w:bookmarkEnd w:id="213"/>
      <w:bookmarkEnd w:id="214"/>
    </w:p>
    <w:p w14:paraId="4A8A728C" w14:textId="77777777" w:rsidR="006659D5" w:rsidRPr="00344776" w:rsidRDefault="006659D5" w:rsidP="006659D5">
      <w:pPr>
        <w:spacing w:after="120"/>
      </w:pPr>
      <w:r w:rsidRPr="00344776">
        <w:rPr>
          <w:noProof/>
        </w:rPr>
        <w:drawing>
          <wp:inline distT="0" distB="0" distL="0" distR="0" wp14:anchorId="0A000844" wp14:editId="217662C5">
            <wp:extent cx="5129530" cy="1892672"/>
            <wp:effectExtent l="0" t="0" r="0" b="0"/>
            <wp:docPr id="245478113" name="Picture 245478113" descr="This timeseries line chart shows the international supply of health workers between 2016 and 2021. Prior to 2020, the number of health workers arriving to New Zealand was around 4,000 per year. This fell to around 2,500 in 2020, before recovering to about 3,000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78113" name="Picture 245478113" descr="This timeseries line chart shows the international supply of health workers between 2016 and 2021. Prior to 2020, the number of health workers arriving to New Zealand was around 4,000 per year. This fell to around 2,500 in 2020, before recovering to about 3,000 in 2021."/>
                    <pic:cNvPicPr/>
                  </pic:nvPicPr>
                  <pic:blipFill rotWithShape="1">
                    <a:blip r:embed="rId123"/>
                    <a:srcRect t="7772"/>
                    <a:stretch/>
                  </pic:blipFill>
                  <pic:spPr bwMode="auto">
                    <a:xfrm>
                      <a:off x="0" y="0"/>
                      <a:ext cx="5129931" cy="1892820"/>
                    </a:xfrm>
                    <a:prstGeom prst="rect">
                      <a:avLst/>
                    </a:prstGeom>
                    <a:ln>
                      <a:noFill/>
                    </a:ln>
                    <a:extLst>
                      <a:ext uri="{53640926-AAD7-44D8-BBD7-CCE9431645EC}">
                        <a14:shadowObscured xmlns:a14="http://schemas.microsoft.com/office/drawing/2010/main"/>
                      </a:ext>
                    </a:extLst>
                  </pic:spPr>
                </pic:pic>
              </a:graphicData>
            </a:graphic>
          </wp:inline>
        </w:drawing>
      </w:r>
    </w:p>
    <w:p w14:paraId="3C593D0D" w14:textId="01C58E2F" w:rsidR="006659D5" w:rsidRPr="00344776" w:rsidRDefault="006659D5" w:rsidP="006659D5">
      <w:pPr>
        <w:pStyle w:val="Source"/>
      </w:pPr>
      <w:r w:rsidRPr="00344776">
        <w:t xml:space="preserve">Source: </w:t>
      </w:r>
      <w:hyperlink r:id="rId124" w:history="1">
        <w:r w:rsidRPr="00344776">
          <w:rPr>
            <w:rStyle w:val="Hyperlink"/>
          </w:rPr>
          <w:t>Stats NZ (2022d)</w:t>
        </w:r>
      </w:hyperlink>
      <w:r w:rsidRPr="00344776">
        <w:t xml:space="preserve"> </w:t>
      </w:r>
    </w:p>
    <w:p w14:paraId="4687ED8B" w14:textId="77777777" w:rsidR="006659D5" w:rsidRPr="00344776" w:rsidRDefault="006659D5" w:rsidP="006659D5">
      <w:pPr>
        <w:pStyle w:val="Note"/>
      </w:pPr>
      <w:r w:rsidRPr="00344776">
        <w:t xml:space="preserve">Note: Health workers include </w:t>
      </w:r>
      <w:r>
        <w:t>h</w:t>
      </w:r>
      <w:r w:rsidRPr="00344776">
        <w:t xml:space="preserve">ealth </w:t>
      </w:r>
      <w:r>
        <w:t>d</w:t>
      </w:r>
      <w:r w:rsidRPr="00344776">
        <w:t xml:space="preserve">iagnostic and </w:t>
      </w:r>
      <w:r>
        <w:t>p</w:t>
      </w:r>
      <w:r w:rsidRPr="00344776">
        <w:t xml:space="preserve">romotion </w:t>
      </w:r>
      <w:r>
        <w:t>p</w:t>
      </w:r>
      <w:r w:rsidRPr="00344776">
        <w:t xml:space="preserve">rofessionals, </w:t>
      </w:r>
      <w:r>
        <w:t>h</w:t>
      </w:r>
      <w:r w:rsidRPr="00344776">
        <w:t xml:space="preserve">ealth </w:t>
      </w:r>
      <w:r>
        <w:t>t</w:t>
      </w:r>
      <w:r w:rsidRPr="00344776">
        <w:t xml:space="preserve">herapy </w:t>
      </w:r>
      <w:r>
        <w:t>p</w:t>
      </w:r>
      <w:r w:rsidRPr="00344776">
        <w:t xml:space="preserve">rofessionals, </w:t>
      </w:r>
      <w:r>
        <w:t>m</w:t>
      </w:r>
      <w:r w:rsidRPr="00344776">
        <w:t xml:space="preserve">edical </w:t>
      </w:r>
      <w:r>
        <w:t>p</w:t>
      </w:r>
      <w:r w:rsidRPr="00344776">
        <w:t xml:space="preserve">ractitioners, </w:t>
      </w:r>
      <w:r>
        <w:t>m</w:t>
      </w:r>
      <w:r w:rsidRPr="00344776">
        <w:t xml:space="preserve">idwifery and </w:t>
      </w:r>
      <w:r>
        <w:t>n</w:t>
      </w:r>
      <w:r w:rsidRPr="00344776">
        <w:t xml:space="preserve">ursing </w:t>
      </w:r>
      <w:r>
        <w:t>p</w:t>
      </w:r>
      <w:r w:rsidRPr="00344776">
        <w:t xml:space="preserve">rofessionals and </w:t>
      </w:r>
      <w:r>
        <w:t>h</w:t>
      </w:r>
      <w:r w:rsidRPr="00344776">
        <w:t xml:space="preserve">ealth and </w:t>
      </w:r>
      <w:r>
        <w:t>w</w:t>
      </w:r>
      <w:r w:rsidRPr="00344776">
        <w:t xml:space="preserve">elfare </w:t>
      </w:r>
      <w:r>
        <w:t>s</w:t>
      </w:r>
      <w:r w:rsidRPr="00344776">
        <w:t xml:space="preserve">upport </w:t>
      </w:r>
      <w:r>
        <w:t>w</w:t>
      </w:r>
      <w:r w:rsidRPr="00344776">
        <w:t>orkers.</w:t>
      </w:r>
    </w:p>
    <w:p w14:paraId="05E168A4" w14:textId="77777777" w:rsidR="006659D5" w:rsidRPr="00344776" w:rsidRDefault="006659D5" w:rsidP="006659D5">
      <w:pPr>
        <w:pStyle w:val="Heading4"/>
      </w:pPr>
      <w:r w:rsidRPr="00344776">
        <w:t>Expanding the workforce</w:t>
      </w:r>
    </w:p>
    <w:p w14:paraId="3EB3B25C" w14:textId="77777777" w:rsidR="00590B82" w:rsidRPr="00344776" w:rsidRDefault="00590B82" w:rsidP="00590B82">
      <w:r w:rsidRPr="00344776">
        <w:t xml:space="preserve">In 2020 and </w:t>
      </w:r>
      <w:r>
        <w:t>early</w:t>
      </w:r>
      <w:r w:rsidRPr="00344776">
        <w:t xml:space="preserve"> 2021, there was a pressing need to expand the health workforce to address the pandemic and to make up for a shortfall in the inflow of international health workers. Some of the measures </w:t>
      </w:r>
      <w:r>
        <w:t xml:space="preserve">in response </w:t>
      </w:r>
      <w:r w:rsidRPr="00344776">
        <w:t>included:</w:t>
      </w:r>
    </w:p>
    <w:p w14:paraId="7D0018D5" w14:textId="77777777" w:rsidR="00590B82" w:rsidRDefault="00590B82" w:rsidP="00590B82">
      <w:pPr>
        <w:pStyle w:val="Bullet"/>
      </w:pPr>
      <w:r>
        <w:t>special authorisations by the Pharmacy Council, Nursing Council and Medical Council for pharmacy, nursing and medical students to work in clinical roles under supervision</w:t>
      </w:r>
    </w:p>
    <w:p w14:paraId="07C599FF" w14:textId="77777777" w:rsidR="00590B82" w:rsidRDefault="00590B82" w:rsidP="00590B82">
      <w:pPr>
        <w:pStyle w:val="Bullet"/>
      </w:pPr>
      <w:r>
        <w:t>extended scopes of practice, authorised by the Medical Council, for doctors to work in COVID-19-related roles</w:t>
      </w:r>
    </w:p>
    <w:p w14:paraId="42B16D6E" w14:textId="77777777" w:rsidR="00590B82" w:rsidRDefault="00590B82" w:rsidP="00590B82">
      <w:pPr>
        <w:pStyle w:val="Bullet"/>
      </w:pPr>
      <w:r>
        <w:t>temporary accommodation funded by the Ministry of Health for health workers working away from home or needing to isolate away from vulnerable family members</w:t>
      </w:r>
    </w:p>
    <w:p w14:paraId="2BBFEBBB" w14:textId="77777777" w:rsidR="00590B82" w:rsidRDefault="00590B82" w:rsidP="00590B82">
      <w:pPr>
        <w:pStyle w:val="Bullet"/>
      </w:pPr>
      <w:r>
        <w:t xml:space="preserve">the Nursing Council’s establishment of an interim practising certificate, in a limited scope, for nurses who had left practice </w:t>
      </w:r>
    </w:p>
    <w:p w14:paraId="20F9A79F" w14:textId="7CC32572" w:rsidR="006659D5" w:rsidRPr="006659D5" w:rsidRDefault="00590B82" w:rsidP="00590B82">
      <w:pPr>
        <w:pStyle w:val="Bullet"/>
      </w:pPr>
      <w:r>
        <w:t>the establishment of scholarships to support more Māori and Pacific peoples into health roles</w:t>
      </w:r>
      <w:r w:rsidR="006659D5" w:rsidRPr="006659D5">
        <w:t xml:space="preserve">. </w:t>
      </w:r>
    </w:p>
    <w:p w14:paraId="33887F3E" w14:textId="77777777" w:rsidR="006659D5" w:rsidRPr="00344776" w:rsidRDefault="006659D5" w:rsidP="006659D5">
      <w:pPr>
        <w:pStyle w:val="Heading4"/>
      </w:pPr>
      <w:r w:rsidRPr="00344776">
        <w:t>New roles</w:t>
      </w:r>
    </w:p>
    <w:p w14:paraId="6CF980C1" w14:textId="77777777" w:rsidR="00590B82" w:rsidRPr="00344776" w:rsidRDefault="00590B82" w:rsidP="00590B82">
      <w:r w:rsidRPr="00344776">
        <w:t xml:space="preserve">An outcome of the pandemic response has been the creation of new vaccination workforce available for immunisation programmes beyond COVID-19. </w:t>
      </w:r>
      <w:r>
        <w:t xml:space="preserve">For example, </w:t>
      </w:r>
      <w:r w:rsidRPr="00344776">
        <w:t xml:space="preserve">vaccinator assistants </w:t>
      </w:r>
      <w:r>
        <w:t xml:space="preserve">assisted </w:t>
      </w:r>
      <w:r w:rsidRPr="00344776">
        <w:t xml:space="preserve">registered nurses during the vaccination campaigns of 2021. This was a </w:t>
      </w:r>
      <w:r>
        <w:t>Manatū Hauora</w:t>
      </w:r>
      <w:r w:rsidRPr="00344776">
        <w:t xml:space="preserve"> initiative strongly supported by the Health Workforce Advisory Board and </w:t>
      </w:r>
      <w:r>
        <w:t>district health boards</w:t>
      </w:r>
      <w:r w:rsidRPr="00344776">
        <w:t xml:space="preserve">. </w:t>
      </w:r>
    </w:p>
    <w:p w14:paraId="3ACD5025" w14:textId="77777777" w:rsidR="00590B82" w:rsidRPr="00344776" w:rsidRDefault="00590B82" w:rsidP="00590B82"/>
    <w:p w14:paraId="1FC7DE7D" w14:textId="718861CC" w:rsidR="006659D5" w:rsidRPr="00344776" w:rsidRDefault="00590B82" w:rsidP="00590B82">
      <w:r w:rsidRPr="00344776">
        <w:lastRenderedPageBreak/>
        <w:t xml:space="preserve">More than 300 vaccinator assistants have </w:t>
      </w:r>
      <w:r>
        <w:t xml:space="preserve">now </w:t>
      </w:r>
      <w:r w:rsidRPr="00344776">
        <w:t>been trained</w:t>
      </w:r>
      <w:r>
        <w:t xml:space="preserve">; </w:t>
      </w:r>
      <w:r w:rsidRPr="00344776">
        <w:t xml:space="preserve">50% </w:t>
      </w:r>
      <w:r>
        <w:t xml:space="preserve">are </w:t>
      </w:r>
      <w:r w:rsidRPr="00344776">
        <w:t>Māori</w:t>
      </w:r>
      <w:r>
        <w:t xml:space="preserve"> (</w:t>
      </w:r>
      <w:proofErr w:type="gramStart"/>
      <w:r>
        <w:t>at</w:t>
      </w:r>
      <w:proofErr w:type="gramEnd"/>
      <w:r>
        <w:t xml:space="preserve"> September 2021). Fifty assistants </w:t>
      </w:r>
      <w:r w:rsidRPr="00344776">
        <w:t xml:space="preserve">are fully authorised and working in the field. </w:t>
      </w:r>
      <w:r>
        <w:t>There are l</w:t>
      </w:r>
      <w:r w:rsidRPr="00344776">
        <w:t>ong</w:t>
      </w:r>
      <w:r>
        <w:t>-</w:t>
      </w:r>
      <w:r w:rsidRPr="00344776">
        <w:t>term opportunities to retain this new skill set</w:t>
      </w:r>
      <w:r>
        <w:t>,</w:t>
      </w:r>
      <w:r w:rsidRPr="00344776">
        <w:t xml:space="preserve"> </w:t>
      </w:r>
      <w:r>
        <w:t xml:space="preserve">for COVID-19 </w:t>
      </w:r>
      <w:r w:rsidRPr="00344776">
        <w:t xml:space="preserve">booster shots and for vaccinating younger New Zealanders in 2022 </w:t>
      </w:r>
      <w:r w:rsidRPr="00344776">
        <w:fldChar w:fldCharType="begin"/>
      </w:r>
      <w:r>
        <w:instrText xml:space="preserve"> ADDIN EN.CITE &lt;EndNote&gt;&lt;Cite&gt;&lt;Author&gt;Ministry of Health&lt;/Author&gt;&lt;Year&gt;2022&lt;/Year&gt;&lt;RecNum&gt;208&lt;/RecNum&gt;&lt;DisplayText&gt;(Ministry of Health 2022l)&lt;/DisplayText&gt;&lt;record&gt;&lt;rec-number&gt;208&lt;/rec-number&gt;&lt;foreign-keys&gt;&lt;key app="EN" db-id="aaepvppzs5wtfse95vsp2wahsrtvva2vvdet" timestamp="1663738975"&gt;208&lt;/key&gt;&lt;/foreign-keys&gt;&lt;ref-type name="Web Page"&gt;12&lt;/ref-type&gt;&lt;contributors&gt;&lt;authors&gt;&lt;author&gt;Ministry of Health,&lt;/author&gt;&lt;/authors&gt;&lt;/contributors&gt;&lt;titles&gt;&lt;title&gt;Health Workforce Advisory Board 2021 Annual Report to the Minister of Health&lt;/title&gt;&lt;/titles&gt;&lt;number&gt;31 October 2022&lt;/number&gt;&lt;dates&gt;&lt;year&gt;2022&lt;/year&gt;&lt;/dates&gt;&lt;urls&gt;&lt;related-urls&gt;&lt;url&gt;https://www.health.govt.nz/publication/health-workforce-advisory-board-2021-annual-report-minister-health&lt;/url&gt;&lt;/related-urls&gt;&lt;/urls&gt;&lt;/record&gt;&lt;/Cite&gt;&lt;/EndNote&gt;</w:instrText>
      </w:r>
      <w:r w:rsidRPr="00344776">
        <w:fldChar w:fldCharType="separate"/>
      </w:r>
      <w:r w:rsidRPr="00344776">
        <w:rPr>
          <w:noProof/>
        </w:rPr>
        <w:t>(Ministry of Health 2022l)</w:t>
      </w:r>
      <w:r w:rsidRPr="00344776">
        <w:fldChar w:fldCharType="end"/>
      </w:r>
      <w:r w:rsidR="006659D5" w:rsidRPr="00344776">
        <w:t>.</w:t>
      </w:r>
    </w:p>
    <w:p w14:paraId="4667A720" w14:textId="09758FAB" w:rsidR="006659D5" w:rsidRPr="00344776" w:rsidRDefault="006659D5" w:rsidP="006659D5">
      <w:pPr>
        <w:pStyle w:val="Heading4"/>
      </w:pPr>
      <w:r w:rsidRPr="00344776">
        <w:t>Māori and Pacific providers</w:t>
      </w:r>
    </w:p>
    <w:p w14:paraId="11835809" w14:textId="2D01873D" w:rsidR="006659D5" w:rsidRPr="00344776" w:rsidRDefault="00590B82" w:rsidP="006659D5">
      <w:r>
        <w:t>D</w:t>
      </w:r>
      <w:r w:rsidRPr="00344776">
        <w:t>uring the COVID-19 response</w:t>
      </w:r>
      <w:r>
        <w:t>,</w:t>
      </w:r>
      <w:r w:rsidRPr="00344776">
        <w:t xml:space="preserve"> Māori providers </w:t>
      </w:r>
      <w:r>
        <w:t xml:space="preserve">found </w:t>
      </w:r>
      <w:r w:rsidRPr="00344776">
        <w:t xml:space="preserve">that strategies for encouraging vaccination based on </w:t>
      </w:r>
      <w:proofErr w:type="spellStart"/>
      <w:r w:rsidRPr="00344776">
        <w:t>mātauranga</w:t>
      </w:r>
      <w:proofErr w:type="spellEnd"/>
      <w:r w:rsidRPr="00344776">
        <w:t xml:space="preserve"> Māori and </w:t>
      </w:r>
      <w:proofErr w:type="spellStart"/>
      <w:r w:rsidRPr="00344776">
        <w:t>kaupapa</w:t>
      </w:r>
      <w:proofErr w:type="spellEnd"/>
      <w:r w:rsidRPr="00344776">
        <w:t xml:space="preserve"> Māori were more successful in boosting numbers </w:t>
      </w:r>
      <w:r>
        <w:t xml:space="preserve">of vaccinations among Māori </w:t>
      </w:r>
      <w:r w:rsidRPr="00344776">
        <w:t>than mainstream health sector approaches. COVID-19</w:t>
      </w:r>
      <w:r w:rsidRPr="00344776" w:rsidDel="00AF5045">
        <w:t xml:space="preserve"> </w:t>
      </w:r>
      <w:r>
        <w:t xml:space="preserve">highlighted </w:t>
      </w:r>
      <w:r w:rsidRPr="00344776">
        <w:t>the agility and efficiency of Māori and Pacific providers and community-based non-</w:t>
      </w:r>
      <w:r>
        <w:t>g</w:t>
      </w:r>
      <w:r w:rsidRPr="00344776">
        <w:t>overnment organisations</w:t>
      </w:r>
      <w:r w:rsidRPr="00344776" w:rsidDel="002B0088">
        <w:t xml:space="preserve"> </w:t>
      </w:r>
      <w:r w:rsidRPr="00344776">
        <w:t xml:space="preserve">working with vulnerable communities to respond to community transmission and </w:t>
      </w:r>
      <w:r>
        <w:t xml:space="preserve">administer </w:t>
      </w:r>
      <w:r w:rsidRPr="00344776">
        <w:t xml:space="preserve">the vaccination programme </w:t>
      </w:r>
      <w:r w:rsidRPr="00344776">
        <w:fldChar w:fldCharType="begin"/>
      </w:r>
      <w:r>
        <w:instrText xml:space="preserve"> ADDIN EN.CITE &lt;EndNote&gt;&lt;Cite&gt;&lt;Author&gt;Ministry of Health&lt;/Author&gt;&lt;Year&gt;2022&lt;/Year&gt;&lt;RecNum&gt;208&lt;/RecNum&gt;&lt;DisplayText&gt;(Ministry of Health 2022l)&lt;/DisplayText&gt;&lt;record&gt;&lt;rec-number&gt;208&lt;/rec-number&gt;&lt;foreign-keys&gt;&lt;key app="EN" db-id="aaepvppzs5wtfse95vsp2wahsrtvva2vvdet" timestamp="1663738975"&gt;208&lt;/key&gt;&lt;/foreign-keys&gt;&lt;ref-type name="Web Page"&gt;12&lt;/ref-type&gt;&lt;contributors&gt;&lt;authors&gt;&lt;author&gt;Ministry of Health,&lt;/author&gt;&lt;/authors&gt;&lt;/contributors&gt;&lt;titles&gt;&lt;title&gt;Health Workforce Advisory Board 2021 Annual Report to the Minister of Health&lt;/title&gt;&lt;/titles&gt;&lt;number&gt;31 October 2022&lt;/number&gt;&lt;dates&gt;&lt;year&gt;2022&lt;/year&gt;&lt;/dates&gt;&lt;urls&gt;&lt;related-urls&gt;&lt;url&gt;https://www.health.govt.nz/publication/health-workforce-advisory-board-2021-annual-report-minister-health&lt;/url&gt;&lt;/related-urls&gt;&lt;/urls&gt;&lt;/record&gt;&lt;/Cite&gt;&lt;/EndNote&gt;</w:instrText>
      </w:r>
      <w:r w:rsidRPr="00344776">
        <w:fldChar w:fldCharType="separate"/>
      </w:r>
      <w:r w:rsidRPr="00344776">
        <w:rPr>
          <w:noProof/>
        </w:rPr>
        <w:t>(Ministry of Health 2022l)</w:t>
      </w:r>
      <w:r w:rsidRPr="00344776">
        <w:fldChar w:fldCharType="end"/>
      </w:r>
      <w:r w:rsidR="006659D5" w:rsidRPr="00344776">
        <w:t>.</w:t>
      </w:r>
    </w:p>
    <w:p w14:paraId="65E75C43" w14:textId="144A4A57" w:rsidR="006659D5" w:rsidRPr="00344776" w:rsidRDefault="006659D5" w:rsidP="006659D5">
      <w:pPr>
        <w:pStyle w:val="Heading4"/>
      </w:pPr>
      <w:r w:rsidRPr="00344776">
        <w:t>Impact on training and graduation</w:t>
      </w:r>
    </w:p>
    <w:p w14:paraId="5EC687E6" w14:textId="77777777" w:rsidR="00590B82" w:rsidRPr="00344776" w:rsidRDefault="00590B82" w:rsidP="00590B82">
      <w:r w:rsidRPr="00344776">
        <w:t xml:space="preserve">The number of students enrolled in tertiary health qualifications across all qualification levels increased by 8.6% between 2020 and 2021 </w:t>
      </w:r>
      <w:r w:rsidRPr="00344776">
        <w:fldChar w:fldCharType="begin"/>
      </w:r>
      <w:r>
        <w:instrText xml:space="preserve"> ADDIN EN.CITE &lt;EndNote&gt;&lt;Cite&gt;&lt;Author&gt;Education Counts&lt;/Author&gt;&lt;Year&gt;2022&lt;/Year&gt;&lt;RecNum&gt;247&lt;/RecNum&gt;&lt;DisplayText&gt;(Education Counts 2022)&lt;/DisplayText&gt;&lt;record&gt;&lt;rec-number&gt;247&lt;/rec-number&gt;&lt;foreign-keys&gt;&lt;key app="EN" db-id="aaepvppzs5wtfse95vsp2wahsrtvva2vvdet" timestamp="1664490769"&gt;247&lt;/key&gt;&lt;/foreign-keys&gt;&lt;ref-type name="Web Page"&gt;12&lt;/ref-type&gt;&lt;contributors&gt;&lt;authors&gt;&lt;author&gt;Education Counts,&lt;/author&gt;&lt;/authors&gt;&lt;/contributors&gt;&lt;titles&gt;&lt;title&gt;Tertiary participation (Data file)&lt;/title&gt;&lt;/titles&gt;&lt;number&gt;31 October 2022&lt;/number&gt;&lt;dates&gt;&lt;year&gt;2022&lt;/year&gt;&lt;/dates&gt;&lt;urls&gt;&lt;related-urls&gt;&lt;url&gt;https://www.educationcounts.govt.nz/statistics/tertiary-participation&lt;/url&gt;&lt;/related-urls&gt;&lt;/urls&gt;&lt;/record&gt;&lt;/Cite&gt;&lt;/EndNote&gt;</w:instrText>
      </w:r>
      <w:r w:rsidRPr="00344776">
        <w:fldChar w:fldCharType="separate"/>
      </w:r>
      <w:r>
        <w:rPr>
          <w:noProof/>
        </w:rPr>
        <w:t>(Education Counts 2022)</w:t>
      </w:r>
      <w:r w:rsidRPr="00344776">
        <w:fldChar w:fldCharType="end"/>
      </w:r>
      <w:r w:rsidRPr="00344776">
        <w:t xml:space="preserve">. </w:t>
      </w:r>
    </w:p>
    <w:p w14:paraId="0158701B" w14:textId="77777777" w:rsidR="00590B82" w:rsidRPr="00344776" w:rsidRDefault="00590B82" w:rsidP="00590B82"/>
    <w:p w14:paraId="4256BB56" w14:textId="2C3D287A" w:rsidR="006659D5" w:rsidRDefault="00590B82" w:rsidP="006659D5">
      <w:r w:rsidRPr="00344776">
        <w:t xml:space="preserve">COVID-19 disrupted student clinical placements during 2021, resulting in delays to registration for </w:t>
      </w:r>
      <w:r>
        <w:t xml:space="preserve">students of </w:t>
      </w:r>
      <w:r w:rsidRPr="00344776">
        <w:t>physiotherapy, dent</w:t>
      </w:r>
      <w:r>
        <w:t>istry</w:t>
      </w:r>
      <w:r w:rsidRPr="00344776">
        <w:t>, occupational therapy, other allied health positions and</w:t>
      </w:r>
      <w:r w:rsidRPr="00344776" w:rsidDel="0078236C">
        <w:t xml:space="preserve"> </w:t>
      </w:r>
      <w:r>
        <w:t xml:space="preserve">medicine </w:t>
      </w:r>
      <w:r w:rsidRPr="00344776">
        <w:fldChar w:fldCharType="begin"/>
      </w:r>
      <w:r>
        <w:instrText xml:space="preserve"> ADDIN EN.CITE &lt;EndNote&gt;&lt;Cite&gt;&lt;Author&gt;Ministry of Health&lt;/Author&gt;&lt;Year&gt;2022&lt;/Year&gt;&lt;RecNum&gt;208&lt;/RecNum&gt;&lt;DisplayText&gt;(Ministry of Health 2022l)&lt;/DisplayText&gt;&lt;record&gt;&lt;rec-number&gt;208&lt;/rec-number&gt;&lt;foreign-keys&gt;&lt;key app="EN" db-id="aaepvppzs5wtfse95vsp2wahsrtvva2vvdet" timestamp="1663738975"&gt;208&lt;/key&gt;&lt;/foreign-keys&gt;&lt;ref-type name="Web Page"&gt;12&lt;/ref-type&gt;&lt;contributors&gt;&lt;authors&gt;&lt;author&gt;Ministry of Health,&lt;/author&gt;&lt;/authors&gt;&lt;/contributors&gt;&lt;titles&gt;&lt;title&gt;Health Workforce Advisory Board 2021 Annual Report to the Minister of Health&lt;/title&gt;&lt;/titles&gt;&lt;number&gt;31 October 2022&lt;/number&gt;&lt;dates&gt;&lt;year&gt;2022&lt;/year&gt;&lt;/dates&gt;&lt;urls&gt;&lt;related-urls&gt;&lt;url&gt;https://www.health.govt.nz/publication/health-workforce-advisory-board-2021-annual-report-minister-health&lt;/url&gt;&lt;/related-urls&gt;&lt;/urls&gt;&lt;/record&gt;&lt;/Cite&gt;&lt;/EndNote&gt;</w:instrText>
      </w:r>
      <w:r w:rsidRPr="00344776">
        <w:fldChar w:fldCharType="separate"/>
      </w:r>
      <w:r w:rsidRPr="00344776">
        <w:rPr>
          <w:noProof/>
        </w:rPr>
        <w:t>(Ministry of Health 2022l)</w:t>
      </w:r>
      <w:r w:rsidRPr="00344776">
        <w:fldChar w:fldCharType="end"/>
      </w:r>
      <w:r w:rsidRPr="00344776">
        <w:t>.</w:t>
      </w:r>
    </w:p>
    <w:p w14:paraId="67BF48DA" w14:textId="77777777" w:rsidR="006659D5" w:rsidRPr="00344776" w:rsidRDefault="006659D5" w:rsidP="006659D5"/>
    <w:p w14:paraId="4AA7C39D" w14:textId="77777777" w:rsidR="006659D5" w:rsidRDefault="006659D5" w:rsidP="006659D5">
      <w:pPr>
        <w:rPr>
          <w:b/>
          <w:color w:val="23305D"/>
          <w:spacing w:val="-10"/>
          <w:sz w:val="72"/>
        </w:rPr>
      </w:pPr>
      <w:bookmarkStart w:id="215" w:name="_Toc57295688"/>
      <w:bookmarkStart w:id="216" w:name="_Toc64536256"/>
      <w:bookmarkStart w:id="217" w:name="_Toc86314865"/>
      <w:bookmarkStart w:id="218" w:name="_Toc88642823"/>
      <w:r>
        <w:br w:type="page"/>
      </w:r>
    </w:p>
    <w:p w14:paraId="21083BEC" w14:textId="77777777" w:rsidR="006659D5" w:rsidRPr="00344776" w:rsidRDefault="006659D5" w:rsidP="006659D5">
      <w:pPr>
        <w:pStyle w:val="Heading1"/>
      </w:pPr>
      <w:bookmarkStart w:id="219" w:name="_Toc118452240"/>
      <w:bookmarkStart w:id="220" w:name="_Toc119313001"/>
      <w:r w:rsidRPr="00344776">
        <w:lastRenderedPageBreak/>
        <w:t>Technical notes</w:t>
      </w:r>
      <w:bookmarkEnd w:id="215"/>
      <w:bookmarkEnd w:id="216"/>
      <w:r w:rsidRPr="00344776">
        <w:t xml:space="preserve"> | </w:t>
      </w:r>
      <w:proofErr w:type="spellStart"/>
      <w:r w:rsidRPr="00344776">
        <w:t>Ngā</w:t>
      </w:r>
      <w:proofErr w:type="spellEnd"/>
      <w:r w:rsidRPr="00344776">
        <w:t> </w:t>
      </w:r>
      <w:proofErr w:type="spellStart"/>
      <w:r w:rsidRPr="00344776">
        <w:t>tuhipoka</w:t>
      </w:r>
      <w:proofErr w:type="spellEnd"/>
      <w:r w:rsidRPr="00344776">
        <w:t xml:space="preserve"> </w:t>
      </w:r>
      <w:proofErr w:type="spellStart"/>
      <w:r w:rsidRPr="00344776">
        <w:t>hangarau</w:t>
      </w:r>
      <w:bookmarkEnd w:id="217"/>
      <w:bookmarkEnd w:id="218"/>
      <w:bookmarkEnd w:id="219"/>
      <w:bookmarkEnd w:id="220"/>
      <w:proofErr w:type="spellEnd"/>
    </w:p>
    <w:p w14:paraId="21FFCFF6" w14:textId="77777777" w:rsidR="00590B82" w:rsidRPr="00344776" w:rsidRDefault="00590B82" w:rsidP="00590B82">
      <w:r w:rsidRPr="00344776">
        <w:t xml:space="preserve">This report contains data from a range of sources, some of which are produced outside </w:t>
      </w:r>
      <w:r>
        <w:t>Manatū Hauora.</w:t>
      </w:r>
      <w:r w:rsidRPr="00344776">
        <w:t xml:space="preserve"> Data is available through hyperlinks to sources</w:t>
      </w:r>
      <w:r>
        <w:t>,</w:t>
      </w:r>
      <w:r w:rsidRPr="00344776">
        <w:t xml:space="preserve"> where available, or in the accompanying Excel file. We have aimed to report data only when the data collection and analytical processes are robust. Notes are included if methodological information affects the interpretation of the data. We encourage you to refer to the original data source for further details.</w:t>
      </w:r>
    </w:p>
    <w:p w14:paraId="6DD9E64F" w14:textId="77777777" w:rsidR="00590B82" w:rsidRPr="00344776" w:rsidRDefault="00590B82" w:rsidP="00590B82"/>
    <w:p w14:paraId="5B654BA6" w14:textId="77777777" w:rsidR="00590B82" w:rsidRPr="00344776" w:rsidRDefault="00590B82" w:rsidP="00590B82">
      <w:r w:rsidRPr="00344776">
        <w:t>All data reported is the latest available from the time the report began production (30 April 2022). The time lag between the most recent data and the present can be substantial</w:t>
      </w:r>
      <w:r>
        <w:t>. S</w:t>
      </w:r>
      <w:r w:rsidRPr="00344776">
        <w:t>ome data is provisional</w:t>
      </w:r>
      <w:r>
        <w:t>;</w:t>
      </w:r>
      <w:r w:rsidRPr="00344776">
        <w:t xml:space="preserve"> for example</w:t>
      </w:r>
      <w:r>
        <w:t>,</w:t>
      </w:r>
      <w:r w:rsidRPr="00344776">
        <w:t xml:space="preserve"> mortality data.</w:t>
      </w:r>
    </w:p>
    <w:p w14:paraId="58140F52" w14:textId="77777777" w:rsidR="00590B82" w:rsidRPr="00344776" w:rsidRDefault="00590B82" w:rsidP="00590B82"/>
    <w:p w14:paraId="149CABD6" w14:textId="77777777" w:rsidR="00590B82" w:rsidRPr="00344776" w:rsidRDefault="00590B82" w:rsidP="00590B82">
      <w:r w:rsidRPr="00344776">
        <w:t>COVID-19 case and test figures may differ from those previously published due to methodology changes, updates to population denominators and the late addition of records.</w:t>
      </w:r>
    </w:p>
    <w:p w14:paraId="5978EB8F" w14:textId="77777777" w:rsidR="00590B82" w:rsidRPr="00344776" w:rsidRDefault="00590B82" w:rsidP="00590B82"/>
    <w:p w14:paraId="0EF1BD58" w14:textId="77777777" w:rsidR="00590B82" w:rsidRPr="00344776" w:rsidRDefault="00590B82" w:rsidP="00590B82">
      <w:r w:rsidRPr="00344776">
        <w:t xml:space="preserve">The NZHS provides data on a variety of topics, not all of which will be covered in this report. The survey is one of the few data sources </w:t>
      </w:r>
      <w:r>
        <w:t xml:space="preserve">that </w:t>
      </w:r>
      <w:r w:rsidRPr="00344776">
        <w:t xml:space="preserve">contains data on the health of disabled people. </w:t>
      </w:r>
      <w:r>
        <w:t>This r</w:t>
      </w:r>
      <w:r w:rsidRPr="00344776">
        <w:t>eport includes data from the 2020/21 NZHS, which ran from September 2020 to August 2021. Due to the collection time and recall period, data will not reflect the impact of the subsequent Delta and Omicron outbreaks. For further details</w:t>
      </w:r>
      <w:r>
        <w:t>,</w:t>
      </w:r>
      <w:r w:rsidRPr="00344776">
        <w:t xml:space="preserve"> please refer to the NZHS directly </w:t>
      </w:r>
      <w:r w:rsidRPr="00344776">
        <w:fldChar w:fldCharType="begin"/>
      </w:r>
      <w:r>
        <w:instrText xml:space="preserve"> ADDIN EN.CITE &lt;EndNote&gt;&lt;Cite&gt;&lt;Author&gt;Ministry of Health&lt;/Author&gt;&lt;Year&gt;2022&lt;/Year&gt;&lt;RecNum&gt;33&lt;/RecNum&gt;&lt;DisplayText&gt;(Ministry of Health 2022b)&lt;/DisplayText&gt;&lt;record&gt;&lt;rec-number&gt;33&lt;/rec-number&gt;&lt;foreign-keys&gt;&lt;key app="EN" db-id="aaepvppzs5wtfse95vsp2wahsrtvva2vvdet" timestamp="1632283821"&gt;33&lt;/key&gt;&lt;/foreign-keys&gt;&lt;ref-type name="Web Page"&gt;12&lt;/ref-type&gt;&lt;contributors&gt;&lt;authors&gt;&lt;author&gt;Ministry of Health,&lt;/author&gt;&lt;/authors&gt;&lt;/contributors&gt;&lt;titles&gt;&lt;title&gt;Annual Data Explorer 2020/21: New Zealand Health Survey (Data file)&lt;/title&gt;&lt;/titles&gt;&lt;number&gt;31 October 2022&lt;/number&gt;&lt;dates&gt;&lt;year&gt;2022&lt;/year&gt;&lt;/dates&gt;&lt;urls&gt;&lt;related-urls&gt;&lt;url&gt;https://minhealthnz.shinyapps.io/nz-health-survey-2020-21-annual-data-explorer/&lt;/url&gt;&lt;/related-urls&gt;&lt;/urls&gt;&lt;/record&gt;&lt;/Cite&gt;&lt;/EndNote&gt;</w:instrText>
      </w:r>
      <w:r w:rsidRPr="00344776">
        <w:fldChar w:fldCharType="separate"/>
      </w:r>
      <w:r w:rsidRPr="00344776">
        <w:rPr>
          <w:noProof/>
        </w:rPr>
        <w:t>(Ministry of Health 2022b)</w:t>
      </w:r>
      <w:r w:rsidRPr="00344776">
        <w:fldChar w:fldCharType="end"/>
      </w:r>
      <w:r w:rsidRPr="00344776">
        <w:t>.</w:t>
      </w:r>
    </w:p>
    <w:p w14:paraId="6AF99E20" w14:textId="77777777" w:rsidR="00590B82" w:rsidRPr="00344776" w:rsidRDefault="00590B82" w:rsidP="00590B82"/>
    <w:p w14:paraId="05342492" w14:textId="77777777" w:rsidR="00590B82" w:rsidRPr="00344776" w:rsidRDefault="00590B82" w:rsidP="00590B82">
      <w:r>
        <w:t>We have based e</w:t>
      </w:r>
      <w:r w:rsidRPr="00344776">
        <w:t>thnic comparisons on either prioritised ethnicity or total response ethnicity. With prioritised ethnicity, ethnic groups are mutually exclusive. That is, a person can appear in only one ethnic group, which is generally prioritised in</w:t>
      </w:r>
      <w:r w:rsidRPr="00DF5AB5">
        <w:t xml:space="preserve"> the following order: Māori, Pacific peoples, Asian, </w:t>
      </w:r>
      <w:r>
        <w:t>o</w:t>
      </w:r>
      <w:r w:rsidRPr="00DF5AB5">
        <w:t>ther</w:t>
      </w:r>
      <w:r w:rsidRPr="00344776">
        <w:t>. With total response ethnicity, a person is classified in all ethnic groups they identify with. This means that a person can appear in more than one ethnic group. Prioritised ethnicity is often used for analysis based on administrative data (data collected for purposes other than statistics)</w:t>
      </w:r>
      <w:r>
        <w:t>,</w:t>
      </w:r>
      <w:r w:rsidRPr="00344776">
        <w:t xml:space="preserve"> such as mortality data, while total response ethnicity is shown for NZHS data.</w:t>
      </w:r>
    </w:p>
    <w:p w14:paraId="3C6B9ABB" w14:textId="77777777" w:rsidR="00590B82" w:rsidRPr="00344776" w:rsidRDefault="00590B82" w:rsidP="00590B82"/>
    <w:p w14:paraId="071BB96D" w14:textId="77777777" w:rsidR="00590B82" w:rsidRPr="00344776" w:rsidRDefault="00590B82" w:rsidP="00590B82">
      <w:r w:rsidRPr="00344776">
        <w:t>Selected results are presented by neighbourhood deprivation, as measured by the NZDep2018 index of deprivation. This is an area-based measure of socioeconomic deprivation that uses a combination of the following 2018 Census data: household income, benefit receipt, household crowding, home ownership, employment status, qualifications, support (sole-parent families), living condition (dampness or mould) and household access to the internet. In this report, ‘quintile 5</w:t>
      </w:r>
      <w:r>
        <w:t>’</w:t>
      </w:r>
      <w:r w:rsidRPr="00344776">
        <w:t xml:space="preserve"> denotes the people living in the most socioeconomically deprived 20</w:t>
      </w:r>
      <w:r>
        <w:t>%</w:t>
      </w:r>
      <w:r w:rsidRPr="00344776">
        <w:t xml:space="preserve"> of small areas in New Zealand. Conversely, </w:t>
      </w:r>
      <w:r>
        <w:t>‘</w:t>
      </w:r>
      <w:r w:rsidRPr="00344776">
        <w:t>quintile 1</w:t>
      </w:r>
      <w:r>
        <w:t>’</w:t>
      </w:r>
      <w:r w:rsidRPr="00344776">
        <w:t xml:space="preserve"> denotes the people living in the least deprived 20</w:t>
      </w:r>
      <w:r>
        <w:t>%</w:t>
      </w:r>
      <w:r w:rsidRPr="00344776">
        <w:t xml:space="preserve"> of small areas.</w:t>
      </w:r>
    </w:p>
    <w:p w14:paraId="4DA534A2" w14:textId="77777777" w:rsidR="00590B82" w:rsidRPr="00344776" w:rsidRDefault="00590B82" w:rsidP="00590B82"/>
    <w:p w14:paraId="55E100DE" w14:textId="77777777" w:rsidR="00590B82" w:rsidRPr="00344776" w:rsidRDefault="00590B82" w:rsidP="00590B82">
      <w:r w:rsidRPr="00344776">
        <w:t xml:space="preserve">The </w:t>
      </w:r>
      <w:r>
        <w:t>r</w:t>
      </w:r>
      <w:r w:rsidRPr="00344776">
        <w:t xml:space="preserve">eport contains population data from Stats NZ population estimates and projections and the HSU population. There are some important differences between </w:t>
      </w:r>
      <w:r w:rsidRPr="00344776" w:rsidDel="39C9FFDB">
        <w:t>these</w:t>
      </w:r>
      <w:r w:rsidRPr="00344776">
        <w:t xml:space="preserve"> data sources. Stats NZ population estimates are estimates of the resident </w:t>
      </w:r>
      <w:r w:rsidRPr="00344776">
        <w:lastRenderedPageBreak/>
        <w:t xml:space="preserve">population based on the Census </w:t>
      </w:r>
      <w:r w:rsidRPr="00ED2E22">
        <w:t>and information on births,</w:t>
      </w:r>
      <w:r w:rsidRPr="00344776">
        <w:t xml:space="preserve"> deaths and migration</w:t>
      </w:r>
      <w:r>
        <w:t>,</w:t>
      </w:r>
      <w:r w:rsidRPr="00344776">
        <w:t xml:space="preserve"> and exclude short-term visitors to New Zealand. The HSU measures people who received health services in New Zealand in a given year, including short</w:t>
      </w:r>
      <w:r>
        <w:t>-</w:t>
      </w:r>
      <w:r w:rsidRPr="00344776">
        <w:t>term visitors. The HSU does not include people living in New Zealand if they have</w:t>
      </w:r>
      <w:r>
        <w:t xml:space="preserve"> </w:t>
      </w:r>
      <w:r w:rsidRPr="00344776">
        <w:t>n</w:t>
      </w:r>
      <w:r>
        <w:t>o</w:t>
      </w:r>
      <w:r w:rsidRPr="00344776">
        <w:t>t interacted with the health system, and were</w:t>
      </w:r>
      <w:r>
        <w:t xml:space="preserve"> </w:t>
      </w:r>
      <w:r w:rsidRPr="00344776">
        <w:t>n</w:t>
      </w:r>
      <w:r>
        <w:t>o</w:t>
      </w:r>
      <w:r w:rsidRPr="00344776">
        <w:t>t enrolled with a GP, during the year. Uptake of the COVID-19 vaccination program</w:t>
      </w:r>
      <w:r>
        <w:t>me</w:t>
      </w:r>
      <w:r w:rsidRPr="00344776">
        <w:t xml:space="preserve"> in 2021 resulted in many people using health services in Aotearoa, including non-residents. At a population level, the HSU for 2021 is about 2</w:t>
      </w:r>
      <w:r>
        <w:t>%</w:t>
      </w:r>
      <w:r w:rsidRPr="00344776">
        <w:t xml:space="preserve"> higher than the Stats NZ’s population estimate for 2021 </w:t>
      </w:r>
      <w:r w:rsidRPr="00344776">
        <w:fldChar w:fldCharType="begin"/>
      </w:r>
      <w:r>
        <w:instrText xml:space="preserve"> ADDIN EN.CITE &lt;EndNote&gt;&lt;Cite&gt;&lt;Author&gt;Ministry of Health&lt;/Author&gt;&lt;Year&gt;2022&lt;/Year&gt;&lt;RecNum&gt;184&lt;/RecNum&gt;&lt;DisplayText&gt;(Ministry of Health 2022j)&lt;/DisplayText&gt;&lt;record&gt;&lt;rec-number&gt;184&lt;/rec-number&gt;&lt;foreign-keys&gt;&lt;key app="EN" db-id="aaepvppzs5wtfse95vsp2wahsrtvva2vvdet" timestamp="1663729844"&gt;184&lt;/key&gt;&lt;/foreign-keys&gt;&lt;ref-type name="Web Page"&gt;12&lt;/ref-type&gt;&lt;contributors&gt;&lt;authors&gt;&lt;author&gt;Ministry of Health,&lt;/author&gt;&lt;/authors&gt;&lt;/contributors&gt;&lt;titles&gt;&lt;title&gt;Further information about the HSU dataset and review&lt;/title&gt;&lt;/titles&gt;&lt;number&gt;31 October 2022&lt;/number&gt;&lt;dates&gt;&lt;year&gt;2022&lt;/year&gt;&lt;/dates&gt;&lt;urls&gt;&lt;related-urls&gt;&lt;url&gt;https://www.health.govt.nz/system/files/documents/publications/further-information-about-the-hsu-dataset-and-review-4aug22.pdf&lt;/url&gt;&lt;/related-urls&gt;&lt;/urls&gt;&lt;/record&gt;&lt;/Cite&gt;&lt;/EndNote&gt;</w:instrText>
      </w:r>
      <w:r w:rsidRPr="00344776">
        <w:fldChar w:fldCharType="separate"/>
      </w:r>
      <w:r w:rsidRPr="00344776">
        <w:rPr>
          <w:noProof/>
        </w:rPr>
        <w:t>(Ministry of Health 2022j)</w:t>
      </w:r>
      <w:r w:rsidRPr="00344776">
        <w:fldChar w:fldCharType="end"/>
      </w:r>
      <w:r w:rsidRPr="00344776">
        <w:t xml:space="preserve">. There are also differences in ethnicity recording between Stats NZ data and Ministry of Health data, which results in HSU totals by ethnic group differing from totals from Stats NZ population estimates and projections. </w:t>
      </w:r>
    </w:p>
    <w:p w14:paraId="33EB3292" w14:textId="77777777" w:rsidR="00590B82" w:rsidRPr="00344776" w:rsidRDefault="00590B82" w:rsidP="00590B82">
      <w:r w:rsidRPr="00344776">
        <w:t xml:space="preserve"> </w:t>
      </w:r>
    </w:p>
    <w:p w14:paraId="60FFD06C" w14:textId="77777777" w:rsidR="00590B82" w:rsidRPr="00344776" w:rsidRDefault="00590B82" w:rsidP="00590B82">
      <w:r w:rsidRPr="00344776">
        <w:t xml:space="preserve">The Ministry of Health </w:t>
      </w:r>
      <w:r w:rsidRPr="00797AA3">
        <w:t>uses the HSU as</w:t>
      </w:r>
      <w:r w:rsidRPr="00344776">
        <w:t xml:space="preserve"> the denominator for COVID-19 vaccine uptake rates </w:t>
      </w:r>
      <w:r w:rsidRPr="00344776">
        <w:fldChar w:fldCharType="begin"/>
      </w:r>
      <w:r>
        <w:instrText xml:space="preserve"> ADDIN EN.CITE &lt;EndNote&gt;&lt;Cite&gt;&lt;Author&gt;Ministry of Health&lt;/Author&gt;&lt;Year&gt;2022&lt;/Year&gt;&lt;RecNum&gt;185&lt;/RecNum&gt;&lt;DisplayText&gt;(Ministry of Health 2022f)&lt;/DisplayText&gt;&lt;record&gt;&lt;rec-number&gt;185&lt;/rec-number&gt;&lt;foreign-keys&gt;&lt;key app="EN" db-id="aaepvppzs5wtfse95vsp2wahsrtvva2vvdet" timestamp="1663729957"&gt;185&lt;/key&gt;&lt;/foreign-keys&gt;&lt;ref-type name="Web Page"&gt;12&lt;/ref-type&gt;&lt;contributors&gt;&lt;authors&gt;&lt;author&gt;Ministry of Health,&lt;/author&gt;&lt;/authors&gt;&lt;/contributors&gt;&lt;titles&gt;&lt;title&gt;COVID-19: Vaccine data&lt;/title&gt;&lt;/titles&gt;&lt;number&gt;1 November 2022&lt;/number&gt;&lt;dates&gt;&lt;year&gt;2022&lt;/year&gt;&lt;/dates&gt;&lt;urls&gt;&lt;related-urls&gt;&lt;url&gt;https://www.health.govt.nz/covid-19-novel-coronavirus/covid-19-data-and-statistics/covid-19-vaccine-data&lt;/url&gt;&lt;/related-urls&gt;&lt;/urls&gt;&lt;/record&gt;&lt;/Cite&gt;&lt;/EndNote&gt;</w:instrText>
      </w:r>
      <w:r w:rsidRPr="00344776">
        <w:fldChar w:fldCharType="separate"/>
      </w:r>
      <w:r w:rsidRPr="00344776">
        <w:rPr>
          <w:noProof/>
        </w:rPr>
        <w:t>(Ministry of Health 2022f)</w:t>
      </w:r>
      <w:r w:rsidRPr="00344776">
        <w:fldChar w:fldCharType="end"/>
      </w:r>
      <w:r w:rsidRPr="00344776">
        <w:t xml:space="preserve">. Stats NZ carried out an independent review of the HSU data and found that it is an appropriate way to measure COVID-19 vaccine coverage </w:t>
      </w:r>
      <w:r w:rsidRPr="00344776">
        <w:fldChar w:fldCharType="begin"/>
      </w:r>
      <w:r>
        <w:instrText xml:space="preserve"> ADDIN EN.CITE &lt;EndNote&gt;&lt;Cite&gt;&lt;Author&gt;Stats NZ&lt;/Author&gt;&lt;Year&gt;2022&lt;/Year&gt;&lt;RecNum&gt;186&lt;/RecNum&gt;&lt;DisplayText&gt;(Stats NZ 2022c)&lt;/DisplayText&gt;&lt;record&gt;&lt;rec-number&gt;186&lt;/rec-number&gt;&lt;foreign-keys&gt;&lt;key app="EN" db-id="aaepvppzs5wtfse95vsp2wahsrtvva2vvdet" timestamp="1663730051"&gt;186&lt;/key&gt;&lt;/foreign-keys&gt;&lt;ref-type name="Web Page"&gt;12&lt;/ref-type&gt;&lt;contributors&gt;&lt;authors&gt;&lt;author&gt;Stats NZ,&lt;/author&gt;&lt;/authors&gt;&lt;/contributors&gt;&lt;titles&gt;&lt;title&gt;Review of Health Service User population methodology&lt;/title&gt;&lt;/titles&gt;&lt;number&gt;28 October 2022&lt;/number&gt;&lt;dates&gt;&lt;year&gt;2022&lt;/year&gt;&lt;/dates&gt;&lt;urls&gt;&lt;related-urls&gt;&lt;url&gt;https://www.stats.govt.nz/reports/review-of-health-service-user-population-methodology/&lt;/url&gt;&lt;/related-urls&gt;&lt;/urls&gt;&lt;/record&gt;&lt;/Cite&gt;&lt;/EndNote&gt;</w:instrText>
      </w:r>
      <w:r w:rsidRPr="00344776">
        <w:fldChar w:fldCharType="separate"/>
      </w:r>
      <w:r w:rsidRPr="00344776">
        <w:rPr>
          <w:noProof/>
        </w:rPr>
        <w:t>(Stats NZ 2022c)</w:t>
      </w:r>
      <w:r w:rsidRPr="00344776">
        <w:fldChar w:fldCharType="end"/>
      </w:r>
      <w:r w:rsidRPr="00344776">
        <w:t xml:space="preserve">. The Ministry response to the Stats NZ recommendations is available on the Ministry of Health </w:t>
      </w:r>
      <w:hyperlink r:id="rId125">
        <w:r w:rsidRPr="00344776">
          <w:rPr>
            <w:rStyle w:val="Hyperlink"/>
          </w:rPr>
          <w:t>website</w:t>
        </w:r>
      </w:hyperlink>
      <w:r w:rsidRPr="00344776">
        <w:t xml:space="preserve"> </w:t>
      </w:r>
      <w:r w:rsidRPr="00344776">
        <w:rPr>
          <w:rStyle w:val="Hyperlink"/>
          <w:rFonts w:ascii="Calibri" w:eastAsia="Calibri" w:hAnsi="Calibri" w:cs="Calibri"/>
          <w:b w:val="0"/>
          <w:color w:val="auto"/>
          <w:sz w:val="22"/>
          <w:szCs w:val="22"/>
        </w:rPr>
        <w:fldChar w:fldCharType="begin"/>
      </w:r>
      <w:r>
        <w:rPr>
          <w:rStyle w:val="Hyperlink"/>
          <w:rFonts w:ascii="Calibri" w:eastAsia="Calibri" w:hAnsi="Calibri" w:cs="Calibri"/>
          <w:b w:val="0"/>
          <w:color w:val="auto"/>
          <w:sz w:val="22"/>
          <w:szCs w:val="22"/>
        </w:rPr>
        <w:instrText xml:space="preserve"> ADDIN EN.CITE &lt;EndNote&gt;&lt;Cite&gt;&lt;Author&gt;Ministry of Health&lt;/Author&gt;&lt;Year&gt;2022&lt;/Year&gt;&lt;RecNum&gt;187&lt;/RecNum&gt;&lt;DisplayText&gt;(Ministry of Health 2022x)&lt;/DisplayText&gt;&lt;record&gt;&lt;rec-number&gt;187&lt;/rec-number&gt;&lt;foreign-keys&gt;&lt;key app="EN" db-id="aaepvppzs5wtfse95vsp2wahsrtvva2vvdet" timestamp="1663730143"&gt;187&lt;/key&gt;&lt;/foreign-keys&gt;&lt;ref-type name="Web Page"&gt;12&lt;/ref-type&gt;&lt;contributors&gt;&lt;authors&gt;&lt;author&gt;Ministry of Health,&lt;/author&gt;&lt;/authors&gt;&lt;/contributors&gt;&lt;titles&gt;&lt;title&gt;Response to Stats NZ recommendations for the Health Service User dataset&lt;/title&gt;&lt;/titles&gt;&lt;number&gt;28 October 2022&lt;/number&gt;&lt;dates&gt;&lt;year&gt;2022&lt;/year&gt;&lt;/dates&gt;&lt;urls&gt;&lt;related-urls&gt;&lt;url&gt;https://www.health.govt.nz/publication/response-stats-nz-recommendations-health-service-user-dataset&lt;/url&gt;&lt;/related-urls&gt;&lt;/urls&gt;&lt;/record&gt;&lt;/Cite&gt;&lt;/EndNote&gt;</w:instrText>
      </w:r>
      <w:r w:rsidRPr="00344776">
        <w:rPr>
          <w:rStyle w:val="Hyperlink"/>
          <w:rFonts w:ascii="Calibri" w:eastAsia="Calibri" w:hAnsi="Calibri" w:cs="Calibri"/>
          <w:b w:val="0"/>
          <w:color w:val="auto"/>
          <w:sz w:val="22"/>
          <w:szCs w:val="22"/>
        </w:rPr>
        <w:fldChar w:fldCharType="separate"/>
      </w:r>
      <w:r w:rsidRPr="00344776">
        <w:rPr>
          <w:rStyle w:val="Hyperlink"/>
          <w:rFonts w:ascii="Calibri" w:eastAsia="Calibri" w:hAnsi="Calibri" w:cs="Calibri"/>
          <w:b w:val="0"/>
          <w:noProof/>
          <w:color w:val="auto"/>
          <w:sz w:val="22"/>
          <w:szCs w:val="22"/>
        </w:rPr>
        <w:t>(Ministry of Health 2022x)</w:t>
      </w:r>
      <w:r w:rsidRPr="00344776">
        <w:rPr>
          <w:rStyle w:val="Hyperlink"/>
          <w:rFonts w:ascii="Calibri" w:eastAsia="Calibri" w:hAnsi="Calibri" w:cs="Calibri"/>
          <w:b w:val="0"/>
          <w:color w:val="auto"/>
          <w:sz w:val="22"/>
          <w:szCs w:val="22"/>
        </w:rPr>
        <w:fldChar w:fldCharType="end"/>
      </w:r>
      <w:r w:rsidRPr="00344776">
        <w:t xml:space="preserve">. The main rationale for using the HSU as a population denominator for health statistics, rather than data from Stats NZ, is to combat numerator-denominator bias. This happens when the demographics about a person are different in the numerator and the denominator. An example of numerator-denominator bias would be calculating vaccination coverage for Māori with COVID-19 vaccination data as the numerator and Stats NZ population estimates as the denominator. This is because the ethnic groups with which someone identifies can be different in health data – in this case in the COVID-19 Immunisation Register and Stats NZ population estimates. </w:t>
      </w:r>
    </w:p>
    <w:p w14:paraId="50EBA0B7" w14:textId="77777777" w:rsidR="00590B82" w:rsidRPr="00344776" w:rsidRDefault="00590B82" w:rsidP="00590B82"/>
    <w:p w14:paraId="361F42DB" w14:textId="7A817261" w:rsidR="006659D5" w:rsidRPr="00344776" w:rsidRDefault="00590B82" w:rsidP="00590B82">
      <w:r w:rsidRPr="00344776">
        <w:t xml:space="preserve">When possible, </w:t>
      </w:r>
      <w:r>
        <w:t xml:space="preserve">we have reported on </w:t>
      </w:r>
      <w:r w:rsidRPr="00344776">
        <w:t xml:space="preserve">statistically significant differences between population groups and, when relevant, trends over time. In many comparisons, the results have been adjusted or standardised for factors that may influence (confound) the comparison, such as age and gender. Age standardisation is often used in this report to account for differences in age structure between population groups and over time </w:t>
      </w:r>
      <w:r w:rsidRPr="00344776">
        <w:fldChar w:fldCharType="begin"/>
      </w:r>
      <w:r>
        <w:instrText xml:space="preserve"> ADDIN EN.CITE &lt;EndNote&gt;&lt;Cite&gt;&lt;Author&gt;Ministry of Health&lt;/Author&gt;&lt;Year&gt;2020&lt;/Year&gt;&lt;RecNum&gt;25&lt;/RecNum&gt;&lt;DisplayText&gt;(Ministry of Health 2020d)&lt;/DisplayText&gt;&lt;record&gt;&lt;rec-number&gt;25&lt;/rec-number&gt;&lt;foreign-keys&gt;&lt;key app="EN" db-id="aaepvppzs5wtfse95vsp2wahsrtvva2vvdet" timestamp="1632216941"&gt;25&lt;/key&gt;&lt;/foreign-keys&gt;&lt;ref-type name="Web Page"&gt;12&lt;/ref-type&gt;&lt;contributors&gt;&lt;authors&gt;&lt;author&gt;Ministry of Health,&lt;/author&gt;&lt;/authors&gt;&lt;/contributors&gt;&lt;titles&gt;&lt;title&gt;Methodology Report 2019/20: New Zealand Health Survey&lt;/title&gt;&lt;/titles&gt;&lt;number&gt;1 November 2022&lt;/number&gt;&lt;dates&gt;&lt;year&gt;2020&lt;/year&gt;&lt;/dates&gt;&lt;urls&gt;&lt;related-urls&gt;&lt;url&gt;www.health.govt.nz/publication/methodology-report-2019-20-new-zealand-health-survey&lt;/url&gt;&lt;/related-urls&gt;&lt;/urls&gt;&lt;/record&gt;&lt;/Cite&gt;&lt;/EndNote&gt;</w:instrText>
      </w:r>
      <w:r w:rsidRPr="00344776">
        <w:fldChar w:fldCharType="separate"/>
      </w:r>
      <w:r w:rsidRPr="00344776">
        <w:rPr>
          <w:noProof/>
        </w:rPr>
        <w:t>(Ministry of Health 2020d)</w:t>
      </w:r>
      <w:r w:rsidRPr="00344776">
        <w:fldChar w:fldCharType="end"/>
      </w:r>
      <w:r w:rsidR="006659D5" w:rsidRPr="00344776">
        <w:t>.</w:t>
      </w:r>
    </w:p>
    <w:p w14:paraId="6854A0FA" w14:textId="77777777" w:rsidR="006659D5" w:rsidRPr="00344776" w:rsidRDefault="006659D5" w:rsidP="006659D5"/>
    <w:p w14:paraId="11B0735C" w14:textId="77777777" w:rsidR="006659D5" w:rsidRDefault="006659D5" w:rsidP="006659D5">
      <w:pPr>
        <w:rPr>
          <w:b/>
          <w:color w:val="23305D"/>
          <w:spacing w:val="-10"/>
          <w:sz w:val="72"/>
        </w:rPr>
      </w:pPr>
      <w:r>
        <w:br w:type="page"/>
      </w:r>
    </w:p>
    <w:p w14:paraId="39465069" w14:textId="77777777" w:rsidR="006659D5" w:rsidRPr="00344776" w:rsidRDefault="006659D5" w:rsidP="006659D5">
      <w:pPr>
        <w:pStyle w:val="Heading1"/>
      </w:pPr>
      <w:bookmarkStart w:id="221" w:name="_Toc118452241"/>
      <w:bookmarkStart w:id="222" w:name="_Toc119313002"/>
      <w:r w:rsidRPr="00344776">
        <w:lastRenderedPageBreak/>
        <w:t>References</w:t>
      </w:r>
      <w:r>
        <w:t xml:space="preserve"> </w:t>
      </w:r>
      <w:r w:rsidRPr="007F7E77">
        <w:t>|</w:t>
      </w:r>
      <w:r>
        <w:t xml:space="preserve"> </w:t>
      </w:r>
      <w:proofErr w:type="spellStart"/>
      <w:r w:rsidRPr="007F7E77">
        <w:t>Ngā</w:t>
      </w:r>
      <w:proofErr w:type="spellEnd"/>
      <w:r w:rsidRPr="007F7E77">
        <w:t xml:space="preserve"> </w:t>
      </w:r>
      <w:proofErr w:type="spellStart"/>
      <w:r w:rsidRPr="007F7E77">
        <w:t>tohutoro</w:t>
      </w:r>
      <w:bookmarkEnd w:id="221"/>
      <w:bookmarkEnd w:id="222"/>
      <w:proofErr w:type="spellEnd"/>
    </w:p>
    <w:p w14:paraId="14A9B8E4" w14:textId="77777777" w:rsidR="00590B82" w:rsidRPr="004B1CBD" w:rsidRDefault="00590B82" w:rsidP="00590B82">
      <w:pPr>
        <w:pStyle w:val="EndNoteBibliography"/>
      </w:pPr>
      <w:r w:rsidRPr="004B1CBD">
        <w:t xml:space="preserve">Abdel-Rahman O, Helbling D, Schöb O, et al. 2017. Cigarette smoking as a risk factor for the development of and mortality from hepatocellular carcinoma: An updated systematic review of 81 epidemiological studies. </w:t>
      </w:r>
      <w:r w:rsidRPr="004B1CBD">
        <w:rPr>
          <w:i/>
        </w:rPr>
        <w:t>Journal of Evidence Based Medicine</w:t>
      </w:r>
      <w:r w:rsidRPr="004B1CBD">
        <w:t xml:space="preserve"> 10(4): 245-54.</w:t>
      </w:r>
    </w:p>
    <w:p w14:paraId="4E26C5BE" w14:textId="77777777" w:rsidR="00590B82" w:rsidRPr="004B1CBD" w:rsidRDefault="00590B82" w:rsidP="00590B82">
      <w:pPr>
        <w:pStyle w:val="EndNoteBibliography"/>
      </w:pPr>
    </w:p>
    <w:p w14:paraId="407CDC5F" w14:textId="12EC62DD" w:rsidR="00590B82" w:rsidRPr="004B1CBD" w:rsidRDefault="00590B82" w:rsidP="00590B82">
      <w:pPr>
        <w:pStyle w:val="EndNoteBibliography"/>
      </w:pPr>
      <w:r w:rsidRPr="004B1CBD">
        <w:t xml:space="preserve">Atkinson J, Crampton P, Salmond C. 2021. </w:t>
      </w:r>
      <w:r w:rsidRPr="004B1CBD">
        <w:rPr>
          <w:i/>
        </w:rPr>
        <w:t>NZDep2018 analysis of census 2018 variables – Overall (New Zealand)</w:t>
      </w:r>
      <w:r w:rsidRPr="004B1CBD">
        <w:t xml:space="preserve">. URL: </w:t>
      </w:r>
      <w:hyperlink r:id="rId126" w:history="1">
        <w:r w:rsidRPr="004B1CBD">
          <w:rPr>
            <w:rStyle w:val="Hyperlink"/>
          </w:rPr>
          <w:t>http://hdl.handle.net/10523/12052</w:t>
        </w:r>
      </w:hyperlink>
      <w:r w:rsidRPr="004B1CBD">
        <w:t xml:space="preserve"> (accessed 31 October 2022).</w:t>
      </w:r>
    </w:p>
    <w:p w14:paraId="111EF3E5" w14:textId="77777777" w:rsidR="00590B82" w:rsidRPr="004B1CBD" w:rsidRDefault="00590B82" w:rsidP="00590B82">
      <w:pPr>
        <w:pStyle w:val="EndNoteBibliography"/>
      </w:pPr>
    </w:p>
    <w:p w14:paraId="6B7F4153" w14:textId="11997E33" w:rsidR="00590B82" w:rsidRPr="004B1CBD" w:rsidRDefault="00590B82" w:rsidP="00590B82">
      <w:pPr>
        <w:pStyle w:val="EndNoteBibliography"/>
      </w:pPr>
      <w:r w:rsidRPr="004B1CBD">
        <w:t xml:space="preserve">Atkinson J, Salmond C, Crampton P. 2019. </w:t>
      </w:r>
      <w:r w:rsidRPr="004B1CBD">
        <w:rPr>
          <w:i/>
        </w:rPr>
        <w:t>NZDep2018 Index of Deprivation</w:t>
      </w:r>
      <w:r w:rsidRPr="004B1CBD">
        <w:t xml:space="preserve">. URL: </w:t>
      </w:r>
      <w:hyperlink r:id="rId127" w:history="1">
        <w:r w:rsidRPr="004B1CBD">
          <w:rPr>
            <w:rStyle w:val="Hyperlink"/>
          </w:rPr>
          <w:t>www.otago.ac.nz/wellington/otago823833.pdf</w:t>
        </w:r>
      </w:hyperlink>
      <w:r w:rsidRPr="004B1CBD">
        <w:t xml:space="preserve"> (accessed 31 October 2021).</w:t>
      </w:r>
    </w:p>
    <w:p w14:paraId="0BFA02A5" w14:textId="77777777" w:rsidR="00590B82" w:rsidRPr="004B1CBD" w:rsidRDefault="00590B82" w:rsidP="00590B82">
      <w:pPr>
        <w:pStyle w:val="EndNoteBibliography"/>
      </w:pPr>
    </w:p>
    <w:p w14:paraId="1144203A" w14:textId="77777777" w:rsidR="00590B82" w:rsidRPr="004B1CBD" w:rsidRDefault="00590B82" w:rsidP="00590B82">
      <w:pPr>
        <w:pStyle w:val="EndNoteBibliography"/>
      </w:pPr>
      <w:r w:rsidRPr="004B1CBD">
        <w:t xml:space="preserve">Bartholomew K, Morton SM, Carr PE, et al. 2015. Early engagement with a Lead Maternity Carer: Results from Growing Up in New Zealand. </w:t>
      </w:r>
      <w:r w:rsidRPr="004B1CBD">
        <w:rPr>
          <w:i/>
        </w:rPr>
        <w:t>Australian and New Zealand Journal of Obstetrics and Gynaecology</w:t>
      </w:r>
      <w:r w:rsidRPr="004B1CBD">
        <w:t xml:space="preserve"> 55(3): 227-32.</w:t>
      </w:r>
    </w:p>
    <w:p w14:paraId="7D9511F4" w14:textId="77777777" w:rsidR="00590B82" w:rsidRPr="004B1CBD" w:rsidRDefault="00590B82" w:rsidP="00590B82">
      <w:pPr>
        <w:pStyle w:val="EndNoteBibliography"/>
      </w:pPr>
    </w:p>
    <w:p w14:paraId="5ADEC961" w14:textId="488B20B3" w:rsidR="00590B82" w:rsidRPr="004B1CBD" w:rsidRDefault="00590B82" w:rsidP="00590B82">
      <w:pPr>
        <w:pStyle w:val="EndNoteBibliography"/>
      </w:pPr>
      <w:r w:rsidRPr="004B1CBD">
        <w:t xml:space="preserve">Centers for Disease Control and Prevention. 2020. </w:t>
      </w:r>
      <w:r w:rsidRPr="004B1CBD">
        <w:rPr>
          <w:i/>
        </w:rPr>
        <w:t>RSV in infants and young children</w:t>
      </w:r>
      <w:r w:rsidRPr="004B1CBD">
        <w:t xml:space="preserve">. URL: </w:t>
      </w:r>
      <w:hyperlink r:id="rId128" w:history="1">
        <w:r w:rsidRPr="004B1CBD">
          <w:rPr>
            <w:rStyle w:val="Hyperlink"/>
          </w:rPr>
          <w:t>https://www.cdc.gov/rsv/high-risk/infants-young-children.html</w:t>
        </w:r>
      </w:hyperlink>
      <w:r w:rsidRPr="004B1CBD">
        <w:t xml:space="preserve"> (accessed 31 October 2022).</w:t>
      </w:r>
    </w:p>
    <w:p w14:paraId="2FE0854D" w14:textId="77777777" w:rsidR="00590B82" w:rsidRPr="004B1CBD" w:rsidRDefault="00590B82" w:rsidP="00590B82">
      <w:pPr>
        <w:pStyle w:val="EndNoteBibliography"/>
      </w:pPr>
    </w:p>
    <w:p w14:paraId="5366A680" w14:textId="77777777" w:rsidR="00590B82" w:rsidRPr="004B1CBD" w:rsidRDefault="00590B82" w:rsidP="00590B82">
      <w:pPr>
        <w:pStyle w:val="EndNoteBibliography"/>
      </w:pPr>
      <w:r w:rsidRPr="004B1CBD">
        <w:t xml:space="preserve">de Martel C, Plummer M, Vignat J, et al. 2017. Worldwide burden of cancer attributable to HPV by site, country and HPV type. </w:t>
      </w:r>
      <w:r w:rsidRPr="004B1CBD">
        <w:rPr>
          <w:i/>
        </w:rPr>
        <w:t>International Journal of Cancer</w:t>
      </w:r>
      <w:r w:rsidRPr="004B1CBD">
        <w:t xml:space="preserve"> 141(4): 664–70.</w:t>
      </w:r>
    </w:p>
    <w:p w14:paraId="240E59F0" w14:textId="77777777" w:rsidR="00590B82" w:rsidRPr="00344776" w:rsidRDefault="00590B82" w:rsidP="00590B82">
      <w:pPr>
        <w:pStyle w:val="EndNoteBibliography"/>
      </w:pPr>
    </w:p>
    <w:p w14:paraId="559D1312" w14:textId="77777777" w:rsidR="00590B82" w:rsidRPr="00344776" w:rsidRDefault="00590B82" w:rsidP="00590B82">
      <w:pPr>
        <w:pStyle w:val="EndNoteBibliography"/>
      </w:pPr>
      <w:r w:rsidRPr="00344776">
        <w:t xml:space="preserve">Dsouza J, Richards S. 2018. Unplanned readmissions in frail individuals. </w:t>
      </w:r>
      <w:r w:rsidRPr="00344776">
        <w:rPr>
          <w:i/>
        </w:rPr>
        <w:t>New Zealand Medical Journal</w:t>
      </w:r>
      <w:r w:rsidRPr="00344776">
        <w:t xml:space="preserve"> 131: 1484.</w:t>
      </w:r>
    </w:p>
    <w:p w14:paraId="05F16CF0" w14:textId="77777777" w:rsidR="00590B82" w:rsidRPr="00344776" w:rsidRDefault="00590B82" w:rsidP="00590B82">
      <w:pPr>
        <w:pStyle w:val="EndNoteBibliography"/>
      </w:pPr>
    </w:p>
    <w:p w14:paraId="19ECED09" w14:textId="1C725962" w:rsidR="00590B82" w:rsidRPr="00344776" w:rsidRDefault="00590B82" w:rsidP="00590B82">
      <w:pPr>
        <w:pStyle w:val="EndNoteBibliography"/>
      </w:pPr>
      <w:r w:rsidRPr="00344776">
        <w:t xml:space="preserve">Education </w:t>
      </w:r>
      <w:r w:rsidRPr="004B1CBD">
        <w:t xml:space="preserve">Counts. 2022. </w:t>
      </w:r>
      <w:r w:rsidRPr="004B1CBD">
        <w:rPr>
          <w:i/>
        </w:rPr>
        <w:t>Tertiary participation (Data file)</w:t>
      </w:r>
      <w:r w:rsidRPr="004B1CBD">
        <w:t xml:space="preserve">. URL: </w:t>
      </w:r>
      <w:hyperlink r:id="rId129" w:history="1">
        <w:r w:rsidRPr="004B1CBD">
          <w:rPr>
            <w:rStyle w:val="Hyperlink"/>
          </w:rPr>
          <w:t>https://www.educationcounts.govt.nz/statistics/tertiary-participation</w:t>
        </w:r>
      </w:hyperlink>
      <w:r w:rsidRPr="004B1CBD">
        <w:t xml:space="preserve"> (accessed 31 </w:t>
      </w:r>
      <w:r>
        <w:t xml:space="preserve">October </w:t>
      </w:r>
      <w:r w:rsidRPr="00344776">
        <w:t>2022).</w:t>
      </w:r>
    </w:p>
    <w:p w14:paraId="314E2E70" w14:textId="77777777" w:rsidR="00590B82" w:rsidRPr="004B1CBD" w:rsidRDefault="00590B82" w:rsidP="00590B82">
      <w:pPr>
        <w:pStyle w:val="EndNoteBibliography"/>
      </w:pPr>
    </w:p>
    <w:p w14:paraId="1F58530F" w14:textId="69DBBCB8" w:rsidR="00590B82" w:rsidRPr="004B1CBD" w:rsidRDefault="00590B82" w:rsidP="00590B82">
      <w:pPr>
        <w:pStyle w:val="EndNoteBibliography"/>
      </w:pPr>
      <w:r w:rsidRPr="004B1CBD">
        <w:t xml:space="preserve">Edwards R, Hoek J, Wilson N, et al. 2020. </w:t>
      </w:r>
      <w:r w:rsidRPr="004B1CBD">
        <w:rPr>
          <w:i/>
        </w:rPr>
        <w:t>What does the 2019/20 NZ Health Survey tell us about progress towards a Smokefree Aotearoa?</w:t>
      </w:r>
      <w:r w:rsidRPr="004B1CBD">
        <w:t xml:space="preserve"> URL: </w:t>
      </w:r>
      <w:hyperlink r:id="rId130" w:history="1">
        <w:r w:rsidRPr="004B1CBD">
          <w:rPr>
            <w:rStyle w:val="Hyperlink"/>
          </w:rPr>
          <w:t>https://blogs.otago.ac.nz/pubhealthexpert/what-does-the-2019-20-nz-health-survey-tell-us-about-progress-towards-a-smokefree-aotearoa/</w:t>
        </w:r>
      </w:hyperlink>
      <w:r w:rsidRPr="004B1CBD">
        <w:t xml:space="preserve"> (accessed 31 October 2022).</w:t>
      </w:r>
    </w:p>
    <w:p w14:paraId="1A772E29" w14:textId="77777777" w:rsidR="00590B82" w:rsidRPr="004B1CBD" w:rsidRDefault="00590B82" w:rsidP="00590B82">
      <w:pPr>
        <w:pStyle w:val="EndNoteBibliography"/>
      </w:pPr>
    </w:p>
    <w:p w14:paraId="693287D9" w14:textId="2DE3E0EC" w:rsidR="00590B82" w:rsidRPr="004B1CBD" w:rsidRDefault="00590B82" w:rsidP="00590B82">
      <w:pPr>
        <w:pStyle w:val="EndNoteBibliography"/>
      </w:pPr>
      <w:r w:rsidRPr="004B1CBD">
        <w:t xml:space="preserve">Environmental Health Intelligence New Zealand. 2020. </w:t>
      </w:r>
      <w:r w:rsidRPr="004B1CBD">
        <w:rPr>
          <w:i/>
        </w:rPr>
        <w:t>Oral health of children</w:t>
      </w:r>
      <w:r w:rsidRPr="004B1CBD">
        <w:t xml:space="preserve">. URL: </w:t>
      </w:r>
      <w:hyperlink r:id="rId131" w:history="1">
        <w:r w:rsidRPr="004B1CBD">
          <w:rPr>
            <w:rStyle w:val="Hyperlink"/>
          </w:rPr>
          <w:t>https://www.ehinz.ac.nz/assets/Factsheets/Oral-health-of-children-FS.pdf</w:t>
        </w:r>
      </w:hyperlink>
      <w:r w:rsidRPr="004B1CBD">
        <w:t xml:space="preserve"> (accessed 31 October 2022).</w:t>
      </w:r>
    </w:p>
    <w:p w14:paraId="52928F6F" w14:textId="77777777" w:rsidR="00590B82" w:rsidRPr="004B1CBD" w:rsidRDefault="00590B82" w:rsidP="00590B82">
      <w:pPr>
        <w:pStyle w:val="EndNoteBibliography"/>
      </w:pPr>
    </w:p>
    <w:p w14:paraId="5B957BFA" w14:textId="1A387DCD" w:rsidR="00590B82" w:rsidRPr="004B1CBD" w:rsidRDefault="00590B82" w:rsidP="00590B82">
      <w:pPr>
        <w:pStyle w:val="EndNoteBibliography"/>
      </w:pPr>
      <w:r w:rsidRPr="004B1CBD">
        <w:t xml:space="preserve">ESR. 2022. </w:t>
      </w:r>
      <w:r w:rsidRPr="004B1CBD">
        <w:rPr>
          <w:i/>
        </w:rPr>
        <w:t>EpiSurv (Data file)</w:t>
      </w:r>
      <w:r w:rsidRPr="004B1CBD">
        <w:t xml:space="preserve">. URL: </w:t>
      </w:r>
      <w:hyperlink r:id="rId132" w:history="1">
        <w:r w:rsidRPr="004B1CBD">
          <w:rPr>
            <w:rStyle w:val="Hyperlink"/>
          </w:rPr>
          <w:t>https://surv.esr.cri.nz/episurv/index.php</w:t>
        </w:r>
      </w:hyperlink>
      <w:r w:rsidRPr="004B1CBD">
        <w:t xml:space="preserve"> (accessed 31 October 2022).</w:t>
      </w:r>
    </w:p>
    <w:p w14:paraId="10C1F9D1" w14:textId="77777777" w:rsidR="00590B82" w:rsidRPr="00344776" w:rsidRDefault="00590B82" w:rsidP="00590B82">
      <w:pPr>
        <w:pStyle w:val="EndNoteBibliography"/>
      </w:pPr>
    </w:p>
    <w:p w14:paraId="7C999227" w14:textId="77777777" w:rsidR="00590B82" w:rsidRPr="00344776" w:rsidRDefault="00590B82" w:rsidP="00590B82">
      <w:pPr>
        <w:pStyle w:val="EndNoteBibliography"/>
      </w:pPr>
      <w:r w:rsidRPr="00344776">
        <w:lastRenderedPageBreak/>
        <w:t xml:space="preserve">Gilham C, Sargent A, Kitchener HC, et al. 2019. HPV testing compared with routine cytology in cervical screening: long-term follow-up of ARTISTIC RCT. </w:t>
      </w:r>
      <w:r w:rsidRPr="00344776">
        <w:rPr>
          <w:i/>
        </w:rPr>
        <w:t>Health Technology Assessment</w:t>
      </w:r>
      <w:r w:rsidRPr="00344776">
        <w:t xml:space="preserve"> 23(28): 1</w:t>
      </w:r>
      <w:r w:rsidRPr="004B1CBD">
        <w:t>–44.</w:t>
      </w:r>
    </w:p>
    <w:p w14:paraId="2A88CA18" w14:textId="77777777" w:rsidR="00590B82" w:rsidRDefault="00590B82" w:rsidP="00590B82">
      <w:pPr>
        <w:pStyle w:val="EndNoteBibliography"/>
      </w:pPr>
    </w:p>
    <w:p w14:paraId="5CBDD229" w14:textId="043EE091" w:rsidR="00590B82" w:rsidRDefault="00590B82" w:rsidP="00590B82">
      <w:pPr>
        <w:pStyle w:val="EndNoteBibliography"/>
      </w:pPr>
      <w:r>
        <w:t xml:space="preserve">Government Inquiry into Mental Health and Addiction. 2018. </w:t>
      </w:r>
      <w:r w:rsidRPr="004B1CBD">
        <w:rPr>
          <w:i/>
        </w:rPr>
        <w:t>He Ara Oranga: Report of the Government inquiry into mental health and addiction</w:t>
      </w:r>
      <w:r w:rsidRPr="004B1CBD">
        <w:t xml:space="preserve">. URL: </w:t>
      </w:r>
      <w:hyperlink r:id="rId133" w:history="1">
        <w:r w:rsidRPr="004B1CBD">
          <w:rPr>
            <w:rStyle w:val="Hyperlink"/>
          </w:rPr>
          <w:t>https://mentalhealth.inquiry.govt.nz/assets/Summary-reports/He-Ara-Oranga.pdf</w:t>
        </w:r>
      </w:hyperlink>
      <w:r w:rsidRPr="004B1CBD">
        <w:t xml:space="preserve"> (accessed 31 October 2022).</w:t>
      </w:r>
    </w:p>
    <w:p w14:paraId="793447C2" w14:textId="77777777" w:rsidR="00590B82" w:rsidRDefault="00590B82" w:rsidP="00590B82">
      <w:pPr>
        <w:pStyle w:val="EndNoteBibliography"/>
      </w:pPr>
    </w:p>
    <w:p w14:paraId="65B1C7A6" w14:textId="77777777" w:rsidR="00590B82" w:rsidRPr="00344776" w:rsidRDefault="00590B82" w:rsidP="00590B82">
      <w:pPr>
        <w:pStyle w:val="EndNoteBibliography"/>
      </w:pPr>
      <w:r w:rsidRPr="00344776">
        <w:t xml:space="preserve">Grant CC, Huang QS, Trenholme A, et al. 2021. What can we learn from our 2021 respiratory syncytial virus experience. </w:t>
      </w:r>
      <w:r w:rsidRPr="00344776">
        <w:rPr>
          <w:i/>
        </w:rPr>
        <w:t>New Zealand Medical Journal</w:t>
      </w:r>
      <w:r w:rsidRPr="00344776">
        <w:t xml:space="preserve"> 134: 1540.</w:t>
      </w:r>
    </w:p>
    <w:p w14:paraId="704513FA" w14:textId="77777777" w:rsidR="00590B82" w:rsidRPr="00344776" w:rsidRDefault="00590B82" w:rsidP="00590B82">
      <w:pPr>
        <w:pStyle w:val="EndNoteBibliography"/>
      </w:pPr>
    </w:p>
    <w:p w14:paraId="251C5482" w14:textId="77777777" w:rsidR="00590B82" w:rsidRPr="00344776" w:rsidRDefault="00590B82" w:rsidP="00590B82">
      <w:pPr>
        <w:pStyle w:val="EndNoteBibliography"/>
      </w:pPr>
      <w:r w:rsidRPr="00344776">
        <w:t>Gurney J, Millar E, Dunn A, et al. 2021. The impact of the COVID-19 pandemic on cancer diagnosis and service access in New Zealand</w:t>
      </w:r>
      <w:r w:rsidRPr="004B1CBD">
        <w:t xml:space="preserve">–a country pursuing COVID-19 elimination. </w:t>
      </w:r>
      <w:r w:rsidRPr="00344776">
        <w:rPr>
          <w:i/>
        </w:rPr>
        <w:t>The Lancet Regional Health - Western Pacific</w:t>
      </w:r>
      <w:r w:rsidRPr="00344776">
        <w:t xml:space="preserve"> 10: 100127.</w:t>
      </w:r>
    </w:p>
    <w:p w14:paraId="4AE2CE47" w14:textId="77777777" w:rsidR="00590B82" w:rsidRPr="00344776" w:rsidRDefault="00590B82" w:rsidP="00590B82">
      <w:pPr>
        <w:pStyle w:val="EndNoteBibliography"/>
      </w:pPr>
    </w:p>
    <w:p w14:paraId="7A104578" w14:textId="77777777" w:rsidR="00590B82" w:rsidRPr="00344776" w:rsidRDefault="00590B82" w:rsidP="00590B82">
      <w:pPr>
        <w:pStyle w:val="EndNoteBibliography"/>
      </w:pPr>
      <w:r w:rsidRPr="00344776">
        <w:t xml:space="preserve">Gurney J, Stanley J, McLeod M, et al. 2020. Disparities in cancer-specific survival between Māori and non-Māori New Zealanders, 2007–2016. </w:t>
      </w:r>
      <w:r w:rsidRPr="00344776">
        <w:rPr>
          <w:i/>
        </w:rPr>
        <w:t>JCO Global Oncology</w:t>
      </w:r>
      <w:r w:rsidRPr="00344776">
        <w:t xml:space="preserve"> 6: 766–74.</w:t>
      </w:r>
    </w:p>
    <w:p w14:paraId="5D45F7F7" w14:textId="77777777" w:rsidR="00590B82" w:rsidRPr="00344776" w:rsidRDefault="00590B82" w:rsidP="00590B82">
      <w:pPr>
        <w:pStyle w:val="EndNoteBibliography"/>
      </w:pPr>
    </w:p>
    <w:p w14:paraId="6046A3CF" w14:textId="77777777" w:rsidR="00590B82" w:rsidRPr="00344776" w:rsidRDefault="00590B82" w:rsidP="00590B82">
      <w:pPr>
        <w:pStyle w:val="EndNoteBibliography"/>
      </w:pPr>
      <w:r w:rsidRPr="00344776">
        <w:t xml:space="preserve">Hatter L, Eathorne A, Hills T, et al. 2021. Respiratory syncytial virus: paying the immunity debt with interest. </w:t>
      </w:r>
      <w:r w:rsidRPr="00344776">
        <w:rPr>
          <w:i/>
        </w:rPr>
        <w:t>The Lancet Child and Adolescent Health</w:t>
      </w:r>
      <w:r w:rsidRPr="00344776">
        <w:t xml:space="preserve"> 5(12): E44</w:t>
      </w:r>
      <w:r w:rsidRPr="00344776" w:rsidDel="00AA5758">
        <w:t>-</w:t>
      </w:r>
      <w:r w:rsidRPr="00344776">
        <w:t>E5.</w:t>
      </w:r>
    </w:p>
    <w:p w14:paraId="11071751" w14:textId="77777777" w:rsidR="00590B82" w:rsidRPr="004B1CBD" w:rsidRDefault="00590B82" w:rsidP="00590B82">
      <w:pPr>
        <w:pStyle w:val="EndNoteBibliography"/>
      </w:pPr>
    </w:p>
    <w:p w14:paraId="58162D1B" w14:textId="7B39CBE6" w:rsidR="00590B82" w:rsidRPr="004B1CBD" w:rsidRDefault="00590B82" w:rsidP="00590B82">
      <w:pPr>
        <w:pStyle w:val="EndNoteBibliography"/>
      </w:pPr>
      <w:r w:rsidRPr="004B1CBD">
        <w:t xml:space="preserve">Health Navigator. 2022. </w:t>
      </w:r>
      <w:r w:rsidRPr="004B1CBD">
        <w:rPr>
          <w:i/>
        </w:rPr>
        <w:t>Respiratory syncytial virus (RSV) infection</w:t>
      </w:r>
      <w:r w:rsidRPr="004B1CBD">
        <w:t xml:space="preserve">. URL: </w:t>
      </w:r>
      <w:hyperlink r:id="rId134" w:history="1">
        <w:r w:rsidRPr="004B1CBD">
          <w:rPr>
            <w:rStyle w:val="Hyperlink"/>
          </w:rPr>
          <w:t>https://www.healthnavigator.org.nz/health-a-z/r/respiratory-syncytial-virus-rsv-infection/</w:t>
        </w:r>
      </w:hyperlink>
      <w:r w:rsidRPr="004B1CBD">
        <w:t xml:space="preserve"> (accessed 31 October 2022).</w:t>
      </w:r>
    </w:p>
    <w:p w14:paraId="65CD44DD" w14:textId="77777777" w:rsidR="00590B82" w:rsidRPr="004B1CBD" w:rsidRDefault="00590B82" w:rsidP="00590B82">
      <w:pPr>
        <w:pStyle w:val="EndNoteBibliography"/>
      </w:pPr>
    </w:p>
    <w:p w14:paraId="0ED7CD3F" w14:textId="735043B7" w:rsidR="00590B82" w:rsidRPr="004B1CBD" w:rsidRDefault="00590B82" w:rsidP="00590B82">
      <w:pPr>
        <w:pStyle w:val="EndNoteBibliography"/>
      </w:pPr>
      <w:r w:rsidRPr="004B1CBD">
        <w:t xml:space="preserve">Health Quality &amp; Safety Commission. 2019. </w:t>
      </w:r>
      <w:r w:rsidRPr="004B1CBD">
        <w:rPr>
          <w:i/>
        </w:rPr>
        <w:t>A window on the quality of Aotearoa New Zealand's health care 2019: A view on Māori health equity</w:t>
      </w:r>
      <w:r w:rsidRPr="004B1CBD">
        <w:t xml:space="preserve">. URL: </w:t>
      </w:r>
      <w:hyperlink r:id="rId135" w:history="1">
        <w:r w:rsidRPr="004B1CBD">
          <w:rPr>
            <w:rStyle w:val="Hyperlink"/>
          </w:rPr>
          <w:t>www.hqsc.govt.nz/our-programmes/health-quality-evaluation/publications-and-resources/publication/3721/</w:t>
        </w:r>
      </w:hyperlink>
      <w:r w:rsidRPr="004B1CBD">
        <w:t xml:space="preserve"> (accessed 31 October 2022).</w:t>
      </w:r>
    </w:p>
    <w:p w14:paraId="07E9A023" w14:textId="77777777" w:rsidR="00590B82" w:rsidRPr="004B1CBD" w:rsidRDefault="00590B82" w:rsidP="00590B82">
      <w:pPr>
        <w:pStyle w:val="EndNoteBibliography"/>
      </w:pPr>
    </w:p>
    <w:p w14:paraId="28B125AC" w14:textId="6942CBC6" w:rsidR="00590B82" w:rsidRPr="004B1CBD" w:rsidRDefault="00590B82" w:rsidP="00590B82">
      <w:pPr>
        <w:pStyle w:val="EndNoteBibliography"/>
      </w:pPr>
      <w:r w:rsidRPr="004B1CBD">
        <w:t xml:space="preserve">Health Quality &amp; Safety Commission. 2021a. </w:t>
      </w:r>
      <w:r w:rsidRPr="004B1CBD">
        <w:rPr>
          <w:i/>
        </w:rPr>
        <w:t>Bula Sautu: A window on quality 2021: Pacific health in the year of COVID-19</w:t>
      </w:r>
      <w:r w:rsidRPr="004B1CBD">
        <w:t xml:space="preserve">. URL: </w:t>
      </w:r>
      <w:hyperlink r:id="rId136" w:history="1">
        <w:r w:rsidRPr="004B1CBD">
          <w:rPr>
            <w:rStyle w:val="Hyperlink"/>
          </w:rPr>
          <w:t>www.hqsc.govt.nz/our-programmes/health-quality-evaluation/publications-and-resources/publication/4299/</w:t>
        </w:r>
      </w:hyperlink>
      <w:r w:rsidRPr="004B1CBD">
        <w:t xml:space="preserve"> (accessed 31 October 2022).</w:t>
      </w:r>
    </w:p>
    <w:p w14:paraId="2EFF11D9" w14:textId="77777777" w:rsidR="00590B82" w:rsidRPr="004B1CBD" w:rsidRDefault="00590B82" w:rsidP="00590B82">
      <w:pPr>
        <w:pStyle w:val="EndNoteBibliography"/>
      </w:pPr>
    </w:p>
    <w:p w14:paraId="0A5C8DEC" w14:textId="4290545B" w:rsidR="00590B82" w:rsidRPr="004B1CBD" w:rsidRDefault="00590B82" w:rsidP="00590B82">
      <w:pPr>
        <w:pStyle w:val="EndNoteBibliography"/>
      </w:pPr>
      <w:r w:rsidRPr="004B1CBD">
        <w:t xml:space="preserve">Health Quality &amp; Safety Commission. 2021b. </w:t>
      </w:r>
      <w:r w:rsidRPr="004B1CBD">
        <w:rPr>
          <w:i/>
        </w:rPr>
        <w:t>A window on quality 2021: COVID-19 and impacts on our broader health system</w:t>
      </w:r>
      <w:r w:rsidRPr="004B1CBD">
        <w:t xml:space="preserve">. URL: </w:t>
      </w:r>
      <w:hyperlink r:id="rId137" w:history="1">
        <w:r w:rsidRPr="004B1CBD">
          <w:rPr>
            <w:rStyle w:val="Hyperlink"/>
          </w:rPr>
          <w:t>https://www.hqsc.govt.nz/assets/Our-data/Publications-resources/COVID-Window-2021-final-web.pdf</w:t>
        </w:r>
      </w:hyperlink>
      <w:r w:rsidRPr="004B1CBD">
        <w:t xml:space="preserve"> (accessed 1 November 2022).</w:t>
      </w:r>
    </w:p>
    <w:p w14:paraId="1BBD5347" w14:textId="77777777" w:rsidR="00590B82" w:rsidRPr="004B1CBD" w:rsidRDefault="00590B82" w:rsidP="00590B82">
      <w:pPr>
        <w:pStyle w:val="EndNoteBibliography"/>
      </w:pPr>
    </w:p>
    <w:p w14:paraId="49309BA4" w14:textId="3600F057" w:rsidR="00590B82" w:rsidRPr="004B1CBD" w:rsidRDefault="00590B82" w:rsidP="00590B82">
      <w:pPr>
        <w:pStyle w:val="EndNoteBibliography"/>
      </w:pPr>
      <w:r w:rsidRPr="004B1CBD">
        <w:t xml:space="preserve">Heart Research Institute NZ. 2021. </w:t>
      </w:r>
      <w:r w:rsidRPr="004B1CBD">
        <w:rPr>
          <w:i/>
        </w:rPr>
        <w:t>Diabetes</w:t>
      </w:r>
      <w:r w:rsidRPr="004B1CBD">
        <w:t xml:space="preserve">. URL: </w:t>
      </w:r>
      <w:hyperlink r:id="rId138" w:history="1">
        <w:r w:rsidRPr="004B1CBD">
          <w:rPr>
            <w:rStyle w:val="Hyperlink"/>
          </w:rPr>
          <w:t>https://www.hri.org.nz/health/learn/cardiovascular-disease/diabetes</w:t>
        </w:r>
      </w:hyperlink>
      <w:r w:rsidRPr="004B1CBD">
        <w:t xml:space="preserve"> (accessed 31 October 2022).</w:t>
      </w:r>
    </w:p>
    <w:p w14:paraId="68CFBC0A" w14:textId="77777777" w:rsidR="00590B82" w:rsidRPr="004B1CBD" w:rsidRDefault="00590B82" w:rsidP="00590B82">
      <w:pPr>
        <w:pStyle w:val="EndNoteBibliography"/>
      </w:pPr>
    </w:p>
    <w:p w14:paraId="046DC732" w14:textId="5D1105CE" w:rsidR="00590B82" w:rsidRPr="004B1CBD" w:rsidRDefault="00590B82" w:rsidP="00590B82">
      <w:pPr>
        <w:pStyle w:val="EndNoteBibliography"/>
      </w:pPr>
      <w:r w:rsidRPr="004B1CBD">
        <w:t xml:space="preserve">Institute for Health Metrics and Evaluation. 2019. </w:t>
      </w:r>
      <w:r w:rsidRPr="004B1CBD">
        <w:rPr>
          <w:i/>
        </w:rPr>
        <w:t>New Zealand</w:t>
      </w:r>
      <w:r w:rsidRPr="004B1CBD">
        <w:t xml:space="preserve">. URL: </w:t>
      </w:r>
      <w:hyperlink r:id="rId139" w:history="1">
        <w:r w:rsidRPr="004B1CBD">
          <w:rPr>
            <w:rStyle w:val="Hyperlink"/>
          </w:rPr>
          <w:t>https://www.healthdata.org/new-zealand</w:t>
        </w:r>
      </w:hyperlink>
      <w:r w:rsidRPr="004B1CBD">
        <w:t xml:space="preserve"> (accessed 31 October 2022).</w:t>
      </w:r>
    </w:p>
    <w:p w14:paraId="027F6A70" w14:textId="77777777" w:rsidR="00590B82" w:rsidRPr="004B1CBD" w:rsidRDefault="00590B82" w:rsidP="00590B82">
      <w:pPr>
        <w:pStyle w:val="EndNoteBibliography"/>
      </w:pPr>
    </w:p>
    <w:p w14:paraId="6D22F0AC" w14:textId="7118A59F" w:rsidR="00590B82" w:rsidRPr="004B1CBD" w:rsidRDefault="00590B82" w:rsidP="00590B82">
      <w:pPr>
        <w:pStyle w:val="EndNoteBibliography"/>
      </w:pPr>
      <w:r w:rsidRPr="004B1CBD">
        <w:t xml:space="preserve">Institute for Health Metrics and Evaluation. 2021. </w:t>
      </w:r>
      <w:r w:rsidRPr="004B1CBD">
        <w:rPr>
          <w:i/>
        </w:rPr>
        <w:t>GHDx (healthdata.org): GBD results tool</w:t>
      </w:r>
      <w:r w:rsidRPr="004B1CBD">
        <w:t xml:space="preserve">. URL: </w:t>
      </w:r>
      <w:hyperlink r:id="rId140" w:history="1">
        <w:r w:rsidRPr="004B1CBD">
          <w:rPr>
            <w:rStyle w:val="Hyperlink"/>
          </w:rPr>
          <w:t>http://ghdx.healthdata.org/gbd-results-tool</w:t>
        </w:r>
      </w:hyperlink>
      <w:r w:rsidRPr="004B1CBD">
        <w:t xml:space="preserve"> (accessed 31 October 2022).</w:t>
      </w:r>
    </w:p>
    <w:p w14:paraId="45C6C09C" w14:textId="77777777" w:rsidR="00590B82" w:rsidRPr="00344776" w:rsidRDefault="00590B82" w:rsidP="00590B82">
      <w:pPr>
        <w:pStyle w:val="EndNoteBibliography"/>
      </w:pPr>
      <w:r w:rsidRPr="00344776">
        <w:lastRenderedPageBreak/>
        <w:t xml:space="preserve">Irurzun-Lopez M, Jeffreys M, Cumming J. 2021. The enrolment gap: Who is not enrolling with primary health organizations in Aotearoa New Zealand and what are the implications? An exploration of 2015–2019 administrative data. </w:t>
      </w:r>
      <w:r w:rsidRPr="00344776">
        <w:rPr>
          <w:i/>
        </w:rPr>
        <w:t>International Journal for Equity in Health</w:t>
      </w:r>
      <w:r w:rsidRPr="00344776">
        <w:t xml:space="preserve"> 20: 93.</w:t>
      </w:r>
    </w:p>
    <w:p w14:paraId="74D7F62A" w14:textId="77777777" w:rsidR="00590B82" w:rsidRPr="00344776" w:rsidRDefault="00590B82" w:rsidP="00590B82">
      <w:pPr>
        <w:pStyle w:val="EndNoteBibliography"/>
      </w:pPr>
    </w:p>
    <w:p w14:paraId="1C0B8CC4" w14:textId="77777777" w:rsidR="00590B82" w:rsidRPr="00344776" w:rsidRDefault="00590B82" w:rsidP="00590B82">
      <w:pPr>
        <w:pStyle w:val="EndNoteBibliography"/>
      </w:pPr>
      <w:r w:rsidRPr="00344776">
        <w:t xml:space="preserve">Kim K, Choi S, Park SM. 2018. Association of high body mass index and hepatocellular carcinoma in patients with chronic Hepatitis B virus infection. </w:t>
      </w:r>
      <w:r w:rsidRPr="00344776">
        <w:rPr>
          <w:i/>
        </w:rPr>
        <w:t>JAMA Oncology</w:t>
      </w:r>
      <w:r w:rsidRPr="00344776">
        <w:t xml:space="preserve"> 4(5): 737</w:t>
      </w:r>
      <w:r w:rsidRPr="004B1CBD">
        <w:t>–</w:t>
      </w:r>
      <w:r w:rsidRPr="00344776">
        <w:t>9.</w:t>
      </w:r>
    </w:p>
    <w:p w14:paraId="0223F713" w14:textId="77777777" w:rsidR="00590B82" w:rsidRPr="004B1CBD" w:rsidRDefault="00590B82" w:rsidP="00590B82">
      <w:pPr>
        <w:pStyle w:val="EndNoteBibliography"/>
      </w:pPr>
    </w:p>
    <w:p w14:paraId="38CA4C66" w14:textId="77777777" w:rsidR="00590B82" w:rsidRPr="004B1CBD" w:rsidRDefault="00590B82" w:rsidP="00590B82">
      <w:pPr>
        <w:pStyle w:val="EndNoteBibliography"/>
      </w:pPr>
      <w:r w:rsidRPr="004B1CBD">
        <w:t xml:space="preserve">Lei J, Ploner A, Elfström M, et al. 2020. HPV vaccination and the risk of invasive cervical cancer. </w:t>
      </w:r>
      <w:r w:rsidRPr="004B1CBD">
        <w:rPr>
          <w:i/>
        </w:rPr>
        <w:t>New England Journal of Medicine</w:t>
      </w:r>
      <w:r w:rsidRPr="004B1CBD">
        <w:t xml:space="preserve"> 383: 1340–8.</w:t>
      </w:r>
    </w:p>
    <w:p w14:paraId="43E1BD3F" w14:textId="77777777" w:rsidR="00590B82" w:rsidRPr="00344776" w:rsidRDefault="00590B82" w:rsidP="00590B82">
      <w:pPr>
        <w:pStyle w:val="EndNoteBibliography"/>
      </w:pPr>
    </w:p>
    <w:p w14:paraId="462602B6" w14:textId="77777777" w:rsidR="00590B82" w:rsidRPr="00344776" w:rsidRDefault="00590B82" w:rsidP="00590B82">
      <w:pPr>
        <w:pStyle w:val="EndNoteBibliography"/>
      </w:pPr>
      <w:r w:rsidRPr="00344776">
        <w:t xml:space="preserve">Matsushita H, Takaki A. 2019. Alcohol and hepatocellular carcinoma. </w:t>
      </w:r>
      <w:r w:rsidRPr="00344776">
        <w:rPr>
          <w:i/>
        </w:rPr>
        <w:t>BMJ Open Gastroenterology</w:t>
      </w:r>
      <w:r w:rsidRPr="00344776">
        <w:t xml:space="preserve"> 6(1): e000260.</w:t>
      </w:r>
    </w:p>
    <w:p w14:paraId="3B42DE61" w14:textId="77777777" w:rsidR="00590B82" w:rsidRPr="00344776" w:rsidRDefault="00590B82" w:rsidP="00590B82">
      <w:pPr>
        <w:pStyle w:val="EndNoteBibliography"/>
      </w:pPr>
    </w:p>
    <w:p w14:paraId="0F59F60C" w14:textId="5996B348" w:rsidR="00590B82" w:rsidRPr="00344776" w:rsidRDefault="00590B82" w:rsidP="00590B82">
      <w:pPr>
        <w:pStyle w:val="EndNoteBibliography"/>
      </w:pPr>
      <w:r w:rsidRPr="00344776">
        <w:t xml:space="preserve">Medical Council of New Zealand. 2022. </w:t>
      </w:r>
      <w:r w:rsidRPr="00344776">
        <w:rPr>
          <w:i/>
        </w:rPr>
        <w:t>The New Zealand medical workforce in 2021</w:t>
      </w:r>
      <w:r w:rsidRPr="00344776">
        <w:t xml:space="preserve">. </w:t>
      </w:r>
      <w:r w:rsidRPr="004B1CBD">
        <w:t xml:space="preserve">URL: </w:t>
      </w:r>
      <w:hyperlink r:id="rId141" w:history="1">
        <w:r w:rsidRPr="004B1CBD">
          <w:rPr>
            <w:rStyle w:val="Hyperlink"/>
          </w:rPr>
          <w:t>https://www.mcnz.org.nz/assets/Publications/Workforce-Survey/d9d2757aad/Workforce-Survey-Report-2021.pdf</w:t>
        </w:r>
      </w:hyperlink>
      <w:r w:rsidRPr="004B1CBD">
        <w:t xml:space="preserve"> (accessed 31 </w:t>
      </w:r>
      <w:r>
        <w:t xml:space="preserve">October </w:t>
      </w:r>
      <w:r w:rsidRPr="00344776">
        <w:t>2022).</w:t>
      </w:r>
    </w:p>
    <w:p w14:paraId="0940F6CA" w14:textId="77777777" w:rsidR="00590B82" w:rsidRPr="004B1CBD" w:rsidRDefault="00590B82" w:rsidP="00590B82">
      <w:pPr>
        <w:pStyle w:val="EndNoteBibliography"/>
      </w:pPr>
    </w:p>
    <w:p w14:paraId="1C48615A" w14:textId="0568A801" w:rsidR="00590B82" w:rsidRPr="004B1CBD" w:rsidRDefault="00590B82" w:rsidP="00590B82">
      <w:pPr>
        <w:pStyle w:val="EndNoteBibliography"/>
      </w:pPr>
      <w:r w:rsidRPr="004B1CBD">
        <w:t xml:space="preserve">Mental Health and Wellbeing Commission. 2021. </w:t>
      </w:r>
      <w:r w:rsidRPr="004B1CBD">
        <w:rPr>
          <w:i/>
        </w:rPr>
        <w:t>Access and Choice Programme: Report on the first two years – Te Hōtaka mō Ngā Whai Wāhitanga me Ngā Kōwhiringa: He purongo mo ngā rua tau tuatahi</w:t>
      </w:r>
      <w:r w:rsidRPr="004B1CBD">
        <w:t xml:space="preserve">. URL: </w:t>
      </w:r>
      <w:hyperlink r:id="rId142" w:history="1">
        <w:r w:rsidRPr="004B1CBD">
          <w:rPr>
            <w:rStyle w:val="Hyperlink"/>
          </w:rPr>
          <w:t>https://www.mhwc.govt.nz/assets/Our-reports/MHWC-Access-and-Choice-report-Final.pdf</w:t>
        </w:r>
      </w:hyperlink>
      <w:r w:rsidRPr="004B1CBD">
        <w:t xml:space="preserve"> (accessed 31 October 2022).</w:t>
      </w:r>
    </w:p>
    <w:p w14:paraId="1FCB757E" w14:textId="77777777" w:rsidR="00590B82" w:rsidRPr="004B1CBD" w:rsidRDefault="00590B82" w:rsidP="00590B82">
      <w:pPr>
        <w:pStyle w:val="EndNoteBibliography"/>
      </w:pPr>
    </w:p>
    <w:p w14:paraId="5B67144D" w14:textId="1B01CF7C" w:rsidR="00590B82" w:rsidRPr="004B1CBD" w:rsidRDefault="00590B82" w:rsidP="00590B82">
      <w:pPr>
        <w:pStyle w:val="EndNoteBibliography"/>
      </w:pPr>
      <w:r w:rsidRPr="004B1CBD">
        <w:t xml:space="preserve">Mental Health Foundation of New Zealand. 2022. </w:t>
      </w:r>
      <w:r w:rsidRPr="004B1CBD">
        <w:rPr>
          <w:i/>
        </w:rPr>
        <w:t>What is Wellbeing?</w:t>
      </w:r>
      <w:r w:rsidRPr="004B1CBD">
        <w:t xml:space="preserve"> URL: </w:t>
      </w:r>
      <w:hyperlink r:id="rId143" w:history="1">
        <w:r w:rsidRPr="004B1CBD">
          <w:rPr>
            <w:rStyle w:val="Hyperlink"/>
          </w:rPr>
          <w:t>https://mentalhealth.org.nz/what-is-wellbeing</w:t>
        </w:r>
      </w:hyperlink>
      <w:r w:rsidRPr="004B1CBD">
        <w:t xml:space="preserve"> (accessed 31 October 2022).</w:t>
      </w:r>
    </w:p>
    <w:p w14:paraId="1C82AA49" w14:textId="77777777" w:rsidR="00590B82" w:rsidRPr="004B1CBD" w:rsidRDefault="00590B82" w:rsidP="00590B82">
      <w:pPr>
        <w:pStyle w:val="EndNoteBibliography"/>
      </w:pPr>
    </w:p>
    <w:p w14:paraId="5BCB83F7" w14:textId="2F818677" w:rsidR="00590B82" w:rsidRPr="004B1CBD" w:rsidRDefault="00590B82" w:rsidP="00590B82">
      <w:pPr>
        <w:pStyle w:val="EndNoteBibliography"/>
      </w:pPr>
      <w:r w:rsidRPr="004B1CBD">
        <w:t xml:space="preserve">Ministry of Health. 2002. </w:t>
      </w:r>
      <w:r w:rsidRPr="004B1CBD">
        <w:rPr>
          <w:i/>
        </w:rPr>
        <w:t>Reducing Inequalities in Health</w:t>
      </w:r>
      <w:r w:rsidRPr="004B1CBD">
        <w:t xml:space="preserve">. URL: </w:t>
      </w:r>
      <w:hyperlink r:id="rId144" w:history="1">
        <w:r w:rsidRPr="004B1CBD">
          <w:rPr>
            <w:rStyle w:val="Hyperlink"/>
          </w:rPr>
          <w:t>https://www.health.govt.nz/system/files/documents/publications/reducineqal.pdf</w:t>
        </w:r>
      </w:hyperlink>
      <w:r w:rsidRPr="004B1CBD">
        <w:t xml:space="preserve"> (accessed 31 October 2022).</w:t>
      </w:r>
    </w:p>
    <w:p w14:paraId="29928594" w14:textId="77777777" w:rsidR="00590B82" w:rsidRPr="004B1CBD" w:rsidRDefault="00590B82" w:rsidP="00590B82">
      <w:pPr>
        <w:pStyle w:val="EndNoteBibliography"/>
      </w:pPr>
    </w:p>
    <w:p w14:paraId="751B595A" w14:textId="17104279" w:rsidR="00590B82" w:rsidRPr="004B1CBD" w:rsidRDefault="00590B82" w:rsidP="00590B82">
      <w:pPr>
        <w:pStyle w:val="EndNoteBibliography"/>
      </w:pPr>
      <w:r w:rsidRPr="004B1CBD">
        <w:t xml:space="preserve">Ministry of Health. 2018. </w:t>
      </w:r>
      <w:r w:rsidRPr="004B1CBD">
        <w:rPr>
          <w:i/>
        </w:rPr>
        <w:t>Pregnancy services</w:t>
      </w:r>
      <w:r w:rsidRPr="004B1CBD">
        <w:t xml:space="preserve">. URL: </w:t>
      </w:r>
      <w:hyperlink r:id="rId145" w:history="1">
        <w:r w:rsidRPr="004B1CBD">
          <w:rPr>
            <w:rStyle w:val="Hyperlink"/>
          </w:rPr>
          <w:t>https://www.health.govt.nz/new-zealand-health-system/publicly-funded-health-and-disability-services/pregnancy-services</w:t>
        </w:r>
      </w:hyperlink>
      <w:r w:rsidRPr="004B1CBD">
        <w:t xml:space="preserve"> (accessed 31 October 2022).</w:t>
      </w:r>
    </w:p>
    <w:p w14:paraId="353FC2B0" w14:textId="77777777" w:rsidR="00590B82" w:rsidRPr="004B1CBD" w:rsidRDefault="00590B82" w:rsidP="00590B82">
      <w:pPr>
        <w:pStyle w:val="EndNoteBibliography"/>
      </w:pPr>
    </w:p>
    <w:p w14:paraId="6A1CB07A" w14:textId="65D2DB1F" w:rsidR="00590B82" w:rsidRPr="004B1CBD" w:rsidRDefault="00590B82" w:rsidP="00590B82">
      <w:pPr>
        <w:pStyle w:val="EndNoteBibliography"/>
      </w:pPr>
      <w:r w:rsidRPr="004B1CBD">
        <w:t xml:space="preserve">Ministry of Health. 2020a. </w:t>
      </w:r>
      <w:r w:rsidRPr="004B1CBD">
        <w:rPr>
          <w:i/>
        </w:rPr>
        <w:t>Age 5 and year 8 oral health data from the Community Oral Health Service</w:t>
      </w:r>
      <w:r w:rsidRPr="004B1CBD">
        <w:t xml:space="preserve">. URL: </w:t>
      </w:r>
      <w:hyperlink r:id="rId146" w:history="1">
        <w:r w:rsidRPr="004B1CBD">
          <w:rPr>
            <w:rStyle w:val="Hyperlink"/>
          </w:rPr>
          <w:t>www.health.govt.nz/nz-health-statistics/health-statistics-and-data-sets/oral-health-data-and-stats/age-5-and-year-8-oral-health-data-community-oral-health-service</w:t>
        </w:r>
      </w:hyperlink>
      <w:r w:rsidRPr="004B1CBD">
        <w:t xml:space="preserve"> (accessed 31 October 2022).</w:t>
      </w:r>
    </w:p>
    <w:p w14:paraId="69AB30A7" w14:textId="77777777" w:rsidR="00590B82" w:rsidRPr="004B1CBD" w:rsidRDefault="00590B82" w:rsidP="00590B82">
      <w:pPr>
        <w:pStyle w:val="EndNoteBibliography"/>
      </w:pPr>
    </w:p>
    <w:p w14:paraId="67766BEE" w14:textId="652D12D2" w:rsidR="00590B82" w:rsidRPr="004B1CBD" w:rsidRDefault="00590B82" w:rsidP="00590B82">
      <w:pPr>
        <w:pStyle w:val="EndNoteBibliography"/>
      </w:pPr>
      <w:r w:rsidRPr="004B1CBD">
        <w:t xml:space="preserve">Ministry of Health. 2020b. </w:t>
      </w:r>
      <w:r w:rsidRPr="004B1CBD">
        <w:rPr>
          <w:i/>
        </w:rPr>
        <w:t>Eating and Activity Guidelines for New Zealand Adults</w:t>
      </w:r>
      <w:r w:rsidRPr="004B1CBD">
        <w:t xml:space="preserve">. URL: </w:t>
      </w:r>
      <w:hyperlink r:id="rId147" w:history="1">
        <w:r w:rsidRPr="004B1CBD">
          <w:rPr>
            <w:rStyle w:val="Hyperlink"/>
          </w:rPr>
          <w:t>www.health.govt.nz/publication/eating-and-activity-guidelines-new-zealand-adults</w:t>
        </w:r>
      </w:hyperlink>
      <w:r w:rsidRPr="004B1CBD">
        <w:t xml:space="preserve"> (accessed 31 September 2022).</w:t>
      </w:r>
    </w:p>
    <w:p w14:paraId="45176D91" w14:textId="77777777" w:rsidR="00590B82" w:rsidRPr="004B1CBD" w:rsidRDefault="00590B82" w:rsidP="00590B82">
      <w:pPr>
        <w:pStyle w:val="EndNoteBibliography"/>
      </w:pPr>
    </w:p>
    <w:p w14:paraId="2ED320EE" w14:textId="0D37E4F9" w:rsidR="00590B82" w:rsidRPr="004B1CBD" w:rsidRDefault="00590B82" w:rsidP="00590B82">
      <w:pPr>
        <w:pStyle w:val="EndNoteBibliography"/>
      </w:pPr>
      <w:r w:rsidRPr="004B1CBD">
        <w:t xml:space="preserve">Ministry of Health. 2020c. </w:t>
      </w:r>
      <w:r w:rsidRPr="004B1CBD">
        <w:rPr>
          <w:i/>
        </w:rPr>
        <w:t>Longer, Healthier Lives: New Zealand's health 1990-2017</w:t>
      </w:r>
      <w:r w:rsidRPr="004B1CBD">
        <w:t xml:space="preserve">. URL: </w:t>
      </w:r>
      <w:hyperlink r:id="rId148" w:history="1">
        <w:r w:rsidRPr="004B1CBD">
          <w:rPr>
            <w:rStyle w:val="Hyperlink"/>
          </w:rPr>
          <w:t>www.health.govt.nz/publication/longer-healthier-lives-new-zealands-health-1990-2017</w:t>
        </w:r>
      </w:hyperlink>
      <w:r w:rsidRPr="004B1CBD">
        <w:t xml:space="preserve"> (accessed 28 October 2022).</w:t>
      </w:r>
    </w:p>
    <w:p w14:paraId="74A30859" w14:textId="77777777" w:rsidR="00590B82" w:rsidRPr="004B1CBD" w:rsidRDefault="00590B82" w:rsidP="00590B82">
      <w:pPr>
        <w:pStyle w:val="EndNoteBibliography"/>
      </w:pPr>
    </w:p>
    <w:p w14:paraId="2D843FE2" w14:textId="3457E067" w:rsidR="00590B82" w:rsidRPr="004B1CBD" w:rsidRDefault="00590B82" w:rsidP="00590B82">
      <w:pPr>
        <w:pStyle w:val="EndNoteBibliography"/>
      </w:pPr>
      <w:r w:rsidRPr="004B1CBD">
        <w:lastRenderedPageBreak/>
        <w:t xml:space="preserve">Ministry of Health. 2020d. </w:t>
      </w:r>
      <w:r w:rsidRPr="004B1CBD">
        <w:rPr>
          <w:i/>
        </w:rPr>
        <w:t>Methodology Report 2019/20: New Zealand Health Survey</w:t>
      </w:r>
      <w:r w:rsidRPr="004B1CBD">
        <w:t xml:space="preserve">. URL: </w:t>
      </w:r>
      <w:hyperlink r:id="rId149" w:history="1">
        <w:r w:rsidRPr="004B1CBD">
          <w:rPr>
            <w:rStyle w:val="Hyperlink"/>
          </w:rPr>
          <w:t>www.health.govt.nz/publication/methodology-report-2019-20-new-zealand-health-survey</w:t>
        </w:r>
      </w:hyperlink>
      <w:r w:rsidRPr="004B1CBD">
        <w:t xml:space="preserve"> (accessed 1 November 2022).</w:t>
      </w:r>
    </w:p>
    <w:p w14:paraId="45939D30" w14:textId="77777777" w:rsidR="00590B82" w:rsidRPr="004B1CBD" w:rsidRDefault="00590B82" w:rsidP="00590B82">
      <w:pPr>
        <w:pStyle w:val="EndNoteBibliography"/>
      </w:pPr>
    </w:p>
    <w:p w14:paraId="4B021D58" w14:textId="2A488EE2" w:rsidR="00590B82" w:rsidRPr="004B1CBD" w:rsidRDefault="00590B82" w:rsidP="00590B82">
      <w:pPr>
        <w:pStyle w:val="EndNoteBibliography"/>
      </w:pPr>
      <w:r w:rsidRPr="004B1CBD">
        <w:t xml:space="preserve">Ministry of Health. 2020e. </w:t>
      </w:r>
      <w:r w:rsidRPr="004B1CBD">
        <w:rPr>
          <w:i/>
        </w:rPr>
        <w:t>New Zealand Immunisation Schedule</w:t>
      </w:r>
      <w:r w:rsidRPr="004B1CBD">
        <w:t xml:space="preserve">. URL: </w:t>
      </w:r>
      <w:hyperlink r:id="rId150" w:history="1">
        <w:r w:rsidRPr="004B1CBD">
          <w:rPr>
            <w:rStyle w:val="Hyperlink"/>
          </w:rPr>
          <w:t>https://www.health.govt.nz/our-work/preventative-health-wellness/immunisation/new-zealand-immunisation-schedule</w:t>
        </w:r>
      </w:hyperlink>
      <w:r w:rsidRPr="004B1CBD">
        <w:t xml:space="preserve"> (accessed 31 October 2022).</w:t>
      </w:r>
    </w:p>
    <w:p w14:paraId="2B2C89D1" w14:textId="77777777" w:rsidR="00590B82" w:rsidRPr="004B1CBD" w:rsidRDefault="00590B82" w:rsidP="00590B82">
      <w:pPr>
        <w:pStyle w:val="EndNoteBibliography"/>
      </w:pPr>
    </w:p>
    <w:p w14:paraId="66AFF063" w14:textId="3C9E482C" w:rsidR="00590B82" w:rsidRPr="004B1CBD" w:rsidRDefault="00590B82" w:rsidP="00590B82">
      <w:pPr>
        <w:pStyle w:val="EndNoteBibliography"/>
      </w:pPr>
      <w:r w:rsidRPr="004B1CBD">
        <w:t xml:space="preserve">Ministry of Health. 2021. </w:t>
      </w:r>
      <w:r w:rsidRPr="004B1CBD">
        <w:rPr>
          <w:i/>
        </w:rPr>
        <w:t>Kia Manawanui Aotearoa: Long-term pathway to mental wellbeing</w:t>
      </w:r>
      <w:r w:rsidRPr="004B1CBD">
        <w:t xml:space="preserve">. URL: </w:t>
      </w:r>
      <w:hyperlink r:id="rId151" w:history="1">
        <w:r w:rsidRPr="004B1CBD">
          <w:rPr>
            <w:rStyle w:val="Hyperlink"/>
          </w:rPr>
          <w:t>https://www.health.govt.nz/system/files/documents/publications/web3-kia-manawanui-aotearoa-v9_0.pdf</w:t>
        </w:r>
      </w:hyperlink>
      <w:r w:rsidRPr="004B1CBD">
        <w:t xml:space="preserve"> (accessed 28 October 2022).</w:t>
      </w:r>
    </w:p>
    <w:p w14:paraId="06A60187" w14:textId="77777777" w:rsidR="00590B82" w:rsidRPr="004B1CBD" w:rsidRDefault="00590B82" w:rsidP="00590B82">
      <w:pPr>
        <w:pStyle w:val="EndNoteBibliography"/>
      </w:pPr>
    </w:p>
    <w:p w14:paraId="29953950" w14:textId="1F43922F" w:rsidR="00590B82" w:rsidRPr="004B1CBD" w:rsidRDefault="00590B82" w:rsidP="00590B82">
      <w:pPr>
        <w:pStyle w:val="EndNoteBibliography"/>
      </w:pPr>
      <w:r w:rsidRPr="004B1CBD">
        <w:t xml:space="preserve">Ministry of Health. 2022a. </w:t>
      </w:r>
      <w:r w:rsidRPr="004B1CBD">
        <w:rPr>
          <w:i/>
        </w:rPr>
        <w:t>2020 Immunisation Schedule changes</w:t>
      </w:r>
      <w:r w:rsidRPr="004B1CBD">
        <w:t xml:space="preserve">. URL: </w:t>
      </w:r>
      <w:hyperlink r:id="rId152" w:history="1">
        <w:r w:rsidRPr="004B1CBD">
          <w:rPr>
            <w:rStyle w:val="Hyperlink"/>
          </w:rPr>
          <w:t>https://www.health.govt.nz/our-work/preventative-health-wellness/immunisation/new-zealand-immunisation-schedule/2020-immunisation-schedule-changes</w:t>
        </w:r>
      </w:hyperlink>
      <w:r w:rsidRPr="004B1CBD">
        <w:t xml:space="preserve"> (accessed 31 October 2022).</w:t>
      </w:r>
    </w:p>
    <w:p w14:paraId="5CC47E6A" w14:textId="77777777" w:rsidR="00590B82" w:rsidRPr="004B1CBD" w:rsidRDefault="00590B82" w:rsidP="00590B82">
      <w:pPr>
        <w:pStyle w:val="EndNoteBibliography"/>
      </w:pPr>
    </w:p>
    <w:p w14:paraId="793285DE" w14:textId="7E4BD283" w:rsidR="00590B82" w:rsidRPr="004B1CBD" w:rsidRDefault="00590B82" w:rsidP="00590B82">
      <w:pPr>
        <w:pStyle w:val="EndNoteBibliography"/>
      </w:pPr>
      <w:r w:rsidRPr="004B1CBD">
        <w:t xml:space="preserve">Ministry of Health. 2022b. </w:t>
      </w:r>
      <w:r w:rsidRPr="004B1CBD">
        <w:rPr>
          <w:i/>
        </w:rPr>
        <w:t>Annual Data Explorer 2020/21: New Zealand Health Survey (Data file)</w:t>
      </w:r>
      <w:r w:rsidRPr="004B1CBD">
        <w:t xml:space="preserve">. URL: </w:t>
      </w:r>
      <w:hyperlink r:id="rId153" w:history="1">
        <w:r w:rsidRPr="004B1CBD">
          <w:rPr>
            <w:rStyle w:val="Hyperlink"/>
          </w:rPr>
          <w:t>https://minhealthnz.shinyapps.io/nz-health-survey-2020-21-annual-data-explorer/</w:t>
        </w:r>
      </w:hyperlink>
      <w:r w:rsidRPr="004B1CBD">
        <w:t xml:space="preserve"> (accessed 31 October 2022).</w:t>
      </w:r>
    </w:p>
    <w:p w14:paraId="22467BED" w14:textId="77777777" w:rsidR="00590B82" w:rsidRPr="004B1CBD" w:rsidRDefault="00590B82" w:rsidP="00590B82">
      <w:pPr>
        <w:pStyle w:val="EndNoteBibliography"/>
      </w:pPr>
    </w:p>
    <w:p w14:paraId="050D0AB1" w14:textId="3DD7E9B2" w:rsidR="00590B82" w:rsidRPr="004B1CBD" w:rsidRDefault="00590B82" w:rsidP="00590B82">
      <w:pPr>
        <w:pStyle w:val="EndNoteBibliography"/>
      </w:pPr>
      <w:r w:rsidRPr="004B1CBD">
        <w:t xml:space="preserve">Ministry of Health. 2022c. </w:t>
      </w:r>
      <w:r w:rsidRPr="004B1CBD">
        <w:rPr>
          <w:i/>
        </w:rPr>
        <w:t>BreastScreen Aotearoa DHB coverage report (Data file)</w:t>
      </w:r>
      <w:r w:rsidRPr="004B1CBD">
        <w:t xml:space="preserve">. URL: </w:t>
      </w:r>
      <w:hyperlink r:id="rId154" w:history="1">
        <w:r w:rsidRPr="004B1CBD">
          <w:rPr>
            <w:rStyle w:val="Hyperlink"/>
          </w:rPr>
          <w:t>https://minhealthnz.shinyapps.io/nsu-bsa-coverage-dhb/</w:t>
        </w:r>
      </w:hyperlink>
      <w:r w:rsidRPr="004B1CBD">
        <w:t xml:space="preserve"> (accessed 31 October 2022).</w:t>
      </w:r>
    </w:p>
    <w:p w14:paraId="605FE8BD" w14:textId="77777777" w:rsidR="00590B82" w:rsidRPr="004B1CBD" w:rsidRDefault="00590B82" w:rsidP="00590B82">
      <w:pPr>
        <w:pStyle w:val="EndNoteBibliography"/>
      </w:pPr>
    </w:p>
    <w:p w14:paraId="5A707C97" w14:textId="1F2D201E" w:rsidR="00590B82" w:rsidRPr="004B1CBD" w:rsidRDefault="00590B82" w:rsidP="00590B82">
      <w:pPr>
        <w:pStyle w:val="EndNoteBibliography"/>
      </w:pPr>
      <w:r w:rsidRPr="004B1CBD">
        <w:t xml:space="preserve">Ministry of Health. 2022d. </w:t>
      </w:r>
      <w:r w:rsidRPr="004B1CBD">
        <w:rPr>
          <w:i/>
        </w:rPr>
        <w:t>COVID-19: Minimisation and protection strategy for Aotearoa New Zealand</w:t>
      </w:r>
      <w:r w:rsidRPr="004B1CBD">
        <w:t xml:space="preserve">. URL: </w:t>
      </w:r>
      <w:hyperlink r:id="rId155" w:history="1">
        <w:r w:rsidRPr="004B1CBD">
          <w:rPr>
            <w:rStyle w:val="Hyperlink"/>
          </w:rPr>
          <w:t>https://www.health.govt.nz/covid-19-novel-coronavirus/covid-19-response-planning/covid-19-minimisation-and-protection-strategy-aotearoa-new-zealand</w:t>
        </w:r>
      </w:hyperlink>
      <w:r w:rsidRPr="004B1CBD">
        <w:t xml:space="preserve"> (accessed 31 October 2022).</w:t>
      </w:r>
    </w:p>
    <w:p w14:paraId="28689635" w14:textId="77777777" w:rsidR="00590B82" w:rsidRPr="004B1CBD" w:rsidRDefault="00590B82" w:rsidP="00590B82">
      <w:pPr>
        <w:pStyle w:val="EndNoteBibliography"/>
      </w:pPr>
    </w:p>
    <w:p w14:paraId="4F573191" w14:textId="2135D932" w:rsidR="00590B82" w:rsidRPr="004B1CBD" w:rsidRDefault="00590B82" w:rsidP="00590B82">
      <w:pPr>
        <w:pStyle w:val="EndNoteBibliography"/>
      </w:pPr>
      <w:r w:rsidRPr="004B1CBD">
        <w:t xml:space="preserve">Ministry of Health. 2022e. </w:t>
      </w:r>
      <w:r w:rsidRPr="004B1CBD">
        <w:rPr>
          <w:i/>
        </w:rPr>
        <w:t>COVID-19: Supporting the vaccine rollout</w:t>
      </w:r>
      <w:r w:rsidRPr="004B1CBD">
        <w:t xml:space="preserve">. URL: </w:t>
      </w:r>
      <w:hyperlink r:id="rId156" w:history="1">
        <w:r w:rsidRPr="004B1CBD">
          <w:rPr>
            <w:rStyle w:val="Hyperlink"/>
          </w:rPr>
          <w:t>https://www.health.govt.nz/covid-19-novel-coronavirus/covid-19-vaccines/covid-19-vaccine-information-health-professionals/covid-19-vaccine-strategy-planning-insights/covid-19-supporting-vaccine-rollout</w:t>
        </w:r>
      </w:hyperlink>
      <w:r w:rsidRPr="004B1CBD">
        <w:t xml:space="preserve"> (accessed 22 September 2022).</w:t>
      </w:r>
    </w:p>
    <w:p w14:paraId="5F1557FF" w14:textId="77777777" w:rsidR="00590B82" w:rsidRPr="004B1CBD" w:rsidRDefault="00590B82" w:rsidP="00590B82">
      <w:pPr>
        <w:pStyle w:val="EndNoteBibliography"/>
      </w:pPr>
    </w:p>
    <w:p w14:paraId="50DDC70C" w14:textId="29DA12C8" w:rsidR="00590B82" w:rsidRPr="004B1CBD" w:rsidRDefault="00590B82" w:rsidP="00590B82">
      <w:pPr>
        <w:pStyle w:val="EndNoteBibliography"/>
      </w:pPr>
      <w:r w:rsidRPr="004B1CBD">
        <w:t xml:space="preserve">Ministry of Health. 2022f. </w:t>
      </w:r>
      <w:r w:rsidRPr="004B1CBD">
        <w:rPr>
          <w:i/>
        </w:rPr>
        <w:t>COVID-19: Vaccine data</w:t>
      </w:r>
      <w:r w:rsidRPr="004B1CBD">
        <w:t xml:space="preserve">. URL: </w:t>
      </w:r>
      <w:hyperlink r:id="rId157" w:history="1">
        <w:r w:rsidRPr="004B1CBD">
          <w:rPr>
            <w:rStyle w:val="Hyperlink"/>
          </w:rPr>
          <w:t>https://www.health.govt.nz/covid-19-novel-coronavirus/covid-19-data-and-statistics/covid-19-vaccine-data</w:t>
        </w:r>
      </w:hyperlink>
      <w:r w:rsidRPr="004B1CBD">
        <w:t xml:space="preserve"> (accessed 1 November 2022).</w:t>
      </w:r>
    </w:p>
    <w:p w14:paraId="672A0966" w14:textId="77777777" w:rsidR="00590B82" w:rsidRPr="004B1CBD" w:rsidRDefault="00590B82" w:rsidP="00590B82">
      <w:pPr>
        <w:pStyle w:val="EndNoteBibliography"/>
      </w:pPr>
    </w:p>
    <w:p w14:paraId="52B7796D" w14:textId="2E0F3E4D" w:rsidR="00590B82" w:rsidRPr="004B1CBD" w:rsidRDefault="00590B82" w:rsidP="00590B82">
      <w:pPr>
        <w:pStyle w:val="EndNoteBibliography"/>
      </w:pPr>
      <w:r w:rsidRPr="004B1CBD">
        <w:t xml:space="preserve">Ministry of Health. 2022g. </w:t>
      </w:r>
      <w:r w:rsidRPr="004B1CBD">
        <w:rPr>
          <w:i/>
        </w:rPr>
        <w:t>Elective Services Patient Flow Indicators Web Tool (Data file)</w:t>
      </w:r>
      <w:r w:rsidRPr="004B1CBD">
        <w:t xml:space="preserve">. URL: </w:t>
      </w:r>
      <w:hyperlink r:id="rId158" w:history="1">
        <w:r w:rsidRPr="004B1CBD">
          <w:rPr>
            <w:rStyle w:val="Hyperlink"/>
          </w:rPr>
          <w:t>https://minhealthnz2.shinyapps.io/ESPI-app/</w:t>
        </w:r>
      </w:hyperlink>
      <w:r w:rsidRPr="004B1CBD">
        <w:t xml:space="preserve"> (accessed 31 October 2022).</w:t>
      </w:r>
    </w:p>
    <w:p w14:paraId="63BA2F99" w14:textId="77777777" w:rsidR="00590B82" w:rsidRPr="004B1CBD" w:rsidRDefault="00590B82" w:rsidP="00590B82">
      <w:pPr>
        <w:pStyle w:val="EndNoteBibliography"/>
      </w:pPr>
    </w:p>
    <w:p w14:paraId="78C0FB16" w14:textId="19D5D9EE" w:rsidR="00590B82" w:rsidRPr="004B1CBD" w:rsidRDefault="00590B82" w:rsidP="00590B82">
      <w:pPr>
        <w:pStyle w:val="EndNoteBibliography"/>
      </w:pPr>
      <w:r w:rsidRPr="004B1CBD">
        <w:t xml:space="preserve">Ministry of Health. 2022h. </w:t>
      </w:r>
      <w:r w:rsidRPr="004B1CBD">
        <w:rPr>
          <w:i/>
        </w:rPr>
        <w:t>Enrolment with a general practice and primary health organisation</w:t>
      </w:r>
      <w:r w:rsidRPr="004B1CBD">
        <w:t xml:space="preserve">. URL: </w:t>
      </w:r>
      <w:hyperlink r:id="rId159" w:history="1">
        <w:r w:rsidRPr="004B1CBD">
          <w:rPr>
            <w:rStyle w:val="Hyperlink"/>
          </w:rPr>
          <w:t>https://www.health.govt.nz/our-work/primary-health-care/about-primary-health-organisations/enrolment-general-practice-and-primary-health-organisation</w:t>
        </w:r>
      </w:hyperlink>
      <w:r w:rsidRPr="004B1CBD">
        <w:t xml:space="preserve"> (accessed 31 October 2022).</w:t>
      </w:r>
    </w:p>
    <w:p w14:paraId="1E6D7A86" w14:textId="77777777" w:rsidR="00590B82" w:rsidRPr="004B1CBD" w:rsidRDefault="00590B82" w:rsidP="00590B82">
      <w:pPr>
        <w:pStyle w:val="EndNoteBibliography"/>
      </w:pPr>
    </w:p>
    <w:p w14:paraId="69022026" w14:textId="3C163DA7" w:rsidR="00590B82" w:rsidRPr="004B1CBD" w:rsidRDefault="00590B82" w:rsidP="00590B82">
      <w:pPr>
        <w:pStyle w:val="EndNoteBibliography"/>
      </w:pPr>
      <w:r w:rsidRPr="004B1CBD">
        <w:lastRenderedPageBreak/>
        <w:t xml:space="preserve">Ministry of Health. 2022i. </w:t>
      </w:r>
      <w:r w:rsidRPr="004B1CBD">
        <w:rPr>
          <w:i/>
        </w:rPr>
        <w:t>Evaluation of the Māori Influenza and Measles Vaccination Programme: In pursuit of Māori health equity</w:t>
      </w:r>
      <w:r w:rsidRPr="004B1CBD">
        <w:t xml:space="preserve">. URL: </w:t>
      </w:r>
      <w:hyperlink r:id="rId160" w:history="1">
        <w:r w:rsidRPr="004B1CBD">
          <w:rPr>
            <w:rStyle w:val="Hyperlink"/>
          </w:rPr>
          <w:t>https://www.health.govt.nz/publication/evaluation-maori-influenza-and-measles-vaccination-programme-pursuit-maori-health-equity</w:t>
        </w:r>
      </w:hyperlink>
      <w:r w:rsidRPr="004B1CBD">
        <w:t xml:space="preserve"> (accessed 31 October 2022).</w:t>
      </w:r>
    </w:p>
    <w:p w14:paraId="119837DC" w14:textId="77777777" w:rsidR="00590B82" w:rsidRPr="004B1CBD" w:rsidRDefault="00590B82" w:rsidP="00590B82">
      <w:pPr>
        <w:pStyle w:val="EndNoteBibliography"/>
      </w:pPr>
    </w:p>
    <w:p w14:paraId="17A3B589" w14:textId="3C48005E" w:rsidR="00590B82" w:rsidRPr="004B1CBD" w:rsidRDefault="00590B82" w:rsidP="00590B82">
      <w:pPr>
        <w:pStyle w:val="EndNoteBibliography"/>
      </w:pPr>
      <w:r w:rsidRPr="004B1CBD">
        <w:t xml:space="preserve">Ministry of Health. 2022j. </w:t>
      </w:r>
      <w:r w:rsidRPr="004B1CBD">
        <w:rPr>
          <w:i/>
        </w:rPr>
        <w:t>Further information about the HSU dataset and review</w:t>
      </w:r>
      <w:r w:rsidRPr="004B1CBD">
        <w:t xml:space="preserve">. URL: </w:t>
      </w:r>
      <w:hyperlink r:id="rId161" w:history="1">
        <w:r w:rsidRPr="004B1CBD">
          <w:rPr>
            <w:rStyle w:val="Hyperlink"/>
          </w:rPr>
          <w:t>https://www.health.govt.nz/system/files/documents/publications/further-information-about-the-hsu-dataset-and-review-4aug22.pdf</w:t>
        </w:r>
      </w:hyperlink>
      <w:r w:rsidRPr="004B1CBD">
        <w:t xml:space="preserve"> (accessed 31 October 2022).</w:t>
      </w:r>
    </w:p>
    <w:p w14:paraId="7E780E99" w14:textId="77777777" w:rsidR="00590B82" w:rsidRPr="004B1CBD" w:rsidRDefault="00590B82" w:rsidP="00590B82">
      <w:pPr>
        <w:pStyle w:val="EndNoteBibliography"/>
      </w:pPr>
    </w:p>
    <w:p w14:paraId="5ED50EDF" w14:textId="3142E1AD" w:rsidR="00590B82" w:rsidRPr="004B1CBD" w:rsidRDefault="00590B82" w:rsidP="00590B82">
      <w:pPr>
        <w:pStyle w:val="EndNoteBibliography"/>
      </w:pPr>
      <w:r w:rsidRPr="004B1CBD">
        <w:t xml:space="preserve">Ministry of Health. 2022k. </w:t>
      </w:r>
      <w:r w:rsidRPr="004B1CBD">
        <w:rPr>
          <w:i/>
        </w:rPr>
        <w:t>Health System Indicators framework</w:t>
      </w:r>
      <w:r w:rsidRPr="004B1CBD">
        <w:t xml:space="preserve">. URL: </w:t>
      </w:r>
      <w:hyperlink r:id="rId162" w:history="1">
        <w:r w:rsidRPr="004B1CBD">
          <w:rPr>
            <w:rStyle w:val="Hyperlink"/>
          </w:rPr>
          <w:t>https://www.health.govt.nz/new-zealand-health-system/health-system-indicators-framework</w:t>
        </w:r>
      </w:hyperlink>
      <w:r w:rsidRPr="004B1CBD">
        <w:t xml:space="preserve"> (accessed 31 October 2022).</w:t>
      </w:r>
    </w:p>
    <w:p w14:paraId="2EA874A1" w14:textId="77777777" w:rsidR="00590B82" w:rsidRPr="004B1CBD" w:rsidRDefault="00590B82" w:rsidP="00590B82">
      <w:pPr>
        <w:pStyle w:val="EndNoteBibliography"/>
      </w:pPr>
    </w:p>
    <w:p w14:paraId="0F8F0262" w14:textId="6DD88748" w:rsidR="00590B82" w:rsidRPr="004B1CBD" w:rsidRDefault="00590B82" w:rsidP="00590B82">
      <w:pPr>
        <w:pStyle w:val="EndNoteBibliography"/>
      </w:pPr>
      <w:r w:rsidRPr="004B1CBD">
        <w:t xml:space="preserve">Ministry of Health. 2022l. </w:t>
      </w:r>
      <w:r w:rsidRPr="004B1CBD">
        <w:rPr>
          <w:i/>
        </w:rPr>
        <w:t>Health Workforce Advisory Board 2021 Annual Report to the Minister of Health</w:t>
      </w:r>
      <w:r w:rsidRPr="004B1CBD">
        <w:t xml:space="preserve">. URL: </w:t>
      </w:r>
      <w:hyperlink r:id="rId163" w:history="1">
        <w:r w:rsidRPr="004B1CBD">
          <w:rPr>
            <w:rStyle w:val="Hyperlink"/>
          </w:rPr>
          <w:t>https://www.health.govt.nz/publication/health-workforce-advisory-board-2021-annual-report-minister-health</w:t>
        </w:r>
      </w:hyperlink>
      <w:r w:rsidRPr="004B1CBD">
        <w:t xml:space="preserve"> (accessed 31 October 2022).</w:t>
      </w:r>
    </w:p>
    <w:p w14:paraId="7C5B1E6C" w14:textId="77777777" w:rsidR="00590B82" w:rsidRPr="004B1CBD" w:rsidRDefault="00590B82" w:rsidP="00590B82">
      <w:pPr>
        <w:pStyle w:val="EndNoteBibliography"/>
      </w:pPr>
    </w:p>
    <w:p w14:paraId="4EAB179C" w14:textId="26CAC267" w:rsidR="00590B82" w:rsidRPr="004B1CBD" w:rsidRDefault="00590B82" w:rsidP="00590B82">
      <w:pPr>
        <w:pStyle w:val="EndNoteBibliography"/>
      </w:pPr>
      <w:r w:rsidRPr="004B1CBD">
        <w:t xml:space="preserve">Ministry of Health. 2022m. </w:t>
      </w:r>
      <w:r w:rsidRPr="004B1CBD">
        <w:rPr>
          <w:i/>
        </w:rPr>
        <w:t>HPV immunisation</w:t>
      </w:r>
      <w:r w:rsidRPr="004B1CBD">
        <w:t xml:space="preserve">. URL: </w:t>
      </w:r>
      <w:hyperlink r:id="rId164" w:history="1">
        <w:r w:rsidRPr="004B1CBD">
          <w:rPr>
            <w:rStyle w:val="Hyperlink"/>
          </w:rPr>
          <w:t>https://www.health.govt.nz/your-health/healthy-living/immunisation/immunisation-older-children-and-teenagers/human-papillomavirus-hpv/hpv-immunisation</w:t>
        </w:r>
      </w:hyperlink>
      <w:r w:rsidRPr="004B1CBD">
        <w:t xml:space="preserve"> (accessed 31 October 2022).</w:t>
      </w:r>
    </w:p>
    <w:p w14:paraId="14B5979D" w14:textId="77777777" w:rsidR="00590B82" w:rsidRPr="004B1CBD" w:rsidRDefault="00590B82" w:rsidP="00590B82">
      <w:pPr>
        <w:pStyle w:val="EndNoteBibliography"/>
      </w:pPr>
    </w:p>
    <w:p w14:paraId="158610A5" w14:textId="4B90BCF6" w:rsidR="00590B82" w:rsidRPr="004B1CBD" w:rsidRDefault="00590B82" w:rsidP="00590B82">
      <w:pPr>
        <w:pStyle w:val="EndNoteBibliography"/>
      </w:pPr>
      <w:r w:rsidRPr="004B1CBD">
        <w:t xml:space="preserve">Ministry of Health. 2022n. </w:t>
      </w:r>
      <w:r w:rsidRPr="004B1CBD">
        <w:rPr>
          <w:i/>
        </w:rPr>
        <w:t>Immunisation</w:t>
      </w:r>
      <w:r w:rsidRPr="004B1CBD">
        <w:t xml:space="preserve">. URL: </w:t>
      </w:r>
      <w:hyperlink r:id="rId165" w:history="1">
        <w:r w:rsidRPr="004B1CBD">
          <w:rPr>
            <w:rStyle w:val="Hyperlink"/>
          </w:rPr>
          <w:t>https://www.health.govt.nz/our-work/preventative-health-wellness/immunisation</w:t>
        </w:r>
      </w:hyperlink>
      <w:r w:rsidRPr="004B1CBD">
        <w:t xml:space="preserve"> (accessed 31 October 2022).</w:t>
      </w:r>
    </w:p>
    <w:p w14:paraId="53393CAB" w14:textId="77777777" w:rsidR="00590B82" w:rsidRPr="004B1CBD" w:rsidRDefault="00590B82" w:rsidP="00590B82">
      <w:pPr>
        <w:pStyle w:val="EndNoteBibliography"/>
      </w:pPr>
    </w:p>
    <w:p w14:paraId="55D944D6" w14:textId="0AAE1784" w:rsidR="00590B82" w:rsidRPr="004B1CBD" w:rsidRDefault="00590B82" w:rsidP="00590B82">
      <w:pPr>
        <w:pStyle w:val="EndNoteBibliography"/>
      </w:pPr>
      <w:r w:rsidRPr="004B1CBD">
        <w:t xml:space="preserve">Ministry of Health. 2022o. </w:t>
      </w:r>
      <w:r w:rsidRPr="004B1CBD">
        <w:rPr>
          <w:i/>
        </w:rPr>
        <w:t>Maternity web tool (Data file)</w:t>
      </w:r>
      <w:r w:rsidRPr="004B1CBD">
        <w:t xml:space="preserve">. URL: </w:t>
      </w:r>
      <w:hyperlink r:id="rId166" w:history="1">
        <w:r w:rsidRPr="004B1CBD">
          <w:rPr>
            <w:rStyle w:val="Hyperlink"/>
          </w:rPr>
          <w:t>https://minhealthnz.shinyapps.io/report-on-maternity-web-tool/</w:t>
        </w:r>
      </w:hyperlink>
      <w:r w:rsidRPr="004B1CBD">
        <w:t xml:space="preserve"> (accessed 28 October 2022).</w:t>
      </w:r>
    </w:p>
    <w:p w14:paraId="0B32A1FC" w14:textId="77777777" w:rsidR="00590B82" w:rsidRPr="004B1CBD" w:rsidRDefault="00590B82" w:rsidP="00590B82">
      <w:pPr>
        <w:pStyle w:val="EndNoteBibliography"/>
      </w:pPr>
    </w:p>
    <w:p w14:paraId="307CE4AA" w14:textId="53C8D6E1" w:rsidR="00590B82" w:rsidRPr="004B1CBD" w:rsidRDefault="00590B82" w:rsidP="00590B82">
      <w:pPr>
        <w:pStyle w:val="EndNoteBibliography"/>
      </w:pPr>
      <w:r w:rsidRPr="004B1CBD">
        <w:t xml:space="preserve">Ministry of Health. 2022p. </w:t>
      </w:r>
      <w:r w:rsidRPr="004B1CBD">
        <w:rPr>
          <w:i/>
        </w:rPr>
        <w:t>Mental health and addiction monitoring, reporting and data</w:t>
      </w:r>
      <w:r w:rsidRPr="004B1CBD">
        <w:t xml:space="preserve">. URL: </w:t>
      </w:r>
      <w:hyperlink r:id="rId167" w:history="1">
        <w:r w:rsidRPr="004B1CBD">
          <w:rPr>
            <w:rStyle w:val="Hyperlink"/>
          </w:rPr>
          <w:t>https://www.health.govt.nz/our-work/mental-health-and-addiction/mental-health-and-addiction-monitoring-reporting-and-data</w:t>
        </w:r>
      </w:hyperlink>
      <w:r w:rsidRPr="004B1CBD">
        <w:t xml:space="preserve"> (accessed 4 October 2022).</w:t>
      </w:r>
    </w:p>
    <w:p w14:paraId="425D165D" w14:textId="77777777" w:rsidR="00590B82" w:rsidRPr="004B1CBD" w:rsidRDefault="00590B82" w:rsidP="00590B82">
      <w:pPr>
        <w:pStyle w:val="EndNoteBibliography"/>
      </w:pPr>
    </w:p>
    <w:p w14:paraId="082FC801" w14:textId="5AE84ADB" w:rsidR="00590B82" w:rsidRPr="004B1CBD" w:rsidRDefault="00590B82" w:rsidP="00590B82">
      <w:pPr>
        <w:pStyle w:val="EndNoteBibliography"/>
      </w:pPr>
      <w:r w:rsidRPr="004B1CBD">
        <w:t xml:space="preserve">Ministry of Health. 2022q. </w:t>
      </w:r>
      <w:r w:rsidRPr="004B1CBD">
        <w:rPr>
          <w:i/>
        </w:rPr>
        <w:t>Mortality web tool (Data file)</w:t>
      </w:r>
      <w:r w:rsidRPr="004B1CBD">
        <w:t xml:space="preserve">. URL: </w:t>
      </w:r>
      <w:hyperlink r:id="rId168" w:history="1">
        <w:r w:rsidRPr="004B1CBD">
          <w:rPr>
            <w:rStyle w:val="Hyperlink"/>
          </w:rPr>
          <w:t>www.health.govt.nz/publication/mortality-web-tool</w:t>
        </w:r>
      </w:hyperlink>
      <w:r w:rsidRPr="004B1CBD">
        <w:t xml:space="preserve"> (accessed 31 October 2022).</w:t>
      </w:r>
    </w:p>
    <w:p w14:paraId="2C187627" w14:textId="77777777" w:rsidR="00590B82" w:rsidRPr="004B1CBD" w:rsidRDefault="00590B82" w:rsidP="00590B82">
      <w:pPr>
        <w:pStyle w:val="EndNoteBibliography"/>
      </w:pPr>
    </w:p>
    <w:p w14:paraId="41797AF4" w14:textId="1C8C9A96" w:rsidR="00590B82" w:rsidRPr="004B1CBD" w:rsidRDefault="00590B82" w:rsidP="00590B82">
      <w:pPr>
        <w:pStyle w:val="EndNoteBibliography"/>
      </w:pPr>
      <w:r w:rsidRPr="004B1CBD">
        <w:t xml:space="preserve">Ministry of Health. 2022r. </w:t>
      </w:r>
      <w:r w:rsidRPr="004B1CBD">
        <w:rPr>
          <w:i/>
        </w:rPr>
        <w:t>National and DHB immunisation data</w:t>
      </w:r>
      <w:r w:rsidRPr="004B1CBD">
        <w:t xml:space="preserve">. URL: </w:t>
      </w:r>
      <w:hyperlink r:id="rId169" w:history="1">
        <w:r w:rsidRPr="004B1CBD">
          <w:rPr>
            <w:rStyle w:val="Hyperlink"/>
          </w:rPr>
          <w:t>https://www.health.govt.nz/our-work/preventative-health-wellness/immunisation/immunisation-coverage/national-and-dhb-immunisation-data</w:t>
        </w:r>
      </w:hyperlink>
      <w:r w:rsidRPr="004B1CBD">
        <w:t xml:space="preserve"> (accessed 1 November 2022).</w:t>
      </w:r>
    </w:p>
    <w:p w14:paraId="6C6EB2BD" w14:textId="77777777" w:rsidR="00590B82" w:rsidRPr="004B1CBD" w:rsidRDefault="00590B82" w:rsidP="00590B82">
      <w:pPr>
        <w:pStyle w:val="EndNoteBibliography"/>
      </w:pPr>
    </w:p>
    <w:p w14:paraId="6DCBDD2A" w14:textId="59133CF7" w:rsidR="00590B82" w:rsidRPr="004B1CBD" w:rsidRDefault="00590B82" w:rsidP="00590B82">
      <w:pPr>
        <w:pStyle w:val="EndNoteBibliography"/>
      </w:pPr>
      <w:r w:rsidRPr="004B1CBD">
        <w:t xml:space="preserve">Ministry of Health. 2022s. </w:t>
      </w:r>
      <w:r w:rsidRPr="004B1CBD">
        <w:rPr>
          <w:i/>
        </w:rPr>
        <w:t>National Booking Reporting System data dictionary</w:t>
      </w:r>
      <w:r w:rsidRPr="004B1CBD">
        <w:t xml:space="preserve">. URL: </w:t>
      </w:r>
      <w:hyperlink r:id="rId170" w:history="1">
        <w:r w:rsidRPr="004B1CBD">
          <w:rPr>
            <w:rStyle w:val="Hyperlink"/>
          </w:rPr>
          <w:t>https://www.health.govt.nz/publication/national-booking-reporting-system-data-dictionary</w:t>
        </w:r>
      </w:hyperlink>
      <w:r w:rsidRPr="004B1CBD">
        <w:t xml:space="preserve"> (accessed 31 October 2022).</w:t>
      </w:r>
    </w:p>
    <w:p w14:paraId="40F092AA" w14:textId="77777777" w:rsidR="00590B82" w:rsidRPr="004B1CBD" w:rsidRDefault="00590B82" w:rsidP="00590B82">
      <w:pPr>
        <w:pStyle w:val="EndNoteBibliography"/>
      </w:pPr>
    </w:p>
    <w:p w14:paraId="683747B7" w14:textId="5216ACB7" w:rsidR="00590B82" w:rsidRPr="004B1CBD" w:rsidRDefault="00590B82" w:rsidP="00590B82">
      <w:pPr>
        <w:pStyle w:val="EndNoteBibliography"/>
      </w:pPr>
      <w:r w:rsidRPr="004B1CBD">
        <w:t xml:space="preserve">Ministry of Health. 2022t. </w:t>
      </w:r>
      <w:r w:rsidRPr="004B1CBD">
        <w:rPr>
          <w:i/>
        </w:rPr>
        <w:t>National Bowel Screen Programme (Data file)</w:t>
      </w:r>
      <w:r w:rsidRPr="004B1CBD">
        <w:t xml:space="preserve">. URL: </w:t>
      </w:r>
      <w:hyperlink r:id="rId171" w:history="1">
        <w:r w:rsidRPr="004B1CBD">
          <w:rPr>
            <w:rStyle w:val="Hyperlink"/>
          </w:rPr>
          <w:t>https://minhealthnz.shinyapps.io/nsu-bsp-index/</w:t>
        </w:r>
      </w:hyperlink>
      <w:r w:rsidRPr="004B1CBD">
        <w:t xml:space="preserve"> (accessed 31 October 2022).</w:t>
      </w:r>
    </w:p>
    <w:p w14:paraId="2BC72E05" w14:textId="77777777" w:rsidR="00590B82" w:rsidRPr="004B1CBD" w:rsidRDefault="00590B82" w:rsidP="00590B82">
      <w:pPr>
        <w:pStyle w:val="EndNoteBibliography"/>
      </w:pPr>
    </w:p>
    <w:p w14:paraId="133D36EF" w14:textId="4AECD247" w:rsidR="00590B82" w:rsidRPr="004B1CBD" w:rsidRDefault="00590B82" w:rsidP="00590B82">
      <w:pPr>
        <w:pStyle w:val="EndNoteBibliography"/>
      </w:pPr>
      <w:r w:rsidRPr="004B1CBD">
        <w:lastRenderedPageBreak/>
        <w:t xml:space="preserve">Ministry of Health. 2022u. </w:t>
      </w:r>
      <w:r w:rsidRPr="004B1CBD">
        <w:rPr>
          <w:i/>
        </w:rPr>
        <w:t>National Cervical Screening Programme Coverage Report (Data file)</w:t>
      </w:r>
      <w:r w:rsidRPr="004B1CBD">
        <w:t xml:space="preserve">. URL: </w:t>
      </w:r>
      <w:hyperlink r:id="rId172" w:history="1">
        <w:r w:rsidRPr="004B1CBD">
          <w:rPr>
            <w:rStyle w:val="Hyperlink"/>
          </w:rPr>
          <w:t>https://minhealthnz.shinyapps.io/nsu-ncsp-coverage/</w:t>
        </w:r>
      </w:hyperlink>
      <w:r w:rsidRPr="004B1CBD">
        <w:t xml:space="preserve"> (accessed 31 October 2022).</w:t>
      </w:r>
    </w:p>
    <w:p w14:paraId="2E711C62" w14:textId="77777777" w:rsidR="00590B82" w:rsidRPr="004B1CBD" w:rsidRDefault="00590B82" w:rsidP="00590B82">
      <w:pPr>
        <w:pStyle w:val="EndNoteBibliography"/>
      </w:pPr>
    </w:p>
    <w:p w14:paraId="445A9FDC" w14:textId="7A4BD9E9" w:rsidR="00590B82" w:rsidRPr="004B1CBD" w:rsidRDefault="00590B82" w:rsidP="00590B82">
      <w:pPr>
        <w:pStyle w:val="EndNoteBibliography"/>
      </w:pPr>
      <w:r w:rsidRPr="004B1CBD">
        <w:t xml:space="preserve">Ministry of Health. 2022v. </w:t>
      </w:r>
      <w:r w:rsidRPr="004B1CBD">
        <w:rPr>
          <w:i/>
        </w:rPr>
        <w:t>National Immunisation Register</w:t>
      </w:r>
      <w:r w:rsidRPr="004B1CBD">
        <w:t xml:space="preserve">. URL: </w:t>
      </w:r>
      <w:hyperlink r:id="rId173" w:history="1">
        <w:r w:rsidRPr="004B1CBD">
          <w:rPr>
            <w:rStyle w:val="Hyperlink"/>
          </w:rPr>
          <w:t>www.health.govt.nz/our-work/preventative-health-wellness/immunisation/national-immunisation-register</w:t>
        </w:r>
      </w:hyperlink>
      <w:r w:rsidRPr="004B1CBD">
        <w:t xml:space="preserve"> (accessed 31 October 2022).</w:t>
      </w:r>
    </w:p>
    <w:p w14:paraId="63B3A6F7" w14:textId="77777777" w:rsidR="00590B82" w:rsidRPr="004B1CBD" w:rsidRDefault="00590B82" w:rsidP="00590B82">
      <w:pPr>
        <w:pStyle w:val="EndNoteBibliography"/>
      </w:pPr>
    </w:p>
    <w:p w14:paraId="7E194F15" w14:textId="4AF3C3F8" w:rsidR="00590B82" w:rsidRPr="004B1CBD" w:rsidRDefault="00590B82" w:rsidP="00590B82">
      <w:pPr>
        <w:pStyle w:val="EndNoteBibliography"/>
      </w:pPr>
      <w:r w:rsidRPr="004B1CBD">
        <w:t xml:space="preserve">Ministry of Health. 2022w. </w:t>
      </w:r>
      <w:r w:rsidRPr="004B1CBD">
        <w:rPr>
          <w:i/>
        </w:rPr>
        <w:t>Populations web tool (Data file)</w:t>
      </w:r>
      <w:r w:rsidRPr="004B1CBD">
        <w:t xml:space="preserve">. URL: </w:t>
      </w:r>
      <w:hyperlink r:id="rId174" w:history="1">
        <w:r w:rsidRPr="004B1CBD">
          <w:rPr>
            <w:rStyle w:val="Hyperlink"/>
          </w:rPr>
          <w:t>https://minhealthnz.shinyapps.io/populations-web-tool/</w:t>
        </w:r>
      </w:hyperlink>
      <w:r w:rsidRPr="004B1CBD">
        <w:t xml:space="preserve"> (accessed 28 October 2022).</w:t>
      </w:r>
    </w:p>
    <w:p w14:paraId="2BFBD469" w14:textId="77777777" w:rsidR="00590B82" w:rsidRPr="004B1CBD" w:rsidRDefault="00590B82" w:rsidP="00590B82">
      <w:pPr>
        <w:pStyle w:val="EndNoteBibliography"/>
      </w:pPr>
    </w:p>
    <w:p w14:paraId="77109CAE" w14:textId="04B1D28B" w:rsidR="00590B82" w:rsidRPr="004B1CBD" w:rsidRDefault="00590B82" w:rsidP="00590B82">
      <w:pPr>
        <w:pStyle w:val="EndNoteBibliography"/>
      </w:pPr>
      <w:r w:rsidRPr="004B1CBD">
        <w:t xml:space="preserve">Ministry of Health. 2022x. </w:t>
      </w:r>
      <w:r w:rsidRPr="004B1CBD">
        <w:rPr>
          <w:i/>
        </w:rPr>
        <w:t>Response to Stats NZ recommendations for the Health Service User dataset</w:t>
      </w:r>
      <w:r w:rsidRPr="004B1CBD">
        <w:t xml:space="preserve">. URL: </w:t>
      </w:r>
      <w:hyperlink r:id="rId175" w:history="1">
        <w:r w:rsidRPr="004B1CBD">
          <w:rPr>
            <w:rStyle w:val="Hyperlink"/>
          </w:rPr>
          <w:t>https://www.health.govt.nz/publication/response-stats-nz-recommendations-health-service-user-dataset</w:t>
        </w:r>
      </w:hyperlink>
      <w:r w:rsidRPr="004B1CBD">
        <w:t xml:space="preserve"> (accessed 28 October 2022).</w:t>
      </w:r>
    </w:p>
    <w:p w14:paraId="5357A590" w14:textId="77777777" w:rsidR="00590B82" w:rsidRPr="00344776" w:rsidRDefault="00590B82" w:rsidP="00590B82">
      <w:pPr>
        <w:pStyle w:val="EndNoteBibliography"/>
      </w:pPr>
    </w:p>
    <w:p w14:paraId="647763F2" w14:textId="77777777" w:rsidR="00590B82" w:rsidRPr="00344776" w:rsidRDefault="00590B82" w:rsidP="00590B82">
      <w:pPr>
        <w:pStyle w:val="EndNoteBibliography"/>
      </w:pPr>
      <w:r w:rsidRPr="00344776">
        <w:t xml:space="preserve">Ministry of Health. nd. </w:t>
      </w:r>
      <w:r w:rsidRPr="00344776">
        <w:rPr>
          <w:i/>
        </w:rPr>
        <w:t>Long-term conditions and common comorbidities</w:t>
      </w:r>
      <w:r w:rsidRPr="00344776">
        <w:t>. URL: Ministry of Health (unpublished publication) (accessed 22 September 2022).</w:t>
      </w:r>
    </w:p>
    <w:p w14:paraId="53422490" w14:textId="77777777" w:rsidR="00590B82" w:rsidRPr="00344776" w:rsidRDefault="00590B82" w:rsidP="00590B82">
      <w:pPr>
        <w:pStyle w:val="EndNoteBibliography"/>
      </w:pPr>
    </w:p>
    <w:p w14:paraId="2B818680" w14:textId="77777777" w:rsidR="00590B82" w:rsidRPr="00344776" w:rsidRDefault="00590B82" w:rsidP="00590B82">
      <w:pPr>
        <w:pStyle w:val="EndNoteBibliography"/>
      </w:pPr>
      <w:r w:rsidRPr="00344776">
        <w:t xml:space="preserve">Moharram MA, Aitken-Buck HM, Reijers R, et al. 2020. Correlation between epicardial adipose tissue and body mass index in New Zealand ethnic populations. </w:t>
      </w:r>
      <w:r w:rsidRPr="00344776">
        <w:rPr>
          <w:i/>
        </w:rPr>
        <w:t>New Zealand Medical Journal</w:t>
      </w:r>
      <w:r w:rsidRPr="00344776">
        <w:t xml:space="preserve"> 133(1516): </w:t>
      </w:r>
      <w:r>
        <w:t>22–32</w:t>
      </w:r>
      <w:r w:rsidRPr="00344776">
        <w:t>.</w:t>
      </w:r>
    </w:p>
    <w:p w14:paraId="23119C57" w14:textId="77777777" w:rsidR="00590B82" w:rsidRPr="00344776" w:rsidRDefault="00590B82" w:rsidP="00590B82">
      <w:pPr>
        <w:pStyle w:val="EndNoteBibliography"/>
      </w:pPr>
    </w:p>
    <w:p w14:paraId="75A78627" w14:textId="34E6E2FB" w:rsidR="00590B82" w:rsidRPr="00344776" w:rsidRDefault="00590B82" w:rsidP="00590B82">
      <w:pPr>
        <w:pStyle w:val="EndNoteBibliography"/>
      </w:pPr>
      <w:r w:rsidRPr="00344776">
        <w:t xml:space="preserve">National Screening Unit. 2022. </w:t>
      </w:r>
      <w:r w:rsidRPr="00344776">
        <w:rPr>
          <w:i/>
        </w:rPr>
        <w:t xml:space="preserve">National Cervical Screening Programme Sector Update </w:t>
      </w:r>
      <w:r w:rsidRPr="004B1CBD">
        <w:rPr>
          <w:i/>
        </w:rPr>
        <w:t>– April 2022</w:t>
      </w:r>
      <w:r w:rsidRPr="004B1CBD">
        <w:t xml:space="preserve">. URL: </w:t>
      </w:r>
      <w:hyperlink r:id="rId176" w:history="1">
        <w:r w:rsidRPr="004B1CBD">
          <w:rPr>
            <w:rStyle w:val="Hyperlink"/>
          </w:rPr>
          <w:t>https://www.nsu.govt.nz/news/national-cervical-screening-programme-sector-update-april-2022</w:t>
        </w:r>
      </w:hyperlink>
      <w:r w:rsidRPr="004B1CBD">
        <w:t xml:space="preserve"> (accessed 31 </w:t>
      </w:r>
      <w:r>
        <w:t xml:space="preserve">October </w:t>
      </w:r>
      <w:r w:rsidRPr="00344776">
        <w:t>2022).</w:t>
      </w:r>
    </w:p>
    <w:p w14:paraId="36D26A20" w14:textId="77777777" w:rsidR="00590B82" w:rsidRPr="004B1CBD" w:rsidRDefault="00590B82" w:rsidP="00590B82">
      <w:pPr>
        <w:pStyle w:val="EndNoteBibliography"/>
      </w:pPr>
    </w:p>
    <w:p w14:paraId="413E0D17" w14:textId="189E91C6" w:rsidR="00590B82" w:rsidRPr="004B1CBD" w:rsidRDefault="00590B82" w:rsidP="00590B82">
      <w:pPr>
        <w:pStyle w:val="EndNoteBibliography"/>
      </w:pPr>
      <w:r w:rsidRPr="004B1CBD">
        <w:t xml:space="preserve">Nationwide Service Framework Library. 2022a. </w:t>
      </w:r>
      <w:r w:rsidRPr="004B1CBD">
        <w:rPr>
          <w:i/>
        </w:rPr>
        <w:t>Ambulatory sensitive (avoidable) hospital admissions</w:t>
      </w:r>
      <w:r w:rsidRPr="004B1CBD">
        <w:t xml:space="preserve">. URL: </w:t>
      </w:r>
      <w:hyperlink r:id="rId177" w:history="1">
        <w:r w:rsidRPr="004B1CBD">
          <w:rPr>
            <w:rStyle w:val="Hyperlink"/>
          </w:rPr>
          <w:t>https://nsfl.health.govt.nz/accountability/performance-and-monitoring/data-quarterly-reports-and-reporting/ambulatory-sensitive</w:t>
        </w:r>
      </w:hyperlink>
      <w:r w:rsidRPr="004B1CBD">
        <w:t xml:space="preserve"> (accessed 31 October 2022).</w:t>
      </w:r>
    </w:p>
    <w:p w14:paraId="0488FF6E" w14:textId="77777777" w:rsidR="00590B82" w:rsidRPr="004B1CBD" w:rsidRDefault="00590B82" w:rsidP="00590B82">
      <w:pPr>
        <w:pStyle w:val="EndNoteBibliography"/>
      </w:pPr>
    </w:p>
    <w:p w14:paraId="16BBCACC" w14:textId="164B2390" w:rsidR="00590B82" w:rsidRPr="004B1CBD" w:rsidRDefault="00590B82" w:rsidP="00590B82">
      <w:pPr>
        <w:pStyle w:val="EndNoteBibliography"/>
      </w:pPr>
      <w:r w:rsidRPr="004B1CBD">
        <w:t xml:space="preserve">Nationwide Service Framework Library. 2022b. </w:t>
      </w:r>
      <w:r w:rsidRPr="004B1CBD">
        <w:rPr>
          <w:i/>
        </w:rPr>
        <w:t>Inpatient average length of stay (Data file)</w:t>
      </w:r>
      <w:r w:rsidRPr="004B1CBD">
        <w:t xml:space="preserve">. URL: </w:t>
      </w:r>
      <w:hyperlink r:id="rId178" w:history="1">
        <w:r w:rsidRPr="004B1CBD">
          <w:rPr>
            <w:rStyle w:val="Hyperlink"/>
          </w:rPr>
          <w:t>https://nsfl.health.govt.nz/accountability/performance-and-monitoring/data-quarterly-reports-and-reporting/inpatient-average</w:t>
        </w:r>
      </w:hyperlink>
      <w:r w:rsidRPr="004B1CBD">
        <w:t xml:space="preserve"> (accessed 31 October 2022).</w:t>
      </w:r>
    </w:p>
    <w:p w14:paraId="3D5FB18D" w14:textId="77777777" w:rsidR="00590B82" w:rsidRPr="004B1CBD" w:rsidRDefault="00590B82" w:rsidP="00590B82">
      <w:pPr>
        <w:pStyle w:val="EndNoteBibliography"/>
      </w:pPr>
    </w:p>
    <w:p w14:paraId="1B2B45F7" w14:textId="5B9FFB7D" w:rsidR="00590B82" w:rsidRPr="004B1CBD" w:rsidRDefault="00590B82" w:rsidP="00590B82">
      <w:pPr>
        <w:pStyle w:val="EndNoteBibliography"/>
      </w:pPr>
      <w:r w:rsidRPr="004B1CBD">
        <w:t xml:space="preserve">OECD. 2022. </w:t>
      </w:r>
      <w:r w:rsidRPr="004B1CBD">
        <w:rPr>
          <w:i/>
        </w:rPr>
        <w:t>Realising the potential for primary health care</w:t>
      </w:r>
      <w:r w:rsidRPr="004B1CBD">
        <w:t xml:space="preserve">. URL: </w:t>
      </w:r>
      <w:hyperlink r:id="rId179" w:history="1">
        <w:r w:rsidRPr="004B1CBD">
          <w:rPr>
            <w:rStyle w:val="Hyperlink"/>
          </w:rPr>
          <w:t>https://www.oecd.org/health/realising-the-potential-of-primary-health-care-a92adee4-en.htm</w:t>
        </w:r>
      </w:hyperlink>
      <w:r w:rsidRPr="004B1CBD">
        <w:t xml:space="preserve"> (accessed 31 October 2022).</w:t>
      </w:r>
    </w:p>
    <w:p w14:paraId="6627E31A" w14:textId="77777777" w:rsidR="00590B82" w:rsidRPr="004B1CBD" w:rsidRDefault="00590B82" w:rsidP="00590B82">
      <w:pPr>
        <w:pStyle w:val="EndNoteBibliography"/>
      </w:pPr>
    </w:p>
    <w:p w14:paraId="23405C80" w14:textId="237FE2BF" w:rsidR="00590B82" w:rsidRPr="004B1CBD" w:rsidRDefault="00590B82" w:rsidP="00590B82">
      <w:pPr>
        <w:pStyle w:val="EndNoteBibliography"/>
      </w:pPr>
      <w:r w:rsidRPr="004B1CBD">
        <w:t xml:space="preserve">Office for Disability Issues. 2022. </w:t>
      </w:r>
      <w:r w:rsidRPr="004B1CBD">
        <w:rPr>
          <w:i/>
        </w:rPr>
        <w:t>COVID-19 data analysis</w:t>
      </w:r>
      <w:r w:rsidRPr="004B1CBD">
        <w:t xml:space="preserve">. URL: </w:t>
      </w:r>
      <w:hyperlink r:id="rId180" w:history="1">
        <w:r w:rsidRPr="004B1CBD">
          <w:rPr>
            <w:rStyle w:val="Hyperlink"/>
          </w:rPr>
          <w:t>https://www.odi.govt.nz/guidance-and-resources/covid-19-data-analysis/</w:t>
        </w:r>
      </w:hyperlink>
      <w:r w:rsidRPr="004B1CBD">
        <w:t xml:space="preserve"> (accessed 31 October 2022).</w:t>
      </w:r>
    </w:p>
    <w:p w14:paraId="77295E3B" w14:textId="77777777" w:rsidR="00590B82" w:rsidRPr="00344776" w:rsidRDefault="00590B82" w:rsidP="00590B82">
      <w:pPr>
        <w:pStyle w:val="EndNoteBibliography"/>
      </w:pPr>
    </w:p>
    <w:p w14:paraId="0911056F" w14:textId="77777777" w:rsidR="00590B82" w:rsidRPr="00344776" w:rsidRDefault="00590B82" w:rsidP="00590B82">
      <w:pPr>
        <w:pStyle w:val="EndNoteBibliography"/>
      </w:pPr>
      <w:r w:rsidRPr="00344776">
        <w:t xml:space="preserve">Oliveira CR, Niccolai LM. 2021. Monitoring HPV vaccine impact on cervical disease: Status and future directions for the era of cervical cancer elimination. </w:t>
      </w:r>
      <w:r w:rsidRPr="00344776">
        <w:rPr>
          <w:i/>
        </w:rPr>
        <w:t>Preventive Medicine</w:t>
      </w:r>
      <w:r w:rsidRPr="00344776">
        <w:t xml:space="preserve"> 144: 106363.</w:t>
      </w:r>
    </w:p>
    <w:p w14:paraId="6D0A1A82" w14:textId="77777777" w:rsidR="00590B82" w:rsidRPr="00344776" w:rsidRDefault="00590B82" w:rsidP="00590B82">
      <w:pPr>
        <w:pStyle w:val="EndNoteBibliography"/>
      </w:pPr>
    </w:p>
    <w:p w14:paraId="37A7ED5B" w14:textId="77777777" w:rsidR="00590B82" w:rsidRPr="00344776" w:rsidRDefault="00590B82" w:rsidP="00590B82">
      <w:pPr>
        <w:pStyle w:val="EndNoteBibliography"/>
      </w:pPr>
      <w:r w:rsidRPr="00344776">
        <w:lastRenderedPageBreak/>
        <w:t xml:space="preserve">Prasad N, Newbern CE, Trenholme AA, et al. 2019. Respiratory syncytial virus hospitalisations among young children: a data linkage study. </w:t>
      </w:r>
      <w:r w:rsidRPr="00344776">
        <w:rPr>
          <w:i/>
        </w:rPr>
        <w:t>Epidemiology and Infection</w:t>
      </w:r>
      <w:r w:rsidRPr="00344776">
        <w:t xml:space="preserve"> 147: e246.</w:t>
      </w:r>
    </w:p>
    <w:p w14:paraId="404986EA" w14:textId="77777777" w:rsidR="00590B82" w:rsidRPr="00344776" w:rsidRDefault="00590B82" w:rsidP="00590B82">
      <w:pPr>
        <w:pStyle w:val="EndNoteBibliography"/>
      </w:pPr>
    </w:p>
    <w:p w14:paraId="5FC98417" w14:textId="7C2A8848" w:rsidR="00590B82" w:rsidRPr="00344776" w:rsidRDefault="00590B82" w:rsidP="00590B82">
      <w:pPr>
        <w:pStyle w:val="EndNoteBibliography"/>
      </w:pPr>
      <w:r w:rsidRPr="00344776">
        <w:t xml:space="preserve">Stats NZ. 2021a. </w:t>
      </w:r>
      <w:r w:rsidRPr="00AC3A6D">
        <w:rPr>
          <w:i/>
        </w:rPr>
        <w:t>National and subnational period life tables: 2017</w:t>
      </w:r>
      <w:r w:rsidRPr="004B1CBD">
        <w:rPr>
          <w:i/>
        </w:rPr>
        <w:t>–2019</w:t>
      </w:r>
      <w:r w:rsidRPr="004B1CBD">
        <w:t xml:space="preserve">. URL: </w:t>
      </w:r>
      <w:hyperlink r:id="rId181" w:history="1">
        <w:r w:rsidRPr="004B1CBD">
          <w:rPr>
            <w:rStyle w:val="Hyperlink"/>
          </w:rPr>
          <w:t>www.stats.govt.nz/information-releases/national-and-subnational-period-life-tables-2017-2019</w:t>
        </w:r>
      </w:hyperlink>
      <w:r w:rsidRPr="004B1CBD">
        <w:t xml:space="preserve"> (accessed 28 </w:t>
      </w:r>
      <w:r>
        <w:t xml:space="preserve">October </w:t>
      </w:r>
      <w:r w:rsidRPr="00344776">
        <w:t>2022).</w:t>
      </w:r>
    </w:p>
    <w:p w14:paraId="50DD5254" w14:textId="77777777" w:rsidR="00590B82" w:rsidRPr="004B1CBD" w:rsidRDefault="00590B82" w:rsidP="00590B82">
      <w:pPr>
        <w:pStyle w:val="EndNoteBibliography"/>
      </w:pPr>
    </w:p>
    <w:p w14:paraId="55AC308A" w14:textId="06BB3CA1" w:rsidR="00590B82" w:rsidRPr="004B1CBD" w:rsidRDefault="00590B82" w:rsidP="00590B82">
      <w:pPr>
        <w:pStyle w:val="EndNoteBibliography"/>
      </w:pPr>
      <w:r w:rsidRPr="004B1CBD">
        <w:t xml:space="preserve">Stats NZ. 2021b. </w:t>
      </w:r>
      <w:r w:rsidRPr="004B1CBD">
        <w:rPr>
          <w:i/>
        </w:rPr>
        <w:t>Net migration dips into the negative</w:t>
      </w:r>
      <w:r w:rsidRPr="004B1CBD">
        <w:t xml:space="preserve">. URL: </w:t>
      </w:r>
      <w:hyperlink r:id="rId182" w:history="1">
        <w:r w:rsidRPr="004B1CBD">
          <w:rPr>
            <w:rStyle w:val="Hyperlink"/>
          </w:rPr>
          <w:t>https://www.stats.govt.nz/news/net-migration-dips-into-the-negative</w:t>
        </w:r>
      </w:hyperlink>
      <w:r w:rsidRPr="004B1CBD">
        <w:t xml:space="preserve"> (accessed 28 October 2022).</w:t>
      </w:r>
    </w:p>
    <w:p w14:paraId="49CEF7AC" w14:textId="77777777" w:rsidR="00590B82" w:rsidRPr="004B1CBD" w:rsidRDefault="00590B82" w:rsidP="00590B82">
      <w:pPr>
        <w:pStyle w:val="EndNoteBibliography"/>
      </w:pPr>
    </w:p>
    <w:p w14:paraId="24005DA6" w14:textId="58119360" w:rsidR="00590B82" w:rsidRPr="004B1CBD" w:rsidRDefault="00590B82" w:rsidP="00590B82">
      <w:pPr>
        <w:pStyle w:val="EndNoteBibliography"/>
      </w:pPr>
      <w:r w:rsidRPr="004B1CBD">
        <w:t xml:space="preserve">Stats NZ. 2021c. </w:t>
      </w:r>
      <w:r w:rsidRPr="004B1CBD">
        <w:rPr>
          <w:i/>
        </w:rPr>
        <w:t>New Zealand's birth rate lowest on record, deaths drop in 2020</w:t>
      </w:r>
      <w:r w:rsidRPr="004B1CBD">
        <w:t xml:space="preserve">. URL: </w:t>
      </w:r>
      <w:hyperlink r:id="rId183" w:history="1">
        <w:r w:rsidRPr="004B1CBD">
          <w:rPr>
            <w:rStyle w:val="Hyperlink"/>
          </w:rPr>
          <w:t>https://www.stats.govt.nz/news/new-zealands-birth-rate-lowest-on-record-deaths-drop-in-2020</w:t>
        </w:r>
      </w:hyperlink>
      <w:r w:rsidRPr="004B1CBD">
        <w:t xml:space="preserve"> (accessed 28 October 2022).</w:t>
      </w:r>
    </w:p>
    <w:p w14:paraId="3D156CD1" w14:textId="77777777" w:rsidR="00590B82" w:rsidRPr="004B1CBD" w:rsidRDefault="00590B82" w:rsidP="00590B82">
      <w:pPr>
        <w:pStyle w:val="EndNoteBibliography"/>
      </w:pPr>
    </w:p>
    <w:p w14:paraId="79FC5AA6" w14:textId="354FAE21" w:rsidR="00590B82" w:rsidRPr="004B1CBD" w:rsidRDefault="00590B82" w:rsidP="00590B82">
      <w:pPr>
        <w:pStyle w:val="EndNoteBibliography"/>
      </w:pPr>
      <w:r w:rsidRPr="004B1CBD">
        <w:t xml:space="preserve">Stats NZ. 2021d. </w:t>
      </w:r>
      <w:r w:rsidRPr="004B1CBD">
        <w:rPr>
          <w:i/>
        </w:rPr>
        <w:t>Population projected to become more ethnically diverse</w:t>
      </w:r>
      <w:r w:rsidRPr="004B1CBD">
        <w:t xml:space="preserve">. URL: </w:t>
      </w:r>
      <w:hyperlink r:id="rId184" w:history="1">
        <w:r w:rsidRPr="004B1CBD">
          <w:rPr>
            <w:rStyle w:val="Hyperlink"/>
          </w:rPr>
          <w:t>www.stats.govt.nz/news/population-projected-to-become-more-ethnically-diverse</w:t>
        </w:r>
      </w:hyperlink>
      <w:r w:rsidRPr="004B1CBD">
        <w:t xml:space="preserve"> (accessed 28 October 2022).</w:t>
      </w:r>
    </w:p>
    <w:p w14:paraId="612E9281" w14:textId="77777777" w:rsidR="00590B82" w:rsidRPr="004B1CBD" w:rsidRDefault="00590B82" w:rsidP="00590B82">
      <w:pPr>
        <w:pStyle w:val="EndNoteBibliography"/>
      </w:pPr>
    </w:p>
    <w:p w14:paraId="52B756F9" w14:textId="4CD8032D" w:rsidR="00590B82" w:rsidRPr="004B1CBD" w:rsidRDefault="00590B82" w:rsidP="00590B82">
      <w:pPr>
        <w:pStyle w:val="EndNoteBibliography"/>
      </w:pPr>
      <w:r w:rsidRPr="004B1CBD">
        <w:t xml:space="preserve">Stats NZ. 2022a. </w:t>
      </w:r>
      <w:r w:rsidRPr="004B1CBD">
        <w:rPr>
          <w:i/>
        </w:rPr>
        <w:t>Births and deaths: Year ended December 2021 (including abridged period life table)</w:t>
      </w:r>
      <w:r w:rsidRPr="004B1CBD">
        <w:t xml:space="preserve">. URL: </w:t>
      </w:r>
      <w:hyperlink r:id="rId185" w:history="1">
        <w:r w:rsidRPr="004B1CBD">
          <w:rPr>
            <w:rStyle w:val="Hyperlink"/>
          </w:rPr>
          <w:t>https://www.stats.govt.nz/information-releases/births-and-deaths-year-ended-december-2021-including-abridged-period-life-table/</w:t>
        </w:r>
      </w:hyperlink>
      <w:r w:rsidRPr="004B1CBD">
        <w:t xml:space="preserve"> (accessed 21 September 2022).</w:t>
      </w:r>
    </w:p>
    <w:p w14:paraId="5E906ED0" w14:textId="77777777" w:rsidR="00590B82" w:rsidRPr="004B1CBD" w:rsidRDefault="00590B82" w:rsidP="00590B82">
      <w:pPr>
        <w:pStyle w:val="EndNoteBibliography"/>
      </w:pPr>
    </w:p>
    <w:p w14:paraId="65F81207" w14:textId="15FEB15D" w:rsidR="00590B82" w:rsidRPr="004B1CBD" w:rsidRDefault="00590B82" w:rsidP="00590B82">
      <w:pPr>
        <w:pStyle w:val="EndNoteBibliography"/>
      </w:pPr>
      <w:r w:rsidRPr="004B1CBD">
        <w:t xml:space="preserve">Stats NZ. 2022b. </w:t>
      </w:r>
      <w:r w:rsidRPr="004B1CBD">
        <w:rPr>
          <w:i/>
        </w:rPr>
        <w:t>National population estimates: At 31 October 2021 – Infoshare tables</w:t>
      </w:r>
      <w:r w:rsidRPr="004B1CBD">
        <w:t xml:space="preserve">. URL: </w:t>
      </w:r>
      <w:hyperlink r:id="rId186" w:history="1">
        <w:r w:rsidRPr="004B1CBD">
          <w:rPr>
            <w:rStyle w:val="Hyperlink"/>
          </w:rPr>
          <w:t>https://www.stats.govt.nz/information-releases/national-population-estimates-at-31-december-2021-infoshare-tables/</w:t>
        </w:r>
      </w:hyperlink>
      <w:r w:rsidRPr="004B1CBD">
        <w:t xml:space="preserve"> (accessed 28 October 2022).</w:t>
      </w:r>
    </w:p>
    <w:p w14:paraId="78D88908" w14:textId="77777777" w:rsidR="00590B82" w:rsidRPr="004B1CBD" w:rsidRDefault="00590B82" w:rsidP="00590B82">
      <w:pPr>
        <w:pStyle w:val="EndNoteBibliography"/>
      </w:pPr>
    </w:p>
    <w:p w14:paraId="260DE6BA" w14:textId="66E6F25B" w:rsidR="00590B82" w:rsidRPr="004B1CBD" w:rsidRDefault="00590B82" w:rsidP="00590B82">
      <w:pPr>
        <w:pStyle w:val="EndNoteBibliography"/>
      </w:pPr>
      <w:r w:rsidRPr="004B1CBD">
        <w:t xml:space="preserve">Stats NZ. 2022c. </w:t>
      </w:r>
      <w:r w:rsidRPr="004B1CBD">
        <w:rPr>
          <w:i/>
        </w:rPr>
        <w:t>Review of Health Service User population methodology</w:t>
      </w:r>
      <w:r w:rsidRPr="004B1CBD">
        <w:t xml:space="preserve">. URL: </w:t>
      </w:r>
      <w:hyperlink r:id="rId187" w:history="1">
        <w:r w:rsidRPr="004B1CBD">
          <w:rPr>
            <w:rStyle w:val="Hyperlink"/>
          </w:rPr>
          <w:t>https://www.stats.govt.nz/reports/review-of-health-service-user-population-methodology/</w:t>
        </w:r>
      </w:hyperlink>
      <w:r w:rsidRPr="004B1CBD">
        <w:t xml:space="preserve"> (accessed 28 October 2022).</w:t>
      </w:r>
    </w:p>
    <w:p w14:paraId="7E5939EB" w14:textId="77777777" w:rsidR="00590B82" w:rsidRPr="004B1CBD" w:rsidRDefault="00590B82" w:rsidP="00590B82">
      <w:pPr>
        <w:pStyle w:val="EndNoteBibliography"/>
      </w:pPr>
    </w:p>
    <w:p w14:paraId="400FF018" w14:textId="44EC8864" w:rsidR="00590B82" w:rsidRPr="004B1CBD" w:rsidRDefault="00590B82" w:rsidP="00590B82">
      <w:pPr>
        <w:pStyle w:val="EndNoteBibliography"/>
      </w:pPr>
      <w:r w:rsidRPr="004B1CBD">
        <w:t xml:space="preserve">Stats NZ. 2022d. </w:t>
      </w:r>
      <w:r w:rsidRPr="004B1CBD">
        <w:rPr>
          <w:i/>
        </w:rPr>
        <w:t>Stats NZ: Infoshare (Data file)</w:t>
      </w:r>
      <w:r w:rsidRPr="004B1CBD">
        <w:t xml:space="preserve">. URL: </w:t>
      </w:r>
      <w:hyperlink r:id="rId188" w:history="1">
        <w:r w:rsidRPr="004B1CBD">
          <w:rPr>
            <w:rStyle w:val="Hyperlink"/>
          </w:rPr>
          <w:t>http://infoshare.stats.govt.nz/Default.aspx</w:t>
        </w:r>
      </w:hyperlink>
      <w:r w:rsidRPr="004B1CBD">
        <w:t xml:space="preserve"> (accessed 31 October 2022).</w:t>
      </w:r>
    </w:p>
    <w:p w14:paraId="3E7AAF25" w14:textId="77777777" w:rsidR="00590B82" w:rsidRPr="004B1CBD" w:rsidRDefault="00590B82" w:rsidP="00590B82">
      <w:pPr>
        <w:pStyle w:val="EndNoteBibliography"/>
      </w:pPr>
    </w:p>
    <w:p w14:paraId="039E03E6" w14:textId="41393D6B" w:rsidR="00590B82" w:rsidRPr="004B1CBD" w:rsidRDefault="00590B82" w:rsidP="00590B82">
      <w:pPr>
        <w:pStyle w:val="EndNoteBibliography"/>
      </w:pPr>
      <w:r w:rsidRPr="004B1CBD">
        <w:t xml:space="preserve">Te Aho o Te Kahu Cancer Control Agency. 2021. </w:t>
      </w:r>
      <w:r w:rsidRPr="004B1CBD">
        <w:rPr>
          <w:i/>
        </w:rPr>
        <w:t>The state of cancer in New Zealand 2020</w:t>
      </w:r>
      <w:r w:rsidRPr="004B1CBD">
        <w:t xml:space="preserve">. URL: </w:t>
      </w:r>
      <w:hyperlink r:id="rId189" w:history="1">
        <w:r w:rsidRPr="004B1CBD">
          <w:rPr>
            <w:rStyle w:val="Hyperlink"/>
          </w:rPr>
          <w:t>https://teaho.govt.nz/reports/cancer-state</w:t>
        </w:r>
      </w:hyperlink>
      <w:r w:rsidRPr="004B1CBD">
        <w:t xml:space="preserve"> (accessed 31 October 2022).</w:t>
      </w:r>
    </w:p>
    <w:p w14:paraId="60083FC8" w14:textId="77777777" w:rsidR="00590B82" w:rsidRPr="004B1CBD" w:rsidRDefault="00590B82" w:rsidP="00590B82">
      <w:pPr>
        <w:pStyle w:val="EndNoteBibliography"/>
      </w:pPr>
    </w:p>
    <w:p w14:paraId="3783C275" w14:textId="4BF60A96" w:rsidR="00590B82" w:rsidRPr="004B1CBD" w:rsidRDefault="00590B82" w:rsidP="00590B82">
      <w:pPr>
        <w:pStyle w:val="EndNoteBibliography"/>
      </w:pPr>
      <w:r w:rsidRPr="004B1CBD">
        <w:t xml:space="preserve">Te Aho o Te Kahu Cancer Control Agency. 2022a. </w:t>
      </w:r>
      <w:r w:rsidRPr="004B1CBD">
        <w:rPr>
          <w:i/>
        </w:rPr>
        <w:t>COVID-19 and cancer services: Working report on the impact of COVID-19 on cancer services for the period ending December 2021</w:t>
      </w:r>
      <w:r w:rsidRPr="004B1CBD">
        <w:t xml:space="preserve">. URL: </w:t>
      </w:r>
      <w:hyperlink r:id="rId190" w:history="1">
        <w:r w:rsidRPr="004B1CBD">
          <w:rPr>
            <w:rStyle w:val="Hyperlink"/>
          </w:rPr>
          <w:t>https://hcmsitesstorage.blob.core.windows.net/cca/assets/COVID_19_and_cancer_report_Nov_Dec_2021_20220216_b9ea1d00d4.pdf</w:t>
        </w:r>
      </w:hyperlink>
      <w:r w:rsidRPr="004B1CBD">
        <w:t xml:space="preserve"> (accessed 31 October 2022).</w:t>
      </w:r>
    </w:p>
    <w:p w14:paraId="54C7E46F" w14:textId="77777777" w:rsidR="00590B82" w:rsidRPr="004B1CBD" w:rsidRDefault="00590B82" w:rsidP="00590B82">
      <w:pPr>
        <w:pStyle w:val="EndNoteBibliography"/>
      </w:pPr>
    </w:p>
    <w:p w14:paraId="13935FAD" w14:textId="3900F8BB" w:rsidR="00590B82" w:rsidRPr="004B1CBD" w:rsidRDefault="00590B82" w:rsidP="00590B82">
      <w:pPr>
        <w:pStyle w:val="EndNoteBibliography"/>
      </w:pPr>
      <w:r w:rsidRPr="004B1CBD">
        <w:t xml:space="preserve">Te Aho o Te Kahu Cancer Control Agency. 2022b. </w:t>
      </w:r>
      <w:r w:rsidRPr="004B1CBD">
        <w:rPr>
          <w:i/>
        </w:rPr>
        <w:t>Pūrongo Ārai Mate Pukupuku Cancer Prevention Report</w:t>
      </w:r>
      <w:r w:rsidRPr="004B1CBD">
        <w:t xml:space="preserve">. URL: </w:t>
      </w:r>
      <w:hyperlink r:id="rId191" w:history="1">
        <w:r w:rsidRPr="004B1CBD">
          <w:rPr>
            <w:rStyle w:val="Hyperlink"/>
          </w:rPr>
          <w:t>https://hcmsitesstorage.blob.core.windows.net/cca/assets/Cancer_Prevention_V12_7_April22_05c46c078b.pdf</w:t>
        </w:r>
      </w:hyperlink>
      <w:r w:rsidRPr="004B1CBD">
        <w:t xml:space="preserve"> (accessed 31 October 2022).</w:t>
      </w:r>
    </w:p>
    <w:p w14:paraId="17CA3229" w14:textId="77777777" w:rsidR="00590B82" w:rsidRPr="004B1CBD" w:rsidRDefault="00590B82" w:rsidP="00590B82">
      <w:pPr>
        <w:pStyle w:val="EndNoteBibliography"/>
      </w:pPr>
    </w:p>
    <w:p w14:paraId="42F31F38" w14:textId="7552E869" w:rsidR="00590B82" w:rsidRPr="004B1CBD" w:rsidRDefault="00590B82" w:rsidP="00590B82">
      <w:pPr>
        <w:pStyle w:val="EndNoteBibliography"/>
      </w:pPr>
      <w:r w:rsidRPr="004B1CBD">
        <w:lastRenderedPageBreak/>
        <w:t xml:space="preserve">Te Whatu Ora. 2022. </w:t>
      </w:r>
      <w:r w:rsidRPr="004B1CBD">
        <w:rPr>
          <w:i/>
        </w:rPr>
        <w:t>Updated health user information informs COVID-19 vaccination programme</w:t>
      </w:r>
      <w:r w:rsidRPr="004B1CBD">
        <w:t xml:space="preserve">. URL: </w:t>
      </w:r>
      <w:hyperlink r:id="rId192" w:history="1">
        <w:r w:rsidRPr="004B1CBD">
          <w:rPr>
            <w:rStyle w:val="Hyperlink"/>
          </w:rPr>
          <w:t>https://www.tewhatuora.govt.nz/about-us/news-and-updates/updated-health-user-information-informs-covid-19-vaccination-programme/</w:t>
        </w:r>
      </w:hyperlink>
      <w:r w:rsidRPr="004B1CBD">
        <w:t xml:space="preserve"> (accessed 28 October 2022).</w:t>
      </w:r>
    </w:p>
    <w:p w14:paraId="04017666" w14:textId="77777777" w:rsidR="00590B82" w:rsidRPr="004B1CBD" w:rsidRDefault="00590B82" w:rsidP="00590B82">
      <w:pPr>
        <w:pStyle w:val="EndNoteBibliography"/>
      </w:pPr>
    </w:p>
    <w:p w14:paraId="4727CC5E" w14:textId="08AAF31E" w:rsidR="00590B82" w:rsidRPr="004B1CBD" w:rsidRDefault="00590B82" w:rsidP="00590B82">
      <w:pPr>
        <w:pStyle w:val="EndNoteBibliography"/>
      </w:pPr>
      <w:r w:rsidRPr="004B1CBD">
        <w:t xml:space="preserve">The Immunisation Advisory Centre. 2021. </w:t>
      </w:r>
      <w:r w:rsidRPr="004B1CBD">
        <w:rPr>
          <w:i/>
        </w:rPr>
        <w:t>5 to 11 years old COVID resources</w:t>
      </w:r>
      <w:r w:rsidRPr="004B1CBD">
        <w:t xml:space="preserve">. URL: </w:t>
      </w:r>
      <w:hyperlink r:id="rId193" w:history="1">
        <w:r w:rsidRPr="004B1CBD">
          <w:rPr>
            <w:rStyle w:val="Hyperlink"/>
          </w:rPr>
          <w:t>https://covid.immune.org.nz/covid-19-vaccines-nz/getting-vaccinated/5-11-years-old-covid-resources</w:t>
        </w:r>
      </w:hyperlink>
      <w:r w:rsidRPr="004B1CBD">
        <w:t xml:space="preserve"> (accessed 31 October 2022).</w:t>
      </w:r>
    </w:p>
    <w:p w14:paraId="5CD81D85" w14:textId="77777777" w:rsidR="00590B82" w:rsidRPr="004B1CBD" w:rsidRDefault="00590B82" w:rsidP="00590B82">
      <w:pPr>
        <w:pStyle w:val="EndNoteBibliography"/>
      </w:pPr>
    </w:p>
    <w:p w14:paraId="69F15C51" w14:textId="213D79D3" w:rsidR="00590B82" w:rsidRPr="004B1CBD" w:rsidRDefault="00590B82" w:rsidP="00590B82">
      <w:pPr>
        <w:pStyle w:val="EndNoteBibliography"/>
      </w:pPr>
      <w:r w:rsidRPr="004B1CBD">
        <w:t xml:space="preserve">The Immunisation Advisory Centre. 2022. </w:t>
      </w:r>
      <w:r w:rsidRPr="004B1CBD">
        <w:rPr>
          <w:i/>
        </w:rPr>
        <w:t>Human papillomavirus (HPV)</w:t>
      </w:r>
      <w:r w:rsidRPr="004B1CBD">
        <w:t xml:space="preserve">. URL: </w:t>
      </w:r>
      <w:hyperlink r:id="rId194" w:history="1">
        <w:r w:rsidRPr="004B1CBD">
          <w:rPr>
            <w:rStyle w:val="Hyperlink"/>
          </w:rPr>
          <w:t>https://www.immune.org.nz/diseases/human-papillomavirus-hpv</w:t>
        </w:r>
      </w:hyperlink>
      <w:r w:rsidRPr="004B1CBD">
        <w:t xml:space="preserve"> (accessed 31 October 2022).</w:t>
      </w:r>
    </w:p>
    <w:p w14:paraId="6B6F89EE" w14:textId="77777777" w:rsidR="00590B82" w:rsidRPr="004B1CBD" w:rsidRDefault="00590B82" w:rsidP="00590B82">
      <w:pPr>
        <w:pStyle w:val="EndNoteBibliography"/>
      </w:pPr>
    </w:p>
    <w:p w14:paraId="310B6EFD" w14:textId="4E7768C5" w:rsidR="00590B82" w:rsidRPr="004B1CBD" w:rsidRDefault="00590B82" w:rsidP="00590B82">
      <w:pPr>
        <w:pStyle w:val="EndNoteBibliography"/>
      </w:pPr>
      <w:r w:rsidRPr="004B1CBD">
        <w:t xml:space="preserve">Unite against COVID-19. 2021. </w:t>
      </w:r>
      <w:r w:rsidRPr="004B1CBD">
        <w:rPr>
          <w:i/>
        </w:rPr>
        <w:t>COVID-19 vaccine rollout plan</w:t>
      </w:r>
      <w:r w:rsidRPr="004B1CBD">
        <w:t xml:space="preserve">. URL: </w:t>
      </w:r>
      <w:hyperlink r:id="rId195" w:history="1">
        <w:r w:rsidRPr="004B1CBD">
          <w:rPr>
            <w:rStyle w:val="Hyperlink"/>
          </w:rPr>
          <w:t>https://covid19.govt.nz/news-and-data/latest-news/covid-19-vaccine-rollout-plan/</w:t>
        </w:r>
      </w:hyperlink>
      <w:r w:rsidRPr="004B1CBD">
        <w:t xml:space="preserve"> (accessed 31 October 2022).</w:t>
      </w:r>
    </w:p>
    <w:p w14:paraId="1EADBFBF" w14:textId="77777777" w:rsidR="00590B82" w:rsidRPr="004B1CBD" w:rsidRDefault="00590B82" w:rsidP="00590B82">
      <w:pPr>
        <w:pStyle w:val="EndNoteBibliography"/>
      </w:pPr>
    </w:p>
    <w:p w14:paraId="0AA1C214" w14:textId="77777777" w:rsidR="00590B82" w:rsidRPr="004B1CBD" w:rsidRDefault="00590B82" w:rsidP="00590B82">
      <w:pPr>
        <w:pStyle w:val="EndNoteBibliography"/>
      </w:pPr>
      <w:r w:rsidRPr="004B1CBD">
        <w:t xml:space="preserve">Whiteman DC, Webb PM, Green AC, et al. 2015. Cancers in Australia in 2010 attributable to modifiable factors: summary and conclusions. </w:t>
      </w:r>
      <w:r w:rsidRPr="004B1CBD">
        <w:rPr>
          <w:i/>
        </w:rPr>
        <w:t>Australian and New Zealand journal of public health</w:t>
      </w:r>
      <w:r w:rsidRPr="004B1CBD">
        <w:t xml:space="preserve"> 39(5): 477-84.</w:t>
      </w:r>
    </w:p>
    <w:p w14:paraId="7A9F3BE0" w14:textId="77777777" w:rsidR="00590B82" w:rsidRPr="004B1CBD" w:rsidRDefault="00590B82" w:rsidP="00590B82">
      <w:pPr>
        <w:pStyle w:val="EndNoteBibliography"/>
      </w:pPr>
    </w:p>
    <w:p w14:paraId="49C8EC92" w14:textId="55FB3497" w:rsidR="00590B82" w:rsidRPr="004B1CBD" w:rsidRDefault="00590B82" w:rsidP="00590B82">
      <w:pPr>
        <w:pStyle w:val="EndNoteBibliography"/>
      </w:pPr>
      <w:r w:rsidRPr="004B1CBD">
        <w:t xml:space="preserve">World Health Organization. 2001. </w:t>
      </w:r>
      <w:r w:rsidRPr="004B1CBD">
        <w:rPr>
          <w:i/>
        </w:rPr>
        <w:t>AUDIT: The alcohol use disorder identification test: guidelines for use in primary health care</w:t>
      </w:r>
      <w:r w:rsidRPr="004B1CBD">
        <w:t xml:space="preserve">. URL: </w:t>
      </w:r>
      <w:hyperlink r:id="rId196" w:history="1">
        <w:r w:rsidRPr="004B1CBD">
          <w:rPr>
            <w:rStyle w:val="Hyperlink"/>
          </w:rPr>
          <w:t>https://www.who.int/publications/i/item/WHO-MSD-MSB-01.6a</w:t>
        </w:r>
      </w:hyperlink>
      <w:r w:rsidRPr="004B1CBD">
        <w:t xml:space="preserve"> (accessed 1 November 2022).</w:t>
      </w:r>
    </w:p>
    <w:p w14:paraId="3C2881F8" w14:textId="77777777" w:rsidR="00590B82" w:rsidRPr="004B1CBD" w:rsidRDefault="00590B82" w:rsidP="00590B82">
      <w:pPr>
        <w:pStyle w:val="EndNoteBibliography"/>
      </w:pPr>
    </w:p>
    <w:p w14:paraId="790ED444" w14:textId="211D7BB2" w:rsidR="00590B82" w:rsidRPr="004B1CBD" w:rsidRDefault="00590B82" w:rsidP="00590B82">
      <w:pPr>
        <w:pStyle w:val="EndNoteBibliography"/>
      </w:pPr>
      <w:r w:rsidRPr="004B1CBD">
        <w:t xml:space="preserve">World Health Organization. 2017. </w:t>
      </w:r>
      <w:r w:rsidRPr="004B1CBD">
        <w:rPr>
          <w:i/>
        </w:rPr>
        <w:t>Determinants of health</w:t>
      </w:r>
      <w:r w:rsidRPr="004B1CBD">
        <w:t xml:space="preserve">. URL: </w:t>
      </w:r>
      <w:hyperlink r:id="rId197" w:history="1">
        <w:r w:rsidRPr="004B1CBD">
          <w:rPr>
            <w:rStyle w:val="Hyperlink"/>
          </w:rPr>
          <w:t>https://www.who.int/news-room/questions-and-answers/item/determinants-of-health</w:t>
        </w:r>
      </w:hyperlink>
      <w:r w:rsidRPr="004B1CBD">
        <w:t xml:space="preserve"> (accessed 31 October 2022).</w:t>
      </w:r>
    </w:p>
    <w:p w14:paraId="48F2385A" w14:textId="77777777" w:rsidR="00590B82" w:rsidRPr="004B1CBD" w:rsidRDefault="00590B82" w:rsidP="00590B82">
      <w:pPr>
        <w:pStyle w:val="EndNoteBibliography"/>
      </w:pPr>
    </w:p>
    <w:p w14:paraId="0F68B415" w14:textId="031F124A" w:rsidR="00590B82" w:rsidRPr="004B1CBD" w:rsidRDefault="00590B82" w:rsidP="00590B82">
      <w:pPr>
        <w:pStyle w:val="EndNoteBibliography"/>
      </w:pPr>
      <w:r w:rsidRPr="004B1CBD">
        <w:t xml:space="preserve">World Health Organization. 2020. </w:t>
      </w:r>
      <w:r w:rsidRPr="004B1CBD">
        <w:rPr>
          <w:i/>
        </w:rPr>
        <w:t>WHO report on cancer: Setting priorities, investing wisely and providing care for all</w:t>
      </w:r>
      <w:r w:rsidRPr="004B1CBD">
        <w:t xml:space="preserve">. URL: </w:t>
      </w:r>
      <w:hyperlink r:id="rId198" w:history="1">
        <w:r w:rsidRPr="004B1CBD">
          <w:rPr>
            <w:rStyle w:val="Hyperlink"/>
          </w:rPr>
          <w:t>https://www.who.int/publications/i/item/9789240001299</w:t>
        </w:r>
      </w:hyperlink>
      <w:r w:rsidRPr="004B1CBD">
        <w:t xml:space="preserve"> (accessed 1 November 2022).</w:t>
      </w:r>
    </w:p>
    <w:p w14:paraId="3ED145DF" w14:textId="77777777" w:rsidR="00590B82" w:rsidRPr="004B1CBD" w:rsidRDefault="00590B82" w:rsidP="00590B82">
      <w:pPr>
        <w:pStyle w:val="EndNoteBibliography"/>
      </w:pPr>
    </w:p>
    <w:p w14:paraId="7D725759" w14:textId="5A0D6451" w:rsidR="00590B82" w:rsidRPr="004B1CBD" w:rsidRDefault="00590B82" w:rsidP="00590B82">
      <w:pPr>
        <w:pStyle w:val="EndNoteBibliography"/>
      </w:pPr>
      <w:r w:rsidRPr="004B1CBD">
        <w:t xml:space="preserve">World Health Organization. 2021. </w:t>
      </w:r>
      <w:r w:rsidRPr="004B1CBD">
        <w:rPr>
          <w:i/>
        </w:rPr>
        <w:t>Obesity and overweight</w:t>
      </w:r>
      <w:r w:rsidRPr="004B1CBD">
        <w:t xml:space="preserve">. URL: </w:t>
      </w:r>
      <w:hyperlink r:id="rId199" w:history="1">
        <w:r w:rsidRPr="004B1CBD">
          <w:rPr>
            <w:rStyle w:val="Hyperlink"/>
          </w:rPr>
          <w:t>https://www.who.int/news-room/fact-sheets/detail/obesity-and-overweight</w:t>
        </w:r>
      </w:hyperlink>
      <w:r w:rsidRPr="004B1CBD">
        <w:t xml:space="preserve"> (accessed 1 November 2022).</w:t>
      </w:r>
    </w:p>
    <w:p w14:paraId="268DDB48" w14:textId="77777777" w:rsidR="00590B82" w:rsidRPr="004B1CBD" w:rsidRDefault="00590B82" w:rsidP="00590B82">
      <w:pPr>
        <w:pStyle w:val="EndNoteBibliography"/>
      </w:pPr>
    </w:p>
    <w:p w14:paraId="2B222D01" w14:textId="4ECE638D" w:rsidR="00590B82" w:rsidRPr="004B1CBD" w:rsidRDefault="00590B82" w:rsidP="00590B82">
      <w:pPr>
        <w:pStyle w:val="EndNoteBibliography"/>
      </w:pPr>
      <w:r w:rsidRPr="004B1CBD">
        <w:t xml:space="preserve">World Health Organization. 2022a. </w:t>
      </w:r>
      <w:r w:rsidRPr="004B1CBD">
        <w:rPr>
          <w:i/>
        </w:rPr>
        <w:t>14.9 million excess deaths associated with the COVID-19 pandemic in 2020 and 2021</w:t>
      </w:r>
      <w:r w:rsidRPr="004B1CBD">
        <w:t xml:space="preserve">. URL: </w:t>
      </w:r>
      <w:hyperlink r:id="rId200" w:history="1">
        <w:r w:rsidRPr="004B1CBD">
          <w:rPr>
            <w:rStyle w:val="Hyperlink"/>
          </w:rPr>
          <w:t>https://www.who.int/news/item/05-05-2022-14.9-million-excess-deaths-were-associated-with-the-covid-19-pandemic-in-2020-and-2021</w:t>
        </w:r>
      </w:hyperlink>
      <w:r w:rsidRPr="004B1CBD">
        <w:t xml:space="preserve"> (accessed 31 October 2022).</w:t>
      </w:r>
    </w:p>
    <w:p w14:paraId="59253CA7" w14:textId="77777777" w:rsidR="00590B82" w:rsidRPr="004B1CBD" w:rsidRDefault="00590B82" w:rsidP="00590B82">
      <w:pPr>
        <w:pStyle w:val="EndNoteBibliography"/>
      </w:pPr>
    </w:p>
    <w:p w14:paraId="0494C2D7" w14:textId="5ECDE6D2" w:rsidR="00590B82" w:rsidRPr="004B1CBD" w:rsidRDefault="00590B82" w:rsidP="00590B82">
      <w:pPr>
        <w:pStyle w:val="EndNoteBibliography"/>
      </w:pPr>
      <w:r w:rsidRPr="004B1CBD">
        <w:t xml:space="preserve">World Health Organization. 2022b. </w:t>
      </w:r>
      <w:r w:rsidRPr="004B1CBD">
        <w:rPr>
          <w:i/>
        </w:rPr>
        <w:t>WHO Coronavirus (COVID-19) Dashboard</w:t>
      </w:r>
      <w:r w:rsidRPr="004B1CBD">
        <w:t xml:space="preserve">. URL: </w:t>
      </w:r>
      <w:hyperlink r:id="rId201" w:history="1">
        <w:r w:rsidRPr="004B1CBD">
          <w:rPr>
            <w:rStyle w:val="Hyperlink"/>
          </w:rPr>
          <w:t>https://covid19.who.int/</w:t>
        </w:r>
      </w:hyperlink>
      <w:r w:rsidRPr="004B1CBD">
        <w:t xml:space="preserve"> (accessed 1 November 2022).</w:t>
      </w:r>
    </w:p>
    <w:p w14:paraId="715A57FE" w14:textId="77777777" w:rsidR="00B206F0" w:rsidRPr="00B206F0" w:rsidRDefault="00B206F0" w:rsidP="00590B82">
      <w:pPr>
        <w:pStyle w:val="EndNoteBibliography"/>
      </w:pPr>
    </w:p>
    <w:sectPr w:rsidR="00B206F0" w:rsidRPr="00B206F0" w:rsidSect="00D91482">
      <w:pgSz w:w="11907" w:h="16840"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503BE" w14:textId="77777777" w:rsidR="00300598" w:rsidRDefault="00300598">
      <w:r>
        <w:separator/>
      </w:r>
    </w:p>
    <w:p w14:paraId="029D819E" w14:textId="77777777" w:rsidR="00300598" w:rsidRDefault="00300598"/>
  </w:endnote>
  <w:endnote w:type="continuationSeparator" w:id="0">
    <w:p w14:paraId="74A8F3BC" w14:textId="77777777" w:rsidR="00300598" w:rsidRDefault="00300598">
      <w:r>
        <w:continuationSeparator/>
      </w:r>
    </w:p>
    <w:p w14:paraId="109B5C46" w14:textId="77777777" w:rsidR="00300598" w:rsidRDefault="00300598"/>
  </w:endnote>
  <w:endnote w:type="continuationNotice" w:id="1">
    <w:p w14:paraId="47666224" w14:textId="77777777" w:rsidR="00300598" w:rsidRDefault="003005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7AB6F630" w:rsidR="007C2897" w:rsidRPr="00581136" w:rsidRDefault="007C2897" w:rsidP="005A79E5">
    <w:pPr>
      <w:pStyle w:val="Footer"/>
      <w:pBdr>
        <w:bottom w:val="single" w:sz="4" w:space="1" w:color="auto"/>
      </w:pBdr>
      <w:tabs>
        <w:tab w:val="right" w:pos="9639"/>
      </w:tabs>
      <w:rPr>
        <w:b/>
      </w:rPr>
    </w:pPr>
    <w:r w:rsidRPr="00581136">
      <w:rPr>
        <w:b/>
      </w:rPr>
      <w:t>Released 20</w:t>
    </w:r>
    <w:r>
      <w:rPr>
        <w:b/>
      </w:rPr>
      <w:t>22</w:t>
    </w:r>
    <w:r w:rsidRPr="00581136">
      <w:rPr>
        <w:b/>
      </w:rPr>
      <w:tab/>
      <w:t>health.govt.nz</w:t>
    </w:r>
  </w:p>
  <w:p w14:paraId="524869F6" w14:textId="77777777" w:rsidR="007C2897" w:rsidRPr="005A79E5" w:rsidRDefault="007C2897">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7C2897" w14:paraId="75F8F1B1" w14:textId="77777777" w:rsidTr="00051D54">
      <w:trPr>
        <w:cantSplit/>
      </w:trPr>
      <w:tc>
        <w:tcPr>
          <w:tcW w:w="709" w:type="dxa"/>
          <w:vAlign w:val="center"/>
        </w:tcPr>
        <w:p w14:paraId="3C2232EA" w14:textId="77777777" w:rsidR="007C2897" w:rsidRPr="00931466" w:rsidRDefault="007C2897" w:rsidP="00924A79">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07081959" w14:textId="77777777" w:rsidR="007C2897" w:rsidRDefault="007C2897" w:rsidP="00924A79">
          <w:pPr>
            <w:pStyle w:val="RectoFooter"/>
            <w:jc w:val="left"/>
          </w:pPr>
          <w:r>
            <w:t xml:space="preserve">HEALTH AND INDEPENDENCE REPORT 2021: </w:t>
          </w:r>
        </w:p>
        <w:p w14:paraId="5CC112BE" w14:textId="77777777" w:rsidR="007C2897" w:rsidRDefault="007C2897" w:rsidP="00924A79">
          <w:pPr>
            <w:pStyle w:val="RectoFooter"/>
            <w:jc w:val="left"/>
          </w:pPr>
          <w:r>
            <w:t>THE DIRECTOR-GENERAL OF HEALTH’S ANNUAL REPORT ON THE STATE OF PUBLIC HEALTH</w:t>
          </w:r>
        </w:p>
      </w:tc>
    </w:tr>
  </w:tbl>
  <w:p w14:paraId="651DFF81" w14:textId="77777777" w:rsidR="007C2897" w:rsidRPr="00924A79" w:rsidRDefault="007C2897"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7C2897" w14:paraId="00F03A9C" w14:textId="77777777" w:rsidTr="00051D54">
      <w:trPr>
        <w:cantSplit/>
      </w:trPr>
      <w:tc>
        <w:tcPr>
          <w:tcW w:w="8080" w:type="dxa"/>
          <w:vAlign w:val="center"/>
        </w:tcPr>
        <w:p w14:paraId="5EB20724" w14:textId="77777777" w:rsidR="007C2897" w:rsidRDefault="007C2897" w:rsidP="00924A79">
          <w:pPr>
            <w:pStyle w:val="RectoFooter"/>
          </w:pPr>
          <w:r>
            <w:t xml:space="preserve">HEALTH AND INDEPENDENCE REPORT 2021: </w:t>
          </w:r>
        </w:p>
        <w:p w14:paraId="6EC8CE8F" w14:textId="77777777" w:rsidR="007C2897" w:rsidRDefault="007C2897" w:rsidP="00924A79">
          <w:pPr>
            <w:pStyle w:val="RectoFooter"/>
          </w:pPr>
          <w:r>
            <w:t>THE DIRECTOR-GENERAL OF HEALTH’S ANNUAL REPORT ON THE STATE OF PUBLIC HEALTH</w:t>
          </w:r>
        </w:p>
      </w:tc>
      <w:tc>
        <w:tcPr>
          <w:tcW w:w="709" w:type="dxa"/>
          <w:vAlign w:val="center"/>
        </w:tcPr>
        <w:p w14:paraId="28A94607" w14:textId="77777777" w:rsidR="007C2897" w:rsidRPr="00931466" w:rsidRDefault="007C2897" w:rsidP="00924A79">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12BC0414" w14:textId="77777777" w:rsidR="007C2897" w:rsidRPr="00924A79" w:rsidRDefault="007C2897" w:rsidP="00581EB8">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7C2897" w14:paraId="29CBA48D" w14:textId="77777777" w:rsidTr="00FD1435">
      <w:trPr>
        <w:cantSplit/>
      </w:trPr>
      <w:tc>
        <w:tcPr>
          <w:tcW w:w="709" w:type="dxa"/>
          <w:vAlign w:val="center"/>
        </w:tcPr>
        <w:p w14:paraId="2EDDDFB0" w14:textId="77777777" w:rsidR="007C2897" w:rsidRPr="00931466" w:rsidRDefault="007C2897" w:rsidP="00D91482">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0DB294C" w14:textId="77777777" w:rsidR="007C2897" w:rsidRDefault="007C2897" w:rsidP="00D91482">
          <w:pPr>
            <w:pStyle w:val="RectoFooter"/>
            <w:jc w:val="left"/>
          </w:pPr>
          <w:r>
            <w:t xml:space="preserve">HEALTH AND INDEPENDENCE REPORT 2021: </w:t>
          </w:r>
        </w:p>
        <w:p w14:paraId="42CC1197" w14:textId="77777777" w:rsidR="007C2897" w:rsidRDefault="007C2897" w:rsidP="00D91482">
          <w:pPr>
            <w:pStyle w:val="RectoFooter"/>
            <w:jc w:val="left"/>
          </w:pPr>
          <w:r>
            <w:t>THE DIRECTOR-GENERAL OF HEALTH’S ANNUAL REPORT ON THE STATE OF PUBLIC HEALTH</w:t>
          </w:r>
        </w:p>
      </w:tc>
    </w:tr>
  </w:tbl>
  <w:p w14:paraId="5177CEA2" w14:textId="77777777" w:rsidR="007C2897" w:rsidRPr="00571223" w:rsidRDefault="007C2897" w:rsidP="00571223">
    <w:pPr>
      <w:pStyle w:val="Verso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7C2897" w14:paraId="47337729" w14:textId="77777777" w:rsidTr="00D662F8">
      <w:trPr>
        <w:cantSplit/>
      </w:trPr>
      <w:tc>
        <w:tcPr>
          <w:tcW w:w="8080" w:type="dxa"/>
          <w:vAlign w:val="center"/>
        </w:tcPr>
        <w:p w14:paraId="2BD21CA8" w14:textId="77777777" w:rsidR="007C2897" w:rsidRDefault="007C2897" w:rsidP="00C7746E">
          <w:pPr>
            <w:pStyle w:val="RectoFooter"/>
          </w:pPr>
          <w:r>
            <w:t xml:space="preserve">HEALTH AND INDEPENDENCE REPORT 2021: </w:t>
          </w:r>
        </w:p>
        <w:p w14:paraId="1A33CBD1" w14:textId="0644752C" w:rsidR="007C2897" w:rsidRDefault="007C2897" w:rsidP="00C7746E">
          <w:pPr>
            <w:pStyle w:val="RectoFooter"/>
          </w:pPr>
          <w:r>
            <w:t>THE DIRECTOR-GENERAL OF HEALTH’S ANNUAL REPORT ON THE STATE OF PUBLIC HEALTH</w:t>
          </w:r>
        </w:p>
      </w:tc>
      <w:tc>
        <w:tcPr>
          <w:tcW w:w="709" w:type="dxa"/>
          <w:vAlign w:val="center"/>
        </w:tcPr>
        <w:p w14:paraId="501EC334" w14:textId="77777777" w:rsidR="007C2897" w:rsidRPr="00931466" w:rsidRDefault="007C2897"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7C2897" w:rsidRPr="00581EB8" w:rsidRDefault="007C2897"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7C2897" w:rsidRDefault="007C2897"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7C2897" w:rsidRDefault="007C28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6"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tblGrid>
    <w:tr w:rsidR="007C2897" w14:paraId="41B9FD17" w14:textId="77777777" w:rsidTr="00571223">
      <w:tc>
        <w:tcPr>
          <w:tcW w:w="1146" w:type="dxa"/>
          <w:vAlign w:val="center"/>
        </w:tcPr>
        <w:p w14:paraId="392E5685" w14:textId="77777777" w:rsidR="007C2897" w:rsidRPr="00931466" w:rsidRDefault="007C2897" w:rsidP="00571223">
          <w:pPr>
            <w:pStyle w:val="Footer"/>
            <w:rPr>
              <w:sz w:val="15"/>
              <w:szCs w:val="15"/>
            </w:rPr>
          </w:pPr>
          <w:r w:rsidRPr="00931466">
            <w:rPr>
              <w:rFonts w:eastAsia="Arial Unicode MS"/>
              <w:noProof/>
              <w:sz w:val="15"/>
              <w:szCs w:val="15"/>
              <w:lang w:eastAsia="en-NZ"/>
            </w:rPr>
            <w:drawing>
              <wp:inline distT="0" distB="0" distL="0" distR="0" wp14:anchorId="075272BC" wp14:editId="3A523D60">
                <wp:extent cx="582612" cy="117475"/>
                <wp:effectExtent l="0" t="0" r="8255" b="0"/>
                <wp:docPr id="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C183D7F6-B498-43B3-948B-1728B52AA6E4}">
                              <adec:decorative xmlns:adec="http://schemas.microsoft.com/office/drawing/2017/decorative" val="1"/>
                            </a:ext>
                          </a:extLst>
                        </pic:cNvPr>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pic:spPr>
                    </pic:pic>
                  </a:graphicData>
                </a:graphic>
              </wp:inline>
            </w:drawing>
          </w:r>
        </w:p>
      </w:tc>
    </w:tr>
  </w:tbl>
  <w:p w14:paraId="172F2DDB" w14:textId="77777777" w:rsidR="007C2897" w:rsidRPr="00571223" w:rsidRDefault="007C2897"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7C2897" w14:paraId="71F3685B" w14:textId="77777777" w:rsidTr="00D662F8">
      <w:trPr>
        <w:cantSplit/>
      </w:trPr>
      <w:tc>
        <w:tcPr>
          <w:tcW w:w="8080" w:type="dxa"/>
          <w:vAlign w:val="center"/>
        </w:tcPr>
        <w:p w14:paraId="5784B1D8" w14:textId="3B2E4865" w:rsidR="007C2897" w:rsidRDefault="007C2897" w:rsidP="00926083">
          <w:pPr>
            <w:pStyle w:val="RectoFooter"/>
          </w:pPr>
          <w:r w:rsidRPr="00C7746E">
            <w:t xml:space="preserve">Health and Independence Report 2021: </w:t>
          </w:r>
          <w:r>
            <w:br/>
          </w:r>
          <w:r w:rsidRPr="00C7746E">
            <w:t>The Director-General of Health’s</w:t>
          </w:r>
          <w:r>
            <w:t xml:space="preserve"> </w:t>
          </w:r>
          <w:r w:rsidRPr="00C7746E">
            <w:t>Annual Report on the State of Public Health</w:t>
          </w:r>
        </w:p>
      </w:tc>
      <w:tc>
        <w:tcPr>
          <w:tcW w:w="709" w:type="dxa"/>
          <w:vAlign w:val="center"/>
        </w:tcPr>
        <w:p w14:paraId="18A7A1B5" w14:textId="77777777" w:rsidR="007C2897" w:rsidRPr="00931466" w:rsidRDefault="007C2897"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7C2897" w:rsidRPr="00581EB8" w:rsidRDefault="007C2897"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7C2897" w14:paraId="4C3A3BF7" w14:textId="77777777" w:rsidTr="00D662F8">
      <w:trPr>
        <w:cantSplit/>
      </w:trPr>
      <w:tc>
        <w:tcPr>
          <w:tcW w:w="709" w:type="dxa"/>
          <w:vAlign w:val="center"/>
        </w:tcPr>
        <w:p w14:paraId="28F87ED7" w14:textId="77777777" w:rsidR="007C2897" w:rsidRPr="00931466" w:rsidRDefault="007C2897"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59A42EB6" w14:textId="5B5EBA15" w:rsidR="007C2897" w:rsidRDefault="007C2897" w:rsidP="00C7746E">
          <w:pPr>
            <w:pStyle w:val="RectoFooter"/>
            <w:jc w:val="left"/>
          </w:pPr>
          <w:r>
            <w:t xml:space="preserve">HEALTH AND INDEPENDENCE REPORT 2021: </w:t>
          </w:r>
        </w:p>
        <w:p w14:paraId="6026D159" w14:textId="5C15A300" w:rsidR="007C2897" w:rsidRDefault="007C2897" w:rsidP="00C7746E">
          <w:pPr>
            <w:pStyle w:val="RectoFooter"/>
            <w:jc w:val="left"/>
          </w:pPr>
          <w:r>
            <w:t>THE DIRECTOR-GENERAL OF HEALTH’S ANNUAL REPORT ON THE STATE OF PUBLIC HEALTH</w:t>
          </w:r>
        </w:p>
      </w:tc>
    </w:tr>
  </w:tbl>
  <w:p w14:paraId="711B5D80" w14:textId="77777777" w:rsidR="007C2897" w:rsidRPr="00571223" w:rsidRDefault="007C2897"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7C2897" w14:paraId="58AAB149" w14:textId="77777777" w:rsidTr="00D662F8">
      <w:trPr>
        <w:cantSplit/>
      </w:trPr>
      <w:tc>
        <w:tcPr>
          <w:tcW w:w="8080" w:type="dxa"/>
          <w:vAlign w:val="center"/>
        </w:tcPr>
        <w:p w14:paraId="05259AB5" w14:textId="77777777" w:rsidR="007C2897" w:rsidRDefault="007C2897" w:rsidP="00C7746E">
          <w:pPr>
            <w:pStyle w:val="RectoFooter"/>
          </w:pPr>
          <w:r>
            <w:t xml:space="preserve">HEALTH AND INDEPENDENCE REPORT 2021: </w:t>
          </w:r>
        </w:p>
        <w:p w14:paraId="20E2F0CC" w14:textId="16564BC1" w:rsidR="007C2897" w:rsidRDefault="007C2897" w:rsidP="00C7746E">
          <w:pPr>
            <w:pStyle w:val="RectoFooter"/>
          </w:pPr>
          <w:r>
            <w:t>THE DIRECTOR-GENERAL OF HEALTH’S ANNUAL REPORT ON THE STATE OF PUBLIC HEALTH</w:t>
          </w:r>
        </w:p>
      </w:tc>
      <w:tc>
        <w:tcPr>
          <w:tcW w:w="709" w:type="dxa"/>
          <w:vAlign w:val="center"/>
        </w:tcPr>
        <w:p w14:paraId="3D3C9847" w14:textId="77777777" w:rsidR="007C2897" w:rsidRPr="00931466" w:rsidRDefault="007C2897"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7C2897" w:rsidRPr="00581EB8" w:rsidRDefault="007C2897"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7C2897" w14:paraId="7DB74E0B" w14:textId="77777777" w:rsidTr="00D662F8">
      <w:trPr>
        <w:cantSplit/>
      </w:trPr>
      <w:tc>
        <w:tcPr>
          <w:tcW w:w="709" w:type="dxa"/>
          <w:vAlign w:val="center"/>
        </w:tcPr>
        <w:p w14:paraId="7FB9EB7B" w14:textId="77777777" w:rsidR="007C2897" w:rsidRPr="00931466" w:rsidRDefault="007C2897"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486B79B7" w14:textId="70793794" w:rsidR="007C2897" w:rsidRDefault="007C2897" w:rsidP="00C7746E">
          <w:pPr>
            <w:pStyle w:val="RectoFooter"/>
            <w:jc w:val="left"/>
          </w:pPr>
          <w:r>
            <w:t xml:space="preserve">HEALTH AND INDEPENDENCE REPORT 2021: </w:t>
          </w:r>
        </w:p>
        <w:p w14:paraId="1A8BBBFB" w14:textId="5E294642" w:rsidR="007C2897" w:rsidRDefault="007C2897" w:rsidP="00C7746E">
          <w:pPr>
            <w:pStyle w:val="RectoFooter"/>
            <w:jc w:val="left"/>
          </w:pPr>
          <w:r>
            <w:t>THE DIRECTOR-GENERAL OF HEALTH’S ANNUAL REPORT ON THE STATE OF PUBLIC HEALTH</w:t>
          </w:r>
        </w:p>
      </w:tc>
    </w:tr>
  </w:tbl>
  <w:p w14:paraId="7C39EF3C" w14:textId="77777777" w:rsidR="007C2897" w:rsidRPr="00571223" w:rsidRDefault="007C2897"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7C2897" w14:paraId="423138CB" w14:textId="77777777" w:rsidTr="00D662F8">
      <w:trPr>
        <w:cantSplit/>
      </w:trPr>
      <w:tc>
        <w:tcPr>
          <w:tcW w:w="8080" w:type="dxa"/>
          <w:vAlign w:val="center"/>
        </w:tcPr>
        <w:p w14:paraId="2D6B1C62" w14:textId="77777777" w:rsidR="007C2897" w:rsidRDefault="007C2897" w:rsidP="00C7746E">
          <w:pPr>
            <w:pStyle w:val="RectoFooter"/>
          </w:pPr>
          <w:r>
            <w:t xml:space="preserve">HEALTH AND INDEPENDENCE REPORT 2021: </w:t>
          </w:r>
        </w:p>
        <w:p w14:paraId="520A68A6" w14:textId="29033B34" w:rsidR="007C2897" w:rsidRDefault="007C2897" w:rsidP="00C7746E">
          <w:pPr>
            <w:pStyle w:val="RectoFooter"/>
          </w:pPr>
          <w:r>
            <w:t>THE DIRECTOR-GENERAL OF HEALTH’S ANNUAL REPORT ON THE STATE OF PUBLIC HEALTH</w:t>
          </w:r>
        </w:p>
      </w:tc>
      <w:tc>
        <w:tcPr>
          <w:tcW w:w="709" w:type="dxa"/>
          <w:vAlign w:val="center"/>
        </w:tcPr>
        <w:p w14:paraId="745D812B" w14:textId="77777777" w:rsidR="007C2897" w:rsidRPr="00931466" w:rsidRDefault="007C2897"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55CAC6B" w14:textId="77777777" w:rsidR="007C2897" w:rsidRPr="00581EB8" w:rsidRDefault="007C2897"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09C80" w14:textId="77777777" w:rsidR="00300598" w:rsidRPr="00A26E6B" w:rsidRDefault="00300598" w:rsidP="00A26E6B"/>
  </w:footnote>
  <w:footnote w:type="continuationSeparator" w:id="0">
    <w:p w14:paraId="603F1A08" w14:textId="77777777" w:rsidR="00300598" w:rsidRDefault="00300598">
      <w:r>
        <w:continuationSeparator/>
      </w:r>
    </w:p>
    <w:p w14:paraId="6FD680D7" w14:textId="77777777" w:rsidR="00300598" w:rsidRDefault="00300598"/>
  </w:footnote>
  <w:footnote w:type="continuationNotice" w:id="1">
    <w:p w14:paraId="5C05A8ED" w14:textId="77777777" w:rsidR="00300598" w:rsidRDefault="00300598"/>
  </w:footnote>
  <w:footnote w:id="2">
    <w:p w14:paraId="6892653D" w14:textId="77777777" w:rsidR="007C2897" w:rsidRPr="00C47FA2" w:rsidRDefault="007C2897" w:rsidP="00D60D6B">
      <w:pPr>
        <w:pStyle w:val="FootnoteText"/>
        <w:rPr>
          <w:lang w:val="mi-NZ"/>
        </w:rPr>
      </w:pPr>
      <w:r>
        <w:rPr>
          <w:rStyle w:val="FootnoteReference"/>
        </w:rPr>
        <w:footnoteRef/>
      </w:r>
      <w:r>
        <w:t xml:space="preserve"> </w:t>
      </w:r>
      <w:r w:rsidRPr="00253316">
        <w:rPr>
          <w:rStyle w:val="FooterChar"/>
          <w:sz w:val="17"/>
          <w:szCs w:val="17"/>
        </w:rPr>
        <w:t>Excess mortality is calculated as the difference between the number of deaths that have occurred and the number that would be expected in the absence of the pandemic based on data from earlier years.</w:t>
      </w:r>
    </w:p>
  </w:footnote>
  <w:footnote w:id="3">
    <w:p w14:paraId="3937E274" w14:textId="77777777" w:rsidR="007C2897" w:rsidRPr="00904341" w:rsidRDefault="007C2897" w:rsidP="00590B82">
      <w:pPr>
        <w:pStyle w:val="FootnoteText"/>
        <w:rPr>
          <w:lang w:val="mi-NZ"/>
        </w:rPr>
      </w:pPr>
      <w:r>
        <w:rPr>
          <w:rStyle w:val="FootnoteReference"/>
        </w:rPr>
        <w:footnoteRef/>
      </w:r>
      <w:r>
        <w:t xml:space="preserve"> </w:t>
      </w:r>
      <w:r>
        <w:rPr>
          <w:rStyle w:val="FooterChar"/>
        </w:rPr>
        <w:t>A</w:t>
      </w:r>
      <w:r w:rsidRPr="00B12451">
        <w:rPr>
          <w:rStyle w:val="FooterChar"/>
        </w:rPr>
        <w:t xml:space="preserve">t </w:t>
      </w:r>
      <w:r>
        <w:rPr>
          <w:rStyle w:val="FooterChar"/>
        </w:rPr>
        <w:t xml:space="preserve">the </w:t>
      </w:r>
      <w:r w:rsidRPr="00B12451">
        <w:rPr>
          <w:rStyle w:val="FooterChar"/>
        </w:rPr>
        <w:t>time of vaccination</w:t>
      </w:r>
      <w:r>
        <w:rPr>
          <w:rStyle w:val="FooterChar"/>
        </w:rPr>
        <w:t>.</w:t>
      </w:r>
    </w:p>
  </w:footnote>
  <w:footnote w:id="4">
    <w:p w14:paraId="47521186" w14:textId="77777777" w:rsidR="007C2897" w:rsidRPr="00F14B18" w:rsidRDefault="007C2897" w:rsidP="00590B82">
      <w:pPr>
        <w:pStyle w:val="FootnoteText"/>
        <w:rPr>
          <w:lang w:val="mi-NZ"/>
        </w:rPr>
      </w:pPr>
      <w:r>
        <w:rPr>
          <w:rStyle w:val="FootnoteReference"/>
        </w:rPr>
        <w:footnoteRef/>
      </w:r>
      <w:r>
        <w:t xml:space="preserve"> </w:t>
      </w:r>
      <w:r w:rsidRPr="00C0164D">
        <w:t>The Global Burden of Disease Study (GBD) is a comprehensive regional and global research program of disease burden that assesses mortality and disability from major diseases, injuries, and risk factors</w:t>
      </w:r>
    </w:p>
  </w:footnote>
  <w:footnote w:id="5">
    <w:p w14:paraId="2B3AE52A" w14:textId="77777777" w:rsidR="007C2897" w:rsidRDefault="007C2897" w:rsidP="00924A79">
      <w:pPr>
        <w:pStyle w:val="FootnoteText"/>
      </w:pPr>
      <w:r>
        <w:rPr>
          <w:rStyle w:val="FootnoteReference"/>
        </w:rPr>
        <w:footnoteRef/>
      </w:r>
      <w:r>
        <w:t xml:space="preserve"> ‘Cardiovascular disease’ is a general term for conditions affecting the heart or blood vessels. It includes coronary heart disease, ischaemic stroke, peripheral vascular disease, atrial fibrillation and flutter, congestive heart failure and mechanical heart valve.</w:t>
      </w:r>
    </w:p>
  </w:footnote>
  <w:footnote w:id="6">
    <w:p w14:paraId="3D9EA7C2" w14:textId="77777777" w:rsidR="007C2897" w:rsidRDefault="007C2897" w:rsidP="00590B82">
      <w:pPr>
        <w:pStyle w:val="FootnoteText"/>
      </w:pPr>
      <w:r>
        <w:rPr>
          <w:rStyle w:val="FootnoteReference"/>
        </w:rPr>
        <w:footnoteRef/>
      </w:r>
      <w:r>
        <w:t xml:space="preserve"> </w:t>
      </w:r>
      <w:r w:rsidRPr="004E7A43">
        <w:t xml:space="preserve">Cardiovascular disease is generally only prevalent in </w:t>
      </w:r>
      <w:r>
        <w:t xml:space="preserve">people aged </w:t>
      </w:r>
      <w:r w:rsidRPr="004E7A43">
        <w:t xml:space="preserve">35 and over, so statistics in this section have been limited to </w:t>
      </w:r>
      <w:r>
        <w:t xml:space="preserve">that </w:t>
      </w:r>
      <w:r w:rsidRPr="004E7A43">
        <w:t>age group</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7C2897" w14:paraId="11530A0D" w14:textId="77777777" w:rsidTr="008F2B72">
      <w:trPr>
        <w:cantSplit/>
      </w:trPr>
      <w:tc>
        <w:tcPr>
          <w:tcW w:w="5210" w:type="dxa"/>
          <w:vAlign w:val="center"/>
        </w:tcPr>
        <w:p w14:paraId="2BDE3162" w14:textId="4E67EED4" w:rsidR="007C2897" w:rsidRDefault="007C2897" w:rsidP="00B26F0F">
          <w:pPr>
            <w:pStyle w:val="Header"/>
          </w:pPr>
          <w:bookmarkStart w:id="0" w:name="_Hlk110933925"/>
          <w:r>
            <w:rPr>
              <w:noProof/>
              <w:lang w:eastAsia="en-NZ"/>
            </w:rPr>
            <w:drawing>
              <wp:inline distT="0" distB="0" distL="0" distR="0" wp14:anchorId="04421456" wp14:editId="30F34B6A">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7C2897" w:rsidRDefault="007C2897" w:rsidP="00051D54">
          <w:pPr>
            <w:pStyle w:val="Header"/>
            <w:jc w:val="right"/>
          </w:pPr>
          <w:r>
            <w:rPr>
              <w:noProof/>
            </w:rPr>
            <w:drawing>
              <wp:anchor distT="0" distB="0" distL="114300" distR="114300" simplePos="0" relativeHeight="251658240" behindDoc="0" locked="0" layoutInCell="1" allowOverlap="1" wp14:anchorId="1D75C094" wp14:editId="3ACAA028">
                <wp:simplePos x="0" y="0"/>
                <wp:positionH relativeFrom="column">
                  <wp:posOffset>1362710</wp:posOffset>
                </wp:positionH>
                <wp:positionV relativeFrom="paragraph">
                  <wp:posOffset>-1905</wp:posOffset>
                </wp:positionV>
                <wp:extent cx="1519555" cy="718185"/>
                <wp:effectExtent l="0" t="0" r="4445" b="5715"/>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AC8EC99" w14:textId="1B35D83E" w:rsidR="007C2897" w:rsidRDefault="007C28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7C2897" w:rsidRDefault="007C2897"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7C2897" w:rsidRDefault="007C2897"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7C2897" w:rsidRDefault="007C2897"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7C2897" w:rsidRDefault="007C2897"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6367B" w14:textId="77777777" w:rsidR="007C2897" w:rsidRDefault="007C289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7C2897" w:rsidRDefault="007C28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5" w15:restartNumberingAfterBreak="0">
    <w:nsid w:val="16CE230A"/>
    <w:multiLevelType w:val="hybridMultilevel"/>
    <w:tmpl w:val="DDA250A8"/>
    <w:lvl w:ilvl="0" w:tplc="DD66479C">
      <w:start w:val="1"/>
      <w:numFmt w:val="bullet"/>
      <w:lvlText w:val=""/>
      <w:lvlJc w:val="left"/>
      <w:pPr>
        <w:ind w:left="785"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8"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1D09134B"/>
    <w:multiLevelType w:val="multilevel"/>
    <w:tmpl w:val="A1EC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2" w15:restartNumberingAfterBreak="0">
    <w:nsid w:val="226F2660"/>
    <w:multiLevelType w:val="hybridMultilevel"/>
    <w:tmpl w:val="4BCAEAA2"/>
    <w:lvl w:ilvl="0" w:tplc="E500F246">
      <w:start w:val="1"/>
      <w:numFmt w:val="bullet"/>
      <w:lvlText w:val=""/>
      <w:lvlJc w:val="left"/>
      <w:pPr>
        <w:ind w:left="720" w:hanging="360"/>
      </w:pPr>
      <w:rPr>
        <w:rFonts w:ascii="Symbol" w:hAnsi="Symbol" w:hint="default"/>
      </w:rPr>
    </w:lvl>
    <w:lvl w:ilvl="1" w:tplc="2FC4F0A2">
      <w:start w:val="1"/>
      <w:numFmt w:val="bullet"/>
      <w:lvlText w:val="o"/>
      <w:lvlJc w:val="left"/>
      <w:pPr>
        <w:ind w:left="1440" w:hanging="360"/>
      </w:pPr>
      <w:rPr>
        <w:rFonts w:ascii="Courier New" w:hAnsi="Courier New" w:hint="default"/>
      </w:rPr>
    </w:lvl>
    <w:lvl w:ilvl="2" w:tplc="377AB194">
      <w:start w:val="1"/>
      <w:numFmt w:val="bullet"/>
      <w:lvlText w:val=""/>
      <w:lvlJc w:val="left"/>
      <w:pPr>
        <w:ind w:left="2160" w:hanging="360"/>
      </w:pPr>
      <w:rPr>
        <w:rFonts w:ascii="Wingdings" w:hAnsi="Wingdings" w:hint="default"/>
      </w:rPr>
    </w:lvl>
    <w:lvl w:ilvl="3" w:tplc="F23C9F64">
      <w:start w:val="1"/>
      <w:numFmt w:val="bullet"/>
      <w:lvlText w:val=""/>
      <w:lvlJc w:val="left"/>
      <w:pPr>
        <w:ind w:left="2880" w:hanging="360"/>
      </w:pPr>
      <w:rPr>
        <w:rFonts w:ascii="Symbol" w:hAnsi="Symbol" w:hint="default"/>
      </w:rPr>
    </w:lvl>
    <w:lvl w:ilvl="4" w:tplc="3C2A6C02">
      <w:start w:val="1"/>
      <w:numFmt w:val="bullet"/>
      <w:lvlText w:val="o"/>
      <w:lvlJc w:val="left"/>
      <w:pPr>
        <w:ind w:left="3600" w:hanging="360"/>
      </w:pPr>
      <w:rPr>
        <w:rFonts w:ascii="Courier New" w:hAnsi="Courier New" w:hint="default"/>
      </w:rPr>
    </w:lvl>
    <w:lvl w:ilvl="5" w:tplc="0C72DA4E">
      <w:start w:val="1"/>
      <w:numFmt w:val="bullet"/>
      <w:lvlText w:val=""/>
      <w:lvlJc w:val="left"/>
      <w:pPr>
        <w:ind w:left="4320" w:hanging="360"/>
      </w:pPr>
      <w:rPr>
        <w:rFonts w:ascii="Wingdings" w:hAnsi="Wingdings" w:hint="default"/>
      </w:rPr>
    </w:lvl>
    <w:lvl w:ilvl="6" w:tplc="9B5E15C2">
      <w:start w:val="1"/>
      <w:numFmt w:val="bullet"/>
      <w:lvlText w:val=""/>
      <w:lvlJc w:val="left"/>
      <w:pPr>
        <w:ind w:left="5040" w:hanging="360"/>
      </w:pPr>
      <w:rPr>
        <w:rFonts w:ascii="Symbol" w:hAnsi="Symbol" w:hint="default"/>
      </w:rPr>
    </w:lvl>
    <w:lvl w:ilvl="7" w:tplc="1B9451FA">
      <w:start w:val="1"/>
      <w:numFmt w:val="bullet"/>
      <w:lvlText w:val="o"/>
      <w:lvlJc w:val="left"/>
      <w:pPr>
        <w:ind w:left="5760" w:hanging="360"/>
      </w:pPr>
      <w:rPr>
        <w:rFonts w:ascii="Courier New" w:hAnsi="Courier New" w:hint="default"/>
      </w:rPr>
    </w:lvl>
    <w:lvl w:ilvl="8" w:tplc="39FCF9B0">
      <w:start w:val="1"/>
      <w:numFmt w:val="bullet"/>
      <w:lvlText w:val=""/>
      <w:lvlJc w:val="left"/>
      <w:pPr>
        <w:ind w:left="6480" w:hanging="360"/>
      </w:pPr>
      <w:rPr>
        <w:rFonts w:ascii="Wingdings" w:hAnsi="Wingdings" w:hint="default"/>
      </w:rPr>
    </w:lvl>
  </w:abstractNum>
  <w:abstractNum w:abstractNumId="13"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40C0887"/>
    <w:multiLevelType w:val="hybridMultilevel"/>
    <w:tmpl w:val="A614C8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6"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7"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8"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9" w15:restartNumberingAfterBreak="0">
    <w:nsid w:val="3174597C"/>
    <w:multiLevelType w:val="multilevel"/>
    <w:tmpl w:val="CC66E496"/>
    <w:lvl w:ilvl="0">
      <w:start w:val="1"/>
      <w:numFmt w:val="decimal"/>
      <w:pStyle w:val="ReportBody-MOH"/>
      <w:lvlText w:val="%1"/>
      <w:lvlJc w:val="left"/>
      <w:pPr>
        <w:tabs>
          <w:tab w:val="num" w:pos="493"/>
        </w:tabs>
        <w:ind w:left="493" w:hanging="493"/>
      </w:pPr>
      <w:rPr>
        <w:rFonts w:hint="default"/>
      </w:rPr>
    </w:lvl>
    <w:lvl w:ilvl="1">
      <w:start w:val="1"/>
      <w:numFmt w:val="decimal"/>
      <w:pStyle w:val="ReportBody2-MOH"/>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20" w15:restartNumberingAfterBreak="0">
    <w:nsid w:val="31AC5BCC"/>
    <w:multiLevelType w:val="multilevel"/>
    <w:tmpl w:val="1EEA6320"/>
    <w:lvl w:ilvl="0">
      <w:start w:val="1"/>
      <w:numFmt w:val="decimal"/>
      <w:pStyle w:val="CabStandard"/>
      <w:lvlText w:val="%1"/>
      <w:lvlJc w:val="left"/>
      <w:pPr>
        <w:tabs>
          <w:tab w:val="num" w:pos="720"/>
        </w:tabs>
        <w:ind w:left="720" w:hanging="720"/>
      </w:pPr>
      <w:rPr>
        <w:rFonts w:ascii="Segoe UI Semibold" w:hAnsi="Segoe UI Semibold" w:cs="Segoe UI Semibold"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21" w15:restartNumberingAfterBreak="0">
    <w:nsid w:val="32232B71"/>
    <w:multiLevelType w:val="hybridMultilevel"/>
    <w:tmpl w:val="AD2AC464"/>
    <w:lvl w:ilvl="0" w:tplc="17AC8DA4">
      <w:numFmt w:val="bullet"/>
      <w:lvlText w:val="-"/>
      <w:lvlJc w:val="left"/>
      <w:pPr>
        <w:ind w:left="720" w:hanging="360"/>
      </w:pPr>
      <w:rPr>
        <w:rFonts w:ascii="Segoe UI" w:eastAsia="Lucida Sans Unicode" w:hAnsi="Segoe UI" w:cs="Segoe U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5165DD8"/>
    <w:multiLevelType w:val="hybridMultilevel"/>
    <w:tmpl w:val="F60E25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CA71F78"/>
    <w:multiLevelType w:val="hybridMultilevel"/>
    <w:tmpl w:val="41D01F22"/>
    <w:lvl w:ilvl="0" w:tplc="B62C6302">
      <w:start w:val="1"/>
      <w:numFmt w:val="bullet"/>
      <w:pStyle w:val="Dash"/>
      <w:lvlText w:val="–"/>
      <w:lvlJc w:val="left"/>
      <w:pPr>
        <w:tabs>
          <w:tab w:val="num" w:pos="567"/>
        </w:tabs>
        <w:ind w:left="567" w:hanging="283"/>
      </w:pPr>
      <w:rPr>
        <w:rFonts w:ascii="Segoe UI" w:hAnsi="Segoe UI" w:cs="Segoe UI" w:hint="default"/>
        <w:b w:val="0"/>
        <w:i w:val="0"/>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26"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7"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9"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30" w15:restartNumberingAfterBreak="0">
    <w:nsid w:val="6211C7A7"/>
    <w:multiLevelType w:val="hybridMultilevel"/>
    <w:tmpl w:val="5CBC3532"/>
    <w:lvl w:ilvl="0" w:tplc="3D8EE724">
      <w:start w:val="1"/>
      <w:numFmt w:val="bullet"/>
      <w:lvlText w:val=""/>
      <w:lvlJc w:val="left"/>
      <w:pPr>
        <w:ind w:left="720" w:hanging="360"/>
      </w:pPr>
      <w:rPr>
        <w:rFonts w:ascii="Symbol" w:hAnsi="Symbol" w:hint="default"/>
      </w:rPr>
    </w:lvl>
    <w:lvl w:ilvl="1" w:tplc="05027DE6">
      <w:start w:val="1"/>
      <w:numFmt w:val="bullet"/>
      <w:lvlText w:val="o"/>
      <w:lvlJc w:val="left"/>
      <w:pPr>
        <w:ind w:left="1440" w:hanging="360"/>
      </w:pPr>
      <w:rPr>
        <w:rFonts w:ascii="Courier New" w:hAnsi="Courier New" w:hint="default"/>
      </w:rPr>
    </w:lvl>
    <w:lvl w:ilvl="2" w:tplc="4EEC2BFE">
      <w:start w:val="1"/>
      <w:numFmt w:val="bullet"/>
      <w:lvlText w:val=""/>
      <w:lvlJc w:val="left"/>
      <w:pPr>
        <w:ind w:left="2160" w:hanging="360"/>
      </w:pPr>
      <w:rPr>
        <w:rFonts w:ascii="Wingdings" w:hAnsi="Wingdings" w:hint="default"/>
      </w:rPr>
    </w:lvl>
    <w:lvl w:ilvl="3" w:tplc="F6560768">
      <w:start w:val="1"/>
      <w:numFmt w:val="bullet"/>
      <w:lvlText w:val=""/>
      <w:lvlJc w:val="left"/>
      <w:pPr>
        <w:ind w:left="2880" w:hanging="360"/>
      </w:pPr>
      <w:rPr>
        <w:rFonts w:ascii="Symbol" w:hAnsi="Symbol" w:hint="default"/>
      </w:rPr>
    </w:lvl>
    <w:lvl w:ilvl="4" w:tplc="8F5C4802">
      <w:start w:val="1"/>
      <w:numFmt w:val="bullet"/>
      <w:lvlText w:val="o"/>
      <w:lvlJc w:val="left"/>
      <w:pPr>
        <w:ind w:left="3600" w:hanging="360"/>
      </w:pPr>
      <w:rPr>
        <w:rFonts w:ascii="Courier New" w:hAnsi="Courier New" w:hint="default"/>
      </w:rPr>
    </w:lvl>
    <w:lvl w:ilvl="5" w:tplc="CEDA3104">
      <w:start w:val="1"/>
      <w:numFmt w:val="bullet"/>
      <w:lvlText w:val=""/>
      <w:lvlJc w:val="left"/>
      <w:pPr>
        <w:ind w:left="4320" w:hanging="360"/>
      </w:pPr>
      <w:rPr>
        <w:rFonts w:ascii="Wingdings" w:hAnsi="Wingdings" w:hint="default"/>
      </w:rPr>
    </w:lvl>
    <w:lvl w:ilvl="6" w:tplc="EDE4D23A">
      <w:start w:val="1"/>
      <w:numFmt w:val="bullet"/>
      <w:lvlText w:val=""/>
      <w:lvlJc w:val="left"/>
      <w:pPr>
        <w:ind w:left="5040" w:hanging="360"/>
      </w:pPr>
      <w:rPr>
        <w:rFonts w:ascii="Symbol" w:hAnsi="Symbol" w:hint="default"/>
      </w:rPr>
    </w:lvl>
    <w:lvl w:ilvl="7" w:tplc="BA6EB36C">
      <w:start w:val="1"/>
      <w:numFmt w:val="bullet"/>
      <w:lvlText w:val="o"/>
      <w:lvlJc w:val="left"/>
      <w:pPr>
        <w:ind w:left="5760" w:hanging="360"/>
      </w:pPr>
      <w:rPr>
        <w:rFonts w:ascii="Courier New" w:hAnsi="Courier New" w:hint="default"/>
      </w:rPr>
    </w:lvl>
    <w:lvl w:ilvl="8" w:tplc="C06A2608">
      <w:start w:val="1"/>
      <w:numFmt w:val="bullet"/>
      <w:lvlText w:val=""/>
      <w:lvlJc w:val="left"/>
      <w:pPr>
        <w:ind w:left="6480" w:hanging="360"/>
      </w:pPr>
      <w:rPr>
        <w:rFonts w:ascii="Wingdings" w:hAnsi="Wingdings" w:hint="default"/>
      </w:rPr>
    </w:lvl>
  </w:abstractNum>
  <w:abstractNum w:abstractNumId="31" w15:restartNumberingAfterBreak="0">
    <w:nsid w:val="63186BF4"/>
    <w:multiLevelType w:val="multilevel"/>
    <w:tmpl w:val="69AC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7EE7232"/>
    <w:multiLevelType w:val="hybridMultilevel"/>
    <w:tmpl w:val="6ECC16B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34"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35"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36"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37" w15:restartNumberingAfterBreak="0">
    <w:nsid w:val="70AB2304"/>
    <w:multiLevelType w:val="hybridMultilevel"/>
    <w:tmpl w:val="710670EA"/>
    <w:lvl w:ilvl="0" w:tplc="17AC8DA4">
      <w:numFmt w:val="bullet"/>
      <w:lvlText w:val="-"/>
      <w:lvlJc w:val="left"/>
      <w:pPr>
        <w:ind w:left="720" w:hanging="360"/>
      </w:pPr>
      <w:rPr>
        <w:rFonts w:ascii="Segoe UI" w:eastAsia="Lucida Sans Unicode"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1F9267A"/>
    <w:multiLevelType w:val="hybridMultilevel"/>
    <w:tmpl w:val="BF90A1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77181B8C"/>
    <w:multiLevelType w:val="hybridMultilevel"/>
    <w:tmpl w:val="17C8CE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42"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3"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44"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45"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3"/>
  </w:num>
  <w:num w:numId="2">
    <w:abstractNumId w:val="33"/>
  </w:num>
  <w:num w:numId="3">
    <w:abstractNumId w:val="23"/>
  </w:num>
  <w:num w:numId="4">
    <w:abstractNumId w:val="24"/>
  </w:num>
  <w:num w:numId="5">
    <w:abstractNumId w:val="0"/>
  </w:num>
  <w:num w:numId="6">
    <w:abstractNumId w:val="45"/>
  </w:num>
  <w:num w:numId="7">
    <w:abstractNumId w:val="16"/>
  </w:num>
  <w:num w:numId="8">
    <w:abstractNumId w:val="2"/>
  </w:num>
  <w:num w:numId="9">
    <w:abstractNumId w:val="42"/>
  </w:num>
  <w:num w:numId="10">
    <w:abstractNumId w:val="1"/>
  </w:num>
  <w:num w:numId="11">
    <w:abstractNumId w:val="39"/>
  </w:num>
  <w:num w:numId="12">
    <w:abstractNumId w:val="3"/>
  </w:num>
  <w:num w:numId="13">
    <w:abstractNumId w:val="8"/>
  </w:num>
  <w:num w:numId="14">
    <w:abstractNumId w:val="6"/>
  </w:num>
  <w:num w:numId="15">
    <w:abstractNumId w:val="9"/>
  </w:num>
  <w:num w:numId="16">
    <w:abstractNumId w:val="27"/>
  </w:num>
  <w:num w:numId="17">
    <w:abstractNumId w:val="13"/>
  </w:num>
  <w:num w:numId="18">
    <w:abstractNumId w:val="35"/>
  </w:num>
  <w:num w:numId="19">
    <w:abstractNumId w:val="15"/>
  </w:num>
  <w:num w:numId="20">
    <w:abstractNumId w:val="26"/>
  </w:num>
  <w:num w:numId="21">
    <w:abstractNumId w:val="7"/>
  </w:num>
  <w:num w:numId="22">
    <w:abstractNumId w:val="4"/>
  </w:num>
  <w:num w:numId="23">
    <w:abstractNumId w:val="29"/>
  </w:num>
  <w:num w:numId="24">
    <w:abstractNumId w:val="28"/>
  </w:num>
  <w:num w:numId="25">
    <w:abstractNumId w:val="44"/>
  </w:num>
  <w:num w:numId="26">
    <w:abstractNumId w:val="17"/>
  </w:num>
  <w:num w:numId="27">
    <w:abstractNumId w:val="36"/>
  </w:num>
  <w:num w:numId="28">
    <w:abstractNumId w:val="34"/>
  </w:num>
  <w:num w:numId="29">
    <w:abstractNumId w:val="25"/>
  </w:num>
  <w:num w:numId="30">
    <w:abstractNumId w:val="11"/>
  </w:num>
  <w:num w:numId="31">
    <w:abstractNumId w:val="41"/>
  </w:num>
  <w:num w:numId="32">
    <w:abstractNumId w:val="18"/>
  </w:num>
  <w:num w:numId="33">
    <w:abstractNumId w:val="5"/>
  </w:num>
  <w:num w:numId="34">
    <w:abstractNumId w:val="32"/>
  </w:num>
  <w:num w:numId="35">
    <w:abstractNumId w:val="20"/>
  </w:num>
  <w:num w:numId="36">
    <w:abstractNumId w:val="19"/>
    <w:lvlOverride w:ilvl="0">
      <w:lvl w:ilvl="0">
        <w:start w:val="1"/>
        <w:numFmt w:val="decimal"/>
        <w:pStyle w:val="ReportBody-MOH"/>
        <w:lvlText w:val="%1."/>
        <w:lvlJc w:val="left"/>
        <w:pPr>
          <w:ind w:left="851" w:hanging="851"/>
        </w:pPr>
        <w:rPr>
          <w:rFonts w:hint="default"/>
          <w:i w:val="0"/>
          <w:color w:val="auto"/>
        </w:rPr>
      </w:lvl>
    </w:lvlOverride>
    <w:lvlOverride w:ilvl="1">
      <w:lvl w:ilvl="1">
        <w:start w:val="1"/>
        <w:numFmt w:val="lowerLetter"/>
        <w:pStyle w:val="ReportBody2-MOH"/>
        <w:lvlText w:val="%2."/>
        <w:lvlJc w:val="left"/>
        <w:pPr>
          <w:ind w:left="1276" w:hanging="425"/>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37">
    <w:abstractNumId w:val="22"/>
  </w:num>
  <w:num w:numId="38">
    <w:abstractNumId w:val="12"/>
  </w:num>
  <w:num w:numId="39">
    <w:abstractNumId w:val="30"/>
  </w:num>
  <w:num w:numId="40">
    <w:abstractNumId w:val="37"/>
  </w:num>
  <w:num w:numId="41">
    <w:abstractNumId w:val="31"/>
  </w:num>
  <w:num w:numId="42">
    <w:abstractNumId w:val="40"/>
  </w:num>
  <w:num w:numId="43">
    <w:abstractNumId w:val="21"/>
  </w:num>
  <w:num w:numId="44">
    <w:abstractNumId w:val="10"/>
  </w:num>
  <w:num w:numId="45">
    <w:abstractNumId w:val="38"/>
  </w:num>
  <w:num w:numId="4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3FC9"/>
    <w:rsid w:val="00005BB5"/>
    <w:rsid w:val="0001138F"/>
    <w:rsid w:val="000121CE"/>
    <w:rsid w:val="00017BCF"/>
    <w:rsid w:val="00022ADF"/>
    <w:rsid w:val="00025A6F"/>
    <w:rsid w:val="0002618D"/>
    <w:rsid w:val="00030B26"/>
    <w:rsid w:val="00030E84"/>
    <w:rsid w:val="00031F14"/>
    <w:rsid w:val="00032C0A"/>
    <w:rsid w:val="00035257"/>
    <w:rsid w:val="00035D68"/>
    <w:rsid w:val="00046669"/>
    <w:rsid w:val="00051D54"/>
    <w:rsid w:val="00054B44"/>
    <w:rsid w:val="0006228D"/>
    <w:rsid w:val="0006271C"/>
    <w:rsid w:val="0007157D"/>
    <w:rsid w:val="00072BD6"/>
    <w:rsid w:val="00075B78"/>
    <w:rsid w:val="000763E9"/>
    <w:rsid w:val="00077703"/>
    <w:rsid w:val="00077E7C"/>
    <w:rsid w:val="00082CD6"/>
    <w:rsid w:val="0008437D"/>
    <w:rsid w:val="00085AFE"/>
    <w:rsid w:val="00094800"/>
    <w:rsid w:val="000A41ED"/>
    <w:rsid w:val="000A7DDD"/>
    <w:rsid w:val="000B0730"/>
    <w:rsid w:val="000C19A4"/>
    <w:rsid w:val="000D19F4"/>
    <w:rsid w:val="000D58DD"/>
    <w:rsid w:val="000F2AE2"/>
    <w:rsid w:val="000F2BFF"/>
    <w:rsid w:val="00102063"/>
    <w:rsid w:val="0010541C"/>
    <w:rsid w:val="00106F93"/>
    <w:rsid w:val="00111D50"/>
    <w:rsid w:val="00113B8E"/>
    <w:rsid w:val="0012053C"/>
    <w:rsid w:val="00120A97"/>
    <w:rsid w:val="00122363"/>
    <w:rsid w:val="00133B31"/>
    <w:rsid w:val="001342C7"/>
    <w:rsid w:val="0013585C"/>
    <w:rsid w:val="00142261"/>
    <w:rsid w:val="00142954"/>
    <w:rsid w:val="001460E0"/>
    <w:rsid w:val="001472F0"/>
    <w:rsid w:val="00147F71"/>
    <w:rsid w:val="00150A6E"/>
    <w:rsid w:val="00155FE7"/>
    <w:rsid w:val="0016304B"/>
    <w:rsid w:val="0016468A"/>
    <w:rsid w:val="00167BA1"/>
    <w:rsid w:val="0018662D"/>
    <w:rsid w:val="00197427"/>
    <w:rsid w:val="001A21B4"/>
    <w:rsid w:val="001A5CF5"/>
    <w:rsid w:val="001A5EDB"/>
    <w:rsid w:val="001A74BC"/>
    <w:rsid w:val="001B39D2"/>
    <w:rsid w:val="001B4BF8"/>
    <w:rsid w:val="001C4326"/>
    <w:rsid w:val="001C47BB"/>
    <w:rsid w:val="001C4B48"/>
    <w:rsid w:val="001C665E"/>
    <w:rsid w:val="001D3541"/>
    <w:rsid w:val="001D3E4E"/>
    <w:rsid w:val="001E254A"/>
    <w:rsid w:val="001E2B12"/>
    <w:rsid w:val="001E7386"/>
    <w:rsid w:val="001F20D4"/>
    <w:rsid w:val="001F45A7"/>
    <w:rsid w:val="00201A01"/>
    <w:rsid w:val="00202CA6"/>
    <w:rsid w:val="002074A2"/>
    <w:rsid w:val="0020754B"/>
    <w:rsid w:val="002104D3"/>
    <w:rsid w:val="00213A33"/>
    <w:rsid w:val="00214569"/>
    <w:rsid w:val="0021763B"/>
    <w:rsid w:val="002225DE"/>
    <w:rsid w:val="002416EE"/>
    <w:rsid w:val="00246DB1"/>
    <w:rsid w:val="002476B5"/>
    <w:rsid w:val="00247DFA"/>
    <w:rsid w:val="002520CC"/>
    <w:rsid w:val="00253316"/>
    <w:rsid w:val="00253ECF"/>
    <w:rsid w:val="002546A1"/>
    <w:rsid w:val="002628F4"/>
    <w:rsid w:val="00270845"/>
    <w:rsid w:val="00274CE7"/>
    <w:rsid w:val="00275D08"/>
    <w:rsid w:val="002858E3"/>
    <w:rsid w:val="00286A2A"/>
    <w:rsid w:val="0029190A"/>
    <w:rsid w:val="00292C5A"/>
    <w:rsid w:val="00295241"/>
    <w:rsid w:val="002A39C9"/>
    <w:rsid w:val="002A4DFC"/>
    <w:rsid w:val="002B047D"/>
    <w:rsid w:val="002B732B"/>
    <w:rsid w:val="002B76A7"/>
    <w:rsid w:val="002C104E"/>
    <w:rsid w:val="002C2219"/>
    <w:rsid w:val="002C2552"/>
    <w:rsid w:val="002C380A"/>
    <w:rsid w:val="002D0DF2"/>
    <w:rsid w:val="002D23BD"/>
    <w:rsid w:val="002E0B47"/>
    <w:rsid w:val="002E5FEE"/>
    <w:rsid w:val="002F17F3"/>
    <w:rsid w:val="002F2CEC"/>
    <w:rsid w:val="002F4685"/>
    <w:rsid w:val="002F7213"/>
    <w:rsid w:val="00300598"/>
    <w:rsid w:val="0030382F"/>
    <w:rsid w:val="0030408D"/>
    <w:rsid w:val="003060E4"/>
    <w:rsid w:val="003160E7"/>
    <w:rsid w:val="0031739E"/>
    <w:rsid w:val="003210E6"/>
    <w:rsid w:val="003237D3"/>
    <w:rsid w:val="00323CA6"/>
    <w:rsid w:val="003300BF"/>
    <w:rsid w:val="003309CA"/>
    <w:rsid w:val="003325AB"/>
    <w:rsid w:val="003332D1"/>
    <w:rsid w:val="0033412B"/>
    <w:rsid w:val="00337742"/>
    <w:rsid w:val="00341161"/>
    <w:rsid w:val="00341E57"/>
    <w:rsid w:val="00343365"/>
    <w:rsid w:val="003445F4"/>
    <w:rsid w:val="003503FE"/>
    <w:rsid w:val="00353501"/>
    <w:rsid w:val="00353734"/>
    <w:rsid w:val="003537B5"/>
    <w:rsid w:val="003606F8"/>
    <w:rsid w:val="003648EF"/>
    <w:rsid w:val="003673E6"/>
    <w:rsid w:val="00377264"/>
    <w:rsid w:val="003779D2"/>
    <w:rsid w:val="003850D3"/>
    <w:rsid w:val="00385E38"/>
    <w:rsid w:val="00393660"/>
    <w:rsid w:val="003A26A5"/>
    <w:rsid w:val="003A3761"/>
    <w:rsid w:val="003A512D"/>
    <w:rsid w:val="003A5FEA"/>
    <w:rsid w:val="003B1D10"/>
    <w:rsid w:val="003B3393"/>
    <w:rsid w:val="003C3B78"/>
    <w:rsid w:val="003C76D4"/>
    <w:rsid w:val="003D137D"/>
    <w:rsid w:val="003D2CC5"/>
    <w:rsid w:val="003E04C1"/>
    <w:rsid w:val="003E0887"/>
    <w:rsid w:val="003E74C8"/>
    <w:rsid w:val="003E7C46"/>
    <w:rsid w:val="003F2106"/>
    <w:rsid w:val="003F52A7"/>
    <w:rsid w:val="003F5F1D"/>
    <w:rsid w:val="003F690E"/>
    <w:rsid w:val="003F7013"/>
    <w:rsid w:val="0040240C"/>
    <w:rsid w:val="00412994"/>
    <w:rsid w:val="00413021"/>
    <w:rsid w:val="004301C6"/>
    <w:rsid w:val="00431F92"/>
    <w:rsid w:val="00433CA5"/>
    <w:rsid w:val="0043478F"/>
    <w:rsid w:val="0043602B"/>
    <w:rsid w:val="00440BE0"/>
    <w:rsid w:val="00441F85"/>
    <w:rsid w:val="00442C1C"/>
    <w:rsid w:val="0044514D"/>
    <w:rsid w:val="0044584B"/>
    <w:rsid w:val="00447CB7"/>
    <w:rsid w:val="00452761"/>
    <w:rsid w:val="004553AA"/>
    <w:rsid w:val="00455CC9"/>
    <w:rsid w:val="00460826"/>
    <w:rsid w:val="00460EA7"/>
    <w:rsid w:val="0046195B"/>
    <w:rsid w:val="0046362D"/>
    <w:rsid w:val="0046596D"/>
    <w:rsid w:val="00472B3D"/>
    <w:rsid w:val="0047775D"/>
    <w:rsid w:val="00487C04"/>
    <w:rsid w:val="004907E1"/>
    <w:rsid w:val="00491911"/>
    <w:rsid w:val="004A035B"/>
    <w:rsid w:val="004A2108"/>
    <w:rsid w:val="004A38D7"/>
    <w:rsid w:val="004A778C"/>
    <w:rsid w:val="004B48C7"/>
    <w:rsid w:val="004C0578"/>
    <w:rsid w:val="004C2E6A"/>
    <w:rsid w:val="004C64B8"/>
    <w:rsid w:val="004D2A2D"/>
    <w:rsid w:val="004D479F"/>
    <w:rsid w:val="004D6689"/>
    <w:rsid w:val="004E1D1D"/>
    <w:rsid w:val="004E5E8D"/>
    <w:rsid w:val="004E7AC8"/>
    <w:rsid w:val="004F0C94"/>
    <w:rsid w:val="004F4F8E"/>
    <w:rsid w:val="004F6C77"/>
    <w:rsid w:val="005000F5"/>
    <w:rsid w:val="005019AE"/>
    <w:rsid w:val="00503749"/>
    <w:rsid w:val="005048F3"/>
    <w:rsid w:val="00504CF4"/>
    <w:rsid w:val="00505E76"/>
    <w:rsid w:val="0050635B"/>
    <w:rsid w:val="005151C2"/>
    <w:rsid w:val="0053199F"/>
    <w:rsid w:val="00531E12"/>
    <w:rsid w:val="00533B90"/>
    <w:rsid w:val="00537F33"/>
    <w:rsid w:val="005410F8"/>
    <w:rsid w:val="005448EC"/>
    <w:rsid w:val="00545963"/>
    <w:rsid w:val="00550256"/>
    <w:rsid w:val="00551406"/>
    <w:rsid w:val="00553165"/>
    <w:rsid w:val="00553958"/>
    <w:rsid w:val="00556BB7"/>
    <w:rsid w:val="0055763D"/>
    <w:rsid w:val="00557E45"/>
    <w:rsid w:val="00561516"/>
    <w:rsid w:val="005621F2"/>
    <w:rsid w:val="005665FD"/>
    <w:rsid w:val="00567B58"/>
    <w:rsid w:val="00571223"/>
    <w:rsid w:val="005763E0"/>
    <w:rsid w:val="00581136"/>
    <w:rsid w:val="00581EB8"/>
    <w:rsid w:val="00587306"/>
    <w:rsid w:val="00590B82"/>
    <w:rsid w:val="005A18ED"/>
    <w:rsid w:val="005A27CA"/>
    <w:rsid w:val="005A43BD"/>
    <w:rsid w:val="005A79E5"/>
    <w:rsid w:val="005C5CA0"/>
    <w:rsid w:val="005D034C"/>
    <w:rsid w:val="005D50CE"/>
    <w:rsid w:val="005D6708"/>
    <w:rsid w:val="005E226E"/>
    <w:rsid w:val="005E2636"/>
    <w:rsid w:val="005E2DDE"/>
    <w:rsid w:val="005F77FC"/>
    <w:rsid w:val="006015D7"/>
    <w:rsid w:val="00601B21"/>
    <w:rsid w:val="006041F0"/>
    <w:rsid w:val="00605C6D"/>
    <w:rsid w:val="00610930"/>
    <w:rsid w:val="006120CA"/>
    <w:rsid w:val="00623145"/>
    <w:rsid w:val="00623EF6"/>
    <w:rsid w:val="00624174"/>
    <w:rsid w:val="00626CF8"/>
    <w:rsid w:val="006314AF"/>
    <w:rsid w:val="00634ED8"/>
    <w:rsid w:val="00636D7D"/>
    <w:rsid w:val="00637408"/>
    <w:rsid w:val="00642868"/>
    <w:rsid w:val="00646541"/>
    <w:rsid w:val="00647AFE"/>
    <w:rsid w:val="006512BC"/>
    <w:rsid w:val="00651CC6"/>
    <w:rsid w:val="00653A5A"/>
    <w:rsid w:val="006554AC"/>
    <w:rsid w:val="006575F4"/>
    <w:rsid w:val="006579E6"/>
    <w:rsid w:val="00660682"/>
    <w:rsid w:val="00660F74"/>
    <w:rsid w:val="00663EDC"/>
    <w:rsid w:val="006659D5"/>
    <w:rsid w:val="00666278"/>
    <w:rsid w:val="00667E20"/>
    <w:rsid w:val="00670730"/>
    <w:rsid w:val="00671078"/>
    <w:rsid w:val="006758CA"/>
    <w:rsid w:val="0067720E"/>
    <w:rsid w:val="00680A04"/>
    <w:rsid w:val="00686D80"/>
    <w:rsid w:val="006939D7"/>
    <w:rsid w:val="00694895"/>
    <w:rsid w:val="00697E2E"/>
    <w:rsid w:val="006A25A2"/>
    <w:rsid w:val="006A3B87"/>
    <w:rsid w:val="006A75E6"/>
    <w:rsid w:val="006B0E73"/>
    <w:rsid w:val="006B1E3D"/>
    <w:rsid w:val="006B4A4D"/>
    <w:rsid w:val="006B5695"/>
    <w:rsid w:val="006B64BC"/>
    <w:rsid w:val="006B7B2E"/>
    <w:rsid w:val="006C3A16"/>
    <w:rsid w:val="006C42E7"/>
    <w:rsid w:val="006C78EB"/>
    <w:rsid w:val="006D1660"/>
    <w:rsid w:val="006D63E5"/>
    <w:rsid w:val="006E1753"/>
    <w:rsid w:val="006E3911"/>
    <w:rsid w:val="006E54D4"/>
    <w:rsid w:val="006F1B67"/>
    <w:rsid w:val="006F4D9C"/>
    <w:rsid w:val="0070091D"/>
    <w:rsid w:val="00701869"/>
    <w:rsid w:val="007019B2"/>
    <w:rsid w:val="00702854"/>
    <w:rsid w:val="00710C4E"/>
    <w:rsid w:val="0071741C"/>
    <w:rsid w:val="00742B90"/>
    <w:rsid w:val="0074434D"/>
    <w:rsid w:val="007570C4"/>
    <w:rsid w:val="00757770"/>
    <w:rsid w:val="007605B8"/>
    <w:rsid w:val="0076645E"/>
    <w:rsid w:val="00771B1E"/>
    <w:rsid w:val="00773C95"/>
    <w:rsid w:val="0078171E"/>
    <w:rsid w:val="0078658E"/>
    <w:rsid w:val="007911BA"/>
    <w:rsid w:val="007920E2"/>
    <w:rsid w:val="0079566E"/>
    <w:rsid w:val="00795B34"/>
    <w:rsid w:val="0079643A"/>
    <w:rsid w:val="007A067F"/>
    <w:rsid w:val="007A6B98"/>
    <w:rsid w:val="007B1770"/>
    <w:rsid w:val="007B26AE"/>
    <w:rsid w:val="007B4D3E"/>
    <w:rsid w:val="007B7C70"/>
    <w:rsid w:val="007B7DEB"/>
    <w:rsid w:val="007C0449"/>
    <w:rsid w:val="007C143D"/>
    <w:rsid w:val="007C2897"/>
    <w:rsid w:val="007C6914"/>
    <w:rsid w:val="007D1290"/>
    <w:rsid w:val="007D2151"/>
    <w:rsid w:val="007D272F"/>
    <w:rsid w:val="007D3B90"/>
    <w:rsid w:val="007D42CC"/>
    <w:rsid w:val="007D5DE4"/>
    <w:rsid w:val="007D7C3A"/>
    <w:rsid w:val="007E0777"/>
    <w:rsid w:val="007E1341"/>
    <w:rsid w:val="007E13BA"/>
    <w:rsid w:val="007E1B41"/>
    <w:rsid w:val="007E1EC4"/>
    <w:rsid w:val="007E30B9"/>
    <w:rsid w:val="007E74F1"/>
    <w:rsid w:val="007F0F0C"/>
    <w:rsid w:val="007F1288"/>
    <w:rsid w:val="007F6E5B"/>
    <w:rsid w:val="008003A0"/>
    <w:rsid w:val="00800A8A"/>
    <w:rsid w:val="0080155C"/>
    <w:rsid w:val="00801857"/>
    <w:rsid w:val="008052E1"/>
    <w:rsid w:val="008069B5"/>
    <w:rsid w:val="00822F2C"/>
    <w:rsid w:val="00823DEE"/>
    <w:rsid w:val="008305E8"/>
    <w:rsid w:val="00836165"/>
    <w:rsid w:val="0084640C"/>
    <w:rsid w:val="00856088"/>
    <w:rsid w:val="00860826"/>
    <w:rsid w:val="00860E21"/>
    <w:rsid w:val="00863117"/>
    <w:rsid w:val="0086388B"/>
    <w:rsid w:val="008642E5"/>
    <w:rsid w:val="00864488"/>
    <w:rsid w:val="00870A36"/>
    <w:rsid w:val="00872D93"/>
    <w:rsid w:val="00880470"/>
    <w:rsid w:val="00880D94"/>
    <w:rsid w:val="00886F64"/>
    <w:rsid w:val="008924DE"/>
    <w:rsid w:val="00894771"/>
    <w:rsid w:val="008A3755"/>
    <w:rsid w:val="008B19DC"/>
    <w:rsid w:val="008B264F"/>
    <w:rsid w:val="008B5E7A"/>
    <w:rsid w:val="008B6F83"/>
    <w:rsid w:val="008B7FD8"/>
    <w:rsid w:val="008C1108"/>
    <w:rsid w:val="008C2973"/>
    <w:rsid w:val="008C6324"/>
    <w:rsid w:val="008C64C4"/>
    <w:rsid w:val="008D2CDD"/>
    <w:rsid w:val="008D74D5"/>
    <w:rsid w:val="008E0ED1"/>
    <w:rsid w:val="008E3A07"/>
    <w:rsid w:val="008E537B"/>
    <w:rsid w:val="008F29BE"/>
    <w:rsid w:val="008F2B72"/>
    <w:rsid w:val="008F4AE5"/>
    <w:rsid w:val="008F51EB"/>
    <w:rsid w:val="008F7406"/>
    <w:rsid w:val="00900197"/>
    <w:rsid w:val="00902F55"/>
    <w:rsid w:val="00904AFC"/>
    <w:rsid w:val="0090582B"/>
    <w:rsid w:val="009060C0"/>
    <w:rsid w:val="009114A2"/>
    <w:rsid w:val="009133F5"/>
    <w:rsid w:val="0091756F"/>
    <w:rsid w:val="00920A27"/>
    <w:rsid w:val="00920FCF"/>
    <w:rsid w:val="00921216"/>
    <w:rsid w:val="009216CC"/>
    <w:rsid w:val="00921D30"/>
    <w:rsid w:val="00924A79"/>
    <w:rsid w:val="00926083"/>
    <w:rsid w:val="00930D08"/>
    <w:rsid w:val="00931466"/>
    <w:rsid w:val="00932D69"/>
    <w:rsid w:val="00935589"/>
    <w:rsid w:val="00944647"/>
    <w:rsid w:val="0095565C"/>
    <w:rsid w:val="00963565"/>
    <w:rsid w:val="00964AB6"/>
    <w:rsid w:val="00966F9A"/>
    <w:rsid w:val="00977B8A"/>
    <w:rsid w:val="00982971"/>
    <w:rsid w:val="00982FE4"/>
    <w:rsid w:val="009845AD"/>
    <w:rsid w:val="00984813"/>
    <w:rsid w:val="00984835"/>
    <w:rsid w:val="0098636F"/>
    <w:rsid w:val="0098639B"/>
    <w:rsid w:val="009933EF"/>
    <w:rsid w:val="00995BA0"/>
    <w:rsid w:val="009A3711"/>
    <w:rsid w:val="009A418B"/>
    <w:rsid w:val="009A426F"/>
    <w:rsid w:val="009A42D5"/>
    <w:rsid w:val="009A4473"/>
    <w:rsid w:val="009B05C9"/>
    <w:rsid w:val="009B286C"/>
    <w:rsid w:val="009C151C"/>
    <w:rsid w:val="009C440A"/>
    <w:rsid w:val="009C7DE3"/>
    <w:rsid w:val="009D5125"/>
    <w:rsid w:val="009D589F"/>
    <w:rsid w:val="009D60B8"/>
    <w:rsid w:val="009D7D4B"/>
    <w:rsid w:val="009E36ED"/>
    <w:rsid w:val="009E3C8C"/>
    <w:rsid w:val="009E6B77"/>
    <w:rsid w:val="009F460A"/>
    <w:rsid w:val="00A043FB"/>
    <w:rsid w:val="00A049B1"/>
    <w:rsid w:val="00A06BE4"/>
    <w:rsid w:val="00A0729C"/>
    <w:rsid w:val="00A07779"/>
    <w:rsid w:val="00A1166A"/>
    <w:rsid w:val="00A15266"/>
    <w:rsid w:val="00A20B2E"/>
    <w:rsid w:val="00A233F4"/>
    <w:rsid w:val="00A24F33"/>
    <w:rsid w:val="00A25069"/>
    <w:rsid w:val="00A26E6B"/>
    <w:rsid w:val="00A3068F"/>
    <w:rsid w:val="00A3145B"/>
    <w:rsid w:val="00A339D0"/>
    <w:rsid w:val="00A41002"/>
    <w:rsid w:val="00A41F93"/>
    <w:rsid w:val="00A4201A"/>
    <w:rsid w:val="00A42095"/>
    <w:rsid w:val="00A5465D"/>
    <w:rsid w:val="00A553CE"/>
    <w:rsid w:val="00A55A69"/>
    <w:rsid w:val="00A5677A"/>
    <w:rsid w:val="00A56DCC"/>
    <w:rsid w:val="00A625E8"/>
    <w:rsid w:val="00A63DFF"/>
    <w:rsid w:val="00A6490D"/>
    <w:rsid w:val="00A7415D"/>
    <w:rsid w:val="00A745A5"/>
    <w:rsid w:val="00A80363"/>
    <w:rsid w:val="00A80939"/>
    <w:rsid w:val="00A83E9D"/>
    <w:rsid w:val="00A850C8"/>
    <w:rsid w:val="00A87C05"/>
    <w:rsid w:val="00A9169D"/>
    <w:rsid w:val="00AA240C"/>
    <w:rsid w:val="00AA63C2"/>
    <w:rsid w:val="00AA6C41"/>
    <w:rsid w:val="00AA6E7B"/>
    <w:rsid w:val="00AC101C"/>
    <w:rsid w:val="00AD1FD7"/>
    <w:rsid w:val="00AD4A9B"/>
    <w:rsid w:val="00AD4CF1"/>
    <w:rsid w:val="00AD5988"/>
    <w:rsid w:val="00AD6293"/>
    <w:rsid w:val="00AF1BA8"/>
    <w:rsid w:val="00AF1EA7"/>
    <w:rsid w:val="00AF4A8D"/>
    <w:rsid w:val="00AF7800"/>
    <w:rsid w:val="00B00CF5"/>
    <w:rsid w:val="00B06A3A"/>
    <w:rsid w:val="00B072E0"/>
    <w:rsid w:val="00B1007E"/>
    <w:rsid w:val="00B102A4"/>
    <w:rsid w:val="00B206F0"/>
    <w:rsid w:val="00B253F6"/>
    <w:rsid w:val="00B26675"/>
    <w:rsid w:val="00B26DB3"/>
    <w:rsid w:val="00B26F0F"/>
    <w:rsid w:val="00B305DB"/>
    <w:rsid w:val="00B332F8"/>
    <w:rsid w:val="00B3492B"/>
    <w:rsid w:val="00B4646F"/>
    <w:rsid w:val="00B51E1F"/>
    <w:rsid w:val="00B55C7D"/>
    <w:rsid w:val="00B63038"/>
    <w:rsid w:val="00B64BD8"/>
    <w:rsid w:val="00B701D1"/>
    <w:rsid w:val="00B73AF2"/>
    <w:rsid w:val="00B74921"/>
    <w:rsid w:val="00B7551A"/>
    <w:rsid w:val="00B76C72"/>
    <w:rsid w:val="00B773F1"/>
    <w:rsid w:val="00B8056D"/>
    <w:rsid w:val="00B86AB1"/>
    <w:rsid w:val="00B96208"/>
    <w:rsid w:val="00B97F07"/>
    <w:rsid w:val="00BA7EBA"/>
    <w:rsid w:val="00BB2A06"/>
    <w:rsid w:val="00BB2CBB"/>
    <w:rsid w:val="00BB4198"/>
    <w:rsid w:val="00BC03EE"/>
    <w:rsid w:val="00BC59CF"/>
    <w:rsid w:val="00BC59F1"/>
    <w:rsid w:val="00BD1856"/>
    <w:rsid w:val="00BE5A9E"/>
    <w:rsid w:val="00BF3DE1"/>
    <w:rsid w:val="00BF4843"/>
    <w:rsid w:val="00BF5205"/>
    <w:rsid w:val="00C05132"/>
    <w:rsid w:val="00C11EF7"/>
    <w:rsid w:val="00C12508"/>
    <w:rsid w:val="00C23728"/>
    <w:rsid w:val="00C27D67"/>
    <w:rsid w:val="00C3026C"/>
    <w:rsid w:val="00C30D83"/>
    <w:rsid w:val="00C313A9"/>
    <w:rsid w:val="00C441CF"/>
    <w:rsid w:val="00C4539B"/>
    <w:rsid w:val="00C45AA2"/>
    <w:rsid w:val="00C4792C"/>
    <w:rsid w:val="00C55BEF"/>
    <w:rsid w:val="00C601AF"/>
    <w:rsid w:val="00C61A63"/>
    <w:rsid w:val="00C66296"/>
    <w:rsid w:val="00C711A5"/>
    <w:rsid w:val="00C7394D"/>
    <w:rsid w:val="00C74FA0"/>
    <w:rsid w:val="00C77282"/>
    <w:rsid w:val="00C7746E"/>
    <w:rsid w:val="00C82D8D"/>
    <w:rsid w:val="00C84DE5"/>
    <w:rsid w:val="00C86248"/>
    <w:rsid w:val="00C90B31"/>
    <w:rsid w:val="00CA0D6F"/>
    <w:rsid w:val="00CA27C5"/>
    <w:rsid w:val="00CA4C33"/>
    <w:rsid w:val="00CA6F4A"/>
    <w:rsid w:val="00CB2A8C"/>
    <w:rsid w:val="00CB49C5"/>
    <w:rsid w:val="00CB5317"/>
    <w:rsid w:val="00CB6427"/>
    <w:rsid w:val="00CC0FBE"/>
    <w:rsid w:val="00CC579C"/>
    <w:rsid w:val="00CC5F8F"/>
    <w:rsid w:val="00CD2119"/>
    <w:rsid w:val="00CD237A"/>
    <w:rsid w:val="00CD36AC"/>
    <w:rsid w:val="00CD54AA"/>
    <w:rsid w:val="00CE13A3"/>
    <w:rsid w:val="00CE36BC"/>
    <w:rsid w:val="00CF13A4"/>
    <w:rsid w:val="00CF1747"/>
    <w:rsid w:val="00CF60ED"/>
    <w:rsid w:val="00D05D74"/>
    <w:rsid w:val="00D17246"/>
    <w:rsid w:val="00D20C59"/>
    <w:rsid w:val="00D23323"/>
    <w:rsid w:val="00D2392A"/>
    <w:rsid w:val="00D25FFE"/>
    <w:rsid w:val="00D27A7A"/>
    <w:rsid w:val="00D30BBE"/>
    <w:rsid w:val="00D37D80"/>
    <w:rsid w:val="00D4476F"/>
    <w:rsid w:val="00D50573"/>
    <w:rsid w:val="00D51D0E"/>
    <w:rsid w:val="00D54D50"/>
    <w:rsid w:val="00D560B4"/>
    <w:rsid w:val="00D57AD0"/>
    <w:rsid w:val="00D6053D"/>
    <w:rsid w:val="00D60D6B"/>
    <w:rsid w:val="00D662F8"/>
    <w:rsid w:val="00D66797"/>
    <w:rsid w:val="00D7074B"/>
    <w:rsid w:val="00D7087C"/>
    <w:rsid w:val="00D70C3C"/>
    <w:rsid w:val="00D71DF7"/>
    <w:rsid w:val="00D72BE5"/>
    <w:rsid w:val="00D81462"/>
    <w:rsid w:val="00D81583"/>
    <w:rsid w:val="00D82F26"/>
    <w:rsid w:val="00D863D0"/>
    <w:rsid w:val="00D86B00"/>
    <w:rsid w:val="00D86FB9"/>
    <w:rsid w:val="00D87C87"/>
    <w:rsid w:val="00D90BB4"/>
    <w:rsid w:val="00D90E07"/>
    <w:rsid w:val="00D91482"/>
    <w:rsid w:val="00D932C2"/>
    <w:rsid w:val="00DA00B9"/>
    <w:rsid w:val="00DA4D65"/>
    <w:rsid w:val="00DB2B27"/>
    <w:rsid w:val="00DB39CF"/>
    <w:rsid w:val="00DB7256"/>
    <w:rsid w:val="00DC0401"/>
    <w:rsid w:val="00DC20BD"/>
    <w:rsid w:val="00DD0BCD"/>
    <w:rsid w:val="00DD2525"/>
    <w:rsid w:val="00DD447A"/>
    <w:rsid w:val="00DE3B20"/>
    <w:rsid w:val="00DE6C94"/>
    <w:rsid w:val="00DE6FD7"/>
    <w:rsid w:val="00DE71F9"/>
    <w:rsid w:val="00E123B1"/>
    <w:rsid w:val="00E23271"/>
    <w:rsid w:val="00E24F80"/>
    <w:rsid w:val="00E259F3"/>
    <w:rsid w:val="00E30985"/>
    <w:rsid w:val="00E3163D"/>
    <w:rsid w:val="00E33238"/>
    <w:rsid w:val="00E36144"/>
    <w:rsid w:val="00E376B7"/>
    <w:rsid w:val="00E42F5D"/>
    <w:rsid w:val="00E4486C"/>
    <w:rsid w:val="00E460B6"/>
    <w:rsid w:val="00E511D5"/>
    <w:rsid w:val="00E53549"/>
    <w:rsid w:val="00E53A9F"/>
    <w:rsid w:val="00E60249"/>
    <w:rsid w:val="00E65269"/>
    <w:rsid w:val="00E713B4"/>
    <w:rsid w:val="00E76D66"/>
    <w:rsid w:val="00E77D50"/>
    <w:rsid w:val="00E81412"/>
    <w:rsid w:val="00EA796A"/>
    <w:rsid w:val="00EB171B"/>
    <w:rsid w:val="00EB1856"/>
    <w:rsid w:val="00EC1663"/>
    <w:rsid w:val="00EC50CE"/>
    <w:rsid w:val="00EC5B34"/>
    <w:rsid w:val="00ED021E"/>
    <w:rsid w:val="00ED323C"/>
    <w:rsid w:val="00EE2D5C"/>
    <w:rsid w:val="00EE2F5A"/>
    <w:rsid w:val="00EE4ADE"/>
    <w:rsid w:val="00EE4DE8"/>
    <w:rsid w:val="00EE5CB7"/>
    <w:rsid w:val="00F0066F"/>
    <w:rsid w:val="00F024FE"/>
    <w:rsid w:val="00F03813"/>
    <w:rsid w:val="00F05AD4"/>
    <w:rsid w:val="00F0646A"/>
    <w:rsid w:val="00F10EB6"/>
    <w:rsid w:val="00F13F07"/>
    <w:rsid w:val="00F140B2"/>
    <w:rsid w:val="00F25970"/>
    <w:rsid w:val="00F311A9"/>
    <w:rsid w:val="00F31268"/>
    <w:rsid w:val="00F36535"/>
    <w:rsid w:val="00F45FF8"/>
    <w:rsid w:val="00F5180D"/>
    <w:rsid w:val="00F61845"/>
    <w:rsid w:val="00F63781"/>
    <w:rsid w:val="00F65F2C"/>
    <w:rsid w:val="00F67496"/>
    <w:rsid w:val="00F801BA"/>
    <w:rsid w:val="00F81593"/>
    <w:rsid w:val="00F9366A"/>
    <w:rsid w:val="00F946C9"/>
    <w:rsid w:val="00FA0EA5"/>
    <w:rsid w:val="00FA6E02"/>
    <w:rsid w:val="00FA74EE"/>
    <w:rsid w:val="00FC3711"/>
    <w:rsid w:val="00FC46E7"/>
    <w:rsid w:val="00FC5D25"/>
    <w:rsid w:val="00FC7C37"/>
    <w:rsid w:val="00FD0D7E"/>
    <w:rsid w:val="00FD1435"/>
    <w:rsid w:val="00FD4FFB"/>
    <w:rsid w:val="00FE1F8E"/>
    <w:rsid w:val="00FE6E13"/>
    <w:rsid w:val="00FF15F6"/>
    <w:rsid w:val="00FF48E8"/>
    <w:rsid w:val="00FF527C"/>
    <w:rsid w:val="00FF65CD"/>
    <w:rsid w:val="28DBA9D4"/>
    <w:rsid w:val="2CCF883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C5D8F2E7-7F1F-4361-ABEA-0E12DCB6A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963565"/>
    <w:pPr>
      <w:tabs>
        <w:tab w:val="right" w:pos="8080"/>
      </w:tabs>
      <w:spacing w:before="120"/>
      <w:ind w:left="1276" w:hanging="1276"/>
    </w:pPr>
  </w:style>
  <w:style w:type="paragraph" w:customStyle="1" w:styleId="Bullet">
    <w:name w:val="Bullet"/>
    <w:basedOn w:val="Normal"/>
    <w:link w:val="BulletChar"/>
    <w:uiPriority w:val="99"/>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uiPriority w:val="1"/>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1"/>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1"/>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link w:val="ShadedboxtextChar"/>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paragraph" w:styleId="Caption">
    <w:name w:val="caption"/>
    <w:basedOn w:val="Normal"/>
    <w:next w:val="Normal"/>
    <w:unhideWhenUsed/>
    <w:qFormat/>
    <w:rsid w:val="00982FE4"/>
    <w:pPr>
      <w:spacing w:after="200"/>
    </w:pPr>
    <w:rPr>
      <w:b/>
      <w:iCs/>
      <w:sz w:val="20"/>
      <w:szCs w:val="18"/>
    </w:rPr>
  </w:style>
  <w:style w:type="character" w:styleId="UnresolvedMention">
    <w:name w:val="Unresolved Mention"/>
    <w:basedOn w:val="DefaultParagraphFont"/>
    <w:uiPriority w:val="99"/>
    <w:unhideWhenUsed/>
    <w:rsid w:val="00982FE4"/>
    <w:rPr>
      <w:color w:val="605E5C"/>
      <w:shd w:val="clear" w:color="auto" w:fill="E1DFDD"/>
    </w:rPr>
  </w:style>
  <w:style w:type="character" w:customStyle="1" w:styleId="normaltextrun">
    <w:name w:val="normaltextrun"/>
    <w:basedOn w:val="DefaultParagraphFont"/>
    <w:rsid w:val="007911BA"/>
  </w:style>
  <w:style w:type="character" w:customStyle="1" w:styleId="BulletChar">
    <w:name w:val="Bullet Char"/>
    <w:link w:val="Bullet"/>
    <w:uiPriority w:val="99"/>
    <w:locked/>
    <w:rsid w:val="007911BA"/>
    <w:rPr>
      <w:rFonts w:ascii="Segoe UI" w:hAnsi="Segoe UI"/>
      <w:sz w:val="21"/>
      <w:lang w:eastAsia="en-GB"/>
    </w:rPr>
  </w:style>
  <w:style w:type="character" w:customStyle="1" w:styleId="TableChar">
    <w:name w:val="Table Char"/>
    <w:link w:val="Table"/>
    <w:locked/>
    <w:rsid w:val="007911BA"/>
    <w:rPr>
      <w:rFonts w:ascii="Segoe UI" w:hAnsi="Segoe UI"/>
      <w:b/>
      <w:lang w:eastAsia="en-GB"/>
    </w:rPr>
  </w:style>
  <w:style w:type="character" w:customStyle="1" w:styleId="FigureChar">
    <w:name w:val="Figure Char"/>
    <w:link w:val="Figure"/>
    <w:locked/>
    <w:rsid w:val="00B206F0"/>
    <w:rPr>
      <w:rFonts w:ascii="Segoe UI" w:hAnsi="Segoe UI"/>
      <w:b/>
      <w:lang w:eastAsia="en-GB"/>
    </w:rPr>
  </w:style>
  <w:style w:type="paragraph" w:styleId="ListParagraph">
    <w:name w:val="List Paragraph"/>
    <w:aliases w:val="Bullet Normal,Bullet 1,Colorful List - Accent 11,Dot pt,F5 List Paragraph,Indicator Text,List Paragraph Char Char Char,List Paragraph1,List Paragraph12,List Paragraph2,MAIN CONTENT,No Spacing1,Normal numbered,Numbered Para 1,OBC Bullet"/>
    <w:basedOn w:val="Normal"/>
    <w:link w:val="ListParagraphChar"/>
    <w:uiPriority w:val="34"/>
    <w:qFormat/>
    <w:rsid w:val="00B206F0"/>
    <w:pPr>
      <w:spacing w:after="160" w:line="259" w:lineRule="auto"/>
      <w:ind w:left="720"/>
      <w:contextualSpacing/>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B206F0"/>
    <w:rPr>
      <w:sz w:val="16"/>
      <w:szCs w:val="16"/>
    </w:rPr>
  </w:style>
  <w:style w:type="paragraph" w:styleId="CommentText">
    <w:name w:val="annotation text"/>
    <w:basedOn w:val="Normal"/>
    <w:link w:val="CommentTextChar"/>
    <w:uiPriority w:val="99"/>
    <w:unhideWhenUsed/>
    <w:rsid w:val="00B206F0"/>
    <w:pPr>
      <w:spacing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rsid w:val="00B206F0"/>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B206F0"/>
    <w:pPr>
      <w:spacing w:after="0"/>
    </w:pPr>
    <w:rPr>
      <w:rFonts w:ascii="MS Gothic" w:eastAsia="Lucida Sans Unicode" w:hAnsi="MS Gothic" w:cs="Lucida Sans Unicode"/>
      <w:b/>
      <w:bCs/>
      <w:lang w:eastAsia="en-GB"/>
    </w:rPr>
  </w:style>
  <w:style w:type="character" w:customStyle="1" w:styleId="CommentSubjectChar">
    <w:name w:val="Comment Subject Char"/>
    <w:basedOn w:val="CommentTextChar"/>
    <w:link w:val="CommentSubject"/>
    <w:uiPriority w:val="99"/>
    <w:semiHidden/>
    <w:rsid w:val="00B206F0"/>
    <w:rPr>
      <w:rFonts w:ascii="MS Gothic" w:eastAsia="Lucida Sans Unicode" w:hAnsi="MS Gothic" w:cs="Lucida Sans Unicode"/>
      <w:b/>
      <w:bCs/>
      <w:lang w:eastAsia="en-GB"/>
    </w:rPr>
  </w:style>
  <w:style w:type="character" w:styleId="FollowedHyperlink">
    <w:name w:val="FollowedHyperlink"/>
    <w:basedOn w:val="DefaultParagraphFont"/>
    <w:uiPriority w:val="99"/>
    <w:semiHidden/>
    <w:unhideWhenUsed/>
    <w:rsid w:val="00B206F0"/>
    <w:rPr>
      <w:color w:val="800080" w:themeColor="followedHyperlink"/>
      <w:u w:val="single"/>
    </w:rPr>
  </w:style>
  <w:style w:type="table" w:styleId="GridTable6Colorful-Accent5">
    <w:name w:val="Grid Table 6 Colorful Accent 5"/>
    <w:basedOn w:val="TableNormal"/>
    <w:uiPriority w:val="51"/>
    <w:rsid w:val="00B206F0"/>
    <w:rPr>
      <w:rFonts w:ascii="Lucida Sans Unicode" w:eastAsia="Lucida Sans Unicode" w:hAnsi="Lucida Sans Unicode" w:cs="Lucida Sans Unicode"/>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
    <w:name w:val="Grid Table 6 Colorful"/>
    <w:basedOn w:val="TableNormal"/>
    <w:uiPriority w:val="51"/>
    <w:rsid w:val="00B206F0"/>
    <w:rPr>
      <w:rFonts w:ascii="Lucida Sans Unicode" w:eastAsia="Lucida Sans Unicode" w:hAnsi="Lucida Sans Unicode" w:cs="Lucida Sans Unicode"/>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B206F0"/>
    <w:rPr>
      <w:rFonts w:ascii="Lucida Sans Unicode" w:eastAsia="Lucida Sans Unicode" w:hAnsi="Lucida Sans Unicode" w:cs="Lucida Sans Unicode"/>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B206F0"/>
    <w:pPr>
      <w:spacing w:before="100" w:beforeAutospacing="1" w:after="100" w:afterAutospacing="1"/>
    </w:pPr>
    <w:rPr>
      <w:rFonts w:ascii="Lucida Sans Unicode" w:eastAsia="Lucida Sans Unicode" w:hAnsi="Lucida Sans Unicode" w:cs="Segoe UI"/>
      <w:sz w:val="24"/>
      <w:szCs w:val="24"/>
      <w:lang w:eastAsia="en-NZ"/>
    </w:rPr>
  </w:style>
  <w:style w:type="character" w:customStyle="1" w:styleId="ListParagraphChar">
    <w:name w:val="List Paragraph Char"/>
    <w:aliases w:val="Bullet Normal Char,Bullet 1 Char,Colorful List - Accent 11 Char,Dot pt Char,F5 List Paragraph Char,Indicator Text Char,List Paragraph Char Char Char Char,List Paragraph1 Char,List Paragraph12 Char,List Paragraph2 Char,OBC Bullet Char"/>
    <w:basedOn w:val="DefaultParagraphFont"/>
    <w:link w:val="ListParagraph"/>
    <w:uiPriority w:val="34"/>
    <w:qFormat/>
    <w:rsid w:val="00B206F0"/>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B206F0"/>
    <w:rPr>
      <w:color w:val="2B579A"/>
      <w:shd w:val="clear" w:color="auto" w:fill="E1DFDD"/>
    </w:rPr>
  </w:style>
  <w:style w:type="character" w:customStyle="1" w:styleId="ShadedboxtextChar">
    <w:name w:val="Shaded box text Char"/>
    <w:basedOn w:val="DefaultParagraphFont"/>
    <w:link w:val="Shadedboxtext"/>
    <w:rsid w:val="00B206F0"/>
    <w:rPr>
      <w:rFonts w:ascii="Segoe UI" w:eastAsia="Arial Unicode MS" w:hAnsi="Segoe UI"/>
      <w:sz w:val="21"/>
      <w:shd w:val="clear" w:color="auto" w:fill="D9D9D9" w:themeFill="background1" w:themeFillShade="D9"/>
      <w:lang w:eastAsia="en-GB"/>
    </w:rPr>
  </w:style>
  <w:style w:type="paragraph" w:customStyle="1" w:styleId="EndNoteBibliography">
    <w:name w:val="EndNote Bibliography"/>
    <w:basedOn w:val="Normal"/>
    <w:link w:val="EndNoteBibliographyChar"/>
    <w:rsid w:val="00B206F0"/>
    <w:rPr>
      <w:rFonts w:eastAsia="Arial Unicode MS" w:cs="Segoe UI"/>
      <w:noProof/>
      <w:lang w:val="en-GB"/>
    </w:rPr>
  </w:style>
  <w:style w:type="character" w:customStyle="1" w:styleId="EndNoteBibliographyChar">
    <w:name w:val="EndNote Bibliography Char"/>
    <w:basedOn w:val="ShadedboxtextChar"/>
    <w:link w:val="EndNoteBibliography"/>
    <w:rsid w:val="00B206F0"/>
    <w:rPr>
      <w:rFonts w:ascii="Segoe UI" w:eastAsia="Arial Unicode MS" w:hAnsi="Segoe UI" w:cs="Segoe UI"/>
      <w:noProof/>
      <w:sz w:val="21"/>
      <w:shd w:val="clear" w:color="auto" w:fill="D9D9D9" w:themeFill="background1" w:themeFillShade="D9"/>
      <w:lang w:val="en-GB" w:eastAsia="en-GB"/>
    </w:rPr>
  </w:style>
  <w:style w:type="paragraph" w:styleId="NormalWeb">
    <w:name w:val="Normal (Web)"/>
    <w:basedOn w:val="Normal"/>
    <w:uiPriority w:val="99"/>
    <w:unhideWhenUsed/>
    <w:rsid w:val="00B206F0"/>
    <w:pPr>
      <w:spacing w:before="100" w:beforeAutospacing="1" w:after="100" w:afterAutospacing="1"/>
    </w:pPr>
    <w:rPr>
      <w:rFonts w:ascii="Lucida Sans Unicode" w:eastAsia="Lucida Sans Unicode" w:hAnsi="Lucida Sans Unicode" w:cs="Segoe UI"/>
      <w:sz w:val="24"/>
      <w:szCs w:val="24"/>
      <w:lang w:eastAsia="en-NZ"/>
    </w:rPr>
  </w:style>
  <w:style w:type="paragraph" w:customStyle="1" w:styleId="def-p-margin">
    <w:name w:val="def-p-margin"/>
    <w:basedOn w:val="Normal"/>
    <w:rsid w:val="00B206F0"/>
    <w:pPr>
      <w:spacing w:before="100" w:beforeAutospacing="1" w:after="100" w:afterAutospacing="1"/>
    </w:pPr>
    <w:rPr>
      <w:rFonts w:ascii="Lucida Sans Unicode" w:eastAsia="Lucida Sans Unicode" w:hAnsi="Lucida Sans Unicode" w:cs="Segoe UI"/>
      <w:sz w:val="24"/>
      <w:szCs w:val="24"/>
      <w:lang w:eastAsia="en-NZ"/>
    </w:rPr>
  </w:style>
  <w:style w:type="paragraph" w:customStyle="1" w:styleId="Default">
    <w:name w:val="Default"/>
    <w:rsid w:val="00B206F0"/>
    <w:pPr>
      <w:autoSpaceDE w:val="0"/>
      <w:autoSpaceDN w:val="0"/>
      <w:adjustRightInd w:val="0"/>
    </w:pPr>
    <w:rPr>
      <w:rFonts w:ascii="Arial Mäori" w:eastAsia="Lucida Sans Unicode" w:hAnsi="Arial Mäori" w:cs="Arial Mäori"/>
      <w:color w:val="000000"/>
      <w:sz w:val="24"/>
      <w:szCs w:val="24"/>
    </w:rPr>
  </w:style>
  <w:style w:type="table" w:styleId="ListTable6Colorful-Accent1">
    <w:name w:val="List Table 6 Colorful Accent 1"/>
    <w:basedOn w:val="TableNormal"/>
    <w:uiPriority w:val="51"/>
    <w:rsid w:val="00B206F0"/>
    <w:rPr>
      <w:rFonts w:ascii="Lucida Sans Unicode" w:eastAsia="Lucida Sans Unicode" w:hAnsi="Lucida Sans Unicode" w:cs="Lucida Sans Unicode"/>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1">
    <w:name w:val="Grid Table 1 Light1"/>
    <w:basedOn w:val="TableNormal"/>
    <w:next w:val="GridTable1Light"/>
    <w:uiPriority w:val="46"/>
    <w:rsid w:val="00B206F0"/>
    <w:rPr>
      <w:rFonts w:ascii="Arial Mäori" w:eastAsia="Arial Mäori" w:hAnsi="Arial Mäori" w:cs="Segoe UI Semibold"/>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B206F0"/>
    <w:rPr>
      <w:rFonts w:ascii="Lucida Sans Unicode" w:eastAsia="Lucida Sans Unicode" w:hAnsi="Lucida Sans Unicode" w:cs="Lucida Sans Unico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1">
    <w:name w:val="p1"/>
    <w:basedOn w:val="Normal"/>
    <w:rsid w:val="00B206F0"/>
    <w:rPr>
      <w:rFonts w:ascii="Cambria Math" w:eastAsiaTheme="minorHAnsi" w:hAnsi="Cambria Math" w:cs="Arial Mäori"/>
      <w:color w:val="333666"/>
      <w:sz w:val="14"/>
      <w:szCs w:val="14"/>
      <w:lang w:eastAsia="en-NZ"/>
    </w:rPr>
  </w:style>
  <w:style w:type="paragraph" w:customStyle="1" w:styleId="CabStandard">
    <w:name w:val="CabStandard"/>
    <w:basedOn w:val="Normal"/>
    <w:rsid w:val="00B206F0"/>
    <w:pPr>
      <w:numPr>
        <w:numId w:val="35"/>
      </w:numPr>
      <w:tabs>
        <w:tab w:val="num" w:pos="360"/>
      </w:tabs>
      <w:spacing w:after="240"/>
      <w:ind w:left="0"/>
    </w:pPr>
    <w:rPr>
      <w:rFonts w:ascii="Lucida Sans Unicode" w:eastAsia="Lucida Sans Unicode" w:hAnsi="Lucida Sans Unicode" w:cs="Segoe UI"/>
      <w:sz w:val="24"/>
      <w:lang w:val="en-GB" w:eastAsia="ja-JP"/>
    </w:rPr>
  </w:style>
  <w:style w:type="paragraph" w:customStyle="1" w:styleId="CabStd">
    <w:name w:val="CabStd"/>
    <w:basedOn w:val="CabStandard"/>
    <w:link w:val="CabStdChar"/>
    <w:uiPriority w:val="1"/>
    <w:qFormat/>
    <w:rsid w:val="00B206F0"/>
    <w:pPr>
      <w:keepLines/>
    </w:pPr>
    <w:rPr>
      <w:rFonts w:ascii="Segoe UI Semibold" w:hAnsi="Segoe UI Semibold" w:cs="Segoe UI Semibold"/>
    </w:rPr>
  </w:style>
  <w:style w:type="character" w:customStyle="1" w:styleId="CabStdChar">
    <w:name w:val="CabStd Char"/>
    <w:basedOn w:val="DefaultParagraphFont"/>
    <w:link w:val="CabStd"/>
    <w:uiPriority w:val="1"/>
    <w:rsid w:val="00B206F0"/>
    <w:rPr>
      <w:rFonts w:ascii="Segoe UI Semibold" w:eastAsia="Lucida Sans Unicode" w:hAnsi="Segoe UI Semibold" w:cs="Segoe UI Semibold"/>
      <w:sz w:val="24"/>
      <w:lang w:val="en-GB" w:eastAsia="ja-JP"/>
    </w:rPr>
  </w:style>
  <w:style w:type="character" w:customStyle="1" w:styleId="eop">
    <w:name w:val="eop"/>
    <w:basedOn w:val="DefaultParagraphFont"/>
    <w:rsid w:val="00B206F0"/>
  </w:style>
  <w:style w:type="paragraph" w:customStyle="1" w:styleId="ReportBody-MOH">
    <w:name w:val="Report Body - MOH"/>
    <w:basedOn w:val="Normal"/>
    <w:link w:val="ReportBody-MOHChar"/>
    <w:qFormat/>
    <w:rsid w:val="00B206F0"/>
    <w:pPr>
      <w:numPr>
        <w:numId w:val="36"/>
      </w:numPr>
      <w:spacing w:before="120" w:after="120"/>
      <w:ind w:right="284"/>
    </w:pPr>
    <w:rPr>
      <w:rFonts w:eastAsia="Lucida Sans Unicode" w:cs="Segoe UI Semibold"/>
      <w:kern w:val="22"/>
      <w:sz w:val="22"/>
      <w:szCs w:val="22"/>
      <w:lang w:eastAsia="en-NZ"/>
    </w:rPr>
  </w:style>
  <w:style w:type="paragraph" w:customStyle="1" w:styleId="ReportBody2-MOH">
    <w:name w:val="Report Body 2 - MOH"/>
    <w:basedOn w:val="ReportBody-MOH"/>
    <w:qFormat/>
    <w:rsid w:val="00B206F0"/>
    <w:pPr>
      <w:numPr>
        <w:ilvl w:val="1"/>
      </w:numPr>
      <w:tabs>
        <w:tab w:val="num" w:pos="284"/>
        <w:tab w:val="num" w:pos="360"/>
        <w:tab w:val="num" w:pos="644"/>
      </w:tabs>
      <w:ind w:left="567" w:hanging="283"/>
    </w:pPr>
  </w:style>
  <w:style w:type="character" w:customStyle="1" w:styleId="ReportBody-MOHChar">
    <w:name w:val="Report Body - MOH Char"/>
    <w:basedOn w:val="DefaultParagraphFont"/>
    <w:link w:val="ReportBody-MOH"/>
    <w:rsid w:val="00B206F0"/>
    <w:rPr>
      <w:rFonts w:ascii="Segoe UI" w:eastAsia="Lucida Sans Unicode" w:hAnsi="Segoe UI" w:cs="Segoe UI Semibold"/>
      <w:kern w:val="22"/>
      <w:sz w:val="22"/>
      <w:szCs w:val="22"/>
    </w:rPr>
  </w:style>
  <w:style w:type="paragraph" w:customStyle="1" w:styleId="EndNoteBibliographyTitle">
    <w:name w:val="EndNote Bibliography Title"/>
    <w:basedOn w:val="Normal"/>
    <w:link w:val="EndNoteBibliographyTitleChar"/>
    <w:rsid w:val="00B206F0"/>
    <w:pPr>
      <w:jc w:val="center"/>
    </w:pPr>
    <w:rPr>
      <w:rFonts w:eastAsia="Lucida Sans Unicode" w:cs="Segoe UI"/>
      <w:noProof/>
      <w:sz w:val="20"/>
      <w:lang w:val="en-GB"/>
    </w:rPr>
  </w:style>
  <w:style w:type="character" w:customStyle="1" w:styleId="EndNoteBibliographyTitleChar">
    <w:name w:val="EndNote Bibliography Title Char"/>
    <w:basedOn w:val="DefaultParagraphFont"/>
    <w:link w:val="EndNoteBibliographyTitle"/>
    <w:rsid w:val="00B206F0"/>
    <w:rPr>
      <w:rFonts w:ascii="Segoe UI" w:eastAsia="Lucida Sans Unicode" w:hAnsi="Segoe UI" w:cs="Segoe UI"/>
      <w:noProof/>
      <w:lang w:val="en-GB" w:eastAsia="en-GB"/>
    </w:rPr>
  </w:style>
  <w:style w:type="character" w:styleId="Strong">
    <w:name w:val="Strong"/>
    <w:basedOn w:val="DefaultParagraphFont"/>
    <w:uiPriority w:val="22"/>
    <w:qFormat/>
    <w:rsid w:val="00B206F0"/>
    <w:rPr>
      <w:b/>
      <w:bCs/>
    </w:rPr>
  </w:style>
  <w:style w:type="paragraph" w:styleId="EndnoteText">
    <w:name w:val="endnote text"/>
    <w:basedOn w:val="Normal"/>
    <w:link w:val="EndnoteTextChar"/>
    <w:uiPriority w:val="99"/>
    <w:semiHidden/>
    <w:unhideWhenUsed/>
    <w:rsid w:val="00B206F0"/>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semiHidden/>
    <w:rsid w:val="00B206F0"/>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B206F0"/>
    <w:rPr>
      <w:vertAlign w:val="superscript"/>
    </w:rPr>
  </w:style>
  <w:style w:type="character" w:styleId="Emphasis">
    <w:name w:val="Emphasis"/>
    <w:basedOn w:val="DefaultParagraphFont"/>
    <w:uiPriority w:val="20"/>
    <w:qFormat/>
    <w:rsid w:val="00B206F0"/>
    <w:rPr>
      <w:i/>
      <w:iCs/>
    </w:rPr>
  </w:style>
  <w:style w:type="paragraph" w:styleId="TableofFigures">
    <w:name w:val="table of figures"/>
    <w:basedOn w:val="Normal"/>
    <w:next w:val="Normal"/>
    <w:uiPriority w:val="99"/>
    <w:unhideWhenUsed/>
    <w:rsid w:val="00963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1" Type="http://schemas.openxmlformats.org/officeDocument/2006/relationships/header" Target="header4.xml"/><Relationship Id="rId42" Type="http://schemas.openxmlformats.org/officeDocument/2006/relationships/image" Target="media/image11.png"/><Relationship Id="rId63" Type="http://schemas.openxmlformats.org/officeDocument/2006/relationships/image" Target="media/image26.png"/><Relationship Id="rId84" Type="http://schemas.openxmlformats.org/officeDocument/2006/relationships/image" Target="media/image41.png"/><Relationship Id="rId138" Type="http://schemas.openxmlformats.org/officeDocument/2006/relationships/hyperlink" Target="https://www.hri.org.nz/health/learn/cardiovascular-disease/diabetes" TargetMode="External"/><Relationship Id="rId159" Type="http://schemas.openxmlformats.org/officeDocument/2006/relationships/hyperlink" Target="https://www.health.govt.nz/our-work/primary-health-care/about-primary-health-organisations/enrolment-general-practice-and-primary-health-organisation" TargetMode="External"/><Relationship Id="rId170" Type="http://schemas.openxmlformats.org/officeDocument/2006/relationships/hyperlink" Target="https://www.health.govt.nz/publication/national-booking-reporting-system-data-dictionary" TargetMode="External"/><Relationship Id="rId191" Type="http://schemas.openxmlformats.org/officeDocument/2006/relationships/hyperlink" Target="https://hcmsitesstorage.blob.core.windows.net/cca/assets/Cancer_Prevention_V12_7_April22_05c46c078b.pdf" TargetMode="External"/><Relationship Id="rId196" Type="http://schemas.openxmlformats.org/officeDocument/2006/relationships/hyperlink" Target="https://www.who.int/publications/i/item/WHO-MSD-MSB-01.6a" TargetMode="External"/><Relationship Id="rId200" Type="http://schemas.openxmlformats.org/officeDocument/2006/relationships/hyperlink" Target="https://www.who.int/news/item/05-05-2022-14.9-million-excess-deaths-were-associated-with-the-covid-19-pandemic-in-2020-and-2021" TargetMode="External"/><Relationship Id="rId16" Type="http://schemas.openxmlformats.org/officeDocument/2006/relationships/footer" Target="footer3.xml"/><Relationship Id="rId107" Type="http://schemas.openxmlformats.org/officeDocument/2006/relationships/image" Target="media/image54.png"/><Relationship Id="rId11" Type="http://schemas.openxmlformats.org/officeDocument/2006/relationships/header" Target="header1.xml"/><Relationship Id="rId32" Type="http://schemas.openxmlformats.org/officeDocument/2006/relationships/hyperlink" Target="https://minhealthnz.shinyapps.io/populations-web-tool/" TargetMode="External"/><Relationship Id="rId37" Type="http://schemas.openxmlformats.org/officeDocument/2006/relationships/hyperlink" Target="http://ghdx.healthdata.org/gbd-results-tool" TargetMode="External"/><Relationship Id="rId53" Type="http://schemas.openxmlformats.org/officeDocument/2006/relationships/image" Target="media/image18.png"/><Relationship Id="rId58" Type="http://schemas.openxmlformats.org/officeDocument/2006/relationships/hyperlink" Target="https://minhealthnz.shinyapps.io/nz-health-survey-2020-21-annual-data-explorer/_w_871f0fb8/" TargetMode="External"/><Relationship Id="rId74" Type="http://schemas.openxmlformats.org/officeDocument/2006/relationships/hyperlink" Target="https://minhealthnz.shinyapps.io/report-on-maternity-web-tool/" TargetMode="External"/><Relationship Id="rId79" Type="http://schemas.openxmlformats.org/officeDocument/2006/relationships/image" Target="media/image38.png"/><Relationship Id="rId102" Type="http://schemas.openxmlformats.org/officeDocument/2006/relationships/image" Target="media/image51.png"/><Relationship Id="rId123" Type="http://schemas.openxmlformats.org/officeDocument/2006/relationships/image" Target="media/image63.png"/><Relationship Id="rId128" Type="http://schemas.openxmlformats.org/officeDocument/2006/relationships/hyperlink" Target="https://www.cdc.gov/rsv/high-risk/infants-young-children.html" TargetMode="External"/><Relationship Id="rId144" Type="http://schemas.openxmlformats.org/officeDocument/2006/relationships/hyperlink" Target="https://www.health.govt.nz/system/files/documents/publications/reducineqal.pdf" TargetMode="External"/><Relationship Id="rId149" Type="http://schemas.openxmlformats.org/officeDocument/2006/relationships/hyperlink" Target="https://mohgovtnz-my.sharepoint.com/personal/leonie_pritchard_health_govt_nz1/Documents/Documents/Health%20and%20Independence%20Report%202021/www.health.govt.nz/publication/methodology-report-2019-20-new-zealand-health-survey" TargetMode="External"/><Relationship Id="rId5" Type="http://schemas.openxmlformats.org/officeDocument/2006/relationships/numbering" Target="numbering.xml"/><Relationship Id="rId90" Type="http://schemas.openxmlformats.org/officeDocument/2006/relationships/image" Target="media/image44.png"/><Relationship Id="rId95" Type="http://schemas.openxmlformats.org/officeDocument/2006/relationships/hyperlink" Target="https://minhealthnz.shinyapps.io/nsu-ncsp-coverage/" TargetMode="External"/><Relationship Id="rId160" Type="http://schemas.openxmlformats.org/officeDocument/2006/relationships/hyperlink" Target="https://www.health.govt.nz/publication/evaluation-maori-influenza-and-measles-vaccination-programme-pursuit-maori-health-equity" TargetMode="External"/><Relationship Id="rId165" Type="http://schemas.openxmlformats.org/officeDocument/2006/relationships/hyperlink" Target="https://www.health.govt.nz/our-work/preventative-health-wellness/immunisation" TargetMode="External"/><Relationship Id="rId181" Type="http://schemas.openxmlformats.org/officeDocument/2006/relationships/hyperlink" Target="https://mohgovtnz-my.sharepoint.com/personal/leonie_pritchard_health_govt_nz1/Documents/Documents/Health%20and%20Independence%20Report%202021/www.stats.govt.nz/information-releases/national-and-subnational-period-life-tables-2017-2019" TargetMode="External"/><Relationship Id="rId186" Type="http://schemas.openxmlformats.org/officeDocument/2006/relationships/hyperlink" Target="https://www.stats.govt.nz/information-releases/national-population-estimates-at-31-december-2021-infoshare-tables/" TargetMode="External"/><Relationship Id="rId22" Type="http://schemas.openxmlformats.org/officeDocument/2006/relationships/header" Target="header5.xml"/><Relationship Id="rId27" Type="http://schemas.openxmlformats.org/officeDocument/2006/relationships/image" Target="media/image6.png"/><Relationship Id="rId43" Type="http://schemas.openxmlformats.org/officeDocument/2006/relationships/hyperlink" Target="https://minhealthnz.shinyapps.io/nz-health-survey-2020-21-annual-data-explorer/_w_871f0fb8/" TargetMode="External"/><Relationship Id="rId48" Type="http://schemas.openxmlformats.org/officeDocument/2006/relationships/hyperlink" Target="https://minhealthnz.shinyapps.io/nz-health-survey-2020-21-annual-data-explorer/_w_871f0fb8/" TargetMode="External"/><Relationship Id="rId64" Type="http://schemas.openxmlformats.org/officeDocument/2006/relationships/image" Target="media/image27.png"/><Relationship Id="rId69" Type="http://schemas.openxmlformats.org/officeDocument/2006/relationships/image" Target="media/image32.png"/><Relationship Id="rId113" Type="http://schemas.openxmlformats.org/officeDocument/2006/relationships/image" Target="media/image56.png"/><Relationship Id="rId118" Type="http://schemas.openxmlformats.org/officeDocument/2006/relationships/hyperlink" Target="https://minhealthnz2.shinyapps.io/ESPI-app/" TargetMode="External"/><Relationship Id="rId134" Type="http://schemas.openxmlformats.org/officeDocument/2006/relationships/hyperlink" Target="https://www.healthnavigator.org.nz/health-a-z/r/respiratory-syncytial-virus-rsv-infection/" TargetMode="External"/><Relationship Id="rId139" Type="http://schemas.openxmlformats.org/officeDocument/2006/relationships/hyperlink" Target="https://www.healthdata.org/new-zealand" TargetMode="External"/><Relationship Id="rId80" Type="http://schemas.openxmlformats.org/officeDocument/2006/relationships/image" Target="media/image39.png"/><Relationship Id="rId85" Type="http://schemas.openxmlformats.org/officeDocument/2006/relationships/hyperlink" Target="https://www.health.govt.nz/our-work/preventative-health-wellness/immunisation/immunisation-coverage/national-and-dhb-immunisation-data" TargetMode="External"/><Relationship Id="rId150" Type="http://schemas.openxmlformats.org/officeDocument/2006/relationships/hyperlink" Target="https://www.health.govt.nz/our-work/preventative-health-wellness/immunisation/new-zealand-immunisation-schedule" TargetMode="External"/><Relationship Id="rId155" Type="http://schemas.openxmlformats.org/officeDocument/2006/relationships/hyperlink" Target="https://www.health.govt.nz/covid-19-novel-coronavirus/covid-19-response-planning/covid-19-minimisation-and-protection-strategy-aotearoa-new-zealand" TargetMode="External"/><Relationship Id="rId171" Type="http://schemas.openxmlformats.org/officeDocument/2006/relationships/hyperlink" Target="https://minhealthnz.shinyapps.io/nsu-bsp-index/" TargetMode="External"/><Relationship Id="rId176" Type="http://schemas.openxmlformats.org/officeDocument/2006/relationships/hyperlink" Target="https://www.nsu.govt.nz/news/national-cervical-screening-programme-sector-update-april-2022" TargetMode="External"/><Relationship Id="rId192" Type="http://schemas.openxmlformats.org/officeDocument/2006/relationships/hyperlink" Target="https://www.tewhatuora.govt.nz/about-us/news-and-updates/updated-health-user-information-informs-covid-19-vaccination-programme/" TargetMode="External"/><Relationship Id="rId197" Type="http://schemas.openxmlformats.org/officeDocument/2006/relationships/hyperlink" Target="https://www.who.int/news-room/questions-and-answers/item/determinants-of-health" TargetMode="External"/><Relationship Id="rId201" Type="http://schemas.openxmlformats.org/officeDocument/2006/relationships/hyperlink" Target="https://covid19.who.int/" TargetMode="External"/><Relationship Id="rId12" Type="http://schemas.openxmlformats.org/officeDocument/2006/relationships/footer" Target="footer1.xml"/><Relationship Id="rId17" Type="http://schemas.openxmlformats.org/officeDocument/2006/relationships/header" Target="header2.xml"/><Relationship Id="rId33" Type="http://schemas.openxmlformats.org/officeDocument/2006/relationships/header" Target="header6.xml"/><Relationship Id="rId38" Type="http://schemas.openxmlformats.org/officeDocument/2006/relationships/image" Target="media/image9.png"/><Relationship Id="rId59" Type="http://schemas.openxmlformats.org/officeDocument/2006/relationships/image" Target="media/image22.png"/><Relationship Id="rId103" Type="http://schemas.openxmlformats.org/officeDocument/2006/relationships/image" Target="media/image52.png"/><Relationship Id="rId108" Type="http://schemas.openxmlformats.org/officeDocument/2006/relationships/image" Target="media/image55.png"/><Relationship Id="rId124" Type="http://schemas.openxmlformats.org/officeDocument/2006/relationships/hyperlink" Target="https://infoshare.stats.govt.nz/infoshare/Default.aspx" TargetMode="External"/><Relationship Id="rId129" Type="http://schemas.openxmlformats.org/officeDocument/2006/relationships/hyperlink" Target="https://www.educationcounts.govt.nz/statistics/tertiary-participation" TargetMode="External"/><Relationship Id="rId54" Type="http://schemas.openxmlformats.org/officeDocument/2006/relationships/image" Target="media/image19.png"/><Relationship Id="rId70" Type="http://schemas.openxmlformats.org/officeDocument/2006/relationships/hyperlink" Target="https://minhealthnz.shinyapps.io/report-on-maternity-web-tool/" TargetMode="External"/><Relationship Id="rId75" Type="http://schemas.openxmlformats.org/officeDocument/2006/relationships/image" Target="media/image35.png"/><Relationship Id="rId91" Type="http://schemas.openxmlformats.org/officeDocument/2006/relationships/hyperlink" Target="https://teaho.govt.nz/reports/cancer-state" TargetMode="External"/><Relationship Id="rId96" Type="http://schemas.openxmlformats.org/officeDocument/2006/relationships/image" Target="media/image47.png"/><Relationship Id="rId140" Type="http://schemas.openxmlformats.org/officeDocument/2006/relationships/hyperlink" Target="http://ghdx.healthdata.org/gbd-results-tool" TargetMode="External"/><Relationship Id="rId145" Type="http://schemas.openxmlformats.org/officeDocument/2006/relationships/hyperlink" Target="https://www.health.govt.nz/new-zealand-health-system/publicly-funded-health-and-disability-services/pregnancy-services" TargetMode="External"/><Relationship Id="rId161" Type="http://schemas.openxmlformats.org/officeDocument/2006/relationships/hyperlink" Target="https://www.health.govt.nz/system/files/documents/publications/further-information-about-the-hsu-dataset-and-review-4aug22.pdf" TargetMode="External"/><Relationship Id="rId166" Type="http://schemas.openxmlformats.org/officeDocument/2006/relationships/hyperlink" Target="https://minhealthnz.shinyapps.io/report-on-maternity-web-tool/" TargetMode="External"/><Relationship Id="rId182" Type="http://schemas.openxmlformats.org/officeDocument/2006/relationships/hyperlink" Target="https://www.stats.govt.nz/news/net-migration-dips-into-the-negative" TargetMode="External"/><Relationship Id="rId187" Type="http://schemas.openxmlformats.org/officeDocument/2006/relationships/hyperlink" Target="https://www.stats.govt.nz/reports/review-of-health-service-user-population-methodology/"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6.xml"/><Relationship Id="rId28" Type="http://schemas.openxmlformats.org/officeDocument/2006/relationships/hyperlink" Target="https://minhealthnz.shinyapps.io/report-on-maternity-web-tool/" TargetMode="External"/><Relationship Id="rId49" Type="http://schemas.openxmlformats.org/officeDocument/2006/relationships/image" Target="media/image15.png"/><Relationship Id="rId114" Type="http://schemas.openxmlformats.org/officeDocument/2006/relationships/image" Target="media/image57.png"/><Relationship Id="rId119" Type="http://schemas.openxmlformats.org/officeDocument/2006/relationships/image" Target="media/image61.png"/><Relationship Id="rId44" Type="http://schemas.openxmlformats.org/officeDocument/2006/relationships/image" Target="media/image12.png"/><Relationship Id="rId60" Type="http://schemas.openxmlformats.org/officeDocument/2006/relationships/image" Target="media/image23.png"/><Relationship Id="rId65" Type="http://schemas.openxmlformats.org/officeDocument/2006/relationships/image" Target="media/image28.png"/><Relationship Id="rId81" Type="http://schemas.openxmlformats.org/officeDocument/2006/relationships/image" Target="media/image40.png"/><Relationship Id="rId86" Type="http://schemas.openxmlformats.org/officeDocument/2006/relationships/image" Target="media/image42.png"/><Relationship Id="rId130" Type="http://schemas.openxmlformats.org/officeDocument/2006/relationships/hyperlink" Target="https://blogs.otago.ac.nz/pubhealthexpert/what-does-the-2019-20-nz-health-survey-tell-us-about-progress-towards-a-smokefree-aotearoa/" TargetMode="External"/><Relationship Id="rId135" Type="http://schemas.openxmlformats.org/officeDocument/2006/relationships/hyperlink" Target="https://mohgovtnz-my.sharepoint.com/personal/leonie_pritchard_health_govt_nz1/Documents/Documents/Health%20and%20Independence%20Report%202021/www.hqsc.govt.nz/our-programmes/health-quality-evaluation/publications-and-resources/publication/3721/" TargetMode="External"/><Relationship Id="rId151" Type="http://schemas.openxmlformats.org/officeDocument/2006/relationships/hyperlink" Target="https://www.health.govt.nz/system/files/documents/publications/web3-kia-manawanui-aotearoa-v9_0.pdf" TargetMode="External"/><Relationship Id="rId156" Type="http://schemas.openxmlformats.org/officeDocument/2006/relationships/hyperlink" Target="https://www.health.govt.nz/covid-19-novel-coronavirus/covid-19-vaccines/covid-19-vaccine-information-health-professionals/covid-19-vaccine-strategy-planning-insights/covid-19-supporting-vaccine-rollout" TargetMode="External"/><Relationship Id="rId177" Type="http://schemas.openxmlformats.org/officeDocument/2006/relationships/hyperlink" Target="https://nsfl.health.govt.nz/accountability/performance-and-monitoring/data-quarterly-reports-and-reporting/ambulatory-sensitive" TargetMode="External"/><Relationship Id="rId198" Type="http://schemas.openxmlformats.org/officeDocument/2006/relationships/hyperlink" Target="https://www.who.int/publications/i/item/9789240001299" TargetMode="External"/><Relationship Id="rId172" Type="http://schemas.openxmlformats.org/officeDocument/2006/relationships/hyperlink" Target="https://minhealthnz.shinyapps.io/nsu-ncsp-coverage/" TargetMode="External"/><Relationship Id="rId193" Type="http://schemas.openxmlformats.org/officeDocument/2006/relationships/hyperlink" Target="https://covid.immune.org.nz/covid-19-vaccines-nz/getting-vaccinated/5-11-years-old-covid-resources" TargetMode="External"/><Relationship Id="rId202" Type="http://schemas.openxmlformats.org/officeDocument/2006/relationships/fontTable" Target="fontTable.xml"/><Relationship Id="rId13" Type="http://schemas.openxmlformats.org/officeDocument/2006/relationships/image" Target="media/image3.jpeg"/><Relationship Id="rId18" Type="http://schemas.openxmlformats.org/officeDocument/2006/relationships/header" Target="header3.xml"/><Relationship Id="rId39" Type="http://schemas.openxmlformats.org/officeDocument/2006/relationships/hyperlink" Target="https://www.health.govt.nz/publication/mortality-web-tool" TargetMode="External"/><Relationship Id="rId109" Type="http://schemas.openxmlformats.org/officeDocument/2006/relationships/hyperlink" Target="https://nsfl.health.govt.nz/accountability/performance-and-monitoring/data-quarterly-reports-and-reporting/inpatient-average" TargetMode="External"/><Relationship Id="rId34" Type="http://schemas.openxmlformats.org/officeDocument/2006/relationships/footer" Target="footer10.xml"/><Relationship Id="rId50" Type="http://schemas.openxmlformats.org/officeDocument/2006/relationships/image" Target="media/image16.png"/><Relationship Id="rId55" Type="http://schemas.openxmlformats.org/officeDocument/2006/relationships/hyperlink" Target="https://minhealthnz.shinyapps.io/nz-health-survey-2020-21-annual-data-explorer/_w_871f0fb8/" TargetMode="External"/><Relationship Id="rId76" Type="http://schemas.openxmlformats.org/officeDocument/2006/relationships/hyperlink" Target="https://minhealthnz.shinyapps.io/report-on-maternity-web-tool/" TargetMode="External"/><Relationship Id="rId97" Type="http://schemas.openxmlformats.org/officeDocument/2006/relationships/image" Target="media/image48.png"/><Relationship Id="rId104" Type="http://schemas.openxmlformats.org/officeDocument/2006/relationships/hyperlink" Target="https://nsfl.health.govt.nz/accountability/performance-and-monitoring/data-quarterly-reports-and-reporting/ambulatory-sensitive" TargetMode="External"/><Relationship Id="rId120" Type="http://schemas.openxmlformats.org/officeDocument/2006/relationships/image" Target="media/image62.png"/><Relationship Id="rId125" Type="http://schemas.openxmlformats.org/officeDocument/2006/relationships/hyperlink" Target="https://www.health.govt.nz/publication/response-stats-nz-recommendations-health-service-user-dataset" TargetMode="External"/><Relationship Id="rId141" Type="http://schemas.openxmlformats.org/officeDocument/2006/relationships/hyperlink" Target="https://www.mcnz.org.nz/assets/Publications/Workforce-Survey/d9d2757aad/Workforce-Survey-Report-2021.pdf" TargetMode="External"/><Relationship Id="rId146" Type="http://schemas.openxmlformats.org/officeDocument/2006/relationships/hyperlink" Target="https://mohgovtnz-my.sharepoint.com/personal/leonie_pritchard_health_govt_nz1/Documents/Documents/Health%20and%20Independence%20Report%202021/www.health.govt.nz/nz-health-statistics/health-statistics-and-data-sets/oral-health-data-and-stats/age-5-and-year-8-oral-health-data-community-oral-health-service" TargetMode="External"/><Relationship Id="rId167" Type="http://schemas.openxmlformats.org/officeDocument/2006/relationships/hyperlink" Target="https://www.health.govt.nz/our-work/mental-health-and-addiction/mental-health-and-addiction-monitoring-reporting-and-data" TargetMode="External"/><Relationship Id="rId188" Type="http://schemas.openxmlformats.org/officeDocument/2006/relationships/hyperlink" Target="http://infoshare.stats.govt.nz/Default.aspx" TargetMode="External"/><Relationship Id="rId7" Type="http://schemas.openxmlformats.org/officeDocument/2006/relationships/settings" Target="settings.xml"/><Relationship Id="rId71" Type="http://schemas.openxmlformats.org/officeDocument/2006/relationships/image" Target="media/image33.png"/><Relationship Id="rId92" Type="http://schemas.openxmlformats.org/officeDocument/2006/relationships/image" Target="media/image45.png"/><Relationship Id="rId162" Type="http://schemas.openxmlformats.org/officeDocument/2006/relationships/hyperlink" Target="https://www.health.govt.nz/new-zealand-health-system/health-system-indicators-framework" TargetMode="External"/><Relationship Id="rId183" Type="http://schemas.openxmlformats.org/officeDocument/2006/relationships/hyperlink" Target="https://www.stats.govt.nz/news/new-zealands-birth-rate-lowest-on-record-deaths-drop-in-2020"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footer" Target="footer7.xml"/><Relationship Id="rId40" Type="http://schemas.openxmlformats.org/officeDocument/2006/relationships/image" Target="media/image10.png"/><Relationship Id="rId45" Type="http://schemas.openxmlformats.org/officeDocument/2006/relationships/hyperlink" Target="https://minhealthnz.shinyapps.io/populations-web-tool/" TargetMode="External"/><Relationship Id="rId66" Type="http://schemas.openxmlformats.org/officeDocument/2006/relationships/image" Target="media/image29.png"/><Relationship Id="rId87" Type="http://schemas.openxmlformats.org/officeDocument/2006/relationships/hyperlink" Target="https://teaho.govt.nz/reports/cancer-state" TargetMode="External"/><Relationship Id="rId110" Type="http://schemas.openxmlformats.org/officeDocument/2006/relationships/header" Target="header7.xml"/><Relationship Id="rId115" Type="http://schemas.openxmlformats.org/officeDocument/2006/relationships/image" Target="media/image58.png"/><Relationship Id="rId131" Type="http://schemas.openxmlformats.org/officeDocument/2006/relationships/hyperlink" Target="https://www.ehinz.ac.nz/assets/Factsheets/Oral-health-of-children-FS.pdf" TargetMode="External"/><Relationship Id="rId136" Type="http://schemas.openxmlformats.org/officeDocument/2006/relationships/hyperlink" Target="https://mohgovtnz-my.sharepoint.com/personal/leonie_pritchard_health_govt_nz1/Documents/Documents/Health%20and%20Independence%20Report%202021/www.hqsc.govt.nz/our-programmes/health-quality-evaluation/publications-and-resources/publication/4299/" TargetMode="External"/><Relationship Id="rId157" Type="http://schemas.openxmlformats.org/officeDocument/2006/relationships/hyperlink" Target="https://www.health.govt.nz/covid-19-novel-coronavirus/covid-19-data-and-statistics/covid-19-vaccine-data" TargetMode="External"/><Relationship Id="rId178" Type="http://schemas.openxmlformats.org/officeDocument/2006/relationships/hyperlink" Target="https://nsfl.health.govt.nz/accountability/performance-and-monitoring/data-quarterly-reports-and-reporting/inpatient-average" TargetMode="External"/><Relationship Id="rId61" Type="http://schemas.openxmlformats.org/officeDocument/2006/relationships/image" Target="media/image24.png"/><Relationship Id="rId82" Type="http://schemas.openxmlformats.org/officeDocument/2006/relationships/hyperlink" Target="http://www.health.govt.nz/nz-health-statistics/health-statistics-and-data-sets/oral-health-data-and-stats/age-5-and-year-8-oral-health-data-community-oral-health-service" TargetMode="External"/><Relationship Id="rId152" Type="http://schemas.openxmlformats.org/officeDocument/2006/relationships/hyperlink" Target="https://www.health.govt.nz/our-work/preventative-health-wellness/immunisation/new-zealand-immunisation-schedule/2020-immunisation-schedule-changes" TargetMode="External"/><Relationship Id="rId173" Type="http://schemas.openxmlformats.org/officeDocument/2006/relationships/hyperlink" Target="https://mohgovtnz-my.sharepoint.com/personal/leonie_pritchard_health_govt_nz1/Documents/Documents/Health%20and%20Independence%20Report%202021/www.health.govt.nz/our-work/preventative-health-wellness/immunisation/national-immunisation-register" TargetMode="External"/><Relationship Id="rId194" Type="http://schemas.openxmlformats.org/officeDocument/2006/relationships/hyperlink" Target="https://www.immune.org.nz/diseases/human-papillomavirus-hpv" TargetMode="External"/><Relationship Id="rId199" Type="http://schemas.openxmlformats.org/officeDocument/2006/relationships/hyperlink" Target="https://www.who.int/news-room/fact-sheets/detail/obesity-and-overweight" TargetMode="External"/><Relationship Id="rId203"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image" Target="media/image4.png"/><Relationship Id="rId30" Type="http://schemas.openxmlformats.org/officeDocument/2006/relationships/hyperlink" Target="https://minhealthnz.shinyapps.io/report-on-maternity-web-tool/" TargetMode="External"/><Relationship Id="rId35" Type="http://schemas.openxmlformats.org/officeDocument/2006/relationships/footer" Target="footer11.xml"/><Relationship Id="rId56" Type="http://schemas.openxmlformats.org/officeDocument/2006/relationships/image" Target="media/image20.png"/><Relationship Id="rId77" Type="http://schemas.openxmlformats.org/officeDocument/2006/relationships/image" Target="media/image36.png"/><Relationship Id="rId100" Type="http://schemas.openxmlformats.org/officeDocument/2006/relationships/image" Target="media/image49.png"/><Relationship Id="rId105" Type="http://schemas.openxmlformats.org/officeDocument/2006/relationships/image" Target="media/image53.png"/><Relationship Id="rId126" Type="http://schemas.openxmlformats.org/officeDocument/2006/relationships/hyperlink" Target="http://hdl.handle.net/10523/12052" TargetMode="External"/><Relationship Id="rId147" Type="http://schemas.openxmlformats.org/officeDocument/2006/relationships/hyperlink" Target="https://mohgovtnz-my.sharepoint.com/personal/leonie_pritchard_health_govt_nz1/Documents/Documents/Health%20and%20Independence%20Report%202021/www.health.govt.nz/publication/eating-and-activity-guidelines-new-zealand-adults" TargetMode="External"/><Relationship Id="rId168" Type="http://schemas.openxmlformats.org/officeDocument/2006/relationships/hyperlink" Target="https://mohgovtnz-my.sharepoint.com/personal/leonie_pritchard_health_govt_nz1/Documents/Documents/Health%20and%20Independence%20Report%202021/www.health.govt.nz/publication/mortality-web-tool" TargetMode="External"/><Relationship Id="rId8" Type="http://schemas.openxmlformats.org/officeDocument/2006/relationships/webSettings" Target="webSettings.xml"/><Relationship Id="rId51" Type="http://schemas.openxmlformats.org/officeDocument/2006/relationships/hyperlink" Target="https://minhealthnz.shinyapps.io/nz-health-survey-2020-21-annual-data-explorer/_w_871f0fb8/" TargetMode="External"/><Relationship Id="rId72" Type="http://schemas.openxmlformats.org/officeDocument/2006/relationships/hyperlink" Target="https://minhealthnz.shinyapps.io/report-on-maternity-web-tool/" TargetMode="External"/><Relationship Id="rId93" Type="http://schemas.openxmlformats.org/officeDocument/2006/relationships/hyperlink" Target="https://minhealthnz.shinyapps.io/nsu-bsa-coverage-dhb/" TargetMode="External"/><Relationship Id="rId98" Type="http://schemas.openxmlformats.org/officeDocument/2006/relationships/hyperlink" Target="https://minhealthnz.shinyapps.io/nz-health-survey-2020-21-annual-data-explorer/_w_871f0fb8/" TargetMode="External"/><Relationship Id="rId121" Type="http://schemas.openxmlformats.org/officeDocument/2006/relationships/hyperlink" Target="https://nsfl.health.govt.nz/accountability/performance-and-monitoring/data-quarterly-reports-and-reporting/inpatient-average" TargetMode="External"/><Relationship Id="rId142" Type="http://schemas.openxmlformats.org/officeDocument/2006/relationships/hyperlink" Target="https://www.mhwc.govt.nz/assets/Our-reports/MHWC-Access-and-Choice-report-Final.pdf" TargetMode="External"/><Relationship Id="rId163" Type="http://schemas.openxmlformats.org/officeDocument/2006/relationships/hyperlink" Target="https://www.health.govt.nz/publication/health-workforce-advisory-board-2021-annual-report-minister-health" TargetMode="External"/><Relationship Id="rId184" Type="http://schemas.openxmlformats.org/officeDocument/2006/relationships/hyperlink" Target="https://mohgovtnz-my.sharepoint.com/personal/leonie_pritchard_health_govt_nz1/Documents/Documents/Health%20and%20Independence%20Report%202021/www.stats.govt.nz/news/population-projected-to-become-more-ethnically-diverse" TargetMode="External"/><Relationship Id="rId189" Type="http://schemas.openxmlformats.org/officeDocument/2006/relationships/hyperlink" Target="https://teaho.govt.nz/reports/cancer-state" TargetMode="External"/><Relationship Id="rId3" Type="http://schemas.openxmlformats.org/officeDocument/2006/relationships/customXml" Target="../customXml/item3.xml"/><Relationship Id="rId25" Type="http://schemas.openxmlformats.org/officeDocument/2006/relationships/footer" Target="footer8.xml"/><Relationship Id="rId46" Type="http://schemas.openxmlformats.org/officeDocument/2006/relationships/image" Target="media/image13.png"/><Relationship Id="rId67" Type="http://schemas.openxmlformats.org/officeDocument/2006/relationships/image" Target="media/image30.png"/><Relationship Id="rId116" Type="http://schemas.openxmlformats.org/officeDocument/2006/relationships/image" Target="media/image59.png"/><Relationship Id="rId137" Type="http://schemas.openxmlformats.org/officeDocument/2006/relationships/hyperlink" Target="https://www.hqsc.govt.nz/assets/Our-data/Publications-resources/COVID-Window-2021-final-web.pdf" TargetMode="External"/><Relationship Id="rId158" Type="http://schemas.openxmlformats.org/officeDocument/2006/relationships/hyperlink" Target="https://minhealthnz2.shinyapps.io/ESPI-app/" TargetMode="External"/><Relationship Id="rId20" Type="http://schemas.openxmlformats.org/officeDocument/2006/relationships/footer" Target="footer5.xml"/><Relationship Id="rId41" Type="http://schemas.openxmlformats.org/officeDocument/2006/relationships/hyperlink" Target="https://www.health.govt.nz/publication/mortality-web-tool" TargetMode="External"/><Relationship Id="rId62" Type="http://schemas.openxmlformats.org/officeDocument/2006/relationships/image" Target="media/image25.png"/><Relationship Id="rId83" Type="http://schemas.openxmlformats.org/officeDocument/2006/relationships/hyperlink" Target="https://www.healthline.com/health/cold-flu/cold" TargetMode="External"/><Relationship Id="rId88" Type="http://schemas.openxmlformats.org/officeDocument/2006/relationships/image" Target="media/image43.png"/><Relationship Id="rId111" Type="http://schemas.openxmlformats.org/officeDocument/2006/relationships/footer" Target="footer12.xml"/><Relationship Id="rId132" Type="http://schemas.openxmlformats.org/officeDocument/2006/relationships/hyperlink" Target="https://surv.esr.cri.nz/episurv/index.php" TargetMode="External"/><Relationship Id="rId153" Type="http://schemas.openxmlformats.org/officeDocument/2006/relationships/hyperlink" Target="https://minhealthnz.shinyapps.io/nz-health-survey-2020-21-annual-data-explorer/" TargetMode="External"/><Relationship Id="rId174" Type="http://schemas.openxmlformats.org/officeDocument/2006/relationships/hyperlink" Target="https://minhealthnz.shinyapps.io/populations-web-tool/" TargetMode="External"/><Relationship Id="rId179" Type="http://schemas.openxmlformats.org/officeDocument/2006/relationships/hyperlink" Target="https://www.oecd.org/health/realising-the-potential-of-primary-health-care-a92adee4-en.htm" TargetMode="External"/><Relationship Id="rId195" Type="http://schemas.openxmlformats.org/officeDocument/2006/relationships/hyperlink" Target="https://covid19.govt.nz/news-and-data/latest-news/covid-19-vaccine-rollout-plan/" TargetMode="External"/><Relationship Id="rId190" Type="http://schemas.openxmlformats.org/officeDocument/2006/relationships/hyperlink" Target="https://hcmsitesstorage.blob.core.windows.net/cca/assets/COVID_19_and_cancer_report_Nov_Dec_2021_20220216_b9ea1d00d4.pdf" TargetMode="External"/><Relationship Id="rId15" Type="http://schemas.openxmlformats.org/officeDocument/2006/relationships/footer" Target="footer2.xml"/><Relationship Id="rId36" Type="http://schemas.openxmlformats.org/officeDocument/2006/relationships/hyperlink" Target="http://ghdx.healthdata.org/gbd-results-tool" TargetMode="External"/><Relationship Id="rId57" Type="http://schemas.openxmlformats.org/officeDocument/2006/relationships/image" Target="media/image21.png"/><Relationship Id="rId106" Type="http://schemas.openxmlformats.org/officeDocument/2006/relationships/hyperlink" Target="https://nsfl.health.govt.nz/accountability/performance-and-monitoring/data-quarterly-reports-and-reporting/ambulatory-sensitive" TargetMode="External"/><Relationship Id="rId127" Type="http://schemas.openxmlformats.org/officeDocument/2006/relationships/hyperlink" Target="https://mohgovtnz-my.sharepoint.com/personal/leonie_pritchard_health_govt_nz1/Documents/Documents/Health%20and%20Independence%20Report%202021/www.otago.ac.nz/wellington/otago823833.pdf" TargetMode="External"/><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image" Target="media/image17.png"/><Relationship Id="rId73" Type="http://schemas.openxmlformats.org/officeDocument/2006/relationships/image" Target="media/image34.png"/><Relationship Id="rId78" Type="http://schemas.openxmlformats.org/officeDocument/2006/relationships/image" Target="media/image37.png"/><Relationship Id="rId94" Type="http://schemas.openxmlformats.org/officeDocument/2006/relationships/image" Target="media/image46.png"/><Relationship Id="rId99" Type="http://schemas.openxmlformats.org/officeDocument/2006/relationships/hyperlink" Target="https://www.health.govt.nz/system/files/documents/publications/web3-kia-manawanui-aotearoa-v9_0.pdf" TargetMode="External"/><Relationship Id="rId101" Type="http://schemas.openxmlformats.org/officeDocument/2006/relationships/image" Target="media/image50.png"/><Relationship Id="rId122" Type="http://schemas.openxmlformats.org/officeDocument/2006/relationships/hyperlink" Target="https://www.health.govt.nz/publication/health-workforce-advisory-board-2021-annual-report-minister-health" TargetMode="External"/><Relationship Id="rId143" Type="http://schemas.openxmlformats.org/officeDocument/2006/relationships/hyperlink" Target="https://mentalhealth.org.nz/what-is-wellbeing" TargetMode="External"/><Relationship Id="rId148" Type="http://schemas.openxmlformats.org/officeDocument/2006/relationships/hyperlink" Target="https://mohgovtnz-my.sharepoint.com/personal/leonie_pritchard_health_govt_nz1/Documents/Documents/Health%20and%20Independence%20Report%202021/www.health.govt.nz/publication/longer-healthier-lives-new-zealands-health-1990-2017" TargetMode="External"/><Relationship Id="rId164" Type="http://schemas.openxmlformats.org/officeDocument/2006/relationships/hyperlink" Target="https://www.health.govt.nz/your-health/healthy-living/immunisation/immunisation-older-children-and-teenagers/human-papillomavirus-hpv/hpv-immunisation" TargetMode="External"/><Relationship Id="rId169" Type="http://schemas.openxmlformats.org/officeDocument/2006/relationships/hyperlink" Target="https://www.health.govt.nz/our-work/preventative-health-wellness/immunisation/immunisation-coverage/national-and-dhb-immunisation-data" TargetMode="External"/><Relationship Id="rId185" Type="http://schemas.openxmlformats.org/officeDocument/2006/relationships/hyperlink" Target="https://www.stats.govt.nz/information-releases/births-and-deaths-year-ended-december-2021-including-abridged-period-life-table/"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odi.govt.nz/guidance-and-resources/covid-19-data-analysis/" TargetMode="External"/><Relationship Id="rId26" Type="http://schemas.openxmlformats.org/officeDocument/2006/relationships/footer" Target="footer9.xml"/><Relationship Id="rId47" Type="http://schemas.openxmlformats.org/officeDocument/2006/relationships/image" Target="media/image14.png"/><Relationship Id="rId68" Type="http://schemas.openxmlformats.org/officeDocument/2006/relationships/image" Target="media/image31.png"/><Relationship Id="rId89" Type="http://schemas.openxmlformats.org/officeDocument/2006/relationships/hyperlink" Target="https://teaho.govt.nz/reports/cancer-state" TargetMode="External"/><Relationship Id="rId112" Type="http://schemas.openxmlformats.org/officeDocument/2006/relationships/footer" Target="footer13.xml"/><Relationship Id="rId133" Type="http://schemas.openxmlformats.org/officeDocument/2006/relationships/hyperlink" Target="https://mentalhealth.inquiry.govt.nz/assets/Summary-reports/He-Ara-Oranga.pdf" TargetMode="External"/><Relationship Id="rId154" Type="http://schemas.openxmlformats.org/officeDocument/2006/relationships/hyperlink" Target="https://minhealthnz.shinyapps.io/nsu-bsa-coverage-dhb/" TargetMode="External"/><Relationship Id="rId175" Type="http://schemas.openxmlformats.org/officeDocument/2006/relationships/hyperlink" Target="https://www.health.govt.nz/publication/response-stats-nz-recommendations-health-service-user-dataset"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2.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4.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86</TotalTime>
  <Pages>80</Pages>
  <Words>37825</Words>
  <Characters>215606</Characters>
  <Application>Microsoft Office Word</Application>
  <DocSecurity>0</DocSecurity>
  <Lines>1796</Lines>
  <Paragraphs>505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252926</CharactersWithSpaces>
  <SharedDoc>false</SharedDoc>
  <HLinks>
    <vt:vector size="978" baseType="variant">
      <vt:variant>
        <vt:i4>983053</vt:i4>
      </vt:variant>
      <vt:variant>
        <vt:i4>1436</vt:i4>
      </vt:variant>
      <vt:variant>
        <vt:i4>0</vt:i4>
      </vt:variant>
      <vt:variant>
        <vt:i4>5</vt:i4>
      </vt:variant>
      <vt:variant>
        <vt:lpwstr>https://covid19.who.int/</vt:lpwstr>
      </vt:variant>
      <vt:variant>
        <vt:lpwstr/>
      </vt:variant>
      <vt:variant>
        <vt:i4>6553701</vt:i4>
      </vt:variant>
      <vt:variant>
        <vt:i4>1433</vt:i4>
      </vt:variant>
      <vt:variant>
        <vt:i4>0</vt:i4>
      </vt:variant>
      <vt:variant>
        <vt:i4>5</vt:i4>
      </vt:variant>
      <vt:variant>
        <vt:lpwstr>https://www.who.int/news/item/05-05-2022-14.9-million-excess-deaths-were-associated-with-the-covid-19-pandemic-in-2020-and-2021</vt:lpwstr>
      </vt:variant>
      <vt:variant>
        <vt:lpwstr/>
      </vt:variant>
      <vt:variant>
        <vt:i4>3670142</vt:i4>
      </vt:variant>
      <vt:variant>
        <vt:i4>1430</vt:i4>
      </vt:variant>
      <vt:variant>
        <vt:i4>0</vt:i4>
      </vt:variant>
      <vt:variant>
        <vt:i4>5</vt:i4>
      </vt:variant>
      <vt:variant>
        <vt:lpwstr>https://www.who.int/news-room/fact-sheets/detail/obesity-and-overweight</vt:lpwstr>
      </vt:variant>
      <vt:variant>
        <vt:lpwstr/>
      </vt:variant>
      <vt:variant>
        <vt:i4>1376320</vt:i4>
      </vt:variant>
      <vt:variant>
        <vt:i4>1427</vt:i4>
      </vt:variant>
      <vt:variant>
        <vt:i4>0</vt:i4>
      </vt:variant>
      <vt:variant>
        <vt:i4>5</vt:i4>
      </vt:variant>
      <vt:variant>
        <vt:lpwstr>https://www.who.int/publications/i/item/9789240001299</vt:lpwstr>
      </vt:variant>
      <vt:variant>
        <vt:lpwstr/>
      </vt:variant>
      <vt:variant>
        <vt:i4>7405688</vt:i4>
      </vt:variant>
      <vt:variant>
        <vt:i4>1424</vt:i4>
      </vt:variant>
      <vt:variant>
        <vt:i4>0</vt:i4>
      </vt:variant>
      <vt:variant>
        <vt:i4>5</vt:i4>
      </vt:variant>
      <vt:variant>
        <vt:lpwstr>https://www.who.int/news-room/questions-and-answers/item/determinants-of-health</vt:lpwstr>
      </vt:variant>
      <vt:variant>
        <vt:lpwstr/>
      </vt:variant>
      <vt:variant>
        <vt:i4>5570625</vt:i4>
      </vt:variant>
      <vt:variant>
        <vt:i4>1421</vt:i4>
      </vt:variant>
      <vt:variant>
        <vt:i4>0</vt:i4>
      </vt:variant>
      <vt:variant>
        <vt:i4>5</vt:i4>
      </vt:variant>
      <vt:variant>
        <vt:lpwstr>https://www.who.int/publications/i/item/WHO-MSD-MSB-01.6a</vt:lpwstr>
      </vt:variant>
      <vt:variant>
        <vt:lpwstr/>
      </vt:variant>
      <vt:variant>
        <vt:i4>524319</vt:i4>
      </vt:variant>
      <vt:variant>
        <vt:i4>1418</vt:i4>
      </vt:variant>
      <vt:variant>
        <vt:i4>0</vt:i4>
      </vt:variant>
      <vt:variant>
        <vt:i4>5</vt:i4>
      </vt:variant>
      <vt:variant>
        <vt:lpwstr>https://covid19.govt.nz/news-and-data/latest-news/covid-19-vaccine-rollout-plan/</vt:lpwstr>
      </vt:variant>
      <vt:variant>
        <vt:lpwstr/>
      </vt:variant>
      <vt:variant>
        <vt:i4>3670065</vt:i4>
      </vt:variant>
      <vt:variant>
        <vt:i4>1415</vt:i4>
      </vt:variant>
      <vt:variant>
        <vt:i4>0</vt:i4>
      </vt:variant>
      <vt:variant>
        <vt:i4>5</vt:i4>
      </vt:variant>
      <vt:variant>
        <vt:lpwstr>https://www.immune.org.nz/diseases/human-papillomavirus-hpv</vt:lpwstr>
      </vt:variant>
      <vt:variant>
        <vt:lpwstr/>
      </vt:variant>
      <vt:variant>
        <vt:i4>7471146</vt:i4>
      </vt:variant>
      <vt:variant>
        <vt:i4>1412</vt:i4>
      </vt:variant>
      <vt:variant>
        <vt:i4>0</vt:i4>
      </vt:variant>
      <vt:variant>
        <vt:i4>5</vt:i4>
      </vt:variant>
      <vt:variant>
        <vt:lpwstr>https://covid.immune.org.nz/covid-19-vaccines-nz/getting-vaccinated/5-11-years-old-covid-resources</vt:lpwstr>
      </vt:variant>
      <vt:variant>
        <vt:lpwstr/>
      </vt:variant>
      <vt:variant>
        <vt:i4>1769543</vt:i4>
      </vt:variant>
      <vt:variant>
        <vt:i4>1409</vt:i4>
      </vt:variant>
      <vt:variant>
        <vt:i4>0</vt:i4>
      </vt:variant>
      <vt:variant>
        <vt:i4>5</vt:i4>
      </vt:variant>
      <vt:variant>
        <vt:lpwstr>https://www.tewhatuora.govt.nz/about-us/news-and-updates/updated-health-user-information-informs-covid-19-vaccination-programme/</vt:lpwstr>
      </vt:variant>
      <vt:variant>
        <vt:lpwstr/>
      </vt:variant>
      <vt:variant>
        <vt:i4>786538</vt:i4>
      </vt:variant>
      <vt:variant>
        <vt:i4>1406</vt:i4>
      </vt:variant>
      <vt:variant>
        <vt:i4>0</vt:i4>
      </vt:variant>
      <vt:variant>
        <vt:i4>5</vt:i4>
      </vt:variant>
      <vt:variant>
        <vt:lpwstr>https://hcmsitesstorage.blob.core.windows.net/cca/assets/Cancer_Prevention_V12_7_April22_05c46c078b.pdf</vt:lpwstr>
      </vt:variant>
      <vt:variant>
        <vt:lpwstr/>
      </vt:variant>
      <vt:variant>
        <vt:i4>4522094</vt:i4>
      </vt:variant>
      <vt:variant>
        <vt:i4>1403</vt:i4>
      </vt:variant>
      <vt:variant>
        <vt:i4>0</vt:i4>
      </vt:variant>
      <vt:variant>
        <vt:i4>5</vt:i4>
      </vt:variant>
      <vt:variant>
        <vt:lpwstr>https://hcmsitesstorage.blob.core.windows.net/cca/assets/COVID_19_and_cancer_report_Nov_Dec_2021_20220216_b9ea1d00d4.pdf</vt:lpwstr>
      </vt:variant>
      <vt:variant>
        <vt:lpwstr/>
      </vt:variant>
      <vt:variant>
        <vt:i4>4063289</vt:i4>
      </vt:variant>
      <vt:variant>
        <vt:i4>1400</vt:i4>
      </vt:variant>
      <vt:variant>
        <vt:i4>0</vt:i4>
      </vt:variant>
      <vt:variant>
        <vt:i4>5</vt:i4>
      </vt:variant>
      <vt:variant>
        <vt:lpwstr>https://teaho.govt.nz/reports/cancer-state</vt:lpwstr>
      </vt:variant>
      <vt:variant>
        <vt:lpwstr/>
      </vt:variant>
      <vt:variant>
        <vt:i4>6619261</vt:i4>
      </vt:variant>
      <vt:variant>
        <vt:i4>1397</vt:i4>
      </vt:variant>
      <vt:variant>
        <vt:i4>0</vt:i4>
      </vt:variant>
      <vt:variant>
        <vt:i4>5</vt:i4>
      </vt:variant>
      <vt:variant>
        <vt:lpwstr>http://infoshare.stats.govt.nz/Default.aspx</vt:lpwstr>
      </vt:variant>
      <vt:variant>
        <vt:lpwstr/>
      </vt:variant>
      <vt:variant>
        <vt:i4>7733369</vt:i4>
      </vt:variant>
      <vt:variant>
        <vt:i4>1394</vt:i4>
      </vt:variant>
      <vt:variant>
        <vt:i4>0</vt:i4>
      </vt:variant>
      <vt:variant>
        <vt:i4>5</vt:i4>
      </vt:variant>
      <vt:variant>
        <vt:lpwstr>https://www.stats.govt.nz/reports/review-of-health-service-user-population-methodology/</vt:lpwstr>
      </vt:variant>
      <vt:variant>
        <vt:lpwstr/>
      </vt:variant>
      <vt:variant>
        <vt:i4>2228278</vt:i4>
      </vt:variant>
      <vt:variant>
        <vt:i4>1391</vt:i4>
      </vt:variant>
      <vt:variant>
        <vt:i4>0</vt:i4>
      </vt:variant>
      <vt:variant>
        <vt:i4>5</vt:i4>
      </vt:variant>
      <vt:variant>
        <vt:lpwstr>https://www.stats.govt.nz/information-releases/national-population-estimates-at-31-december-2021-infoshare-tables/</vt:lpwstr>
      </vt:variant>
      <vt:variant>
        <vt:lpwstr/>
      </vt:variant>
      <vt:variant>
        <vt:i4>3014716</vt:i4>
      </vt:variant>
      <vt:variant>
        <vt:i4>1388</vt:i4>
      </vt:variant>
      <vt:variant>
        <vt:i4>0</vt:i4>
      </vt:variant>
      <vt:variant>
        <vt:i4>5</vt:i4>
      </vt:variant>
      <vt:variant>
        <vt:lpwstr>https://www.stats.govt.nz/information-releases/births-and-deaths-year-ended-december-2021-including-abridged-period-life-table/</vt:lpwstr>
      </vt:variant>
      <vt:variant>
        <vt:lpwstr/>
      </vt:variant>
      <vt:variant>
        <vt:i4>1572869</vt:i4>
      </vt:variant>
      <vt:variant>
        <vt:i4>1385</vt:i4>
      </vt:variant>
      <vt:variant>
        <vt:i4>0</vt:i4>
      </vt:variant>
      <vt:variant>
        <vt:i4>5</vt:i4>
      </vt:variant>
      <vt:variant>
        <vt:lpwstr>https://mohgovtnz-my.sharepoint.com/personal/leonie_pritchard_health_govt_nz1/Documents/Documents/Health and Independence Report 2021/www.stats.govt.nz/news/population-projected-to-become-more-ethnically-diverse</vt:lpwstr>
      </vt:variant>
      <vt:variant>
        <vt:lpwstr/>
      </vt:variant>
      <vt:variant>
        <vt:i4>8060985</vt:i4>
      </vt:variant>
      <vt:variant>
        <vt:i4>1382</vt:i4>
      </vt:variant>
      <vt:variant>
        <vt:i4>0</vt:i4>
      </vt:variant>
      <vt:variant>
        <vt:i4>5</vt:i4>
      </vt:variant>
      <vt:variant>
        <vt:lpwstr>https://www.stats.govt.nz/news/new-zealands-birth-rate-lowest-on-record-deaths-drop-in-2020</vt:lpwstr>
      </vt:variant>
      <vt:variant>
        <vt:lpwstr/>
      </vt:variant>
      <vt:variant>
        <vt:i4>8257589</vt:i4>
      </vt:variant>
      <vt:variant>
        <vt:i4>1379</vt:i4>
      </vt:variant>
      <vt:variant>
        <vt:i4>0</vt:i4>
      </vt:variant>
      <vt:variant>
        <vt:i4>5</vt:i4>
      </vt:variant>
      <vt:variant>
        <vt:lpwstr>https://www.stats.govt.nz/news/net-migration-dips-into-the-negative</vt:lpwstr>
      </vt:variant>
      <vt:variant>
        <vt:lpwstr/>
      </vt:variant>
      <vt:variant>
        <vt:i4>131073</vt:i4>
      </vt:variant>
      <vt:variant>
        <vt:i4>1376</vt:i4>
      </vt:variant>
      <vt:variant>
        <vt:i4>0</vt:i4>
      </vt:variant>
      <vt:variant>
        <vt:i4>5</vt:i4>
      </vt:variant>
      <vt:variant>
        <vt:lpwstr>https://mohgovtnz-my.sharepoint.com/personal/leonie_pritchard_health_govt_nz1/Documents/Documents/Health and Independence Report 2021/www.stats.govt.nz/information-releases/national-and-subnational-period-life-tables-2017-2019</vt:lpwstr>
      </vt:variant>
      <vt:variant>
        <vt:lpwstr/>
      </vt:variant>
      <vt:variant>
        <vt:i4>7405694</vt:i4>
      </vt:variant>
      <vt:variant>
        <vt:i4>1373</vt:i4>
      </vt:variant>
      <vt:variant>
        <vt:i4>0</vt:i4>
      </vt:variant>
      <vt:variant>
        <vt:i4>5</vt:i4>
      </vt:variant>
      <vt:variant>
        <vt:lpwstr>https://www.odi.govt.nz/guidance-and-resources/covid-19-data-analysis/</vt:lpwstr>
      </vt:variant>
      <vt:variant>
        <vt:lpwstr/>
      </vt:variant>
      <vt:variant>
        <vt:i4>7995453</vt:i4>
      </vt:variant>
      <vt:variant>
        <vt:i4>1370</vt:i4>
      </vt:variant>
      <vt:variant>
        <vt:i4>0</vt:i4>
      </vt:variant>
      <vt:variant>
        <vt:i4>5</vt:i4>
      </vt:variant>
      <vt:variant>
        <vt:lpwstr>https://www.oecd.org/health/realising-the-potential-of-primary-health-care-a92adee4-en.htm</vt:lpwstr>
      </vt:variant>
      <vt:variant>
        <vt:lpwstr/>
      </vt:variant>
      <vt:variant>
        <vt:i4>6029337</vt:i4>
      </vt:variant>
      <vt:variant>
        <vt:i4>1367</vt:i4>
      </vt:variant>
      <vt:variant>
        <vt:i4>0</vt:i4>
      </vt:variant>
      <vt:variant>
        <vt:i4>5</vt:i4>
      </vt:variant>
      <vt:variant>
        <vt:lpwstr>https://nsfl.health.govt.nz/accountability/performance-and-monitoring/data-quarterly-reports-and-reporting/inpatient-average</vt:lpwstr>
      </vt:variant>
      <vt:variant>
        <vt:lpwstr/>
      </vt:variant>
      <vt:variant>
        <vt:i4>7340077</vt:i4>
      </vt:variant>
      <vt:variant>
        <vt:i4>1364</vt:i4>
      </vt:variant>
      <vt:variant>
        <vt:i4>0</vt:i4>
      </vt:variant>
      <vt:variant>
        <vt:i4>5</vt:i4>
      </vt:variant>
      <vt:variant>
        <vt:lpwstr>https://nsfl.health.govt.nz/accountability/performance-and-monitoring/data-quarterly-reports-and-reporting/ambulatory-sensitive</vt:lpwstr>
      </vt:variant>
      <vt:variant>
        <vt:lpwstr/>
      </vt:variant>
      <vt:variant>
        <vt:i4>2752550</vt:i4>
      </vt:variant>
      <vt:variant>
        <vt:i4>1361</vt:i4>
      </vt:variant>
      <vt:variant>
        <vt:i4>0</vt:i4>
      </vt:variant>
      <vt:variant>
        <vt:i4>5</vt:i4>
      </vt:variant>
      <vt:variant>
        <vt:lpwstr>https://www.nsu.govt.nz/news/national-cervical-screening-programme-sector-update-april-2022</vt:lpwstr>
      </vt:variant>
      <vt:variant>
        <vt:lpwstr/>
      </vt:variant>
      <vt:variant>
        <vt:i4>1572941</vt:i4>
      </vt:variant>
      <vt:variant>
        <vt:i4>1358</vt:i4>
      </vt:variant>
      <vt:variant>
        <vt:i4>0</vt:i4>
      </vt:variant>
      <vt:variant>
        <vt:i4>5</vt:i4>
      </vt:variant>
      <vt:variant>
        <vt:lpwstr>https://www.health.govt.nz/publication/response-stats-nz-recommendations-health-service-user-dataset</vt:lpwstr>
      </vt:variant>
      <vt:variant>
        <vt:lpwstr/>
      </vt:variant>
      <vt:variant>
        <vt:i4>3539044</vt:i4>
      </vt:variant>
      <vt:variant>
        <vt:i4>1355</vt:i4>
      </vt:variant>
      <vt:variant>
        <vt:i4>0</vt:i4>
      </vt:variant>
      <vt:variant>
        <vt:i4>5</vt:i4>
      </vt:variant>
      <vt:variant>
        <vt:lpwstr>https://minhealthnz.shinyapps.io/populations-web-tool/</vt:lpwstr>
      </vt:variant>
      <vt:variant>
        <vt:lpwstr/>
      </vt:variant>
      <vt:variant>
        <vt:i4>5570565</vt:i4>
      </vt:variant>
      <vt:variant>
        <vt:i4>1352</vt:i4>
      </vt:variant>
      <vt:variant>
        <vt:i4>0</vt:i4>
      </vt:variant>
      <vt:variant>
        <vt:i4>5</vt:i4>
      </vt:variant>
      <vt:variant>
        <vt:lpwstr>https://mohgovtnz-my.sharepoint.com/personal/leonie_pritchard_health_govt_nz1/Documents/Documents/Health and Independence Report 2021/www.health.govt.nz/our-work/preventative-health-wellness/immunisation/national-immunisation-register</vt:lpwstr>
      </vt:variant>
      <vt:variant>
        <vt:lpwstr/>
      </vt:variant>
      <vt:variant>
        <vt:i4>3538995</vt:i4>
      </vt:variant>
      <vt:variant>
        <vt:i4>1349</vt:i4>
      </vt:variant>
      <vt:variant>
        <vt:i4>0</vt:i4>
      </vt:variant>
      <vt:variant>
        <vt:i4>5</vt:i4>
      </vt:variant>
      <vt:variant>
        <vt:lpwstr>https://minhealthnz.shinyapps.io/nsu-ncsp-coverage/</vt:lpwstr>
      </vt:variant>
      <vt:variant>
        <vt:lpwstr/>
      </vt:variant>
      <vt:variant>
        <vt:i4>7274613</vt:i4>
      </vt:variant>
      <vt:variant>
        <vt:i4>1346</vt:i4>
      </vt:variant>
      <vt:variant>
        <vt:i4>0</vt:i4>
      </vt:variant>
      <vt:variant>
        <vt:i4>5</vt:i4>
      </vt:variant>
      <vt:variant>
        <vt:lpwstr>https://minhealthnz.shinyapps.io/nsu-bsp-index/</vt:lpwstr>
      </vt:variant>
      <vt:variant>
        <vt:lpwstr/>
      </vt:variant>
      <vt:variant>
        <vt:i4>327754</vt:i4>
      </vt:variant>
      <vt:variant>
        <vt:i4>1343</vt:i4>
      </vt:variant>
      <vt:variant>
        <vt:i4>0</vt:i4>
      </vt:variant>
      <vt:variant>
        <vt:i4>5</vt:i4>
      </vt:variant>
      <vt:variant>
        <vt:lpwstr>https://www.health.govt.nz/publication/national-booking-reporting-system-data-dictionary</vt:lpwstr>
      </vt:variant>
      <vt:variant>
        <vt:lpwstr/>
      </vt:variant>
      <vt:variant>
        <vt:i4>2097272</vt:i4>
      </vt:variant>
      <vt:variant>
        <vt:i4>1340</vt:i4>
      </vt:variant>
      <vt:variant>
        <vt:i4>0</vt:i4>
      </vt:variant>
      <vt:variant>
        <vt:i4>5</vt:i4>
      </vt:variant>
      <vt:variant>
        <vt:lpwstr>https://www.health.govt.nz/our-work/preventative-health-wellness/immunisation/immunisation-coverage/national-and-dhb-immunisation-data</vt:lpwstr>
      </vt:variant>
      <vt:variant>
        <vt:lpwstr/>
      </vt:variant>
      <vt:variant>
        <vt:i4>5570631</vt:i4>
      </vt:variant>
      <vt:variant>
        <vt:i4>1337</vt:i4>
      </vt:variant>
      <vt:variant>
        <vt:i4>0</vt:i4>
      </vt:variant>
      <vt:variant>
        <vt:i4>5</vt:i4>
      </vt:variant>
      <vt:variant>
        <vt:lpwstr>https://mohgovtnz-my.sharepoint.com/personal/leonie_pritchard_health_govt_nz1/Documents/Documents/Health and Independence Report 2021/www.health.govt.nz/publication/mortality-web-tool</vt:lpwstr>
      </vt:variant>
      <vt:variant>
        <vt:lpwstr/>
      </vt:variant>
      <vt:variant>
        <vt:i4>5570636</vt:i4>
      </vt:variant>
      <vt:variant>
        <vt:i4>1334</vt:i4>
      </vt:variant>
      <vt:variant>
        <vt:i4>0</vt:i4>
      </vt:variant>
      <vt:variant>
        <vt:i4>5</vt:i4>
      </vt:variant>
      <vt:variant>
        <vt:lpwstr>https://www.health.govt.nz/our-work/mental-health-and-addiction/mental-health-and-addiction-monitoring-reporting-and-data</vt:lpwstr>
      </vt:variant>
      <vt:variant>
        <vt:lpwstr/>
      </vt:variant>
      <vt:variant>
        <vt:i4>7995450</vt:i4>
      </vt:variant>
      <vt:variant>
        <vt:i4>1331</vt:i4>
      </vt:variant>
      <vt:variant>
        <vt:i4>0</vt:i4>
      </vt:variant>
      <vt:variant>
        <vt:i4>5</vt:i4>
      </vt:variant>
      <vt:variant>
        <vt:lpwstr>https://minhealthnz.shinyapps.io/report-on-maternity-web-tool/</vt:lpwstr>
      </vt:variant>
      <vt:variant>
        <vt:lpwstr/>
      </vt:variant>
      <vt:variant>
        <vt:i4>1114127</vt:i4>
      </vt:variant>
      <vt:variant>
        <vt:i4>1328</vt:i4>
      </vt:variant>
      <vt:variant>
        <vt:i4>0</vt:i4>
      </vt:variant>
      <vt:variant>
        <vt:i4>5</vt:i4>
      </vt:variant>
      <vt:variant>
        <vt:lpwstr>https://www.health.govt.nz/our-work/preventative-health-wellness/immunisation</vt:lpwstr>
      </vt:variant>
      <vt:variant>
        <vt:lpwstr/>
      </vt:variant>
      <vt:variant>
        <vt:i4>3735679</vt:i4>
      </vt:variant>
      <vt:variant>
        <vt:i4>1325</vt:i4>
      </vt:variant>
      <vt:variant>
        <vt:i4>0</vt:i4>
      </vt:variant>
      <vt:variant>
        <vt:i4>5</vt:i4>
      </vt:variant>
      <vt:variant>
        <vt:lpwstr>https://www.health.govt.nz/your-health/healthy-living/immunisation/immunisation-older-children-and-teenagers/human-papillomavirus-hpv/hpv-immunisation</vt:lpwstr>
      </vt:variant>
      <vt:variant>
        <vt:lpwstr/>
      </vt:variant>
      <vt:variant>
        <vt:i4>262164</vt:i4>
      </vt:variant>
      <vt:variant>
        <vt:i4>1322</vt:i4>
      </vt:variant>
      <vt:variant>
        <vt:i4>0</vt:i4>
      </vt:variant>
      <vt:variant>
        <vt:i4>5</vt:i4>
      </vt:variant>
      <vt:variant>
        <vt:lpwstr>https://www.health.govt.nz/publication/health-workforce-advisory-board-2021-annual-report-minister-health</vt:lpwstr>
      </vt:variant>
      <vt:variant>
        <vt:lpwstr/>
      </vt:variant>
      <vt:variant>
        <vt:i4>3407934</vt:i4>
      </vt:variant>
      <vt:variant>
        <vt:i4>1319</vt:i4>
      </vt:variant>
      <vt:variant>
        <vt:i4>0</vt:i4>
      </vt:variant>
      <vt:variant>
        <vt:i4>5</vt:i4>
      </vt:variant>
      <vt:variant>
        <vt:lpwstr>https://www.health.govt.nz/new-zealand-health-system/health-system-indicators-framework</vt:lpwstr>
      </vt:variant>
      <vt:variant>
        <vt:lpwstr/>
      </vt:variant>
      <vt:variant>
        <vt:i4>2883694</vt:i4>
      </vt:variant>
      <vt:variant>
        <vt:i4>1316</vt:i4>
      </vt:variant>
      <vt:variant>
        <vt:i4>0</vt:i4>
      </vt:variant>
      <vt:variant>
        <vt:i4>5</vt:i4>
      </vt:variant>
      <vt:variant>
        <vt:lpwstr>https://www.health.govt.nz/system/files/documents/publications/further-information-about-the-hsu-dataset-and-review-4aug22.pdf</vt:lpwstr>
      </vt:variant>
      <vt:variant>
        <vt:lpwstr/>
      </vt:variant>
      <vt:variant>
        <vt:i4>3276844</vt:i4>
      </vt:variant>
      <vt:variant>
        <vt:i4>1313</vt:i4>
      </vt:variant>
      <vt:variant>
        <vt:i4>0</vt:i4>
      </vt:variant>
      <vt:variant>
        <vt:i4>5</vt:i4>
      </vt:variant>
      <vt:variant>
        <vt:lpwstr>https://www.health.govt.nz/publication/evaluation-maori-influenza-and-measles-vaccination-programme-pursuit-maori-health-equity</vt:lpwstr>
      </vt:variant>
      <vt:variant>
        <vt:lpwstr/>
      </vt:variant>
      <vt:variant>
        <vt:i4>1572864</vt:i4>
      </vt:variant>
      <vt:variant>
        <vt:i4>1310</vt:i4>
      </vt:variant>
      <vt:variant>
        <vt:i4>0</vt:i4>
      </vt:variant>
      <vt:variant>
        <vt:i4>5</vt:i4>
      </vt:variant>
      <vt:variant>
        <vt:lpwstr>https://www.health.govt.nz/our-work/primary-health-care/about-primary-health-organisations/enrolment-general-practice-and-primary-health-organisation</vt:lpwstr>
      </vt:variant>
      <vt:variant>
        <vt:lpwstr/>
      </vt:variant>
      <vt:variant>
        <vt:i4>7602280</vt:i4>
      </vt:variant>
      <vt:variant>
        <vt:i4>1307</vt:i4>
      </vt:variant>
      <vt:variant>
        <vt:i4>0</vt:i4>
      </vt:variant>
      <vt:variant>
        <vt:i4>5</vt:i4>
      </vt:variant>
      <vt:variant>
        <vt:lpwstr>https://minhealthnz2.shinyapps.io/ESPI-app/</vt:lpwstr>
      </vt:variant>
      <vt:variant>
        <vt:lpwstr/>
      </vt:variant>
      <vt:variant>
        <vt:i4>6094871</vt:i4>
      </vt:variant>
      <vt:variant>
        <vt:i4>1304</vt:i4>
      </vt:variant>
      <vt:variant>
        <vt:i4>0</vt:i4>
      </vt:variant>
      <vt:variant>
        <vt:i4>5</vt:i4>
      </vt:variant>
      <vt:variant>
        <vt:lpwstr>https://www.health.govt.nz/covid-19-novel-coronavirus/covid-19-data-and-statistics/covid-19-vaccine-data</vt:lpwstr>
      </vt:variant>
      <vt:variant>
        <vt:lpwstr/>
      </vt:variant>
      <vt:variant>
        <vt:i4>5439567</vt:i4>
      </vt:variant>
      <vt:variant>
        <vt:i4>1301</vt:i4>
      </vt:variant>
      <vt:variant>
        <vt:i4>0</vt:i4>
      </vt:variant>
      <vt:variant>
        <vt:i4>5</vt:i4>
      </vt:variant>
      <vt:variant>
        <vt:lpwstr>https://www.health.govt.nz/covid-19-novel-coronavirus/covid-19-vaccines/covid-19-vaccine-information-health-professionals/covid-19-vaccine-strategy-planning-insights/covid-19-supporting-vaccine-rollout</vt:lpwstr>
      </vt:variant>
      <vt:variant>
        <vt:lpwstr/>
      </vt:variant>
      <vt:variant>
        <vt:i4>6357047</vt:i4>
      </vt:variant>
      <vt:variant>
        <vt:i4>1298</vt:i4>
      </vt:variant>
      <vt:variant>
        <vt:i4>0</vt:i4>
      </vt:variant>
      <vt:variant>
        <vt:i4>5</vt:i4>
      </vt:variant>
      <vt:variant>
        <vt:lpwstr>https://www.health.govt.nz/covid-19-novel-coronavirus/covid-19-response-planning/covid-19-minimisation-and-protection-strategy-aotearoa-new-zealand</vt:lpwstr>
      </vt:variant>
      <vt:variant>
        <vt:lpwstr/>
      </vt:variant>
      <vt:variant>
        <vt:i4>6357110</vt:i4>
      </vt:variant>
      <vt:variant>
        <vt:i4>1295</vt:i4>
      </vt:variant>
      <vt:variant>
        <vt:i4>0</vt:i4>
      </vt:variant>
      <vt:variant>
        <vt:i4>5</vt:i4>
      </vt:variant>
      <vt:variant>
        <vt:lpwstr>https://minhealthnz.shinyapps.io/nsu-bsa-coverage-dhb/</vt:lpwstr>
      </vt:variant>
      <vt:variant>
        <vt:lpwstr/>
      </vt:variant>
      <vt:variant>
        <vt:i4>3735662</vt:i4>
      </vt:variant>
      <vt:variant>
        <vt:i4>1292</vt:i4>
      </vt:variant>
      <vt:variant>
        <vt:i4>0</vt:i4>
      </vt:variant>
      <vt:variant>
        <vt:i4>5</vt:i4>
      </vt:variant>
      <vt:variant>
        <vt:lpwstr>https://minhealthnz.shinyapps.io/nz-health-survey-2020-21-annual-data-explorer/</vt:lpwstr>
      </vt:variant>
      <vt:variant>
        <vt:lpwstr/>
      </vt:variant>
      <vt:variant>
        <vt:i4>3670072</vt:i4>
      </vt:variant>
      <vt:variant>
        <vt:i4>1289</vt:i4>
      </vt:variant>
      <vt:variant>
        <vt:i4>0</vt:i4>
      </vt:variant>
      <vt:variant>
        <vt:i4>5</vt:i4>
      </vt:variant>
      <vt:variant>
        <vt:lpwstr>https://www.health.govt.nz/our-work/preventative-health-wellness/immunisation/new-zealand-immunisation-schedule/2020-immunisation-schedule-changes</vt:lpwstr>
      </vt:variant>
      <vt:variant>
        <vt:lpwstr/>
      </vt:variant>
      <vt:variant>
        <vt:i4>786549</vt:i4>
      </vt:variant>
      <vt:variant>
        <vt:i4>1286</vt:i4>
      </vt:variant>
      <vt:variant>
        <vt:i4>0</vt:i4>
      </vt:variant>
      <vt:variant>
        <vt:i4>5</vt:i4>
      </vt:variant>
      <vt:variant>
        <vt:lpwstr>https://www.health.govt.nz/system/files/documents/publications/web3-kia-manawanui-aotearoa-v9_0.pdf</vt:lpwstr>
      </vt:variant>
      <vt:variant>
        <vt:lpwstr/>
      </vt:variant>
      <vt:variant>
        <vt:i4>3670074</vt:i4>
      </vt:variant>
      <vt:variant>
        <vt:i4>1283</vt:i4>
      </vt:variant>
      <vt:variant>
        <vt:i4>0</vt:i4>
      </vt:variant>
      <vt:variant>
        <vt:i4>5</vt:i4>
      </vt:variant>
      <vt:variant>
        <vt:lpwstr>https://www.health.govt.nz/our-work/preventative-health-wellness/immunisation/new-zealand-immunisation-schedule</vt:lpwstr>
      </vt:variant>
      <vt:variant>
        <vt:lpwstr/>
      </vt:variant>
      <vt:variant>
        <vt:i4>7733301</vt:i4>
      </vt:variant>
      <vt:variant>
        <vt:i4>1280</vt:i4>
      </vt:variant>
      <vt:variant>
        <vt:i4>0</vt:i4>
      </vt:variant>
      <vt:variant>
        <vt:i4>5</vt:i4>
      </vt:variant>
      <vt:variant>
        <vt:lpwstr>https://mohgovtnz-my.sharepoint.com/personal/leonie_pritchard_health_govt_nz1/Documents/Documents/Health and Independence Report 2021/www.health.govt.nz/publication/methodology-report-2019-20-new-zealand-health-survey</vt:lpwstr>
      </vt:variant>
      <vt:variant>
        <vt:lpwstr/>
      </vt:variant>
      <vt:variant>
        <vt:i4>7405669</vt:i4>
      </vt:variant>
      <vt:variant>
        <vt:i4>1277</vt:i4>
      </vt:variant>
      <vt:variant>
        <vt:i4>0</vt:i4>
      </vt:variant>
      <vt:variant>
        <vt:i4>5</vt:i4>
      </vt:variant>
      <vt:variant>
        <vt:lpwstr>https://mohgovtnz-my.sharepoint.com/personal/leonie_pritchard_health_govt_nz1/Documents/Documents/Health and Independence Report 2021/www.health.govt.nz/publication/longer-healthier-lives-new-zealands-health-1990-2017</vt:lpwstr>
      </vt:variant>
      <vt:variant>
        <vt:lpwstr/>
      </vt:variant>
      <vt:variant>
        <vt:i4>851993</vt:i4>
      </vt:variant>
      <vt:variant>
        <vt:i4>1274</vt:i4>
      </vt:variant>
      <vt:variant>
        <vt:i4>0</vt:i4>
      </vt:variant>
      <vt:variant>
        <vt:i4>5</vt:i4>
      </vt:variant>
      <vt:variant>
        <vt:lpwstr>https://mohgovtnz-my.sharepoint.com/personal/leonie_pritchard_health_govt_nz1/Documents/Documents/Health and Independence Report 2021/www.health.govt.nz/publication/eating-and-activity-guidelines-new-zealand-adults</vt:lpwstr>
      </vt:variant>
      <vt:variant>
        <vt:lpwstr/>
      </vt:variant>
      <vt:variant>
        <vt:i4>1704002</vt:i4>
      </vt:variant>
      <vt:variant>
        <vt:i4>1271</vt:i4>
      </vt:variant>
      <vt:variant>
        <vt:i4>0</vt:i4>
      </vt:variant>
      <vt:variant>
        <vt:i4>5</vt:i4>
      </vt:variant>
      <vt:variant>
        <vt:lpwstr>https://mohgovtnz-my.sharepoint.com/personal/leonie_pritchard_health_govt_nz1/Documents/Documents/Health and Independence Report 2021/www.health.govt.nz/nz-health-statistics/health-statistics-and-data-sets/oral-health-data-and-stats/age-5-and-year-8-oral-health-data-community-oral-health-service</vt:lpwstr>
      </vt:variant>
      <vt:variant>
        <vt:lpwstr/>
      </vt:variant>
      <vt:variant>
        <vt:i4>7143525</vt:i4>
      </vt:variant>
      <vt:variant>
        <vt:i4>1268</vt:i4>
      </vt:variant>
      <vt:variant>
        <vt:i4>0</vt:i4>
      </vt:variant>
      <vt:variant>
        <vt:i4>5</vt:i4>
      </vt:variant>
      <vt:variant>
        <vt:lpwstr>https://www.health.govt.nz/new-zealand-health-system/publicly-funded-health-and-disability-services/pregnancy-services</vt:lpwstr>
      </vt:variant>
      <vt:variant>
        <vt:lpwstr/>
      </vt:variant>
      <vt:variant>
        <vt:i4>2293794</vt:i4>
      </vt:variant>
      <vt:variant>
        <vt:i4>1265</vt:i4>
      </vt:variant>
      <vt:variant>
        <vt:i4>0</vt:i4>
      </vt:variant>
      <vt:variant>
        <vt:i4>5</vt:i4>
      </vt:variant>
      <vt:variant>
        <vt:lpwstr>https://www.health.govt.nz/system/files/documents/publications/reducineqal.pdf</vt:lpwstr>
      </vt:variant>
      <vt:variant>
        <vt:lpwstr/>
      </vt:variant>
      <vt:variant>
        <vt:i4>1966095</vt:i4>
      </vt:variant>
      <vt:variant>
        <vt:i4>1262</vt:i4>
      </vt:variant>
      <vt:variant>
        <vt:i4>0</vt:i4>
      </vt:variant>
      <vt:variant>
        <vt:i4>5</vt:i4>
      </vt:variant>
      <vt:variant>
        <vt:lpwstr>https://mentalhealth.org.nz/what-is-wellbeing</vt:lpwstr>
      </vt:variant>
      <vt:variant>
        <vt:lpwstr/>
      </vt:variant>
      <vt:variant>
        <vt:i4>2687034</vt:i4>
      </vt:variant>
      <vt:variant>
        <vt:i4>1259</vt:i4>
      </vt:variant>
      <vt:variant>
        <vt:i4>0</vt:i4>
      </vt:variant>
      <vt:variant>
        <vt:i4>5</vt:i4>
      </vt:variant>
      <vt:variant>
        <vt:lpwstr>https://www.mhwc.govt.nz/assets/Our-reports/MHWC-Access-and-Choice-report-Final.pdf</vt:lpwstr>
      </vt:variant>
      <vt:variant>
        <vt:lpwstr/>
      </vt:variant>
      <vt:variant>
        <vt:i4>4915229</vt:i4>
      </vt:variant>
      <vt:variant>
        <vt:i4>1256</vt:i4>
      </vt:variant>
      <vt:variant>
        <vt:i4>0</vt:i4>
      </vt:variant>
      <vt:variant>
        <vt:i4>5</vt:i4>
      </vt:variant>
      <vt:variant>
        <vt:lpwstr>https://www.mcnz.org.nz/assets/Publications/Workforce-Survey/d9d2757aad/Workforce-Survey-Report-2021.pdf</vt:lpwstr>
      </vt:variant>
      <vt:variant>
        <vt:lpwstr/>
      </vt:variant>
      <vt:variant>
        <vt:i4>6881390</vt:i4>
      </vt:variant>
      <vt:variant>
        <vt:i4>1253</vt:i4>
      </vt:variant>
      <vt:variant>
        <vt:i4>0</vt:i4>
      </vt:variant>
      <vt:variant>
        <vt:i4>5</vt:i4>
      </vt:variant>
      <vt:variant>
        <vt:lpwstr>http://ghdx.healthdata.org/gbd-results-tool</vt:lpwstr>
      </vt:variant>
      <vt:variant>
        <vt:lpwstr/>
      </vt:variant>
      <vt:variant>
        <vt:i4>2490481</vt:i4>
      </vt:variant>
      <vt:variant>
        <vt:i4>1250</vt:i4>
      </vt:variant>
      <vt:variant>
        <vt:i4>0</vt:i4>
      </vt:variant>
      <vt:variant>
        <vt:i4>5</vt:i4>
      </vt:variant>
      <vt:variant>
        <vt:lpwstr>https://www.healthdata.org/new-zealand</vt:lpwstr>
      </vt:variant>
      <vt:variant>
        <vt:lpwstr/>
      </vt:variant>
      <vt:variant>
        <vt:i4>3670113</vt:i4>
      </vt:variant>
      <vt:variant>
        <vt:i4>1247</vt:i4>
      </vt:variant>
      <vt:variant>
        <vt:i4>0</vt:i4>
      </vt:variant>
      <vt:variant>
        <vt:i4>5</vt:i4>
      </vt:variant>
      <vt:variant>
        <vt:lpwstr>https://www.hri.org.nz/health/learn/cardiovascular-disease/diabetes</vt:lpwstr>
      </vt:variant>
      <vt:variant>
        <vt:lpwstr/>
      </vt:variant>
      <vt:variant>
        <vt:i4>7995444</vt:i4>
      </vt:variant>
      <vt:variant>
        <vt:i4>1244</vt:i4>
      </vt:variant>
      <vt:variant>
        <vt:i4>0</vt:i4>
      </vt:variant>
      <vt:variant>
        <vt:i4>5</vt:i4>
      </vt:variant>
      <vt:variant>
        <vt:lpwstr>https://www.hqsc.govt.nz/assets/Our-data/Publications-resources/COVID-Window-2021-final-web.pdf</vt:lpwstr>
      </vt:variant>
      <vt:variant>
        <vt:lpwstr/>
      </vt:variant>
      <vt:variant>
        <vt:i4>6553660</vt:i4>
      </vt:variant>
      <vt:variant>
        <vt:i4>1241</vt:i4>
      </vt:variant>
      <vt:variant>
        <vt:i4>0</vt:i4>
      </vt:variant>
      <vt:variant>
        <vt:i4>5</vt:i4>
      </vt:variant>
      <vt:variant>
        <vt:lpwstr>https://mohgovtnz-my.sharepoint.com/personal/leonie_pritchard_health_govt_nz1/Documents/Documents/Health and Independence Report 2021/www.hqsc.govt.nz/our-programmes/health-quality-evaluation/publications-and-resources/publication/4299/</vt:lpwstr>
      </vt:variant>
      <vt:variant>
        <vt:lpwstr/>
      </vt:variant>
      <vt:variant>
        <vt:i4>6815793</vt:i4>
      </vt:variant>
      <vt:variant>
        <vt:i4>1238</vt:i4>
      </vt:variant>
      <vt:variant>
        <vt:i4>0</vt:i4>
      </vt:variant>
      <vt:variant>
        <vt:i4>5</vt:i4>
      </vt:variant>
      <vt:variant>
        <vt:lpwstr>https://mohgovtnz-my.sharepoint.com/personal/leonie_pritchard_health_govt_nz1/Documents/Documents/Health and Independence Report 2021/www.hqsc.govt.nz/our-programmes/health-quality-evaluation/publications-and-resources/publication/3721/</vt:lpwstr>
      </vt:variant>
      <vt:variant>
        <vt:lpwstr/>
      </vt:variant>
      <vt:variant>
        <vt:i4>6553699</vt:i4>
      </vt:variant>
      <vt:variant>
        <vt:i4>1235</vt:i4>
      </vt:variant>
      <vt:variant>
        <vt:i4>0</vt:i4>
      </vt:variant>
      <vt:variant>
        <vt:i4>5</vt:i4>
      </vt:variant>
      <vt:variant>
        <vt:lpwstr>https://www.healthnavigator.org.nz/health-a-z/r/respiratory-syncytial-virus-rsv-infection/</vt:lpwstr>
      </vt:variant>
      <vt:variant>
        <vt:lpwstr/>
      </vt:variant>
      <vt:variant>
        <vt:i4>5832731</vt:i4>
      </vt:variant>
      <vt:variant>
        <vt:i4>1232</vt:i4>
      </vt:variant>
      <vt:variant>
        <vt:i4>0</vt:i4>
      </vt:variant>
      <vt:variant>
        <vt:i4>5</vt:i4>
      </vt:variant>
      <vt:variant>
        <vt:lpwstr>https://mentalhealth.inquiry.govt.nz/assets/Summary-reports/He-Ara-Oranga.pdf</vt:lpwstr>
      </vt:variant>
      <vt:variant>
        <vt:lpwstr/>
      </vt:variant>
      <vt:variant>
        <vt:i4>6094878</vt:i4>
      </vt:variant>
      <vt:variant>
        <vt:i4>1229</vt:i4>
      </vt:variant>
      <vt:variant>
        <vt:i4>0</vt:i4>
      </vt:variant>
      <vt:variant>
        <vt:i4>5</vt:i4>
      </vt:variant>
      <vt:variant>
        <vt:lpwstr>https://surv.esr.cri.nz/episurv/index.php</vt:lpwstr>
      </vt:variant>
      <vt:variant>
        <vt:lpwstr/>
      </vt:variant>
      <vt:variant>
        <vt:i4>262165</vt:i4>
      </vt:variant>
      <vt:variant>
        <vt:i4>1226</vt:i4>
      </vt:variant>
      <vt:variant>
        <vt:i4>0</vt:i4>
      </vt:variant>
      <vt:variant>
        <vt:i4>5</vt:i4>
      </vt:variant>
      <vt:variant>
        <vt:lpwstr>https://www.ehinz.ac.nz/assets/Factsheets/Oral-health-of-children-FS.pdf</vt:lpwstr>
      </vt:variant>
      <vt:variant>
        <vt:lpwstr/>
      </vt:variant>
      <vt:variant>
        <vt:i4>786509</vt:i4>
      </vt:variant>
      <vt:variant>
        <vt:i4>1223</vt:i4>
      </vt:variant>
      <vt:variant>
        <vt:i4>0</vt:i4>
      </vt:variant>
      <vt:variant>
        <vt:i4>5</vt:i4>
      </vt:variant>
      <vt:variant>
        <vt:lpwstr>https://blogs.otago.ac.nz/pubhealthexpert/what-does-the-2019-20-nz-health-survey-tell-us-about-progress-towards-a-smokefree-aotearoa/</vt:lpwstr>
      </vt:variant>
      <vt:variant>
        <vt:lpwstr/>
      </vt:variant>
      <vt:variant>
        <vt:i4>393281</vt:i4>
      </vt:variant>
      <vt:variant>
        <vt:i4>1220</vt:i4>
      </vt:variant>
      <vt:variant>
        <vt:i4>0</vt:i4>
      </vt:variant>
      <vt:variant>
        <vt:i4>5</vt:i4>
      </vt:variant>
      <vt:variant>
        <vt:lpwstr>https://www.educationcounts.govt.nz/statistics/tertiary-participation</vt:lpwstr>
      </vt:variant>
      <vt:variant>
        <vt:lpwstr/>
      </vt:variant>
      <vt:variant>
        <vt:i4>5636189</vt:i4>
      </vt:variant>
      <vt:variant>
        <vt:i4>1217</vt:i4>
      </vt:variant>
      <vt:variant>
        <vt:i4>0</vt:i4>
      </vt:variant>
      <vt:variant>
        <vt:i4>5</vt:i4>
      </vt:variant>
      <vt:variant>
        <vt:lpwstr>https://www.cdc.gov/rsv/high-risk/infants-young-children.html</vt:lpwstr>
      </vt:variant>
      <vt:variant>
        <vt:lpwstr/>
      </vt:variant>
      <vt:variant>
        <vt:i4>2097257</vt:i4>
      </vt:variant>
      <vt:variant>
        <vt:i4>1214</vt:i4>
      </vt:variant>
      <vt:variant>
        <vt:i4>0</vt:i4>
      </vt:variant>
      <vt:variant>
        <vt:i4>5</vt:i4>
      </vt:variant>
      <vt:variant>
        <vt:lpwstr>https://mohgovtnz-my.sharepoint.com/personal/leonie_pritchard_health_govt_nz1/Documents/Documents/Health and Independence Report 2021/www.otago.ac.nz/wellington/otago823833.pdf</vt:lpwstr>
      </vt:variant>
      <vt:variant>
        <vt:lpwstr/>
      </vt:variant>
      <vt:variant>
        <vt:i4>720911</vt:i4>
      </vt:variant>
      <vt:variant>
        <vt:i4>1211</vt:i4>
      </vt:variant>
      <vt:variant>
        <vt:i4>0</vt:i4>
      </vt:variant>
      <vt:variant>
        <vt:i4>5</vt:i4>
      </vt:variant>
      <vt:variant>
        <vt:lpwstr>http://hdl.handle.net/10523/12052</vt:lpwstr>
      </vt:variant>
      <vt:variant>
        <vt:lpwstr/>
      </vt:variant>
      <vt:variant>
        <vt:i4>1572941</vt:i4>
      </vt:variant>
      <vt:variant>
        <vt:i4>1202</vt:i4>
      </vt:variant>
      <vt:variant>
        <vt:i4>0</vt:i4>
      </vt:variant>
      <vt:variant>
        <vt:i4>5</vt:i4>
      </vt:variant>
      <vt:variant>
        <vt:lpwstr>https://www.health.govt.nz/publication/response-stats-nz-recommendations-health-service-user-dataset</vt:lpwstr>
      </vt:variant>
      <vt:variant>
        <vt:lpwstr/>
      </vt:variant>
      <vt:variant>
        <vt:i4>2687094</vt:i4>
      </vt:variant>
      <vt:variant>
        <vt:i4>1175</vt:i4>
      </vt:variant>
      <vt:variant>
        <vt:i4>0</vt:i4>
      </vt:variant>
      <vt:variant>
        <vt:i4>5</vt:i4>
      </vt:variant>
      <vt:variant>
        <vt:lpwstr>https://infoshare.stats.govt.nz/infoshare/Default.aspx</vt:lpwstr>
      </vt:variant>
      <vt:variant>
        <vt:lpwstr/>
      </vt:variant>
      <vt:variant>
        <vt:i4>262164</vt:i4>
      </vt:variant>
      <vt:variant>
        <vt:i4>1160</vt:i4>
      </vt:variant>
      <vt:variant>
        <vt:i4>0</vt:i4>
      </vt:variant>
      <vt:variant>
        <vt:i4>5</vt:i4>
      </vt:variant>
      <vt:variant>
        <vt:lpwstr>https://www.health.govt.nz/publication/health-workforce-advisory-board-2021-annual-report-minister-health</vt:lpwstr>
      </vt:variant>
      <vt:variant>
        <vt:lpwstr/>
      </vt:variant>
      <vt:variant>
        <vt:i4>6029337</vt:i4>
      </vt:variant>
      <vt:variant>
        <vt:i4>1154</vt:i4>
      </vt:variant>
      <vt:variant>
        <vt:i4>0</vt:i4>
      </vt:variant>
      <vt:variant>
        <vt:i4>5</vt:i4>
      </vt:variant>
      <vt:variant>
        <vt:lpwstr>https://nsfl.health.govt.nz/accountability/performance-and-monitoring/data-quarterly-reports-and-reporting/inpatient-average</vt:lpwstr>
      </vt:variant>
      <vt:variant>
        <vt:lpwstr/>
      </vt:variant>
      <vt:variant>
        <vt:i4>7602280</vt:i4>
      </vt:variant>
      <vt:variant>
        <vt:i4>1142</vt:i4>
      </vt:variant>
      <vt:variant>
        <vt:i4>0</vt:i4>
      </vt:variant>
      <vt:variant>
        <vt:i4>5</vt:i4>
      </vt:variant>
      <vt:variant>
        <vt:lpwstr>https://minhealthnz2.shinyapps.io/ESPI-app/</vt:lpwstr>
      </vt:variant>
      <vt:variant>
        <vt:lpwstr/>
      </vt:variant>
      <vt:variant>
        <vt:i4>6029337</vt:i4>
      </vt:variant>
      <vt:variant>
        <vt:i4>1118</vt:i4>
      </vt:variant>
      <vt:variant>
        <vt:i4>0</vt:i4>
      </vt:variant>
      <vt:variant>
        <vt:i4>5</vt:i4>
      </vt:variant>
      <vt:variant>
        <vt:lpwstr>https://nsfl.health.govt.nz/accountability/performance-and-monitoring/data-quarterly-reports-and-reporting/inpatient-average</vt:lpwstr>
      </vt:variant>
      <vt:variant>
        <vt:lpwstr/>
      </vt:variant>
      <vt:variant>
        <vt:i4>7340077</vt:i4>
      </vt:variant>
      <vt:variant>
        <vt:i4>1106</vt:i4>
      </vt:variant>
      <vt:variant>
        <vt:i4>0</vt:i4>
      </vt:variant>
      <vt:variant>
        <vt:i4>5</vt:i4>
      </vt:variant>
      <vt:variant>
        <vt:lpwstr>https://nsfl.health.govt.nz/accountability/performance-and-monitoring/data-quarterly-reports-and-reporting/ambulatory-sensitive</vt:lpwstr>
      </vt:variant>
      <vt:variant>
        <vt:lpwstr/>
      </vt:variant>
      <vt:variant>
        <vt:i4>7340077</vt:i4>
      </vt:variant>
      <vt:variant>
        <vt:i4>1097</vt:i4>
      </vt:variant>
      <vt:variant>
        <vt:i4>0</vt:i4>
      </vt:variant>
      <vt:variant>
        <vt:i4>5</vt:i4>
      </vt:variant>
      <vt:variant>
        <vt:lpwstr>https://nsfl.health.govt.nz/accountability/performance-and-monitoring/data-quarterly-reports-and-reporting/ambulatory-sensitive</vt:lpwstr>
      </vt:variant>
      <vt:variant>
        <vt:lpwstr/>
      </vt:variant>
      <vt:variant>
        <vt:i4>786549</vt:i4>
      </vt:variant>
      <vt:variant>
        <vt:i4>1031</vt:i4>
      </vt:variant>
      <vt:variant>
        <vt:i4>0</vt:i4>
      </vt:variant>
      <vt:variant>
        <vt:i4>5</vt:i4>
      </vt:variant>
      <vt:variant>
        <vt:lpwstr>https://www.health.govt.nz/system/files/documents/publications/web3-kia-manawanui-aotearoa-v9_0.pdf</vt:lpwstr>
      </vt:variant>
      <vt:variant>
        <vt:lpwstr/>
      </vt:variant>
      <vt:variant>
        <vt:i4>1638476</vt:i4>
      </vt:variant>
      <vt:variant>
        <vt:i4>1028</vt:i4>
      </vt:variant>
      <vt:variant>
        <vt:i4>0</vt:i4>
      </vt:variant>
      <vt:variant>
        <vt:i4>5</vt:i4>
      </vt:variant>
      <vt:variant>
        <vt:lpwstr>https://minhealthnz.shinyapps.io/nz-health-survey-2020-21-annual-data-explorer/_w_871f0fb8/</vt:lpwstr>
      </vt:variant>
      <vt:variant>
        <vt:lpwstr>!/</vt:lpwstr>
      </vt:variant>
      <vt:variant>
        <vt:i4>3538995</vt:i4>
      </vt:variant>
      <vt:variant>
        <vt:i4>924</vt:i4>
      </vt:variant>
      <vt:variant>
        <vt:i4>0</vt:i4>
      </vt:variant>
      <vt:variant>
        <vt:i4>5</vt:i4>
      </vt:variant>
      <vt:variant>
        <vt:lpwstr>https://minhealthnz.shinyapps.io/nsu-ncsp-coverage/</vt:lpwstr>
      </vt:variant>
      <vt:variant>
        <vt:lpwstr/>
      </vt:variant>
      <vt:variant>
        <vt:i4>6357110</vt:i4>
      </vt:variant>
      <vt:variant>
        <vt:i4>912</vt:i4>
      </vt:variant>
      <vt:variant>
        <vt:i4>0</vt:i4>
      </vt:variant>
      <vt:variant>
        <vt:i4>5</vt:i4>
      </vt:variant>
      <vt:variant>
        <vt:lpwstr>https://minhealthnz.shinyapps.io/nsu-bsa-coverage-dhb/</vt:lpwstr>
      </vt:variant>
      <vt:variant>
        <vt:lpwstr/>
      </vt:variant>
      <vt:variant>
        <vt:i4>4063289</vt:i4>
      </vt:variant>
      <vt:variant>
        <vt:i4>891</vt:i4>
      </vt:variant>
      <vt:variant>
        <vt:i4>0</vt:i4>
      </vt:variant>
      <vt:variant>
        <vt:i4>5</vt:i4>
      </vt:variant>
      <vt:variant>
        <vt:lpwstr>https://teaho.govt.nz/reports/cancer-state</vt:lpwstr>
      </vt:variant>
      <vt:variant>
        <vt:lpwstr/>
      </vt:variant>
      <vt:variant>
        <vt:i4>4063289</vt:i4>
      </vt:variant>
      <vt:variant>
        <vt:i4>879</vt:i4>
      </vt:variant>
      <vt:variant>
        <vt:i4>0</vt:i4>
      </vt:variant>
      <vt:variant>
        <vt:i4>5</vt:i4>
      </vt:variant>
      <vt:variant>
        <vt:lpwstr>https://teaho.govt.nz/reports/cancer-state</vt:lpwstr>
      </vt:variant>
      <vt:variant>
        <vt:lpwstr/>
      </vt:variant>
      <vt:variant>
        <vt:i4>4063289</vt:i4>
      </vt:variant>
      <vt:variant>
        <vt:i4>870</vt:i4>
      </vt:variant>
      <vt:variant>
        <vt:i4>0</vt:i4>
      </vt:variant>
      <vt:variant>
        <vt:i4>5</vt:i4>
      </vt:variant>
      <vt:variant>
        <vt:lpwstr>https://teaho.govt.nz/reports/cancer-state</vt:lpwstr>
      </vt:variant>
      <vt:variant>
        <vt:lpwstr/>
      </vt:variant>
      <vt:variant>
        <vt:i4>2097272</vt:i4>
      </vt:variant>
      <vt:variant>
        <vt:i4>840</vt:i4>
      </vt:variant>
      <vt:variant>
        <vt:i4>0</vt:i4>
      </vt:variant>
      <vt:variant>
        <vt:i4>5</vt:i4>
      </vt:variant>
      <vt:variant>
        <vt:lpwstr>https://www.health.govt.nz/our-work/preventative-health-wellness/immunisation/immunisation-coverage/national-and-dhb-immunisation-data</vt:lpwstr>
      </vt:variant>
      <vt:variant>
        <vt:lpwstr/>
      </vt:variant>
      <vt:variant>
        <vt:i4>7209022</vt:i4>
      </vt:variant>
      <vt:variant>
        <vt:i4>813</vt:i4>
      </vt:variant>
      <vt:variant>
        <vt:i4>0</vt:i4>
      </vt:variant>
      <vt:variant>
        <vt:i4>5</vt:i4>
      </vt:variant>
      <vt:variant>
        <vt:lpwstr>https://www.healthline.com/health/cold-flu/cold</vt:lpwstr>
      </vt:variant>
      <vt:variant>
        <vt:lpwstr/>
      </vt:variant>
      <vt:variant>
        <vt:i4>1704023</vt:i4>
      </vt:variant>
      <vt:variant>
        <vt:i4>801</vt:i4>
      </vt:variant>
      <vt:variant>
        <vt:i4>0</vt:i4>
      </vt:variant>
      <vt:variant>
        <vt:i4>5</vt:i4>
      </vt:variant>
      <vt:variant>
        <vt:lpwstr>http://www.health.govt.nz/nz-health-statistics/health-statistics-and-data-sets/oral-health-data-and-stats/age-5-and-year-8-oral-health-data-community-oral-health-service</vt:lpwstr>
      </vt:variant>
      <vt:variant>
        <vt:lpwstr/>
      </vt:variant>
      <vt:variant>
        <vt:i4>7995450</vt:i4>
      </vt:variant>
      <vt:variant>
        <vt:i4>759</vt:i4>
      </vt:variant>
      <vt:variant>
        <vt:i4>0</vt:i4>
      </vt:variant>
      <vt:variant>
        <vt:i4>5</vt:i4>
      </vt:variant>
      <vt:variant>
        <vt:lpwstr>https://minhealthnz.shinyapps.io/report-on-maternity-web-tool/</vt:lpwstr>
      </vt:variant>
      <vt:variant>
        <vt:lpwstr/>
      </vt:variant>
      <vt:variant>
        <vt:i4>7995450</vt:i4>
      </vt:variant>
      <vt:variant>
        <vt:i4>747</vt:i4>
      </vt:variant>
      <vt:variant>
        <vt:i4>0</vt:i4>
      </vt:variant>
      <vt:variant>
        <vt:i4>5</vt:i4>
      </vt:variant>
      <vt:variant>
        <vt:lpwstr>https://minhealthnz.shinyapps.io/report-on-maternity-web-tool/</vt:lpwstr>
      </vt:variant>
      <vt:variant>
        <vt:lpwstr/>
      </vt:variant>
      <vt:variant>
        <vt:i4>7995450</vt:i4>
      </vt:variant>
      <vt:variant>
        <vt:i4>735</vt:i4>
      </vt:variant>
      <vt:variant>
        <vt:i4>0</vt:i4>
      </vt:variant>
      <vt:variant>
        <vt:i4>5</vt:i4>
      </vt:variant>
      <vt:variant>
        <vt:lpwstr>https://minhealthnz.shinyapps.io/report-on-maternity-web-tool/</vt:lpwstr>
      </vt:variant>
      <vt:variant>
        <vt:lpwstr/>
      </vt:variant>
      <vt:variant>
        <vt:i4>7995450</vt:i4>
      </vt:variant>
      <vt:variant>
        <vt:i4>726</vt:i4>
      </vt:variant>
      <vt:variant>
        <vt:i4>0</vt:i4>
      </vt:variant>
      <vt:variant>
        <vt:i4>5</vt:i4>
      </vt:variant>
      <vt:variant>
        <vt:lpwstr>https://minhealthnz.shinyapps.io/report-on-maternity-web-tool/</vt:lpwstr>
      </vt:variant>
      <vt:variant>
        <vt:lpwstr/>
      </vt:variant>
      <vt:variant>
        <vt:i4>1638476</vt:i4>
      </vt:variant>
      <vt:variant>
        <vt:i4>609</vt:i4>
      </vt:variant>
      <vt:variant>
        <vt:i4>0</vt:i4>
      </vt:variant>
      <vt:variant>
        <vt:i4>5</vt:i4>
      </vt:variant>
      <vt:variant>
        <vt:lpwstr>https://minhealthnz.shinyapps.io/nz-health-survey-2020-21-annual-data-explorer/_w_871f0fb8/</vt:lpwstr>
      </vt:variant>
      <vt:variant>
        <vt:lpwstr>!/</vt:lpwstr>
      </vt:variant>
      <vt:variant>
        <vt:i4>1638476</vt:i4>
      </vt:variant>
      <vt:variant>
        <vt:i4>591</vt:i4>
      </vt:variant>
      <vt:variant>
        <vt:i4>0</vt:i4>
      </vt:variant>
      <vt:variant>
        <vt:i4>5</vt:i4>
      </vt:variant>
      <vt:variant>
        <vt:lpwstr>https://minhealthnz.shinyapps.io/nz-health-survey-2020-21-annual-data-explorer/_w_871f0fb8/</vt:lpwstr>
      </vt:variant>
      <vt:variant>
        <vt:lpwstr>!/</vt:lpwstr>
      </vt:variant>
      <vt:variant>
        <vt:i4>1638476</vt:i4>
      </vt:variant>
      <vt:variant>
        <vt:i4>564</vt:i4>
      </vt:variant>
      <vt:variant>
        <vt:i4>0</vt:i4>
      </vt:variant>
      <vt:variant>
        <vt:i4>5</vt:i4>
      </vt:variant>
      <vt:variant>
        <vt:lpwstr>https://minhealthnz.shinyapps.io/nz-health-survey-2020-21-annual-data-explorer/_w_871f0fb8/</vt:lpwstr>
      </vt:variant>
      <vt:variant>
        <vt:lpwstr>!/</vt:lpwstr>
      </vt:variant>
      <vt:variant>
        <vt:i4>1638476</vt:i4>
      </vt:variant>
      <vt:variant>
        <vt:i4>537</vt:i4>
      </vt:variant>
      <vt:variant>
        <vt:i4>0</vt:i4>
      </vt:variant>
      <vt:variant>
        <vt:i4>5</vt:i4>
      </vt:variant>
      <vt:variant>
        <vt:lpwstr>https://minhealthnz.shinyapps.io/nz-health-survey-2020-21-annual-data-explorer/_w_871f0fb8/</vt:lpwstr>
      </vt:variant>
      <vt:variant>
        <vt:lpwstr>!/</vt:lpwstr>
      </vt:variant>
      <vt:variant>
        <vt:i4>3539044</vt:i4>
      </vt:variant>
      <vt:variant>
        <vt:i4>516</vt:i4>
      </vt:variant>
      <vt:variant>
        <vt:i4>0</vt:i4>
      </vt:variant>
      <vt:variant>
        <vt:i4>5</vt:i4>
      </vt:variant>
      <vt:variant>
        <vt:lpwstr>https://minhealthnz.shinyapps.io/populations-web-tool/</vt:lpwstr>
      </vt:variant>
      <vt:variant>
        <vt:lpwstr/>
      </vt:variant>
      <vt:variant>
        <vt:i4>1638476</vt:i4>
      </vt:variant>
      <vt:variant>
        <vt:i4>495</vt:i4>
      </vt:variant>
      <vt:variant>
        <vt:i4>0</vt:i4>
      </vt:variant>
      <vt:variant>
        <vt:i4>5</vt:i4>
      </vt:variant>
      <vt:variant>
        <vt:lpwstr>https://minhealthnz.shinyapps.io/nz-health-survey-2020-21-annual-data-explorer/_w_871f0fb8/</vt:lpwstr>
      </vt:variant>
      <vt:variant>
        <vt:lpwstr>!/</vt:lpwstr>
      </vt:variant>
      <vt:variant>
        <vt:i4>1114126</vt:i4>
      </vt:variant>
      <vt:variant>
        <vt:i4>483</vt:i4>
      </vt:variant>
      <vt:variant>
        <vt:i4>0</vt:i4>
      </vt:variant>
      <vt:variant>
        <vt:i4>5</vt:i4>
      </vt:variant>
      <vt:variant>
        <vt:lpwstr>https://www.health.govt.nz/publication/mortality-web-tool</vt:lpwstr>
      </vt:variant>
      <vt:variant>
        <vt:lpwstr/>
      </vt:variant>
      <vt:variant>
        <vt:i4>1114126</vt:i4>
      </vt:variant>
      <vt:variant>
        <vt:i4>474</vt:i4>
      </vt:variant>
      <vt:variant>
        <vt:i4>0</vt:i4>
      </vt:variant>
      <vt:variant>
        <vt:i4>5</vt:i4>
      </vt:variant>
      <vt:variant>
        <vt:lpwstr>https://www.health.govt.nz/publication/mortality-web-tool</vt:lpwstr>
      </vt:variant>
      <vt:variant>
        <vt:lpwstr/>
      </vt:variant>
      <vt:variant>
        <vt:i4>6881390</vt:i4>
      </vt:variant>
      <vt:variant>
        <vt:i4>459</vt:i4>
      </vt:variant>
      <vt:variant>
        <vt:i4>0</vt:i4>
      </vt:variant>
      <vt:variant>
        <vt:i4>5</vt:i4>
      </vt:variant>
      <vt:variant>
        <vt:lpwstr>http://ghdx.healthdata.org/gbd-results-tool</vt:lpwstr>
      </vt:variant>
      <vt:variant>
        <vt:lpwstr/>
      </vt:variant>
      <vt:variant>
        <vt:i4>6881390</vt:i4>
      </vt:variant>
      <vt:variant>
        <vt:i4>453</vt:i4>
      </vt:variant>
      <vt:variant>
        <vt:i4>0</vt:i4>
      </vt:variant>
      <vt:variant>
        <vt:i4>5</vt:i4>
      </vt:variant>
      <vt:variant>
        <vt:lpwstr>http://ghdx.healthdata.org/gbd-results-tool</vt:lpwstr>
      </vt:variant>
      <vt:variant>
        <vt:lpwstr/>
      </vt:variant>
      <vt:variant>
        <vt:i4>3539044</vt:i4>
      </vt:variant>
      <vt:variant>
        <vt:i4>423</vt:i4>
      </vt:variant>
      <vt:variant>
        <vt:i4>0</vt:i4>
      </vt:variant>
      <vt:variant>
        <vt:i4>5</vt:i4>
      </vt:variant>
      <vt:variant>
        <vt:lpwstr>https://minhealthnz.shinyapps.io/populations-web-tool/</vt:lpwstr>
      </vt:variant>
      <vt:variant>
        <vt:lpwstr/>
      </vt:variant>
      <vt:variant>
        <vt:i4>7995450</vt:i4>
      </vt:variant>
      <vt:variant>
        <vt:i4>408</vt:i4>
      </vt:variant>
      <vt:variant>
        <vt:i4>0</vt:i4>
      </vt:variant>
      <vt:variant>
        <vt:i4>5</vt:i4>
      </vt:variant>
      <vt:variant>
        <vt:lpwstr>https://minhealthnz.shinyapps.io/report-on-maternity-web-tool/</vt:lpwstr>
      </vt:variant>
      <vt:variant>
        <vt:lpwstr/>
      </vt:variant>
      <vt:variant>
        <vt:i4>7995450</vt:i4>
      </vt:variant>
      <vt:variant>
        <vt:i4>396</vt:i4>
      </vt:variant>
      <vt:variant>
        <vt:i4>0</vt:i4>
      </vt:variant>
      <vt:variant>
        <vt:i4>5</vt:i4>
      </vt:variant>
      <vt:variant>
        <vt:lpwstr>https://minhealthnz.shinyapps.io/report-on-maternity-web-tool/</vt:lpwstr>
      </vt:variant>
      <vt:variant>
        <vt:lpwstr/>
      </vt:variant>
      <vt:variant>
        <vt:i4>1310778</vt:i4>
      </vt:variant>
      <vt:variant>
        <vt:i4>377</vt:i4>
      </vt:variant>
      <vt:variant>
        <vt:i4>0</vt:i4>
      </vt:variant>
      <vt:variant>
        <vt:i4>5</vt:i4>
      </vt:variant>
      <vt:variant>
        <vt:lpwstr/>
      </vt:variant>
      <vt:variant>
        <vt:lpwstr>_Toc118731048</vt:lpwstr>
      </vt:variant>
      <vt:variant>
        <vt:i4>1310778</vt:i4>
      </vt:variant>
      <vt:variant>
        <vt:i4>371</vt:i4>
      </vt:variant>
      <vt:variant>
        <vt:i4>0</vt:i4>
      </vt:variant>
      <vt:variant>
        <vt:i4>5</vt:i4>
      </vt:variant>
      <vt:variant>
        <vt:lpwstr/>
      </vt:variant>
      <vt:variant>
        <vt:lpwstr>_Toc118731047</vt:lpwstr>
      </vt:variant>
      <vt:variant>
        <vt:i4>1310778</vt:i4>
      </vt:variant>
      <vt:variant>
        <vt:i4>365</vt:i4>
      </vt:variant>
      <vt:variant>
        <vt:i4>0</vt:i4>
      </vt:variant>
      <vt:variant>
        <vt:i4>5</vt:i4>
      </vt:variant>
      <vt:variant>
        <vt:lpwstr/>
      </vt:variant>
      <vt:variant>
        <vt:lpwstr>_Toc118731046</vt:lpwstr>
      </vt:variant>
      <vt:variant>
        <vt:i4>1310778</vt:i4>
      </vt:variant>
      <vt:variant>
        <vt:i4>359</vt:i4>
      </vt:variant>
      <vt:variant>
        <vt:i4>0</vt:i4>
      </vt:variant>
      <vt:variant>
        <vt:i4>5</vt:i4>
      </vt:variant>
      <vt:variant>
        <vt:lpwstr/>
      </vt:variant>
      <vt:variant>
        <vt:lpwstr>_Toc118731045</vt:lpwstr>
      </vt:variant>
      <vt:variant>
        <vt:i4>1310778</vt:i4>
      </vt:variant>
      <vt:variant>
        <vt:i4>353</vt:i4>
      </vt:variant>
      <vt:variant>
        <vt:i4>0</vt:i4>
      </vt:variant>
      <vt:variant>
        <vt:i4>5</vt:i4>
      </vt:variant>
      <vt:variant>
        <vt:lpwstr/>
      </vt:variant>
      <vt:variant>
        <vt:lpwstr>_Toc118731044</vt:lpwstr>
      </vt:variant>
      <vt:variant>
        <vt:i4>1310768</vt:i4>
      </vt:variant>
      <vt:variant>
        <vt:i4>344</vt:i4>
      </vt:variant>
      <vt:variant>
        <vt:i4>0</vt:i4>
      </vt:variant>
      <vt:variant>
        <vt:i4>5</vt:i4>
      </vt:variant>
      <vt:variant>
        <vt:lpwstr/>
      </vt:variant>
      <vt:variant>
        <vt:lpwstr>_Toc118782171</vt:lpwstr>
      </vt:variant>
      <vt:variant>
        <vt:i4>1310768</vt:i4>
      </vt:variant>
      <vt:variant>
        <vt:i4>338</vt:i4>
      </vt:variant>
      <vt:variant>
        <vt:i4>0</vt:i4>
      </vt:variant>
      <vt:variant>
        <vt:i4>5</vt:i4>
      </vt:variant>
      <vt:variant>
        <vt:lpwstr/>
      </vt:variant>
      <vt:variant>
        <vt:lpwstr>_Toc118782170</vt:lpwstr>
      </vt:variant>
      <vt:variant>
        <vt:i4>1376304</vt:i4>
      </vt:variant>
      <vt:variant>
        <vt:i4>332</vt:i4>
      </vt:variant>
      <vt:variant>
        <vt:i4>0</vt:i4>
      </vt:variant>
      <vt:variant>
        <vt:i4>5</vt:i4>
      </vt:variant>
      <vt:variant>
        <vt:lpwstr/>
      </vt:variant>
      <vt:variant>
        <vt:lpwstr>_Toc118782169</vt:lpwstr>
      </vt:variant>
      <vt:variant>
        <vt:i4>1376304</vt:i4>
      </vt:variant>
      <vt:variant>
        <vt:i4>326</vt:i4>
      </vt:variant>
      <vt:variant>
        <vt:i4>0</vt:i4>
      </vt:variant>
      <vt:variant>
        <vt:i4>5</vt:i4>
      </vt:variant>
      <vt:variant>
        <vt:lpwstr/>
      </vt:variant>
      <vt:variant>
        <vt:lpwstr>_Toc118782168</vt:lpwstr>
      </vt:variant>
      <vt:variant>
        <vt:i4>1376304</vt:i4>
      </vt:variant>
      <vt:variant>
        <vt:i4>320</vt:i4>
      </vt:variant>
      <vt:variant>
        <vt:i4>0</vt:i4>
      </vt:variant>
      <vt:variant>
        <vt:i4>5</vt:i4>
      </vt:variant>
      <vt:variant>
        <vt:lpwstr/>
      </vt:variant>
      <vt:variant>
        <vt:lpwstr>_Toc118782167</vt:lpwstr>
      </vt:variant>
      <vt:variant>
        <vt:i4>1376304</vt:i4>
      </vt:variant>
      <vt:variant>
        <vt:i4>314</vt:i4>
      </vt:variant>
      <vt:variant>
        <vt:i4>0</vt:i4>
      </vt:variant>
      <vt:variant>
        <vt:i4>5</vt:i4>
      </vt:variant>
      <vt:variant>
        <vt:lpwstr/>
      </vt:variant>
      <vt:variant>
        <vt:lpwstr>_Toc118782166</vt:lpwstr>
      </vt:variant>
      <vt:variant>
        <vt:i4>1376304</vt:i4>
      </vt:variant>
      <vt:variant>
        <vt:i4>308</vt:i4>
      </vt:variant>
      <vt:variant>
        <vt:i4>0</vt:i4>
      </vt:variant>
      <vt:variant>
        <vt:i4>5</vt:i4>
      </vt:variant>
      <vt:variant>
        <vt:lpwstr/>
      </vt:variant>
      <vt:variant>
        <vt:lpwstr>_Toc118782165</vt:lpwstr>
      </vt:variant>
      <vt:variant>
        <vt:i4>1376304</vt:i4>
      </vt:variant>
      <vt:variant>
        <vt:i4>302</vt:i4>
      </vt:variant>
      <vt:variant>
        <vt:i4>0</vt:i4>
      </vt:variant>
      <vt:variant>
        <vt:i4>5</vt:i4>
      </vt:variant>
      <vt:variant>
        <vt:lpwstr/>
      </vt:variant>
      <vt:variant>
        <vt:lpwstr>_Toc118782164</vt:lpwstr>
      </vt:variant>
      <vt:variant>
        <vt:i4>1376304</vt:i4>
      </vt:variant>
      <vt:variant>
        <vt:i4>296</vt:i4>
      </vt:variant>
      <vt:variant>
        <vt:i4>0</vt:i4>
      </vt:variant>
      <vt:variant>
        <vt:i4>5</vt:i4>
      </vt:variant>
      <vt:variant>
        <vt:lpwstr/>
      </vt:variant>
      <vt:variant>
        <vt:lpwstr>_Toc118782163</vt:lpwstr>
      </vt:variant>
      <vt:variant>
        <vt:i4>1376304</vt:i4>
      </vt:variant>
      <vt:variant>
        <vt:i4>290</vt:i4>
      </vt:variant>
      <vt:variant>
        <vt:i4>0</vt:i4>
      </vt:variant>
      <vt:variant>
        <vt:i4>5</vt:i4>
      </vt:variant>
      <vt:variant>
        <vt:lpwstr/>
      </vt:variant>
      <vt:variant>
        <vt:lpwstr>_Toc118782162</vt:lpwstr>
      </vt:variant>
      <vt:variant>
        <vt:i4>1376304</vt:i4>
      </vt:variant>
      <vt:variant>
        <vt:i4>284</vt:i4>
      </vt:variant>
      <vt:variant>
        <vt:i4>0</vt:i4>
      </vt:variant>
      <vt:variant>
        <vt:i4>5</vt:i4>
      </vt:variant>
      <vt:variant>
        <vt:lpwstr/>
      </vt:variant>
      <vt:variant>
        <vt:lpwstr>_Toc118782161</vt:lpwstr>
      </vt:variant>
      <vt:variant>
        <vt:i4>1376304</vt:i4>
      </vt:variant>
      <vt:variant>
        <vt:i4>278</vt:i4>
      </vt:variant>
      <vt:variant>
        <vt:i4>0</vt:i4>
      </vt:variant>
      <vt:variant>
        <vt:i4>5</vt:i4>
      </vt:variant>
      <vt:variant>
        <vt:lpwstr/>
      </vt:variant>
      <vt:variant>
        <vt:lpwstr>_Toc118782160</vt:lpwstr>
      </vt:variant>
      <vt:variant>
        <vt:i4>1441840</vt:i4>
      </vt:variant>
      <vt:variant>
        <vt:i4>272</vt:i4>
      </vt:variant>
      <vt:variant>
        <vt:i4>0</vt:i4>
      </vt:variant>
      <vt:variant>
        <vt:i4>5</vt:i4>
      </vt:variant>
      <vt:variant>
        <vt:lpwstr/>
      </vt:variant>
      <vt:variant>
        <vt:lpwstr>_Toc118782159</vt:lpwstr>
      </vt:variant>
      <vt:variant>
        <vt:i4>1441840</vt:i4>
      </vt:variant>
      <vt:variant>
        <vt:i4>266</vt:i4>
      </vt:variant>
      <vt:variant>
        <vt:i4>0</vt:i4>
      </vt:variant>
      <vt:variant>
        <vt:i4>5</vt:i4>
      </vt:variant>
      <vt:variant>
        <vt:lpwstr/>
      </vt:variant>
      <vt:variant>
        <vt:lpwstr>_Toc118782158</vt:lpwstr>
      </vt:variant>
      <vt:variant>
        <vt:i4>1441840</vt:i4>
      </vt:variant>
      <vt:variant>
        <vt:i4>260</vt:i4>
      </vt:variant>
      <vt:variant>
        <vt:i4>0</vt:i4>
      </vt:variant>
      <vt:variant>
        <vt:i4>5</vt:i4>
      </vt:variant>
      <vt:variant>
        <vt:lpwstr/>
      </vt:variant>
      <vt:variant>
        <vt:lpwstr>_Toc118782157</vt:lpwstr>
      </vt:variant>
      <vt:variant>
        <vt:i4>1441840</vt:i4>
      </vt:variant>
      <vt:variant>
        <vt:i4>254</vt:i4>
      </vt:variant>
      <vt:variant>
        <vt:i4>0</vt:i4>
      </vt:variant>
      <vt:variant>
        <vt:i4>5</vt:i4>
      </vt:variant>
      <vt:variant>
        <vt:lpwstr/>
      </vt:variant>
      <vt:variant>
        <vt:lpwstr>_Toc118782156</vt:lpwstr>
      </vt:variant>
      <vt:variant>
        <vt:i4>1441840</vt:i4>
      </vt:variant>
      <vt:variant>
        <vt:i4>248</vt:i4>
      </vt:variant>
      <vt:variant>
        <vt:i4>0</vt:i4>
      </vt:variant>
      <vt:variant>
        <vt:i4>5</vt:i4>
      </vt:variant>
      <vt:variant>
        <vt:lpwstr/>
      </vt:variant>
      <vt:variant>
        <vt:lpwstr>_Toc118782155</vt:lpwstr>
      </vt:variant>
      <vt:variant>
        <vt:i4>1441840</vt:i4>
      </vt:variant>
      <vt:variant>
        <vt:i4>242</vt:i4>
      </vt:variant>
      <vt:variant>
        <vt:i4>0</vt:i4>
      </vt:variant>
      <vt:variant>
        <vt:i4>5</vt:i4>
      </vt:variant>
      <vt:variant>
        <vt:lpwstr/>
      </vt:variant>
      <vt:variant>
        <vt:lpwstr>_Toc118782154</vt:lpwstr>
      </vt:variant>
      <vt:variant>
        <vt:i4>1441840</vt:i4>
      </vt:variant>
      <vt:variant>
        <vt:i4>236</vt:i4>
      </vt:variant>
      <vt:variant>
        <vt:i4>0</vt:i4>
      </vt:variant>
      <vt:variant>
        <vt:i4>5</vt:i4>
      </vt:variant>
      <vt:variant>
        <vt:lpwstr/>
      </vt:variant>
      <vt:variant>
        <vt:lpwstr>_Toc118782153</vt:lpwstr>
      </vt:variant>
      <vt:variant>
        <vt:i4>1441840</vt:i4>
      </vt:variant>
      <vt:variant>
        <vt:i4>230</vt:i4>
      </vt:variant>
      <vt:variant>
        <vt:i4>0</vt:i4>
      </vt:variant>
      <vt:variant>
        <vt:i4>5</vt:i4>
      </vt:variant>
      <vt:variant>
        <vt:lpwstr/>
      </vt:variant>
      <vt:variant>
        <vt:lpwstr>_Toc118782152</vt:lpwstr>
      </vt:variant>
      <vt:variant>
        <vt:i4>1441840</vt:i4>
      </vt:variant>
      <vt:variant>
        <vt:i4>224</vt:i4>
      </vt:variant>
      <vt:variant>
        <vt:i4>0</vt:i4>
      </vt:variant>
      <vt:variant>
        <vt:i4>5</vt:i4>
      </vt:variant>
      <vt:variant>
        <vt:lpwstr/>
      </vt:variant>
      <vt:variant>
        <vt:lpwstr>_Toc118782151</vt:lpwstr>
      </vt:variant>
      <vt:variant>
        <vt:i4>1441840</vt:i4>
      </vt:variant>
      <vt:variant>
        <vt:i4>218</vt:i4>
      </vt:variant>
      <vt:variant>
        <vt:i4>0</vt:i4>
      </vt:variant>
      <vt:variant>
        <vt:i4>5</vt:i4>
      </vt:variant>
      <vt:variant>
        <vt:lpwstr/>
      </vt:variant>
      <vt:variant>
        <vt:lpwstr>_Toc118782150</vt:lpwstr>
      </vt:variant>
      <vt:variant>
        <vt:i4>1507376</vt:i4>
      </vt:variant>
      <vt:variant>
        <vt:i4>212</vt:i4>
      </vt:variant>
      <vt:variant>
        <vt:i4>0</vt:i4>
      </vt:variant>
      <vt:variant>
        <vt:i4>5</vt:i4>
      </vt:variant>
      <vt:variant>
        <vt:lpwstr/>
      </vt:variant>
      <vt:variant>
        <vt:lpwstr>_Toc118782149</vt:lpwstr>
      </vt:variant>
      <vt:variant>
        <vt:i4>1507376</vt:i4>
      </vt:variant>
      <vt:variant>
        <vt:i4>206</vt:i4>
      </vt:variant>
      <vt:variant>
        <vt:i4>0</vt:i4>
      </vt:variant>
      <vt:variant>
        <vt:i4>5</vt:i4>
      </vt:variant>
      <vt:variant>
        <vt:lpwstr/>
      </vt:variant>
      <vt:variant>
        <vt:lpwstr>_Toc118782148</vt:lpwstr>
      </vt:variant>
      <vt:variant>
        <vt:i4>1507376</vt:i4>
      </vt:variant>
      <vt:variant>
        <vt:i4>200</vt:i4>
      </vt:variant>
      <vt:variant>
        <vt:i4>0</vt:i4>
      </vt:variant>
      <vt:variant>
        <vt:i4>5</vt:i4>
      </vt:variant>
      <vt:variant>
        <vt:lpwstr/>
      </vt:variant>
      <vt:variant>
        <vt:lpwstr>_Toc118782147</vt:lpwstr>
      </vt:variant>
      <vt:variant>
        <vt:i4>1507376</vt:i4>
      </vt:variant>
      <vt:variant>
        <vt:i4>194</vt:i4>
      </vt:variant>
      <vt:variant>
        <vt:i4>0</vt:i4>
      </vt:variant>
      <vt:variant>
        <vt:i4>5</vt:i4>
      </vt:variant>
      <vt:variant>
        <vt:lpwstr/>
      </vt:variant>
      <vt:variant>
        <vt:lpwstr>_Toc118782146</vt:lpwstr>
      </vt:variant>
      <vt:variant>
        <vt:i4>1507376</vt:i4>
      </vt:variant>
      <vt:variant>
        <vt:i4>188</vt:i4>
      </vt:variant>
      <vt:variant>
        <vt:i4>0</vt:i4>
      </vt:variant>
      <vt:variant>
        <vt:i4>5</vt:i4>
      </vt:variant>
      <vt:variant>
        <vt:lpwstr/>
      </vt:variant>
      <vt:variant>
        <vt:lpwstr>_Toc118782145</vt:lpwstr>
      </vt:variant>
      <vt:variant>
        <vt:i4>1507376</vt:i4>
      </vt:variant>
      <vt:variant>
        <vt:i4>182</vt:i4>
      </vt:variant>
      <vt:variant>
        <vt:i4>0</vt:i4>
      </vt:variant>
      <vt:variant>
        <vt:i4>5</vt:i4>
      </vt:variant>
      <vt:variant>
        <vt:lpwstr/>
      </vt:variant>
      <vt:variant>
        <vt:lpwstr>_Toc118782144</vt:lpwstr>
      </vt:variant>
      <vt:variant>
        <vt:i4>1507376</vt:i4>
      </vt:variant>
      <vt:variant>
        <vt:i4>176</vt:i4>
      </vt:variant>
      <vt:variant>
        <vt:i4>0</vt:i4>
      </vt:variant>
      <vt:variant>
        <vt:i4>5</vt:i4>
      </vt:variant>
      <vt:variant>
        <vt:lpwstr/>
      </vt:variant>
      <vt:variant>
        <vt:lpwstr>_Toc118782143</vt:lpwstr>
      </vt:variant>
      <vt:variant>
        <vt:i4>1507376</vt:i4>
      </vt:variant>
      <vt:variant>
        <vt:i4>170</vt:i4>
      </vt:variant>
      <vt:variant>
        <vt:i4>0</vt:i4>
      </vt:variant>
      <vt:variant>
        <vt:i4>5</vt:i4>
      </vt:variant>
      <vt:variant>
        <vt:lpwstr/>
      </vt:variant>
      <vt:variant>
        <vt:lpwstr>_Toc118782142</vt:lpwstr>
      </vt:variant>
      <vt:variant>
        <vt:i4>1507376</vt:i4>
      </vt:variant>
      <vt:variant>
        <vt:i4>164</vt:i4>
      </vt:variant>
      <vt:variant>
        <vt:i4>0</vt:i4>
      </vt:variant>
      <vt:variant>
        <vt:i4>5</vt:i4>
      </vt:variant>
      <vt:variant>
        <vt:lpwstr/>
      </vt:variant>
      <vt:variant>
        <vt:lpwstr>_Toc118782141</vt:lpwstr>
      </vt:variant>
      <vt:variant>
        <vt:i4>1507376</vt:i4>
      </vt:variant>
      <vt:variant>
        <vt:i4>158</vt:i4>
      </vt:variant>
      <vt:variant>
        <vt:i4>0</vt:i4>
      </vt:variant>
      <vt:variant>
        <vt:i4>5</vt:i4>
      </vt:variant>
      <vt:variant>
        <vt:lpwstr/>
      </vt:variant>
      <vt:variant>
        <vt:lpwstr>_Toc118782140</vt:lpwstr>
      </vt:variant>
      <vt:variant>
        <vt:i4>1048624</vt:i4>
      </vt:variant>
      <vt:variant>
        <vt:i4>152</vt:i4>
      </vt:variant>
      <vt:variant>
        <vt:i4>0</vt:i4>
      </vt:variant>
      <vt:variant>
        <vt:i4>5</vt:i4>
      </vt:variant>
      <vt:variant>
        <vt:lpwstr/>
      </vt:variant>
      <vt:variant>
        <vt:lpwstr>_Toc118782139</vt:lpwstr>
      </vt:variant>
      <vt:variant>
        <vt:i4>1048624</vt:i4>
      </vt:variant>
      <vt:variant>
        <vt:i4>146</vt:i4>
      </vt:variant>
      <vt:variant>
        <vt:i4>0</vt:i4>
      </vt:variant>
      <vt:variant>
        <vt:i4>5</vt:i4>
      </vt:variant>
      <vt:variant>
        <vt:lpwstr/>
      </vt:variant>
      <vt:variant>
        <vt:lpwstr>_Toc118782138</vt:lpwstr>
      </vt:variant>
      <vt:variant>
        <vt:i4>1048624</vt:i4>
      </vt:variant>
      <vt:variant>
        <vt:i4>140</vt:i4>
      </vt:variant>
      <vt:variant>
        <vt:i4>0</vt:i4>
      </vt:variant>
      <vt:variant>
        <vt:i4>5</vt:i4>
      </vt:variant>
      <vt:variant>
        <vt:lpwstr/>
      </vt:variant>
      <vt:variant>
        <vt:lpwstr>_Toc118782137</vt:lpwstr>
      </vt:variant>
      <vt:variant>
        <vt:i4>1048624</vt:i4>
      </vt:variant>
      <vt:variant>
        <vt:i4>134</vt:i4>
      </vt:variant>
      <vt:variant>
        <vt:i4>0</vt:i4>
      </vt:variant>
      <vt:variant>
        <vt:i4>5</vt:i4>
      </vt:variant>
      <vt:variant>
        <vt:lpwstr/>
      </vt:variant>
      <vt:variant>
        <vt:lpwstr>_Toc118782136</vt:lpwstr>
      </vt:variant>
      <vt:variant>
        <vt:i4>1048624</vt:i4>
      </vt:variant>
      <vt:variant>
        <vt:i4>128</vt:i4>
      </vt:variant>
      <vt:variant>
        <vt:i4>0</vt:i4>
      </vt:variant>
      <vt:variant>
        <vt:i4>5</vt:i4>
      </vt:variant>
      <vt:variant>
        <vt:lpwstr/>
      </vt:variant>
      <vt:variant>
        <vt:lpwstr>_Toc118782135</vt:lpwstr>
      </vt:variant>
      <vt:variant>
        <vt:i4>1048624</vt:i4>
      </vt:variant>
      <vt:variant>
        <vt:i4>122</vt:i4>
      </vt:variant>
      <vt:variant>
        <vt:i4>0</vt:i4>
      </vt:variant>
      <vt:variant>
        <vt:i4>5</vt:i4>
      </vt:variant>
      <vt:variant>
        <vt:lpwstr/>
      </vt:variant>
      <vt:variant>
        <vt:lpwstr>_Toc118782134</vt:lpwstr>
      </vt:variant>
      <vt:variant>
        <vt:i4>1048624</vt:i4>
      </vt:variant>
      <vt:variant>
        <vt:i4>116</vt:i4>
      </vt:variant>
      <vt:variant>
        <vt:i4>0</vt:i4>
      </vt:variant>
      <vt:variant>
        <vt:i4>5</vt:i4>
      </vt:variant>
      <vt:variant>
        <vt:lpwstr/>
      </vt:variant>
      <vt:variant>
        <vt:lpwstr>_Toc118782133</vt:lpwstr>
      </vt:variant>
      <vt:variant>
        <vt:i4>1048624</vt:i4>
      </vt:variant>
      <vt:variant>
        <vt:i4>110</vt:i4>
      </vt:variant>
      <vt:variant>
        <vt:i4>0</vt:i4>
      </vt:variant>
      <vt:variant>
        <vt:i4>5</vt:i4>
      </vt:variant>
      <vt:variant>
        <vt:lpwstr/>
      </vt:variant>
      <vt:variant>
        <vt:lpwstr>_Toc118782132</vt:lpwstr>
      </vt:variant>
      <vt:variant>
        <vt:i4>1048624</vt:i4>
      </vt:variant>
      <vt:variant>
        <vt:i4>104</vt:i4>
      </vt:variant>
      <vt:variant>
        <vt:i4>0</vt:i4>
      </vt:variant>
      <vt:variant>
        <vt:i4>5</vt:i4>
      </vt:variant>
      <vt:variant>
        <vt:lpwstr/>
      </vt:variant>
      <vt:variant>
        <vt:lpwstr>_Toc118782131</vt:lpwstr>
      </vt:variant>
      <vt:variant>
        <vt:i4>1048624</vt:i4>
      </vt:variant>
      <vt:variant>
        <vt:i4>98</vt:i4>
      </vt:variant>
      <vt:variant>
        <vt:i4>0</vt:i4>
      </vt:variant>
      <vt:variant>
        <vt:i4>5</vt:i4>
      </vt:variant>
      <vt:variant>
        <vt:lpwstr/>
      </vt:variant>
      <vt:variant>
        <vt:lpwstr>_Toc118782130</vt:lpwstr>
      </vt:variant>
      <vt:variant>
        <vt:i4>1114160</vt:i4>
      </vt:variant>
      <vt:variant>
        <vt:i4>92</vt:i4>
      </vt:variant>
      <vt:variant>
        <vt:i4>0</vt:i4>
      </vt:variant>
      <vt:variant>
        <vt:i4>5</vt:i4>
      </vt:variant>
      <vt:variant>
        <vt:lpwstr/>
      </vt:variant>
      <vt:variant>
        <vt:lpwstr>_Toc118782129</vt:lpwstr>
      </vt:variant>
      <vt:variant>
        <vt:i4>1114160</vt:i4>
      </vt:variant>
      <vt:variant>
        <vt:i4>86</vt:i4>
      </vt:variant>
      <vt:variant>
        <vt:i4>0</vt:i4>
      </vt:variant>
      <vt:variant>
        <vt:i4>5</vt:i4>
      </vt:variant>
      <vt:variant>
        <vt:lpwstr/>
      </vt:variant>
      <vt:variant>
        <vt:lpwstr>_Toc118782128</vt:lpwstr>
      </vt:variant>
      <vt:variant>
        <vt:i4>1114160</vt:i4>
      </vt:variant>
      <vt:variant>
        <vt:i4>80</vt:i4>
      </vt:variant>
      <vt:variant>
        <vt:i4>0</vt:i4>
      </vt:variant>
      <vt:variant>
        <vt:i4>5</vt:i4>
      </vt:variant>
      <vt:variant>
        <vt:lpwstr/>
      </vt:variant>
      <vt:variant>
        <vt:lpwstr>_Toc118782127</vt:lpwstr>
      </vt:variant>
      <vt:variant>
        <vt:i4>1114160</vt:i4>
      </vt:variant>
      <vt:variant>
        <vt:i4>74</vt:i4>
      </vt:variant>
      <vt:variant>
        <vt:i4>0</vt:i4>
      </vt:variant>
      <vt:variant>
        <vt:i4>5</vt:i4>
      </vt:variant>
      <vt:variant>
        <vt:lpwstr/>
      </vt:variant>
      <vt:variant>
        <vt:lpwstr>_Toc118782126</vt:lpwstr>
      </vt:variant>
      <vt:variant>
        <vt:i4>1114160</vt:i4>
      </vt:variant>
      <vt:variant>
        <vt:i4>68</vt:i4>
      </vt:variant>
      <vt:variant>
        <vt:i4>0</vt:i4>
      </vt:variant>
      <vt:variant>
        <vt:i4>5</vt:i4>
      </vt:variant>
      <vt:variant>
        <vt:lpwstr/>
      </vt:variant>
      <vt:variant>
        <vt:lpwstr>_Toc118782125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Independence Report 2021: The Director-General of Health’s Annual Report on the State of Public Health</dc:title>
  <dc:subject/>
  <dc:creator>Ministry of Health</dc:creator>
  <cp:keywords/>
  <cp:lastModifiedBy>Ministry of Health</cp:lastModifiedBy>
  <cp:revision>10</cp:revision>
  <cp:lastPrinted>2022-11-11T01:48:00Z</cp:lastPrinted>
  <dcterms:created xsi:type="dcterms:W3CDTF">2022-11-13T19:42:00Z</dcterms:created>
  <dcterms:modified xsi:type="dcterms:W3CDTF">2022-11-13T21:24:00Z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