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5" w:type="dxa"/>
        <w:tblBorders>
          <w:bottom w:val="single" w:sz="12" w:space="0" w:color="auto"/>
        </w:tblBorders>
        <w:tblLayout w:type="fixed"/>
        <w:tblCellMar>
          <w:left w:w="0" w:type="dxa"/>
          <w:right w:w="0" w:type="dxa"/>
        </w:tblCellMar>
        <w:tblLook w:val="01E0" w:firstRow="1" w:lastRow="1" w:firstColumn="1" w:lastColumn="1" w:noHBand="0" w:noVBand="0"/>
      </w:tblPr>
      <w:tblGrid>
        <w:gridCol w:w="7938"/>
        <w:gridCol w:w="1767"/>
      </w:tblGrid>
      <w:tr w:rsidR="00D56D8D" w:rsidRPr="00DD748F" w14:paraId="0D335D4D" w14:textId="77777777" w:rsidTr="00D37487">
        <w:trPr>
          <w:cantSplit/>
          <w:trHeight w:val="1328"/>
        </w:trPr>
        <w:tc>
          <w:tcPr>
            <w:tcW w:w="7938" w:type="dxa"/>
            <w:tcBorders>
              <w:bottom w:val="single" w:sz="12" w:space="0" w:color="auto"/>
            </w:tcBorders>
            <w:shd w:val="clear" w:color="auto" w:fill="auto"/>
            <w:vAlign w:val="bottom"/>
          </w:tcPr>
          <w:p w14:paraId="6E098CD1" w14:textId="349371D1" w:rsidR="008348B7" w:rsidRPr="00DD748F" w:rsidRDefault="00FC0E59" w:rsidP="00D37487">
            <w:pPr>
              <w:pStyle w:val="Title"/>
              <w:spacing w:after="360"/>
            </w:pPr>
            <w:bookmarkStart w:id="0" w:name="_Ref366673580"/>
            <w:r w:rsidRPr="00155D75">
              <w:t xml:space="preserve">Drug </w:t>
            </w:r>
            <w:r>
              <w:t>C</w:t>
            </w:r>
            <w:r w:rsidRPr="00155D75">
              <w:t xml:space="preserve">hecking </w:t>
            </w:r>
            <w:r w:rsidR="0097216C">
              <w:t>Complaints</w:t>
            </w:r>
            <w:r w:rsidRPr="00B40DCD">
              <w:t xml:space="preserve"> </w:t>
            </w:r>
            <w:r w:rsidRPr="00A258A0">
              <w:t>Policy</w:t>
            </w:r>
            <w:bookmarkEnd w:id="0"/>
          </w:p>
        </w:tc>
        <w:tc>
          <w:tcPr>
            <w:tcW w:w="1767" w:type="dxa"/>
            <w:shd w:val="clear" w:color="auto" w:fill="auto"/>
            <w:vAlign w:val="bottom"/>
          </w:tcPr>
          <w:p w14:paraId="7F6C11BA" w14:textId="77777777" w:rsidR="00CD373C" w:rsidRPr="00DD748F" w:rsidRDefault="00CD373C" w:rsidP="0092659B">
            <w:pPr>
              <w:jc w:val="right"/>
            </w:pPr>
          </w:p>
          <w:p w14:paraId="6FF10AAC" w14:textId="2C112105" w:rsidR="00423830" w:rsidRPr="00242284" w:rsidRDefault="00423830" w:rsidP="00242284">
            <w:pPr>
              <w:jc w:val="right"/>
              <w:rPr>
                <w:rFonts w:cs="Segoe UI"/>
                <w:color w:val="002B7F"/>
                <w:sz w:val="28"/>
                <w:szCs w:val="28"/>
              </w:rPr>
            </w:pPr>
          </w:p>
        </w:tc>
      </w:tr>
    </w:tbl>
    <w:p w14:paraId="3BCFA1D3" w14:textId="3E95B593" w:rsidR="00FC0E59" w:rsidRDefault="00FC0E59" w:rsidP="00FC0E59">
      <w:pPr>
        <w:pStyle w:val="Heading1"/>
      </w:pPr>
      <w:r>
        <w:t>Introduction</w:t>
      </w:r>
    </w:p>
    <w:p w14:paraId="63B7DB98" w14:textId="2D38F7CD" w:rsidR="0097216C" w:rsidRPr="0097216C" w:rsidRDefault="0097216C" w:rsidP="0097216C">
      <w:pPr>
        <w:rPr>
          <w:sz w:val="32"/>
          <w:szCs w:val="48"/>
        </w:rPr>
      </w:pPr>
      <w:r w:rsidRPr="00465841">
        <w:t xml:space="preserve">This policy provides guidance to the Manatū Hauora </w:t>
      </w:r>
      <w:r w:rsidR="00225A19">
        <w:rPr>
          <w:rFonts w:cs="Segoe UI"/>
        </w:rPr>
        <w:t>|</w:t>
      </w:r>
      <w:r w:rsidR="00225A19">
        <w:t xml:space="preserve"> </w:t>
      </w:r>
      <w:r w:rsidRPr="00465841">
        <w:t xml:space="preserve">Ministry of Health (the Ministry) to administer licensing of </w:t>
      </w:r>
      <w:r>
        <w:t>drug</w:t>
      </w:r>
      <w:r w:rsidRPr="00465841">
        <w:t xml:space="preserve"> </w:t>
      </w:r>
      <w:r>
        <w:t>checking</w:t>
      </w:r>
      <w:r w:rsidRPr="00465841">
        <w:t xml:space="preserve"> providers under the amendments made in December 2021 to the Misuse of Drugs Act 1975 (MoDA).</w:t>
      </w:r>
    </w:p>
    <w:p w14:paraId="5585575A" w14:textId="28E491BE" w:rsidR="00E6374A" w:rsidRPr="00422C76" w:rsidRDefault="00E6374A" w:rsidP="00E6374A">
      <w:pPr>
        <w:pStyle w:val="Heading1"/>
      </w:pPr>
      <w:r>
        <w:t>Policy overview</w:t>
      </w:r>
    </w:p>
    <w:p w14:paraId="0CF13E78" w14:textId="472D4708" w:rsidR="00E6374A" w:rsidRDefault="00E6374A" w:rsidP="00E6374A">
      <w:pPr>
        <w:pStyle w:val="Number"/>
      </w:pPr>
      <w:r>
        <w:t>Overview</w:t>
      </w:r>
    </w:p>
    <w:p w14:paraId="2F0AE4A2" w14:textId="2AB700C6" w:rsidR="0097216C" w:rsidRDefault="0097216C" w:rsidP="0097216C">
      <w:r w:rsidRPr="0097216C">
        <w:t>The policy includes the main information, guidance, principles and considerations on the Ministry’s Drug Checking Licensing Team’s approach to managing complaints.</w:t>
      </w:r>
    </w:p>
    <w:p w14:paraId="3F052B9B" w14:textId="77777777" w:rsidR="00E6374A" w:rsidRDefault="00E6374A" w:rsidP="00E6374A">
      <w:pPr>
        <w:pStyle w:val="Number"/>
      </w:pPr>
      <w:r>
        <w:t>Scope</w:t>
      </w:r>
      <w:r>
        <w:tab/>
      </w:r>
    </w:p>
    <w:p w14:paraId="076B9FC5" w14:textId="77777777" w:rsidR="0097216C" w:rsidRPr="0097216C" w:rsidRDefault="0097216C" w:rsidP="0097216C">
      <w:pPr>
        <w:rPr>
          <w:lang w:val="en-US"/>
        </w:rPr>
      </w:pPr>
      <w:r w:rsidRPr="0097216C">
        <w:rPr>
          <w:lang w:val="en-US"/>
        </w:rPr>
        <w:t>This policy applies to:</w:t>
      </w:r>
    </w:p>
    <w:p w14:paraId="46DCEB42" w14:textId="77777777" w:rsidR="0097216C" w:rsidRPr="0097216C" w:rsidRDefault="0097216C" w:rsidP="0097216C">
      <w:pPr>
        <w:pStyle w:val="Bullet"/>
        <w:rPr>
          <w:lang w:val="en-US"/>
        </w:rPr>
      </w:pPr>
      <w:r w:rsidRPr="0097216C">
        <w:rPr>
          <w:lang w:val="en-US"/>
        </w:rPr>
        <w:t xml:space="preserve">internal Ministry staff </w:t>
      </w:r>
    </w:p>
    <w:p w14:paraId="243A20A4" w14:textId="77777777" w:rsidR="0097216C" w:rsidRPr="0097216C" w:rsidRDefault="0097216C" w:rsidP="0097216C">
      <w:pPr>
        <w:pStyle w:val="Bullet"/>
        <w:rPr>
          <w:sz w:val="24"/>
          <w:szCs w:val="20"/>
          <w:lang w:val="en-US"/>
        </w:rPr>
      </w:pPr>
      <w:r w:rsidRPr="0097216C">
        <w:rPr>
          <w:lang w:val="en-US"/>
        </w:rPr>
        <w:t xml:space="preserve">the general public seeking to raise a complaint about a drug checking service provider </w:t>
      </w:r>
    </w:p>
    <w:p w14:paraId="13CEF6EA" w14:textId="4E047FBC" w:rsidR="00E6374A" w:rsidRPr="00E6374A" w:rsidRDefault="00E6374A" w:rsidP="0097216C">
      <w:pPr>
        <w:pStyle w:val="Number"/>
      </w:pPr>
      <w:r w:rsidRPr="00E6374A">
        <w:t>Definitions</w:t>
      </w:r>
    </w:p>
    <w:p w14:paraId="6C8F6E3F" w14:textId="3AB88860" w:rsidR="00E6374A" w:rsidRPr="00E6374A" w:rsidRDefault="00E6374A" w:rsidP="00D37487">
      <w:pPr>
        <w:widowControl w:val="0"/>
        <w:spacing w:after="240"/>
      </w:pPr>
      <w:r>
        <w:t>The following definitions apply to this policy unless otherwise stated</w:t>
      </w:r>
      <w:r w:rsidR="00020081">
        <w:t>.</w:t>
      </w:r>
    </w:p>
    <w:tbl>
      <w:tblPr>
        <w:tblStyle w:val="TableGrid"/>
        <w:tblW w:w="93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05"/>
        <w:gridCol w:w="6943"/>
      </w:tblGrid>
      <w:tr w:rsidR="00D37487" w:rsidRPr="00FC0E59" w14:paraId="10C63731" w14:textId="77777777" w:rsidTr="0097216C">
        <w:tc>
          <w:tcPr>
            <w:tcW w:w="2405" w:type="dxa"/>
            <w:tcBorders>
              <w:right w:val="nil"/>
            </w:tcBorders>
            <w:shd w:val="clear" w:color="auto" w:fill="23305D"/>
          </w:tcPr>
          <w:p w14:paraId="5FBE4468" w14:textId="77777777" w:rsidR="00D37487" w:rsidRPr="0097216C" w:rsidRDefault="00D37487" w:rsidP="0097216C">
            <w:pPr>
              <w:rPr>
                <w:b/>
                <w:bCs/>
              </w:rPr>
            </w:pPr>
            <w:r w:rsidRPr="0097216C">
              <w:rPr>
                <w:b/>
                <w:bCs/>
              </w:rPr>
              <w:t>Word or phrase</w:t>
            </w:r>
          </w:p>
        </w:tc>
        <w:tc>
          <w:tcPr>
            <w:tcW w:w="6943" w:type="dxa"/>
            <w:tcBorders>
              <w:left w:val="nil"/>
            </w:tcBorders>
            <w:shd w:val="clear" w:color="auto" w:fill="23305D"/>
          </w:tcPr>
          <w:p w14:paraId="21533934" w14:textId="77777777" w:rsidR="00D37487" w:rsidRPr="0097216C" w:rsidRDefault="00D37487" w:rsidP="0097216C">
            <w:pPr>
              <w:rPr>
                <w:b/>
                <w:bCs/>
              </w:rPr>
            </w:pPr>
            <w:r w:rsidRPr="0097216C">
              <w:rPr>
                <w:b/>
                <w:bCs/>
              </w:rPr>
              <w:t>Definition</w:t>
            </w:r>
          </w:p>
        </w:tc>
      </w:tr>
      <w:tr w:rsidR="0097216C" w:rsidRPr="00FC0E59" w14:paraId="68DBA6C6" w14:textId="77777777" w:rsidTr="0097216C">
        <w:tc>
          <w:tcPr>
            <w:tcW w:w="2405" w:type="dxa"/>
            <w:shd w:val="clear" w:color="auto" w:fill="auto"/>
          </w:tcPr>
          <w:p w14:paraId="1F40083A" w14:textId="5F6E0AA4" w:rsidR="0097216C" w:rsidRPr="0097216C" w:rsidRDefault="0097216C" w:rsidP="0097216C">
            <w:pPr>
              <w:rPr>
                <w:rFonts w:cs="Segoe UI"/>
                <w:sz w:val="20"/>
                <w:szCs w:val="20"/>
              </w:rPr>
            </w:pPr>
            <w:r w:rsidRPr="0097216C">
              <w:rPr>
                <w:rFonts w:cs="Segoe UI"/>
                <w:sz w:val="20"/>
                <w:szCs w:val="20"/>
              </w:rPr>
              <w:t>Audit (routine)</w:t>
            </w:r>
          </w:p>
        </w:tc>
        <w:tc>
          <w:tcPr>
            <w:tcW w:w="6943" w:type="dxa"/>
            <w:shd w:val="clear" w:color="auto" w:fill="auto"/>
          </w:tcPr>
          <w:p w14:paraId="76886019" w14:textId="1B9B2599" w:rsidR="0097216C" w:rsidRPr="0097216C" w:rsidRDefault="0097216C" w:rsidP="0097216C">
            <w:pPr>
              <w:pStyle w:val="Tabletext10pt"/>
            </w:pPr>
            <w:r w:rsidRPr="0097216C">
              <w:t>A systematic, independent, objective and documented evaluation or review of the provision of the services to determine the level of compliance of drug checking licensed providers to the MoDA, its regulations and their specific licensing conditions.</w:t>
            </w:r>
          </w:p>
        </w:tc>
      </w:tr>
      <w:tr w:rsidR="0097216C" w:rsidRPr="00FC0E59" w14:paraId="18782967" w14:textId="77777777" w:rsidTr="0097216C">
        <w:tc>
          <w:tcPr>
            <w:tcW w:w="2405" w:type="dxa"/>
            <w:shd w:val="clear" w:color="auto" w:fill="auto"/>
          </w:tcPr>
          <w:p w14:paraId="4D99F855" w14:textId="08A854BB" w:rsidR="0097216C" w:rsidRPr="00E6374A" w:rsidRDefault="0097216C" w:rsidP="0097216C">
            <w:pPr>
              <w:pStyle w:val="Tabletext10pt"/>
            </w:pPr>
            <w:r w:rsidRPr="00465841">
              <w:t xml:space="preserve">Authorised person </w:t>
            </w:r>
          </w:p>
        </w:tc>
        <w:tc>
          <w:tcPr>
            <w:tcW w:w="6943" w:type="dxa"/>
            <w:shd w:val="clear" w:color="auto" w:fill="auto"/>
          </w:tcPr>
          <w:p w14:paraId="3CC7414E" w14:textId="77777777" w:rsidR="0097216C" w:rsidRPr="00465841" w:rsidRDefault="0097216C" w:rsidP="0097216C">
            <w:pPr>
              <w:pStyle w:val="Tabletext10pt"/>
            </w:pPr>
            <w:r w:rsidRPr="00465841">
              <w:t>Refers to a person who, for the purpose of monitoring service providers’ compliance with the MoDA, its regulations, and their licence conditions, is authorised by the Director-General of Health to access sites where service providers perform any of the functions specified in section 35DB.</w:t>
            </w:r>
          </w:p>
          <w:p w14:paraId="64291E31" w14:textId="43213017" w:rsidR="0097216C" w:rsidRPr="00E6374A" w:rsidRDefault="0097216C" w:rsidP="0097216C">
            <w:pPr>
              <w:pStyle w:val="Tabletext10pt"/>
            </w:pPr>
            <w:r w:rsidRPr="00465841">
              <w:t>May be used synonymously with ‘auditor’ throughout this document.</w:t>
            </w:r>
          </w:p>
        </w:tc>
      </w:tr>
      <w:tr w:rsidR="0097216C" w:rsidRPr="00FC0E59" w14:paraId="5CD011DC" w14:textId="77777777" w:rsidTr="0097216C">
        <w:tc>
          <w:tcPr>
            <w:tcW w:w="2405" w:type="dxa"/>
            <w:shd w:val="clear" w:color="auto" w:fill="auto"/>
          </w:tcPr>
          <w:p w14:paraId="54D90199" w14:textId="14CEF8D7" w:rsidR="0097216C" w:rsidRPr="00E6374A" w:rsidRDefault="0097216C" w:rsidP="0097216C">
            <w:pPr>
              <w:pStyle w:val="Tabletext10pt"/>
            </w:pPr>
            <w:r w:rsidRPr="00465841">
              <w:t>Complaint</w:t>
            </w:r>
          </w:p>
        </w:tc>
        <w:tc>
          <w:tcPr>
            <w:tcW w:w="6943" w:type="dxa"/>
            <w:shd w:val="clear" w:color="auto" w:fill="auto"/>
          </w:tcPr>
          <w:p w14:paraId="241F38BB" w14:textId="632D1111" w:rsidR="0097216C" w:rsidRPr="00E6374A" w:rsidRDefault="0097216C" w:rsidP="0097216C">
            <w:pPr>
              <w:pStyle w:val="Tabletext10pt"/>
            </w:pPr>
            <w:r w:rsidRPr="00465841">
              <w:t>Refers to a statement that something is unsatisfactory or unacceptable or an issue of concern is being raised.</w:t>
            </w:r>
          </w:p>
        </w:tc>
      </w:tr>
      <w:tr w:rsidR="0097216C" w:rsidRPr="00FC0E59" w14:paraId="478E8064" w14:textId="77777777" w:rsidTr="0097216C">
        <w:tc>
          <w:tcPr>
            <w:tcW w:w="2405" w:type="dxa"/>
            <w:shd w:val="clear" w:color="auto" w:fill="auto"/>
          </w:tcPr>
          <w:p w14:paraId="3549FA0B" w14:textId="7812C70D" w:rsidR="0097216C" w:rsidRPr="00E6374A" w:rsidRDefault="0097216C" w:rsidP="0097216C">
            <w:pPr>
              <w:pStyle w:val="Tabletext10pt"/>
            </w:pPr>
            <w:r w:rsidRPr="00465841">
              <w:lastRenderedPageBreak/>
              <w:t>Complainant</w:t>
            </w:r>
          </w:p>
        </w:tc>
        <w:tc>
          <w:tcPr>
            <w:tcW w:w="6943" w:type="dxa"/>
            <w:shd w:val="clear" w:color="auto" w:fill="auto"/>
          </w:tcPr>
          <w:p w14:paraId="7E98D0C8" w14:textId="036B4400" w:rsidR="0097216C" w:rsidRPr="00E6374A" w:rsidRDefault="0097216C" w:rsidP="0097216C">
            <w:pPr>
              <w:pStyle w:val="Tabletext10pt"/>
            </w:pPr>
            <w:r w:rsidRPr="00465841">
              <w:t>Refers to the person or entity making a statement against another person or entity that something is unsatisfactory or unacceptable or an issue of concern.</w:t>
            </w:r>
          </w:p>
        </w:tc>
      </w:tr>
      <w:tr w:rsidR="0097216C" w:rsidRPr="00FC0E59" w14:paraId="27DC1E18" w14:textId="77777777" w:rsidTr="0097216C">
        <w:tc>
          <w:tcPr>
            <w:tcW w:w="2405" w:type="dxa"/>
            <w:shd w:val="clear" w:color="auto" w:fill="auto"/>
          </w:tcPr>
          <w:p w14:paraId="7ADD6FB4" w14:textId="24BFE1E6" w:rsidR="0097216C" w:rsidRPr="00E6374A" w:rsidRDefault="0097216C" w:rsidP="0097216C">
            <w:pPr>
              <w:pStyle w:val="Tabletext10pt"/>
            </w:pPr>
            <w:r w:rsidRPr="00465841">
              <w:t>Corrective action</w:t>
            </w:r>
          </w:p>
        </w:tc>
        <w:tc>
          <w:tcPr>
            <w:tcW w:w="6943" w:type="dxa"/>
            <w:shd w:val="clear" w:color="auto" w:fill="auto"/>
          </w:tcPr>
          <w:p w14:paraId="1C1334C5" w14:textId="704A0C98" w:rsidR="0097216C" w:rsidRPr="00E6374A" w:rsidRDefault="0097216C" w:rsidP="0097216C">
            <w:pPr>
              <w:pStyle w:val="Tabletext10pt"/>
            </w:pPr>
            <w:r w:rsidRPr="00465841">
              <w:t>Refers to an action that is documented to resolve a shortfall (finding/non-conformity) identified during an audit, investigation or other maintenance and monitoring activity, where a timeframe for resolution and a risk rating is applied to each action.</w:t>
            </w:r>
          </w:p>
        </w:tc>
      </w:tr>
      <w:tr w:rsidR="0097216C" w:rsidRPr="00FC0E59" w14:paraId="7DC4507B" w14:textId="77777777" w:rsidTr="0097216C">
        <w:tc>
          <w:tcPr>
            <w:tcW w:w="2405" w:type="dxa"/>
            <w:shd w:val="clear" w:color="auto" w:fill="auto"/>
          </w:tcPr>
          <w:p w14:paraId="427B3EDC" w14:textId="6B861048" w:rsidR="0097216C" w:rsidRPr="00E6374A" w:rsidRDefault="0097216C" w:rsidP="0097216C">
            <w:pPr>
              <w:pStyle w:val="Tabletext10pt"/>
            </w:pPr>
            <w:r w:rsidRPr="00465841">
              <w:t>Critical/high risk</w:t>
            </w:r>
          </w:p>
        </w:tc>
        <w:tc>
          <w:tcPr>
            <w:tcW w:w="6943" w:type="dxa"/>
            <w:shd w:val="clear" w:color="auto" w:fill="auto"/>
          </w:tcPr>
          <w:p w14:paraId="112B962A" w14:textId="77777777" w:rsidR="0097216C" w:rsidRPr="00465841" w:rsidRDefault="0097216C" w:rsidP="0097216C">
            <w:pPr>
              <w:pStyle w:val="Tabletext10pt"/>
            </w:pPr>
            <w:r w:rsidRPr="00465841">
              <w:t xml:space="preserve">Refers to a significant risk </w:t>
            </w:r>
            <w:r>
              <w:t xml:space="preserve">that </w:t>
            </w:r>
            <w:r w:rsidRPr="00465841">
              <w:t>requir</w:t>
            </w:r>
            <w:r>
              <w:t>es</w:t>
            </w:r>
            <w:r w:rsidRPr="00465841">
              <w:t xml:space="preserve"> immediate mitigation, including </w:t>
            </w:r>
            <w:r>
              <w:t>notifying</w:t>
            </w:r>
            <w:r w:rsidRPr="00465841">
              <w:t xml:space="preserve"> the risk and </w:t>
            </w:r>
            <w:r>
              <w:t>its</w:t>
            </w:r>
            <w:r w:rsidRPr="00465841">
              <w:t xml:space="preserve"> mitigation strategy in writing to the Ministry</w:t>
            </w:r>
            <w:r>
              <w:t>’s</w:t>
            </w:r>
            <w:r w:rsidRPr="00465841">
              <w:t xml:space="preserve"> </w:t>
            </w:r>
            <w:r>
              <w:t>drug checking</w:t>
            </w:r>
            <w:r w:rsidRPr="00465841">
              <w:t xml:space="preserve"> </w:t>
            </w:r>
            <w:r>
              <w:t>l</w:t>
            </w:r>
            <w:r w:rsidRPr="00465841">
              <w:t xml:space="preserve">icensing </w:t>
            </w:r>
            <w:r>
              <w:t>m</w:t>
            </w:r>
            <w:r w:rsidRPr="00465841">
              <w:t>anager.</w:t>
            </w:r>
          </w:p>
          <w:p w14:paraId="678894E0" w14:textId="502C9469" w:rsidR="0097216C" w:rsidRPr="00AD2971" w:rsidRDefault="0097216C" w:rsidP="0097216C">
            <w:pPr>
              <w:pStyle w:val="Tabletext10pt"/>
              <w:rPr>
                <w:i/>
                <w:iCs/>
              </w:rPr>
            </w:pPr>
            <w:r w:rsidRPr="00AD2971">
              <w:rPr>
                <w:i/>
                <w:iCs/>
              </w:rPr>
              <w:t>NB: Refer to the DCLS risk matrix for more information.</w:t>
            </w:r>
          </w:p>
        </w:tc>
      </w:tr>
      <w:tr w:rsidR="0097216C" w:rsidRPr="00FC0E59" w14:paraId="2CBD0207" w14:textId="77777777" w:rsidTr="0097216C">
        <w:tc>
          <w:tcPr>
            <w:tcW w:w="2405" w:type="dxa"/>
            <w:shd w:val="clear" w:color="auto" w:fill="auto"/>
          </w:tcPr>
          <w:p w14:paraId="6F50693B" w14:textId="5F966EC7" w:rsidR="0097216C" w:rsidRPr="00E6374A" w:rsidRDefault="0097216C" w:rsidP="0097216C">
            <w:pPr>
              <w:pStyle w:val="Tabletext10pt"/>
            </w:pPr>
            <w:r w:rsidRPr="00465841">
              <w:t>Director-General of Health</w:t>
            </w:r>
          </w:p>
        </w:tc>
        <w:tc>
          <w:tcPr>
            <w:tcW w:w="6943" w:type="dxa"/>
            <w:shd w:val="clear" w:color="auto" w:fill="auto"/>
          </w:tcPr>
          <w:p w14:paraId="2924B5EA" w14:textId="77777777" w:rsidR="0097216C" w:rsidRPr="00465841" w:rsidRDefault="0097216C" w:rsidP="0097216C">
            <w:pPr>
              <w:pStyle w:val="Tabletext10pt"/>
            </w:pPr>
            <w:r w:rsidRPr="00465841">
              <w:t xml:space="preserve">The </w:t>
            </w:r>
            <w:r>
              <w:t xml:space="preserve">Ministry’s </w:t>
            </w:r>
            <w:r w:rsidRPr="00465841">
              <w:t xml:space="preserve">chief executive is referred to as the Director-General of Health. </w:t>
            </w:r>
          </w:p>
          <w:p w14:paraId="7348038C" w14:textId="0063A1E3" w:rsidR="0097216C" w:rsidRPr="00E6374A" w:rsidRDefault="0097216C" w:rsidP="0097216C">
            <w:pPr>
              <w:pStyle w:val="Tabletext10pt"/>
            </w:pPr>
            <w:r w:rsidRPr="00465841">
              <w:t>Where the policy refers to the Director-General</w:t>
            </w:r>
            <w:r>
              <w:t>,</w:t>
            </w:r>
            <w:r w:rsidRPr="00465841">
              <w:t xml:space="preserve"> this also includes any authorised delegate of the Director-General of Health.</w:t>
            </w:r>
          </w:p>
        </w:tc>
      </w:tr>
      <w:tr w:rsidR="0097216C" w:rsidRPr="00FC0E59" w14:paraId="3BA67469" w14:textId="77777777" w:rsidTr="0097216C">
        <w:tc>
          <w:tcPr>
            <w:tcW w:w="2405" w:type="dxa"/>
            <w:shd w:val="clear" w:color="auto" w:fill="auto"/>
          </w:tcPr>
          <w:p w14:paraId="6A039D3C" w14:textId="7065D24D" w:rsidR="0097216C" w:rsidRPr="00E6374A" w:rsidRDefault="0097216C" w:rsidP="0097216C">
            <w:pPr>
              <w:pStyle w:val="Tabletext10pt"/>
            </w:pPr>
            <w:r w:rsidRPr="00465841">
              <w:t>Investigation</w:t>
            </w:r>
          </w:p>
        </w:tc>
        <w:tc>
          <w:tcPr>
            <w:tcW w:w="6943" w:type="dxa"/>
            <w:shd w:val="clear" w:color="auto" w:fill="auto"/>
          </w:tcPr>
          <w:p w14:paraId="27B3E6B5" w14:textId="0D41BAED" w:rsidR="0097216C" w:rsidRPr="00E6374A" w:rsidRDefault="0097216C" w:rsidP="0097216C">
            <w:pPr>
              <w:pStyle w:val="Tabletext10pt"/>
            </w:pPr>
            <w:r w:rsidRPr="00465841">
              <w:t>Is a broad term referring to any act of investigation and</w:t>
            </w:r>
            <w:r>
              <w:t>,</w:t>
            </w:r>
            <w:r w:rsidRPr="00465841">
              <w:t xml:space="preserve"> in the context of </w:t>
            </w:r>
            <w:r>
              <w:t>drug</w:t>
            </w:r>
            <w:r w:rsidRPr="00465841">
              <w:t xml:space="preserve"> </w:t>
            </w:r>
            <w:r>
              <w:t>checking</w:t>
            </w:r>
            <w:r w:rsidRPr="00465841">
              <w:t xml:space="preserve">, the process of inquiring into or following up on an issue identified. It may range from a simple request for </w:t>
            </w:r>
            <w:r>
              <w:t>more</w:t>
            </w:r>
            <w:r w:rsidRPr="00465841">
              <w:t xml:space="preserve"> information from a provider or other person (eg, complainant), or a meeting, through to an on-site investigation (eg, issues-based audit or Ministry </w:t>
            </w:r>
            <w:r>
              <w:t>i</w:t>
            </w:r>
            <w:r w:rsidRPr="00465841">
              <w:t xml:space="preserve">nspection) by an authorised person. The investigation includes a review of information received/obtained to substantiate (or not) a complaint or issue. </w:t>
            </w:r>
          </w:p>
        </w:tc>
      </w:tr>
      <w:tr w:rsidR="0097216C" w:rsidRPr="00FC0E59" w14:paraId="5D5809EE" w14:textId="77777777" w:rsidTr="0097216C">
        <w:tc>
          <w:tcPr>
            <w:tcW w:w="2405" w:type="dxa"/>
            <w:shd w:val="clear" w:color="auto" w:fill="auto"/>
          </w:tcPr>
          <w:p w14:paraId="0867C7EF" w14:textId="4EA8F14A" w:rsidR="0097216C" w:rsidRPr="00465841" w:rsidRDefault="0097216C" w:rsidP="0097216C">
            <w:pPr>
              <w:pStyle w:val="Tabletext10pt"/>
            </w:pPr>
            <w:r w:rsidRPr="00465841">
              <w:t>Issues-based audit</w:t>
            </w:r>
          </w:p>
        </w:tc>
        <w:tc>
          <w:tcPr>
            <w:tcW w:w="6943" w:type="dxa"/>
            <w:shd w:val="clear" w:color="auto" w:fill="auto"/>
          </w:tcPr>
          <w:p w14:paraId="423D7C39" w14:textId="77777777" w:rsidR="0097216C" w:rsidRPr="00465841" w:rsidRDefault="0097216C" w:rsidP="0097216C">
            <w:pPr>
              <w:pStyle w:val="Tabletext10pt"/>
            </w:pPr>
            <w:r w:rsidRPr="00465841">
              <w:t>Refers to an audit that occurs outside of the routine audit schedule because of an issue identified (either through a complaint or any other notification of an issue of concern).</w:t>
            </w:r>
          </w:p>
          <w:p w14:paraId="106DBF7E" w14:textId="4BD37677" w:rsidR="0097216C" w:rsidRPr="00465841" w:rsidRDefault="0097216C" w:rsidP="0097216C">
            <w:pPr>
              <w:pStyle w:val="Tabletext10pt"/>
            </w:pPr>
            <w:r w:rsidRPr="00465841">
              <w:t xml:space="preserve">It may occur at short notice or unannounced and is sometimes synonymous with the term Ministry </w:t>
            </w:r>
            <w:r>
              <w:t>i</w:t>
            </w:r>
            <w:r w:rsidRPr="00465841">
              <w:t>nspection and unannounced audit.</w:t>
            </w:r>
          </w:p>
        </w:tc>
      </w:tr>
      <w:tr w:rsidR="0097216C" w:rsidRPr="00FC0E59" w14:paraId="39789C39" w14:textId="77777777" w:rsidTr="0097216C">
        <w:tc>
          <w:tcPr>
            <w:tcW w:w="2405" w:type="dxa"/>
            <w:shd w:val="clear" w:color="auto" w:fill="auto"/>
          </w:tcPr>
          <w:p w14:paraId="592C8E5A" w14:textId="75734562" w:rsidR="0097216C" w:rsidRPr="00465841" w:rsidRDefault="0097216C" w:rsidP="0097216C">
            <w:pPr>
              <w:pStyle w:val="Tabletext10pt"/>
            </w:pPr>
            <w:r w:rsidRPr="00465841">
              <w:t>Ministry inspection</w:t>
            </w:r>
          </w:p>
        </w:tc>
        <w:tc>
          <w:tcPr>
            <w:tcW w:w="6943" w:type="dxa"/>
            <w:shd w:val="clear" w:color="auto" w:fill="auto"/>
          </w:tcPr>
          <w:p w14:paraId="6239C73F" w14:textId="77777777" w:rsidR="0097216C" w:rsidRPr="00465841" w:rsidRDefault="0097216C" w:rsidP="0097216C">
            <w:pPr>
              <w:pStyle w:val="Tabletext10pt"/>
              <w:rPr>
                <w:color w:val="000000"/>
                <w:lang w:val="en-US" w:eastAsia="zh-CN"/>
              </w:rPr>
            </w:pPr>
            <w:r w:rsidRPr="00465841">
              <w:rPr>
                <w:color w:val="000000"/>
                <w:lang w:val="en-US" w:eastAsia="zh-CN"/>
              </w:rPr>
              <w:t xml:space="preserve">An inspection is an act of examining something, often closely and in depth. A Ministry </w:t>
            </w:r>
            <w:r>
              <w:rPr>
                <w:color w:val="000000"/>
                <w:lang w:val="en-US" w:eastAsia="zh-CN"/>
              </w:rPr>
              <w:t>i</w:t>
            </w:r>
            <w:r w:rsidRPr="00465841">
              <w:rPr>
                <w:color w:val="000000"/>
                <w:lang w:val="en-US" w:eastAsia="zh-CN"/>
              </w:rPr>
              <w:t xml:space="preserve">nspection in the context of </w:t>
            </w:r>
            <w:r>
              <w:rPr>
                <w:color w:val="000000"/>
                <w:lang w:val="en-US" w:eastAsia="zh-CN"/>
              </w:rPr>
              <w:t>drug checking</w:t>
            </w:r>
            <w:r w:rsidRPr="00465841">
              <w:rPr>
                <w:color w:val="000000"/>
                <w:lang w:val="en-US" w:eastAsia="zh-CN"/>
              </w:rPr>
              <w:t xml:space="preserve"> is an investigation into an issue or concern, a complaint or potential breach of the MoDA, its regulations or licence conditions. It is to determine if an issue is substantiated or not</w:t>
            </w:r>
            <w:r>
              <w:rPr>
                <w:color w:val="000000"/>
                <w:lang w:val="en-US" w:eastAsia="zh-CN"/>
              </w:rPr>
              <w:t>,</w:t>
            </w:r>
            <w:r w:rsidRPr="00465841">
              <w:rPr>
                <w:color w:val="000000"/>
                <w:lang w:val="en-US" w:eastAsia="zh-CN"/>
              </w:rPr>
              <w:t xml:space="preserve"> and </w:t>
            </w:r>
            <w:r>
              <w:rPr>
                <w:color w:val="000000"/>
                <w:lang w:val="en-US" w:eastAsia="zh-CN"/>
              </w:rPr>
              <w:t xml:space="preserve">is </w:t>
            </w:r>
            <w:r w:rsidRPr="00465841">
              <w:rPr>
                <w:color w:val="000000"/>
                <w:lang w:val="en-US" w:eastAsia="zh-CN"/>
              </w:rPr>
              <w:t>usually reserved for a serious concern or potential serious non-compliance/ breach.</w:t>
            </w:r>
          </w:p>
          <w:p w14:paraId="1D5DFB26" w14:textId="5D9DA576" w:rsidR="0097216C" w:rsidRPr="00465841" w:rsidRDefault="0097216C" w:rsidP="0097216C">
            <w:pPr>
              <w:pStyle w:val="Tabletext10pt"/>
            </w:pPr>
            <w:r w:rsidRPr="00465841">
              <w:t>It may occur at short notice or unannounced and is sometimes synonymous with the term issues-based or unannounced audit.</w:t>
            </w:r>
          </w:p>
        </w:tc>
      </w:tr>
      <w:tr w:rsidR="0097216C" w:rsidRPr="00FC0E59" w14:paraId="738738BD" w14:textId="77777777" w:rsidTr="0097216C">
        <w:tc>
          <w:tcPr>
            <w:tcW w:w="2405" w:type="dxa"/>
            <w:shd w:val="clear" w:color="auto" w:fill="auto"/>
          </w:tcPr>
          <w:p w14:paraId="34C4FDF4" w14:textId="52E05D8D" w:rsidR="0097216C" w:rsidRPr="00465841" w:rsidRDefault="0097216C" w:rsidP="0097216C">
            <w:pPr>
              <w:pStyle w:val="Tabletext10pt"/>
            </w:pPr>
            <w:r w:rsidRPr="00465841">
              <w:t>Monitoring activities</w:t>
            </w:r>
          </w:p>
        </w:tc>
        <w:tc>
          <w:tcPr>
            <w:tcW w:w="6943" w:type="dxa"/>
            <w:shd w:val="clear" w:color="auto" w:fill="auto"/>
          </w:tcPr>
          <w:p w14:paraId="0471CE2E" w14:textId="77777777" w:rsidR="0097216C" w:rsidRPr="00465841" w:rsidRDefault="0097216C" w:rsidP="0097216C">
            <w:pPr>
              <w:pStyle w:val="Tabletext10pt"/>
            </w:pPr>
            <w:r w:rsidRPr="00465841">
              <w:t>Monitoring activities are defined as:</w:t>
            </w:r>
          </w:p>
          <w:p w14:paraId="1CFF7A07" w14:textId="77777777" w:rsidR="0097216C" w:rsidRPr="0097216C" w:rsidRDefault="0097216C" w:rsidP="00AD2971">
            <w:pPr>
              <w:pStyle w:val="TableBullet10pt"/>
            </w:pPr>
            <w:r w:rsidRPr="0097216C">
              <w:t>management and investigation of complaints</w:t>
            </w:r>
          </w:p>
          <w:p w14:paraId="0FF924AE" w14:textId="77777777" w:rsidR="0097216C" w:rsidRPr="0097216C" w:rsidRDefault="0097216C" w:rsidP="00AD2971">
            <w:pPr>
              <w:pStyle w:val="TableBullet10pt"/>
            </w:pPr>
            <w:r w:rsidRPr="0097216C">
              <w:t xml:space="preserve">routine audits </w:t>
            </w:r>
          </w:p>
          <w:p w14:paraId="6400DB49" w14:textId="77777777" w:rsidR="0097216C" w:rsidRPr="0097216C" w:rsidRDefault="0097216C" w:rsidP="00AD2971">
            <w:pPr>
              <w:pStyle w:val="TableBullet10pt"/>
            </w:pPr>
            <w:r w:rsidRPr="0097216C">
              <w:t xml:space="preserve">surveillance activities (eg, annual provider self-declaration) </w:t>
            </w:r>
          </w:p>
          <w:p w14:paraId="044F5BF3" w14:textId="713BBB86" w:rsidR="0097216C" w:rsidRPr="0097216C" w:rsidRDefault="0097216C" w:rsidP="00AD2971">
            <w:pPr>
              <w:pStyle w:val="TableBullet10pt"/>
            </w:pPr>
            <w:r w:rsidRPr="0097216C">
              <w:lastRenderedPageBreak/>
              <w:t>progress monitoring reporting for provider corrective action (CAR management).</w:t>
            </w:r>
          </w:p>
        </w:tc>
      </w:tr>
      <w:tr w:rsidR="0097216C" w:rsidRPr="00FC0E59" w14:paraId="79592B61" w14:textId="77777777" w:rsidTr="0097216C">
        <w:tc>
          <w:tcPr>
            <w:tcW w:w="2405" w:type="dxa"/>
            <w:shd w:val="clear" w:color="auto" w:fill="auto"/>
          </w:tcPr>
          <w:p w14:paraId="7B468A2F" w14:textId="77777777" w:rsidR="0097216C" w:rsidRPr="00465841" w:rsidRDefault="0097216C" w:rsidP="0097216C">
            <w:pPr>
              <w:pStyle w:val="Tabletext10pt"/>
            </w:pPr>
            <w:r w:rsidRPr="00465841">
              <w:lastRenderedPageBreak/>
              <w:t>Non-compliance</w:t>
            </w:r>
          </w:p>
          <w:p w14:paraId="462D19B6" w14:textId="77777777" w:rsidR="0097216C" w:rsidRPr="00465841" w:rsidRDefault="0097216C" w:rsidP="0097216C">
            <w:pPr>
              <w:pStyle w:val="Tabletext10pt"/>
            </w:pPr>
          </w:p>
        </w:tc>
        <w:tc>
          <w:tcPr>
            <w:tcW w:w="6943" w:type="dxa"/>
            <w:shd w:val="clear" w:color="auto" w:fill="auto"/>
          </w:tcPr>
          <w:p w14:paraId="4B4035B5" w14:textId="5C302A34" w:rsidR="0097216C" w:rsidRPr="00465841" w:rsidRDefault="0097216C" w:rsidP="0097216C">
            <w:pPr>
              <w:pStyle w:val="Tabletext10pt"/>
            </w:pPr>
            <w:r w:rsidRPr="00465841">
              <w:t>Means any serious breach of the MoDA, its regulations or licence conditions.</w:t>
            </w:r>
          </w:p>
        </w:tc>
      </w:tr>
      <w:tr w:rsidR="0097216C" w:rsidRPr="00FC0E59" w14:paraId="64B54723" w14:textId="77777777" w:rsidTr="0097216C">
        <w:tc>
          <w:tcPr>
            <w:tcW w:w="2405" w:type="dxa"/>
            <w:shd w:val="clear" w:color="auto" w:fill="auto"/>
          </w:tcPr>
          <w:p w14:paraId="0C2C6AB8" w14:textId="47AFB932" w:rsidR="0097216C" w:rsidRPr="00465841" w:rsidRDefault="0097216C" w:rsidP="0097216C">
            <w:pPr>
              <w:pStyle w:val="Tabletext10pt"/>
            </w:pPr>
            <w:r w:rsidRPr="00465841">
              <w:t>Non-conformance</w:t>
            </w:r>
          </w:p>
        </w:tc>
        <w:tc>
          <w:tcPr>
            <w:tcW w:w="6943" w:type="dxa"/>
            <w:shd w:val="clear" w:color="auto" w:fill="auto"/>
          </w:tcPr>
          <w:p w14:paraId="1F06D8BB" w14:textId="3B608C2E" w:rsidR="0097216C" w:rsidRPr="00465841" w:rsidRDefault="0097216C" w:rsidP="0097216C">
            <w:pPr>
              <w:pStyle w:val="Tabletext10pt"/>
            </w:pPr>
            <w:r w:rsidRPr="00465841">
              <w:t>Means any shortfall or gap identified through any monitoring or other activity and may be assessed as negligible, low or moderate risk.</w:t>
            </w:r>
          </w:p>
        </w:tc>
      </w:tr>
      <w:tr w:rsidR="0097216C" w:rsidRPr="00FC0E59" w14:paraId="3C06D342" w14:textId="77777777" w:rsidTr="0097216C">
        <w:tc>
          <w:tcPr>
            <w:tcW w:w="2405" w:type="dxa"/>
            <w:shd w:val="clear" w:color="auto" w:fill="auto"/>
          </w:tcPr>
          <w:p w14:paraId="0CC45265" w14:textId="07C7DDFC" w:rsidR="0097216C" w:rsidRPr="00465841" w:rsidRDefault="0097216C" w:rsidP="0097216C">
            <w:pPr>
              <w:pStyle w:val="Tabletext10pt"/>
            </w:pPr>
            <w:r w:rsidRPr="00465841">
              <w:t>Progress monitoring reporting (CAM)</w:t>
            </w:r>
          </w:p>
        </w:tc>
        <w:tc>
          <w:tcPr>
            <w:tcW w:w="6943" w:type="dxa"/>
            <w:shd w:val="clear" w:color="auto" w:fill="auto"/>
          </w:tcPr>
          <w:p w14:paraId="6299A975" w14:textId="199BCC77" w:rsidR="0097216C" w:rsidRPr="00465841" w:rsidRDefault="0097216C" w:rsidP="0097216C">
            <w:pPr>
              <w:pStyle w:val="Tabletext10pt"/>
            </w:pPr>
            <w:r w:rsidRPr="00465841">
              <w:t xml:space="preserve">Where there are any corrective actions </w:t>
            </w:r>
            <w:r>
              <w:t>after</w:t>
            </w:r>
            <w:r w:rsidRPr="00465841">
              <w:t xml:space="preserve"> an audit or other maintenance or monitoring activity, a corrective action progress monitoring (CAM) report is provided to the Ministry </w:t>
            </w:r>
            <w:r>
              <w:t>to give evidence of the</w:t>
            </w:r>
            <w:r w:rsidRPr="00465841">
              <w:t xml:space="preserve"> progress </w:t>
            </w:r>
            <w:r>
              <w:t>in resolving</w:t>
            </w:r>
            <w:r w:rsidRPr="00465841">
              <w:t xml:space="preserve"> the shortfall, in accordance with specified timeframes and risk ratings.</w:t>
            </w:r>
          </w:p>
        </w:tc>
      </w:tr>
      <w:tr w:rsidR="00E3729A" w:rsidRPr="00FC0E59" w14:paraId="18805E1B" w14:textId="77777777" w:rsidTr="0097216C">
        <w:tc>
          <w:tcPr>
            <w:tcW w:w="2405" w:type="dxa"/>
            <w:shd w:val="clear" w:color="auto" w:fill="auto"/>
          </w:tcPr>
          <w:p w14:paraId="23D75530" w14:textId="77777777" w:rsidR="00E3729A" w:rsidRPr="00465841" w:rsidRDefault="00E3729A" w:rsidP="00E3729A">
            <w:pPr>
              <w:pStyle w:val="Tabletext10pt"/>
            </w:pPr>
            <w:r w:rsidRPr="00465841">
              <w:t xml:space="preserve">Repeated offence/non-compliance </w:t>
            </w:r>
          </w:p>
          <w:p w14:paraId="0A7A1AC9" w14:textId="77777777" w:rsidR="00E3729A" w:rsidRPr="00465841" w:rsidRDefault="00E3729A" w:rsidP="00E3729A">
            <w:pPr>
              <w:pStyle w:val="Tabletext10pt"/>
            </w:pPr>
          </w:p>
        </w:tc>
        <w:tc>
          <w:tcPr>
            <w:tcW w:w="6943" w:type="dxa"/>
            <w:shd w:val="clear" w:color="auto" w:fill="auto"/>
          </w:tcPr>
          <w:p w14:paraId="09623B0F" w14:textId="7210E5C4" w:rsidR="00E3729A" w:rsidRPr="00465841" w:rsidRDefault="00E3729A" w:rsidP="00E3729A">
            <w:pPr>
              <w:pStyle w:val="Tabletext10pt"/>
            </w:pPr>
            <w:r w:rsidRPr="00465841">
              <w:t>Means any significant (or serious) offence or breach of the MoDA committed more than once, however for less significant (non-serious) offending</w:t>
            </w:r>
            <w:r>
              <w:t>,</w:t>
            </w:r>
            <w:r w:rsidRPr="00465841">
              <w:t xml:space="preserve"> the definition of ‘repeated’ is defined as habitual or regular offending.</w:t>
            </w:r>
          </w:p>
        </w:tc>
      </w:tr>
      <w:tr w:rsidR="0097216C" w:rsidRPr="00FC0E59" w14:paraId="6FF48507" w14:textId="77777777" w:rsidTr="0097216C">
        <w:tc>
          <w:tcPr>
            <w:tcW w:w="2405" w:type="dxa"/>
            <w:shd w:val="clear" w:color="auto" w:fill="auto"/>
          </w:tcPr>
          <w:p w14:paraId="34AAAD61" w14:textId="56D8D28C" w:rsidR="0097216C" w:rsidRPr="00465841" w:rsidRDefault="0097216C" w:rsidP="0097216C">
            <w:pPr>
              <w:pStyle w:val="Tabletext10pt"/>
            </w:pPr>
            <w:r w:rsidRPr="00465841">
              <w:t>Responsible person</w:t>
            </w:r>
          </w:p>
        </w:tc>
        <w:tc>
          <w:tcPr>
            <w:tcW w:w="6943" w:type="dxa"/>
            <w:shd w:val="clear" w:color="auto" w:fill="auto"/>
          </w:tcPr>
          <w:p w14:paraId="571219D4" w14:textId="77777777" w:rsidR="0097216C" w:rsidRPr="00465841" w:rsidRDefault="0097216C" w:rsidP="0097216C">
            <w:pPr>
              <w:pStyle w:val="Tabletext10pt"/>
            </w:pPr>
            <w:r w:rsidRPr="00465841">
              <w:t xml:space="preserve">In relation to an entity that is (or is applying to be), a </w:t>
            </w:r>
            <w:r>
              <w:t>drug checking</w:t>
            </w:r>
            <w:r w:rsidRPr="00465841">
              <w:t xml:space="preserve"> service provider, </w:t>
            </w:r>
            <w:r>
              <w:t xml:space="preserve">responsible person </w:t>
            </w:r>
            <w:r w:rsidRPr="00465841">
              <w:t>means:</w:t>
            </w:r>
          </w:p>
          <w:p w14:paraId="6C75B31A" w14:textId="77777777" w:rsidR="0097216C" w:rsidRPr="00465841" w:rsidRDefault="0097216C" w:rsidP="00AD2971">
            <w:pPr>
              <w:pStyle w:val="TableBullet10pt"/>
            </w:pPr>
            <w:r w:rsidRPr="00465841">
              <w:t>a director, partner or trustee of the entity</w:t>
            </w:r>
            <w:r>
              <w:t>,</w:t>
            </w:r>
            <w:r w:rsidRPr="00465841">
              <w:t xml:space="preserve"> or</w:t>
            </w:r>
          </w:p>
          <w:p w14:paraId="12CA24DA" w14:textId="7A64EB85" w:rsidR="0097216C" w:rsidRPr="00465841" w:rsidRDefault="0097216C" w:rsidP="00AD2971">
            <w:pPr>
              <w:pStyle w:val="TableBullet10pt"/>
            </w:pPr>
            <w:r w:rsidRPr="00465841">
              <w:t>if the entity does not have directors, partners or trustees, a person who acts in relation to the entity in the same or a similar fashion as a director, partner, or trustee would were the entity a company, partnership, or trust.</w:t>
            </w:r>
          </w:p>
        </w:tc>
      </w:tr>
      <w:tr w:rsidR="0097216C" w:rsidRPr="00FC0E59" w14:paraId="12031913" w14:textId="77777777" w:rsidTr="0097216C">
        <w:tc>
          <w:tcPr>
            <w:tcW w:w="2405" w:type="dxa"/>
            <w:shd w:val="clear" w:color="auto" w:fill="auto"/>
          </w:tcPr>
          <w:p w14:paraId="03EE454F" w14:textId="48B59044" w:rsidR="0097216C" w:rsidRPr="00465841" w:rsidRDefault="0097216C" w:rsidP="0097216C">
            <w:pPr>
              <w:pStyle w:val="Tabletext10pt"/>
            </w:pPr>
            <w:r w:rsidRPr="00465841">
              <w:t xml:space="preserve">Risk </w:t>
            </w:r>
            <w:r w:rsidR="00AD2971">
              <w:t>m</w:t>
            </w:r>
            <w:r w:rsidRPr="00465841">
              <w:t>anagement</w:t>
            </w:r>
          </w:p>
        </w:tc>
        <w:tc>
          <w:tcPr>
            <w:tcW w:w="6943" w:type="dxa"/>
            <w:shd w:val="clear" w:color="auto" w:fill="auto"/>
          </w:tcPr>
          <w:p w14:paraId="4F67C05B" w14:textId="77777777" w:rsidR="0097216C" w:rsidRPr="00465841" w:rsidRDefault="0097216C" w:rsidP="0097216C">
            <w:pPr>
              <w:pStyle w:val="Tabletext10pt"/>
            </w:pPr>
            <w:r w:rsidRPr="00465841">
              <w:t xml:space="preserve">Refers to the process of identifying, risk, assessing </w:t>
            </w:r>
            <w:r>
              <w:t>its</w:t>
            </w:r>
            <w:r w:rsidRPr="00465841">
              <w:t xml:space="preserve"> seriousness and mitigation to manage </w:t>
            </w:r>
            <w:r>
              <w:t>it</w:t>
            </w:r>
            <w:r w:rsidRPr="00465841">
              <w:t>.</w:t>
            </w:r>
            <w:r>
              <w:t xml:space="preserve"> </w:t>
            </w:r>
            <w:r w:rsidRPr="00465841">
              <w:t xml:space="preserve">In the context of </w:t>
            </w:r>
            <w:r>
              <w:t>drug checking</w:t>
            </w:r>
            <w:r w:rsidRPr="00465841">
              <w:t xml:space="preserve">, a risk-based approach is taken when assessing issues, complaints, audits </w:t>
            </w:r>
            <w:r>
              <w:t xml:space="preserve">and </w:t>
            </w:r>
            <w:r w:rsidRPr="00465841">
              <w:t xml:space="preserve">investigations and where a licensing status decision is required (eg, licence suspension, cancellation or amendments to </w:t>
            </w:r>
            <w:r>
              <w:t xml:space="preserve">licensing </w:t>
            </w:r>
            <w:r w:rsidRPr="00465841">
              <w:t>conditions).</w:t>
            </w:r>
          </w:p>
          <w:p w14:paraId="66E59E9F" w14:textId="5A4B367D" w:rsidR="0097216C" w:rsidRPr="00AD2971" w:rsidRDefault="0097216C" w:rsidP="0097216C">
            <w:pPr>
              <w:pStyle w:val="Tabletext10pt"/>
              <w:rPr>
                <w:i/>
                <w:iCs/>
              </w:rPr>
            </w:pPr>
            <w:r w:rsidRPr="00AD2971">
              <w:rPr>
                <w:i/>
                <w:iCs/>
              </w:rPr>
              <w:t>NB: Refer to the DCLS risk matrix and risk decision support tool.</w:t>
            </w:r>
          </w:p>
        </w:tc>
      </w:tr>
      <w:tr w:rsidR="0097216C" w:rsidRPr="00FC0E59" w14:paraId="31B7527E" w14:textId="77777777" w:rsidTr="0097216C">
        <w:tc>
          <w:tcPr>
            <w:tcW w:w="2405" w:type="dxa"/>
            <w:shd w:val="clear" w:color="auto" w:fill="auto"/>
          </w:tcPr>
          <w:p w14:paraId="4E938F01" w14:textId="5C2E0F47" w:rsidR="0097216C" w:rsidRPr="00465841" w:rsidRDefault="0097216C" w:rsidP="0097216C">
            <w:pPr>
              <w:pStyle w:val="Tabletext10pt"/>
            </w:pPr>
            <w:r w:rsidRPr="00465841">
              <w:t xml:space="preserve">Risk </w:t>
            </w:r>
            <w:r>
              <w:t>r</w:t>
            </w:r>
            <w:r w:rsidRPr="00465841">
              <w:t>atings</w:t>
            </w:r>
          </w:p>
        </w:tc>
        <w:tc>
          <w:tcPr>
            <w:tcW w:w="6943" w:type="dxa"/>
            <w:shd w:val="clear" w:color="auto" w:fill="auto"/>
          </w:tcPr>
          <w:p w14:paraId="6E0CECE2" w14:textId="77777777" w:rsidR="0097216C" w:rsidRPr="00465841" w:rsidRDefault="0097216C" w:rsidP="0097216C">
            <w:pPr>
              <w:pStyle w:val="Tabletext10pt"/>
            </w:pPr>
            <w:r w:rsidRPr="00465841">
              <w:t>All findings (shortfalls)</w:t>
            </w:r>
            <w:r>
              <w:t xml:space="preserve"> and/or </w:t>
            </w:r>
            <w:r w:rsidRPr="00465841">
              <w:t>non-conformities</w:t>
            </w:r>
            <w:r>
              <w:t xml:space="preserve"> or </w:t>
            </w:r>
            <w:r w:rsidRPr="00465841">
              <w:t xml:space="preserve">non-compliance identified are rated by a risk analysis as determined by the </w:t>
            </w:r>
            <w:r>
              <w:t>drug checking</w:t>
            </w:r>
            <w:r w:rsidRPr="00465841">
              <w:t xml:space="preserve"> </w:t>
            </w:r>
            <w:r>
              <w:t>l</w:t>
            </w:r>
            <w:r w:rsidRPr="00465841">
              <w:t xml:space="preserve">icensing </w:t>
            </w:r>
            <w:r>
              <w:t>s</w:t>
            </w:r>
            <w:r w:rsidRPr="00465841">
              <w:t xml:space="preserve">cheme </w:t>
            </w:r>
            <w:r>
              <w:t>(DCLS) r</w:t>
            </w:r>
            <w:r w:rsidRPr="00465841">
              <w:t xml:space="preserve">isk </w:t>
            </w:r>
            <w:r>
              <w:t>m</w:t>
            </w:r>
            <w:r w:rsidRPr="00465841">
              <w:t>atrix.</w:t>
            </w:r>
          </w:p>
          <w:p w14:paraId="0DE1FD19" w14:textId="00E88EFE" w:rsidR="0097216C" w:rsidRPr="00AD2971" w:rsidRDefault="0097216C" w:rsidP="0097216C">
            <w:pPr>
              <w:pStyle w:val="Tabletext10pt"/>
              <w:rPr>
                <w:i/>
                <w:iCs/>
              </w:rPr>
            </w:pPr>
            <w:r w:rsidRPr="00AD2971">
              <w:rPr>
                <w:i/>
                <w:iCs/>
              </w:rPr>
              <w:t xml:space="preserve">NB: Refer to the DCLS risk matrix. </w:t>
            </w:r>
          </w:p>
        </w:tc>
      </w:tr>
      <w:tr w:rsidR="0097216C" w:rsidRPr="00FC0E59" w14:paraId="6DFCDE5B" w14:textId="77777777" w:rsidTr="0097216C">
        <w:tc>
          <w:tcPr>
            <w:tcW w:w="2405" w:type="dxa"/>
            <w:shd w:val="clear" w:color="auto" w:fill="auto"/>
          </w:tcPr>
          <w:p w14:paraId="07F03B9C" w14:textId="21E188E8" w:rsidR="0097216C" w:rsidRPr="00465841" w:rsidRDefault="0097216C" w:rsidP="0097216C">
            <w:pPr>
              <w:pStyle w:val="Tabletext10pt"/>
            </w:pPr>
            <w:r w:rsidRPr="00465841">
              <w:t>Seriousness of drug offences</w:t>
            </w:r>
          </w:p>
        </w:tc>
        <w:tc>
          <w:tcPr>
            <w:tcW w:w="6943" w:type="dxa"/>
            <w:shd w:val="clear" w:color="auto" w:fill="auto"/>
          </w:tcPr>
          <w:p w14:paraId="644DFDF4" w14:textId="77777777" w:rsidR="0097216C" w:rsidRPr="00465841" w:rsidRDefault="0097216C" w:rsidP="0097216C">
            <w:pPr>
              <w:pStyle w:val="Tabletext10pt"/>
            </w:pPr>
            <w:r w:rsidRPr="00465841">
              <w:t xml:space="preserve">Is determined by </w:t>
            </w:r>
            <w:r>
              <w:t>considering</w:t>
            </w:r>
            <w:r w:rsidRPr="00465841">
              <w:t xml:space="preserve">: </w:t>
            </w:r>
          </w:p>
          <w:p w14:paraId="1F145308" w14:textId="77777777" w:rsidR="0097216C" w:rsidRPr="00465841" w:rsidRDefault="0097216C" w:rsidP="00AD2971">
            <w:pPr>
              <w:pStyle w:val="TableBullet10pt"/>
            </w:pPr>
            <w:r w:rsidRPr="00465841">
              <w:t>the usual justice system response to an offence</w:t>
            </w:r>
          </w:p>
          <w:p w14:paraId="69C22821" w14:textId="77777777" w:rsidR="0097216C" w:rsidRPr="00465841" w:rsidRDefault="0097216C" w:rsidP="00AD2971">
            <w:pPr>
              <w:pStyle w:val="TableBullet10pt"/>
            </w:pPr>
            <w:r w:rsidRPr="00465841">
              <w:t>the likely impact of the offending on other people, and the scale of the likely impact</w:t>
            </w:r>
          </w:p>
          <w:p w14:paraId="262B80E7" w14:textId="588A6C1A" w:rsidR="0097216C" w:rsidRPr="00465841" w:rsidRDefault="0097216C" w:rsidP="0097216C">
            <w:pPr>
              <w:pStyle w:val="Tabletext10pt"/>
            </w:pPr>
            <w:r w:rsidRPr="00465841">
              <w:t xml:space="preserve">the extent to which the offending calls into question the character or judgement of the offender. </w:t>
            </w:r>
          </w:p>
        </w:tc>
      </w:tr>
      <w:tr w:rsidR="0097216C" w:rsidRPr="00FC0E59" w14:paraId="48599BA8" w14:textId="77777777" w:rsidTr="0097216C">
        <w:tc>
          <w:tcPr>
            <w:tcW w:w="2405" w:type="dxa"/>
            <w:shd w:val="clear" w:color="auto" w:fill="auto"/>
          </w:tcPr>
          <w:p w14:paraId="1F295B2F" w14:textId="2DF23EC9" w:rsidR="0097216C" w:rsidRPr="00465841" w:rsidRDefault="0097216C" w:rsidP="0097216C">
            <w:pPr>
              <w:pStyle w:val="Tabletext10pt"/>
            </w:pPr>
            <w:r w:rsidRPr="00465841">
              <w:lastRenderedPageBreak/>
              <w:t>Seriousness of non-compliance</w:t>
            </w:r>
          </w:p>
        </w:tc>
        <w:tc>
          <w:tcPr>
            <w:tcW w:w="6943" w:type="dxa"/>
            <w:shd w:val="clear" w:color="auto" w:fill="auto"/>
          </w:tcPr>
          <w:p w14:paraId="415F6888" w14:textId="77777777" w:rsidR="0097216C" w:rsidRPr="00465841" w:rsidRDefault="0097216C" w:rsidP="0097216C">
            <w:pPr>
              <w:pStyle w:val="Tabletext10pt"/>
            </w:pPr>
            <w:r w:rsidRPr="00465841">
              <w:t xml:space="preserve">Is determined by </w:t>
            </w:r>
            <w:r>
              <w:t>considering</w:t>
            </w:r>
            <w:r w:rsidRPr="00465841">
              <w:t>:</w:t>
            </w:r>
            <w:r>
              <w:t xml:space="preserve"> </w:t>
            </w:r>
          </w:p>
          <w:p w14:paraId="0439F623" w14:textId="77777777" w:rsidR="0097216C" w:rsidRPr="00465841" w:rsidRDefault="0097216C" w:rsidP="00AD2971">
            <w:pPr>
              <w:pStyle w:val="TableBullet10pt"/>
            </w:pPr>
            <w:r w:rsidRPr="00465841">
              <w:t>the actual and potential impact of the non-compliance</w:t>
            </w:r>
          </w:p>
          <w:p w14:paraId="3EA45031" w14:textId="77777777" w:rsidR="0097216C" w:rsidRPr="00465841" w:rsidRDefault="0097216C" w:rsidP="00AD2971">
            <w:pPr>
              <w:pStyle w:val="TableBullet10pt"/>
            </w:pPr>
            <w:r>
              <w:t xml:space="preserve">if the non-compliance </w:t>
            </w:r>
            <w:r w:rsidRPr="00465841">
              <w:t xml:space="preserve">was </w:t>
            </w:r>
            <w:r>
              <w:t xml:space="preserve">of a </w:t>
            </w:r>
            <w:r w:rsidRPr="00465841">
              <w:t>technical</w:t>
            </w:r>
            <w:r>
              <w:t xml:space="preserve"> nature</w:t>
            </w:r>
            <w:r w:rsidRPr="00465841">
              <w:t xml:space="preserve"> (eg, providing information late or in the wrong format) or misleading (eg, not declaring relevant information) </w:t>
            </w:r>
          </w:p>
          <w:p w14:paraId="109BE980" w14:textId="40A53979" w:rsidR="0097216C" w:rsidRPr="00465841" w:rsidRDefault="0097216C" w:rsidP="00AD2971">
            <w:pPr>
              <w:pStyle w:val="TableBullet10pt"/>
            </w:pPr>
            <w:r w:rsidRPr="00465841">
              <w:t xml:space="preserve">whether </w:t>
            </w:r>
            <w:r>
              <w:t xml:space="preserve">the relevant regulatory team would view the non-compliance </w:t>
            </w:r>
            <w:r w:rsidRPr="00465841">
              <w:t>as serious.</w:t>
            </w:r>
          </w:p>
        </w:tc>
      </w:tr>
    </w:tbl>
    <w:p w14:paraId="6F3985BA" w14:textId="3307FDAA" w:rsidR="00A401D7" w:rsidRDefault="00E6374A" w:rsidP="00E6374A">
      <w:pPr>
        <w:pStyle w:val="Number"/>
      </w:pPr>
      <w:r>
        <w:t>Owner</w:t>
      </w:r>
    </w:p>
    <w:p w14:paraId="549B3E05" w14:textId="0A7C2BA7" w:rsidR="00E6374A" w:rsidRDefault="00E6374A" w:rsidP="00E6374A">
      <w:r w:rsidRPr="004D4B7B">
        <w:t>The Director of Mental Health and Addictions</w:t>
      </w:r>
    </w:p>
    <w:p w14:paraId="58A3673B" w14:textId="063F1613" w:rsidR="00E6374A" w:rsidRDefault="00E6374A" w:rsidP="00E6374A">
      <w:pPr>
        <w:pStyle w:val="Number"/>
      </w:pPr>
      <w:r>
        <w:t>General enquiries</w:t>
      </w:r>
    </w:p>
    <w:p w14:paraId="25D91FAF" w14:textId="77777777" w:rsidR="00E6374A" w:rsidRPr="004D4B7B" w:rsidRDefault="00E6374A" w:rsidP="00E6374A">
      <w:r w:rsidRPr="004D4B7B">
        <w:t xml:space="preserve">Manager Drug Checking Licensing </w:t>
      </w:r>
    </w:p>
    <w:p w14:paraId="3D3E9B50" w14:textId="5D0802C9" w:rsidR="00E6374A" w:rsidRDefault="00E6374A" w:rsidP="00E6374A">
      <w:r w:rsidRPr="004D4B7B">
        <w:t xml:space="preserve">Email: </w:t>
      </w:r>
      <w:hyperlink r:id="rId11" w:history="1">
        <w:r w:rsidRPr="00EA7587">
          <w:rPr>
            <w:rStyle w:val="Hyperlink"/>
          </w:rPr>
          <w:t>drugcheckingadmin@health.govt.nz</w:t>
        </w:r>
      </w:hyperlink>
    </w:p>
    <w:p w14:paraId="2E4E539D" w14:textId="609982FF" w:rsidR="00E6374A" w:rsidRDefault="00E6374A" w:rsidP="00E6374A">
      <w:pPr>
        <w:pStyle w:val="Number"/>
      </w:pPr>
      <w:r>
        <w:t>Contents</w:t>
      </w:r>
    </w:p>
    <w:p w14:paraId="3DA6AF52" w14:textId="77777777" w:rsidR="00E6374A" w:rsidRPr="00AC0FFF" w:rsidRDefault="00E6374A" w:rsidP="00E6374A">
      <w:r w:rsidRPr="00AC0FFF">
        <w:t>This document contains the following topics.</w:t>
      </w:r>
    </w:p>
    <w:tbl>
      <w:tblPr>
        <w:tblStyle w:val="TableGrid"/>
        <w:tblW w:w="9353"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4A0" w:firstRow="1" w:lastRow="0" w:firstColumn="1" w:lastColumn="0" w:noHBand="0" w:noVBand="1"/>
      </w:tblPr>
      <w:tblGrid>
        <w:gridCol w:w="7652"/>
        <w:gridCol w:w="1701"/>
      </w:tblGrid>
      <w:tr w:rsidR="00AD2971" w:rsidRPr="00AD2971" w14:paraId="71514E3F" w14:textId="77777777" w:rsidTr="00AD2971">
        <w:trPr>
          <w:trHeight w:val="257"/>
        </w:trPr>
        <w:tc>
          <w:tcPr>
            <w:tcW w:w="7652" w:type="dxa"/>
            <w:tcBorders>
              <w:right w:val="nil"/>
            </w:tcBorders>
            <w:shd w:val="clear" w:color="auto" w:fill="23305D"/>
          </w:tcPr>
          <w:p w14:paraId="066DE747" w14:textId="77777777" w:rsidR="00E6374A" w:rsidRPr="00AD2971" w:rsidRDefault="00E6374A" w:rsidP="00E6374A">
            <w:pPr>
              <w:pStyle w:val="TableText0"/>
              <w:rPr>
                <w:rFonts w:ascii="Segoe UI" w:hAnsi="Segoe UI" w:cs="Segoe UI"/>
                <w:b/>
                <w:bCs/>
                <w:color w:val="FFFFFF" w:themeColor="background1"/>
                <w:sz w:val="20"/>
              </w:rPr>
            </w:pPr>
            <w:r w:rsidRPr="00AD2971">
              <w:rPr>
                <w:rFonts w:ascii="Segoe UI" w:hAnsi="Segoe UI" w:cs="Segoe UI"/>
                <w:b/>
                <w:bCs/>
                <w:color w:val="FFFFFF" w:themeColor="background1"/>
                <w:sz w:val="20"/>
              </w:rPr>
              <w:t>Topic</w:t>
            </w:r>
          </w:p>
        </w:tc>
        <w:tc>
          <w:tcPr>
            <w:tcW w:w="1701" w:type="dxa"/>
            <w:tcBorders>
              <w:left w:val="nil"/>
            </w:tcBorders>
            <w:shd w:val="clear" w:color="auto" w:fill="23305D"/>
          </w:tcPr>
          <w:p w14:paraId="414E3B9A" w14:textId="77FCC7E7" w:rsidR="00E6374A" w:rsidRPr="00AD2971" w:rsidRDefault="00E6374A" w:rsidP="00E6374A">
            <w:pPr>
              <w:pStyle w:val="TableText0"/>
              <w:rPr>
                <w:rFonts w:ascii="Segoe UI" w:hAnsi="Segoe UI" w:cs="Segoe UI"/>
                <w:b/>
                <w:bCs/>
                <w:color w:val="FFFFFF" w:themeColor="background1"/>
                <w:sz w:val="20"/>
              </w:rPr>
            </w:pPr>
            <w:r w:rsidRPr="00AD2971">
              <w:rPr>
                <w:rFonts w:ascii="Segoe UI" w:hAnsi="Segoe UI" w:cs="Segoe UI"/>
                <w:b/>
                <w:bCs/>
                <w:color w:val="FFFFFF" w:themeColor="background1"/>
                <w:sz w:val="20"/>
              </w:rPr>
              <w:t>Page number</w:t>
            </w:r>
          </w:p>
        </w:tc>
      </w:tr>
      <w:tr w:rsidR="00E6374A" w:rsidRPr="00AC0FFF" w14:paraId="03174C31" w14:textId="77777777" w:rsidTr="00E6374A">
        <w:trPr>
          <w:trHeight w:val="257"/>
        </w:trPr>
        <w:tc>
          <w:tcPr>
            <w:tcW w:w="7652" w:type="dxa"/>
            <w:shd w:val="clear" w:color="auto" w:fill="auto"/>
          </w:tcPr>
          <w:p w14:paraId="5733B5C8" w14:textId="7277C151" w:rsidR="00E6374A" w:rsidRPr="00E6374A" w:rsidRDefault="00AD2971" w:rsidP="00AD2971">
            <w:pPr>
              <w:pStyle w:val="TableText0"/>
              <w:spacing w:line="264" w:lineRule="auto"/>
              <w:rPr>
                <w:rFonts w:ascii="Segoe UI" w:hAnsi="Segoe UI" w:cs="Segoe UI"/>
                <w:sz w:val="20"/>
              </w:rPr>
            </w:pPr>
            <w:r w:rsidRPr="00AD2971">
              <w:rPr>
                <w:rFonts w:ascii="Segoe UI" w:hAnsi="Segoe UI" w:cs="Segoe UI"/>
                <w:sz w:val="20"/>
              </w:rPr>
              <w:t>1.</w:t>
            </w:r>
            <w:r>
              <w:rPr>
                <w:rFonts w:ascii="Segoe UI" w:hAnsi="Segoe UI" w:cs="Segoe UI"/>
                <w:sz w:val="20"/>
              </w:rPr>
              <w:t xml:space="preserve"> </w:t>
            </w:r>
            <w:r w:rsidR="00E6374A" w:rsidRPr="00E6374A">
              <w:rPr>
                <w:rFonts w:ascii="Segoe UI" w:hAnsi="Segoe UI" w:cs="Segoe UI"/>
                <w:sz w:val="20"/>
              </w:rPr>
              <w:t>Introduction</w:t>
            </w:r>
          </w:p>
        </w:tc>
        <w:tc>
          <w:tcPr>
            <w:tcW w:w="1701" w:type="dxa"/>
            <w:shd w:val="clear" w:color="auto" w:fill="auto"/>
          </w:tcPr>
          <w:p w14:paraId="75D18CE6" w14:textId="693F7204"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5</w:t>
            </w:r>
          </w:p>
        </w:tc>
      </w:tr>
      <w:tr w:rsidR="00E6374A" w:rsidRPr="00AC0FFF" w14:paraId="4F68B4B2" w14:textId="77777777" w:rsidTr="00E6374A">
        <w:trPr>
          <w:trHeight w:val="257"/>
        </w:trPr>
        <w:tc>
          <w:tcPr>
            <w:tcW w:w="7652" w:type="dxa"/>
            <w:shd w:val="clear" w:color="auto" w:fill="auto"/>
          </w:tcPr>
          <w:p w14:paraId="2FD2B85D" w14:textId="74DDCBB2"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2. </w:t>
            </w:r>
            <w:r w:rsidR="00E6374A" w:rsidRPr="00E6374A">
              <w:rPr>
                <w:rFonts w:ascii="Segoe UI" w:hAnsi="Segoe UI" w:cs="Segoe UI"/>
                <w:sz w:val="20"/>
              </w:rPr>
              <w:t>Legislative interpretation and guidance</w:t>
            </w:r>
          </w:p>
        </w:tc>
        <w:tc>
          <w:tcPr>
            <w:tcW w:w="1701" w:type="dxa"/>
            <w:shd w:val="clear" w:color="auto" w:fill="auto"/>
          </w:tcPr>
          <w:p w14:paraId="41F782FB" w14:textId="7ADB604E"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5</w:t>
            </w:r>
          </w:p>
        </w:tc>
      </w:tr>
      <w:tr w:rsidR="00E6374A" w:rsidRPr="00AC0FFF" w14:paraId="7F12BACD" w14:textId="77777777" w:rsidTr="00E6374A">
        <w:trPr>
          <w:trHeight w:val="257"/>
        </w:trPr>
        <w:tc>
          <w:tcPr>
            <w:tcW w:w="7652" w:type="dxa"/>
            <w:shd w:val="clear" w:color="auto" w:fill="auto"/>
          </w:tcPr>
          <w:p w14:paraId="7EE8DE83" w14:textId="46006789"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3. </w:t>
            </w:r>
            <w:r w:rsidR="00E6374A" w:rsidRPr="00E6374A">
              <w:rPr>
                <w:rFonts w:ascii="Segoe UI" w:hAnsi="Segoe UI" w:cs="Segoe UI"/>
                <w:sz w:val="20"/>
              </w:rPr>
              <w:t>Principles</w:t>
            </w:r>
          </w:p>
        </w:tc>
        <w:tc>
          <w:tcPr>
            <w:tcW w:w="1701" w:type="dxa"/>
            <w:shd w:val="clear" w:color="auto" w:fill="auto"/>
          </w:tcPr>
          <w:p w14:paraId="46AD3D3A" w14:textId="282CDD55"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5</w:t>
            </w:r>
          </w:p>
        </w:tc>
      </w:tr>
      <w:tr w:rsidR="00E6374A" w:rsidRPr="00AC0FFF" w14:paraId="5296598C" w14:textId="77777777" w:rsidTr="00E6374A">
        <w:trPr>
          <w:trHeight w:val="237"/>
        </w:trPr>
        <w:tc>
          <w:tcPr>
            <w:tcW w:w="7652" w:type="dxa"/>
            <w:shd w:val="clear" w:color="auto" w:fill="auto"/>
          </w:tcPr>
          <w:p w14:paraId="0C95376C" w14:textId="4AEE58AD"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4. General information</w:t>
            </w:r>
          </w:p>
        </w:tc>
        <w:tc>
          <w:tcPr>
            <w:tcW w:w="1701" w:type="dxa"/>
            <w:shd w:val="clear" w:color="auto" w:fill="auto"/>
          </w:tcPr>
          <w:p w14:paraId="537BE1E8" w14:textId="4951B319"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6</w:t>
            </w:r>
          </w:p>
        </w:tc>
      </w:tr>
      <w:tr w:rsidR="00E6374A" w:rsidRPr="00AC0FFF" w14:paraId="3397A6F3" w14:textId="77777777" w:rsidTr="00E6374A">
        <w:trPr>
          <w:trHeight w:val="257"/>
        </w:trPr>
        <w:tc>
          <w:tcPr>
            <w:tcW w:w="7652" w:type="dxa"/>
            <w:shd w:val="clear" w:color="auto" w:fill="auto"/>
          </w:tcPr>
          <w:p w14:paraId="6CF628A6" w14:textId="643C91B4"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5. Submission of complaints</w:t>
            </w:r>
          </w:p>
        </w:tc>
        <w:tc>
          <w:tcPr>
            <w:tcW w:w="1701" w:type="dxa"/>
            <w:shd w:val="clear" w:color="auto" w:fill="auto"/>
          </w:tcPr>
          <w:p w14:paraId="3A824B83" w14:textId="572AC5DC"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7</w:t>
            </w:r>
          </w:p>
        </w:tc>
      </w:tr>
      <w:tr w:rsidR="00E6374A" w:rsidRPr="00AC0FFF" w14:paraId="58F25B07" w14:textId="77777777" w:rsidTr="00E6374A">
        <w:trPr>
          <w:trHeight w:val="257"/>
        </w:trPr>
        <w:tc>
          <w:tcPr>
            <w:tcW w:w="7652" w:type="dxa"/>
            <w:shd w:val="clear" w:color="auto" w:fill="auto"/>
          </w:tcPr>
          <w:p w14:paraId="5BEC8142" w14:textId="4531ADBC"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6. Complaint investigation</w:t>
            </w:r>
          </w:p>
        </w:tc>
        <w:tc>
          <w:tcPr>
            <w:tcW w:w="1701" w:type="dxa"/>
            <w:shd w:val="clear" w:color="auto" w:fill="auto"/>
          </w:tcPr>
          <w:p w14:paraId="1B2797AC" w14:textId="4A1F1EE1"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7</w:t>
            </w:r>
          </w:p>
        </w:tc>
      </w:tr>
      <w:tr w:rsidR="00E6374A" w:rsidRPr="00AC0FFF" w14:paraId="7F3074D3" w14:textId="77777777" w:rsidTr="00E6374A">
        <w:trPr>
          <w:trHeight w:val="257"/>
        </w:trPr>
        <w:tc>
          <w:tcPr>
            <w:tcW w:w="7652" w:type="dxa"/>
            <w:shd w:val="clear" w:color="auto" w:fill="auto"/>
          </w:tcPr>
          <w:p w14:paraId="649B0890" w14:textId="43CF5DBC"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7. Complaint investigation outcome</w:t>
            </w:r>
          </w:p>
        </w:tc>
        <w:tc>
          <w:tcPr>
            <w:tcW w:w="1701" w:type="dxa"/>
            <w:shd w:val="clear" w:color="auto" w:fill="auto"/>
          </w:tcPr>
          <w:p w14:paraId="2AA4612B" w14:textId="0CAC44BE" w:rsidR="00E6374A" w:rsidRPr="00E6374A" w:rsidRDefault="00080D1E" w:rsidP="00E6374A">
            <w:pPr>
              <w:pStyle w:val="TableText0"/>
              <w:spacing w:line="264" w:lineRule="auto"/>
              <w:rPr>
                <w:rFonts w:ascii="Segoe UI" w:hAnsi="Segoe UI" w:cs="Segoe UI"/>
                <w:sz w:val="20"/>
              </w:rPr>
            </w:pPr>
            <w:r>
              <w:rPr>
                <w:rFonts w:ascii="Segoe UI" w:hAnsi="Segoe UI" w:cs="Segoe UI"/>
                <w:sz w:val="20"/>
              </w:rPr>
              <w:t>8</w:t>
            </w:r>
          </w:p>
        </w:tc>
      </w:tr>
      <w:tr w:rsidR="00E6374A" w:rsidRPr="00AC0FFF" w14:paraId="5DE400C8" w14:textId="77777777" w:rsidTr="00E6374A">
        <w:trPr>
          <w:trHeight w:val="257"/>
        </w:trPr>
        <w:tc>
          <w:tcPr>
            <w:tcW w:w="7652" w:type="dxa"/>
            <w:shd w:val="clear" w:color="auto" w:fill="auto"/>
          </w:tcPr>
          <w:p w14:paraId="00FECA6D" w14:textId="3C6CDFFE"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8. Compliance and progress monitoring </w:t>
            </w:r>
          </w:p>
        </w:tc>
        <w:tc>
          <w:tcPr>
            <w:tcW w:w="1701" w:type="dxa"/>
            <w:shd w:val="clear" w:color="auto" w:fill="auto"/>
          </w:tcPr>
          <w:p w14:paraId="49A8702B" w14:textId="71B68FD1" w:rsidR="00E6374A" w:rsidRPr="00E6374A" w:rsidRDefault="00080D1E" w:rsidP="00E6374A">
            <w:pPr>
              <w:pStyle w:val="TableText0"/>
              <w:spacing w:line="264" w:lineRule="auto"/>
              <w:rPr>
                <w:rFonts w:ascii="Segoe UI" w:hAnsi="Segoe UI" w:cs="Segoe UI"/>
                <w:sz w:val="20"/>
              </w:rPr>
            </w:pPr>
            <w:r>
              <w:rPr>
                <w:rFonts w:ascii="Segoe UI" w:hAnsi="Segoe UI" w:cs="Segoe UI"/>
                <w:sz w:val="20"/>
              </w:rPr>
              <w:t>8</w:t>
            </w:r>
          </w:p>
        </w:tc>
      </w:tr>
      <w:tr w:rsidR="00E6374A" w:rsidRPr="00AC0FFF" w14:paraId="6496DC92" w14:textId="77777777" w:rsidTr="00E6374A">
        <w:trPr>
          <w:trHeight w:val="358"/>
        </w:trPr>
        <w:tc>
          <w:tcPr>
            <w:tcW w:w="7652" w:type="dxa"/>
            <w:shd w:val="clear" w:color="auto" w:fill="auto"/>
          </w:tcPr>
          <w:p w14:paraId="0EFED1D3" w14:textId="6ACF3197"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9.  Related reading </w:t>
            </w:r>
          </w:p>
        </w:tc>
        <w:tc>
          <w:tcPr>
            <w:tcW w:w="1701" w:type="dxa"/>
            <w:shd w:val="clear" w:color="auto" w:fill="auto"/>
          </w:tcPr>
          <w:p w14:paraId="60C444F9" w14:textId="4F2CB591" w:rsidR="00E6374A" w:rsidRPr="00E6374A" w:rsidRDefault="00080D1E" w:rsidP="00E6374A">
            <w:pPr>
              <w:pStyle w:val="TableText0"/>
              <w:spacing w:line="264" w:lineRule="auto"/>
              <w:rPr>
                <w:rFonts w:ascii="Segoe UI" w:hAnsi="Segoe UI" w:cs="Segoe UI"/>
                <w:sz w:val="20"/>
              </w:rPr>
            </w:pPr>
            <w:r>
              <w:rPr>
                <w:rFonts w:ascii="Segoe UI" w:hAnsi="Segoe UI" w:cs="Segoe UI"/>
                <w:sz w:val="20"/>
              </w:rPr>
              <w:t>8</w:t>
            </w:r>
          </w:p>
        </w:tc>
      </w:tr>
      <w:tr w:rsidR="00E6374A" w:rsidRPr="00AC0FFF" w14:paraId="2793BE6C" w14:textId="77777777" w:rsidTr="00E6374A">
        <w:trPr>
          <w:trHeight w:val="377"/>
        </w:trPr>
        <w:tc>
          <w:tcPr>
            <w:tcW w:w="7652" w:type="dxa"/>
            <w:shd w:val="clear" w:color="auto" w:fill="auto"/>
          </w:tcPr>
          <w:p w14:paraId="0A98BE42" w14:textId="73B50667" w:rsidR="00E6374A" w:rsidRPr="00E6374A" w:rsidRDefault="00E6374A" w:rsidP="00E6374A">
            <w:pPr>
              <w:pStyle w:val="TableText0"/>
              <w:spacing w:line="264" w:lineRule="auto"/>
              <w:rPr>
                <w:rFonts w:ascii="Segoe UI" w:hAnsi="Segoe UI" w:cs="Segoe UI"/>
                <w:sz w:val="20"/>
              </w:rPr>
            </w:pPr>
            <w:r w:rsidRPr="00E6374A">
              <w:rPr>
                <w:rFonts w:ascii="Segoe UI" w:hAnsi="Segoe UI" w:cs="Segoe UI"/>
                <w:sz w:val="20"/>
              </w:rPr>
              <w:t xml:space="preserve">Appendix 1: </w:t>
            </w:r>
            <w:r w:rsidR="00AD2971">
              <w:rPr>
                <w:rFonts w:ascii="Segoe UI" w:hAnsi="Segoe UI" w:cs="Segoe UI"/>
                <w:sz w:val="20"/>
              </w:rPr>
              <w:t>Complaints process flow chart</w:t>
            </w:r>
          </w:p>
        </w:tc>
        <w:tc>
          <w:tcPr>
            <w:tcW w:w="1701" w:type="dxa"/>
            <w:shd w:val="clear" w:color="auto" w:fill="auto"/>
          </w:tcPr>
          <w:p w14:paraId="20C7AF10" w14:textId="4DE52BD3" w:rsidR="00E6374A" w:rsidRPr="00E6374A" w:rsidRDefault="00080D1E" w:rsidP="00E6374A">
            <w:pPr>
              <w:pStyle w:val="TableText0"/>
              <w:spacing w:line="264" w:lineRule="auto"/>
              <w:rPr>
                <w:rFonts w:ascii="Segoe UI" w:hAnsi="Segoe UI" w:cs="Segoe UI"/>
                <w:sz w:val="20"/>
              </w:rPr>
            </w:pPr>
            <w:r>
              <w:rPr>
                <w:rFonts w:ascii="Segoe UI" w:hAnsi="Segoe UI" w:cs="Segoe UI"/>
                <w:sz w:val="20"/>
              </w:rPr>
              <w:t>9</w:t>
            </w:r>
          </w:p>
        </w:tc>
      </w:tr>
    </w:tbl>
    <w:p w14:paraId="1D8E3BB3" w14:textId="2EA5082C" w:rsidR="008C7877" w:rsidRDefault="008C7877" w:rsidP="008C7877">
      <w:pPr>
        <w:pStyle w:val="Number"/>
      </w:pPr>
      <w:r>
        <w:t>Review date</w:t>
      </w:r>
    </w:p>
    <w:p w14:paraId="0C373C01" w14:textId="63FADD17" w:rsidR="008C7877" w:rsidRDefault="00E3729A" w:rsidP="00E6374A">
      <w:r>
        <w:t>November</w:t>
      </w:r>
      <w:r w:rsidR="008C7877">
        <w:t xml:space="preserve"> 2024</w:t>
      </w:r>
    </w:p>
    <w:p w14:paraId="7087810E" w14:textId="77777777" w:rsidR="00433D3E" w:rsidRDefault="00433D3E">
      <w:pPr>
        <w:spacing w:before="0" w:after="0" w:line="240" w:lineRule="auto"/>
        <w:rPr>
          <w:b/>
          <w:bCs/>
          <w:sz w:val="28"/>
          <w:szCs w:val="28"/>
        </w:rPr>
      </w:pPr>
      <w:r>
        <w:rPr>
          <w:b/>
          <w:bCs/>
          <w:sz w:val="28"/>
          <w:szCs w:val="28"/>
        </w:rPr>
        <w:br w:type="page"/>
      </w:r>
    </w:p>
    <w:p w14:paraId="3CDE7BE3" w14:textId="5871CCBA" w:rsidR="00433D3E" w:rsidRPr="00433D3E" w:rsidRDefault="00433D3E" w:rsidP="00433D3E">
      <w:pPr>
        <w:pBdr>
          <w:bottom w:val="single" w:sz="4" w:space="1" w:color="999999"/>
        </w:pBdr>
        <w:rPr>
          <w:b/>
          <w:bCs/>
          <w:sz w:val="28"/>
          <w:szCs w:val="28"/>
        </w:rPr>
      </w:pPr>
      <w:r w:rsidRPr="00433D3E">
        <w:rPr>
          <w:b/>
          <w:bCs/>
          <w:sz w:val="28"/>
          <w:szCs w:val="28"/>
        </w:rPr>
        <w:lastRenderedPageBreak/>
        <w:t xml:space="preserve">Drug Checking </w:t>
      </w:r>
      <w:r w:rsidR="00DF2316">
        <w:rPr>
          <w:b/>
          <w:bCs/>
          <w:sz w:val="28"/>
          <w:szCs w:val="28"/>
        </w:rPr>
        <w:t>Complaints</w:t>
      </w:r>
      <w:r w:rsidRPr="00433D3E">
        <w:rPr>
          <w:b/>
          <w:bCs/>
          <w:sz w:val="28"/>
          <w:szCs w:val="28"/>
        </w:rPr>
        <w:t xml:space="preserve"> Policy </w:t>
      </w:r>
    </w:p>
    <w:p w14:paraId="315E3DE1" w14:textId="196EDADE" w:rsidR="00020081" w:rsidRDefault="00020081">
      <w:pPr>
        <w:spacing w:line="240" w:lineRule="auto"/>
      </w:pPr>
    </w:p>
    <w:p w14:paraId="164BA3D2" w14:textId="207F8059" w:rsidR="00020081" w:rsidRPr="00D20108" w:rsidRDefault="00020081" w:rsidP="00D20108">
      <w:pPr>
        <w:pStyle w:val="Heading1"/>
        <w:numPr>
          <w:ilvl w:val="0"/>
          <w:numId w:val="20"/>
        </w:numPr>
        <w:rPr>
          <w:rStyle w:val="Heading1Char"/>
          <w:b/>
          <w:bCs/>
        </w:rPr>
      </w:pPr>
      <w:r w:rsidRPr="00D20108">
        <w:rPr>
          <w:rStyle w:val="Heading1Char"/>
          <w:b/>
          <w:bCs/>
        </w:rPr>
        <w:t>Introduction</w:t>
      </w:r>
    </w:p>
    <w:p w14:paraId="5788AD8A" w14:textId="6DA0685C" w:rsidR="00DF2316" w:rsidRPr="00DF2316" w:rsidRDefault="00DF2316" w:rsidP="00DF2316">
      <w:r w:rsidRPr="00DF2316">
        <w:t>The purpose of this policy is to support Ministry drug checking licensing scheme officials to manage and investigate any complaints in a fair, equitable, reliable and consistent way.</w:t>
      </w:r>
    </w:p>
    <w:p w14:paraId="31767E58" w14:textId="77777777" w:rsidR="00DF2316" w:rsidRPr="00DF2316" w:rsidRDefault="00DF2316" w:rsidP="00DF2316">
      <w:r w:rsidRPr="00DF2316">
        <w:t>The policy is also available to inform stakeholders in an open and transparent manner of the Ministry’s drug checking complaints process.</w:t>
      </w:r>
    </w:p>
    <w:p w14:paraId="76614AC3" w14:textId="77777777" w:rsidR="00DF2316" w:rsidRPr="00080D1E" w:rsidRDefault="00DF2316" w:rsidP="00D20108">
      <w:pPr>
        <w:pStyle w:val="Heading1"/>
      </w:pPr>
      <w:r w:rsidRPr="00080D1E">
        <w:rPr>
          <w:rStyle w:val="Heading1Char"/>
          <w:b/>
          <w:bCs/>
        </w:rPr>
        <w:t>Legislative interpretation and guidance</w:t>
      </w:r>
    </w:p>
    <w:p w14:paraId="23F7AA85" w14:textId="7F72E8FE" w:rsidR="00DF2316" w:rsidRPr="00DF2316" w:rsidRDefault="00DF2316" w:rsidP="00DF2316">
      <w:r w:rsidRPr="00DF2316">
        <w:t>The Drug Checking Complaints Policy: There are no specific complaints references in the MoDA or its</w:t>
      </w:r>
      <w:r w:rsidRPr="00DF2316">
        <w:rPr>
          <w:rStyle w:val="Heading1Char"/>
          <w:rFonts w:cs="Times New Roman"/>
          <w:bCs w:val="0"/>
          <w:sz w:val="36"/>
          <w:szCs w:val="36"/>
        </w:rPr>
        <w:t xml:space="preserve"> </w:t>
      </w:r>
      <w:r w:rsidRPr="00DF2316">
        <w:t>regulations, however as the licensing authority for drug checking, the Drug Checking Complaints Policy sets out how the Ministry will investigate and manage complaints about drug checking.</w:t>
      </w:r>
    </w:p>
    <w:p w14:paraId="4B91B7B1" w14:textId="77777777" w:rsidR="00DF2316" w:rsidRDefault="00DF2316" w:rsidP="00D20108">
      <w:pPr>
        <w:pStyle w:val="Heading1"/>
      </w:pPr>
      <w:r w:rsidRPr="00DF2316">
        <w:t>Principle</w:t>
      </w:r>
      <w:r>
        <w:t>s</w:t>
      </w:r>
    </w:p>
    <w:p w14:paraId="3CE771A1" w14:textId="5721ED19" w:rsidR="00DF2316" w:rsidRPr="00DF2316" w:rsidRDefault="00DF2316" w:rsidP="00DF2316">
      <w:r w:rsidRPr="00DF2316">
        <w:t>The following principles apply to the management and investigation of complaints received by the Drug Checking Licensing Scheme:</w:t>
      </w:r>
    </w:p>
    <w:p w14:paraId="15FF0AED" w14:textId="01DD9E09" w:rsidR="00DF2316" w:rsidRPr="00D20108" w:rsidRDefault="00DF2316" w:rsidP="00D20108">
      <w:pPr>
        <w:pStyle w:val="Number"/>
        <w:rPr>
          <w:rStyle w:val="Heading1Char"/>
          <w:rFonts w:cs="Times New Roman"/>
          <w:b/>
          <w:bCs w:val="0"/>
          <w:sz w:val="24"/>
          <w:szCs w:val="24"/>
        </w:rPr>
      </w:pPr>
      <w:r w:rsidRPr="00D20108">
        <w:rPr>
          <w:rStyle w:val="Heading1Char"/>
          <w:rFonts w:cs="Times New Roman"/>
          <w:b/>
          <w:bCs w:val="0"/>
          <w:sz w:val="24"/>
          <w:szCs w:val="24"/>
        </w:rPr>
        <w:t>Lived experience</w:t>
      </w:r>
    </w:p>
    <w:p w14:paraId="7452ECFA" w14:textId="0EE27F77" w:rsidR="00DF2316" w:rsidRPr="00DC342D" w:rsidRDefault="00DF2316" w:rsidP="00DF2316">
      <w:r w:rsidRPr="00DC342D">
        <w:t>The drug checking licensing team acknowledge the value of lived experience, in both leadership and governance roles, as well as employees who deliver drug checking and services to reduce drug harm.</w:t>
      </w:r>
    </w:p>
    <w:p w14:paraId="2C5A2C95" w14:textId="4468CC38" w:rsidR="00DF2316" w:rsidRPr="00D20108" w:rsidRDefault="00DF2316" w:rsidP="00D20108">
      <w:pPr>
        <w:pStyle w:val="Number"/>
        <w:rPr>
          <w:rStyle w:val="Heading1Char"/>
          <w:rFonts w:cs="Times New Roman"/>
          <w:b/>
          <w:bCs w:val="0"/>
          <w:sz w:val="24"/>
          <w:szCs w:val="24"/>
        </w:rPr>
      </w:pPr>
      <w:r w:rsidRPr="00D20108">
        <w:rPr>
          <w:rStyle w:val="Heading1Char"/>
          <w:rFonts w:cs="Times New Roman"/>
          <w:b/>
          <w:bCs w:val="0"/>
          <w:sz w:val="24"/>
          <w:szCs w:val="24"/>
        </w:rPr>
        <w:t>Commitment to Te Tiriti o Waitangi and Pae Ora</w:t>
      </w:r>
    </w:p>
    <w:p w14:paraId="1A6D0A0D" w14:textId="5EACFE2D" w:rsidR="00DF2316" w:rsidRPr="00DF2316" w:rsidRDefault="00DF2316" w:rsidP="00891CA0">
      <w:pPr>
        <w:pStyle w:val="Bullet"/>
      </w:pPr>
      <w:r w:rsidRPr="00DF2316">
        <w:t xml:space="preserve">The principles of Te Tiriti o Waitangi: tino rangatiratanga; equity; active protection; options and partnership provide the framework for how drug checking services will meet our obligations under Te Tiriti o Waitangi in our day-to-day work. </w:t>
      </w:r>
    </w:p>
    <w:p w14:paraId="642757DB" w14:textId="6A15BDDB" w:rsidR="00DF2316" w:rsidRPr="00DF2316" w:rsidRDefault="00DF2316" w:rsidP="00891CA0">
      <w:pPr>
        <w:pStyle w:val="Bullet"/>
      </w:pPr>
      <w:r w:rsidRPr="00DF2316">
        <w:t>Meeting our obligations under Te Tiriti o Waitangi is necessary to realise the overall aim of Pae Ora (healthy futures for Māori) under He Korowai Oranga (the Māori Health Strategy).</w:t>
      </w:r>
    </w:p>
    <w:p w14:paraId="5462632B" w14:textId="2061542E" w:rsidR="00DF2316" w:rsidRPr="00DF2316" w:rsidRDefault="00DF2316" w:rsidP="00891CA0">
      <w:pPr>
        <w:pStyle w:val="Bullet"/>
      </w:pPr>
      <w:r w:rsidRPr="00DC342D">
        <w:rPr>
          <w:b/>
          <w:bCs/>
        </w:rPr>
        <w:t>Equity</w:t>
      </w:r>
      <w:r w:rsidRPr="00DF2316">
        <w:t>: We acknowledge conviction rates reflect inequities experienced by Māori and other groups and, for this reason, will apply the legislation,</w:t>
      </w:r>
      <w:r w:rsidRPr="00DF2316">
        <w:rPr>
          <w:rStyle w:val="Heading1Char"/>
          <w:rFonts w:cs="Times New Roman"/>
          <w:bCs w:val="0"/>
          <w:sz w:val="36"/>
          <w:szCs w:val="36"/>
        </w:rPr>
        <w:t xml:space="preserve"> </w:t>
      </w:r>
      <w:r w:rsidRPr="00DF2316">
        <w:t xml:space="preserve">regulations, and associated principles equitably and in accordance with the principles of Te Tiriti o Waitangi. There is no meaningful difference between a person who has been convicted of an offence, and a person who committed the same offence but was not convicted (non-compliance). </w:t>
      </w:r>
    </w:p>
    <w:p w14:paraId="35E9C134" w14:textId="77777777" w:rsidR="005B7853" w:rsidRDefault="005B7853" w:rsidP="00891CA0">
      <w:pPr>
        <w:pStyle w:val="Bullet"/>
        <w:rPr>
          <w:b/>
          <w:sz w:val="24"/>
        </w:rPr>
      </w:pPr>
      <w:r>
        <w:br w:type="page"/>
      </w:r>
    </w:p>
    <w:p w14:paraId="5D835710" w14:textId="21041D6E" w:rsidR="00DF2316" w:rsidRPr="00DF2316" w:rsidRDefault="00DF2316" w:rsidP="00DC342D">
      <w:pPr>
        <w:pStyle w:val="Number"/>
      </w:pPr>
      <w:r w:rsidRPr="00DF2316">
        <w:lastRenderedPageBreak/>
        <w:t>Case-by-case consideration</w:t>
      </w:r>
    </w:p>
    <w:p w14:paraId="12AFF6FA" w14:textId="2B58F8C4" w:rsidR="00DF2316" w:rsidRPr="00DC342D" w:rsidRDefault="00DF2316" w:rsidP="00891CA0">
      <w:pPr>
        <w:pStyle w:val="Bullet"/>
        <w:rPr>
          <w:rStyle w:val="BulletChar"/>
        </w:rPr>
      </w:pPr>
      <w:r w:rsidRPr="00DC342D">
        <w:rPr>
          <w:rStyle w:val="BulletChar"/>
        </w:rPr>
        <w:t xml:space="preserve">We manage and investigate any complaints or concerns on a case-by-case basis, in a fair and reasonable manner. </w:t>
      </w:r>
    </w:p>
    <w:p w14:paraId="03A29975" w14:textId="77777777" w:rsidR="00DF2316" w:rsidRPr="00DF2316" w:rsidRDefault="00DF2316" w:rsidP="00DC342D">
      <w:pPr>
        <w:pStyle w:val="Number"/>
      </w:pPr>
      <w:r w:rsidRPr="00DF2316">
        <w:t>Impartiality</w:t>
      </w:r>
    </w:p>
    <w:p w14:paraId="0FE5DFAB" w14:textId="389E445B" w:rsidR="00DF2316" w:rsidRPr="00DC342D" w:rsidRDefault="00DF2316" w:rsidP="00891CA0">
      <w:pPr>
        <w:pStyle w:val="Bullet"/>
        <w:rPr>
          <w:rStyle w:val="BulletChar"/>
        </w:rPr>
      </w:pPr>
      <w:r w:rsidRPr="00DC342D">
        <w:rPr>
          <w:rStyle w:val="BulletChar"/>
        </w:rPr>
        <w:t xml:space="preserve">We apply principles of impartiality and independence are applied fairly, reasonably and consistently.  </w:t>
      </w:r>
    </w:p>
    <w:p w14:paraId="00C26583" w14:textId="77777777" w:rsidR="00DF2316" w:rsidRPr="00DF2316" w:rsidRDefault="00DF2316" w:rsidP="00DC342D">
      <w:pPr>
        <w:pStyle w:val="Number"/>
      </w:pPr>
      <w:r w:rsidRPr="00DF2316">
        <w:t>Management of sensitive and confidential information</w:t>
      </w:r>
    </w:p>
    <w:p w14:paraId="3CBD0385" w14:textId="5783472C" w:rsidR="00DF2316" w:rsidRPr="00DF2316" w:rsidRDefault="00DF2316" w:rsidP="00891CA0">
      <w:pPr>
        <w:pStyle w:val="Bullet"/>
      </w:pPr>
      <w:r w:rsidRPr="00DF2316">
        <w:t>Sensitive information relating to providers and responsible persons that is submitted to the Ministry is held in a secure Ministry database and only accessible to authorised officials tasked with discharging the Ministry’s duty under the MoDA and the Drug Checking Licensing Scheme.</w:t>
      </w:r>
    </w:p>
    <w:p w14:paraId="3A3CD03F" w14:textId="72A4EC9A" w:rsidR="00DF2316" w:rsidRPr="00DF2316" w:rsidRDefault="00DF2316" w:rsidP="00891CA0">
      <w:pPr>
        <w:pStyle w:val="Bullet"/>
      </w:pPr>
      <w:r w:rsidRPr="00DF2316">
        <w:t xml:space="preserve">Personal names and sensitive information of responsible persons are redacted in any Official Information Act enquiry. </w:t>
      </w:r>
    </w:p>
    <w:p w14:paraId="4A0DD867" w14:textId="2821DEB2" w:rsidR="00DF2316" w:rsidRPr="00DF2316" w:rsidRDefault="00DF2316" w:rsidP="00891CA0">
      <w:pPr>
        <w:pStyle w:val="Bullet"/>
      </w:pPr>
      <w:r w:rsidRPr="00DF2316">
        <w:t>Sensitive information will be held for as long as required by Public Records and Privacy Act legislation.</w:t>
      </w:r>
    </w:p>
    <w:p w14:paraId="1033C741" w14:textId="76D27C99" w:rsidR="00DF2316" w:rsidRPr="00DF2316" w:rsidRDefault="00DF2316" w:rsidP="00891CA0">
      <w:pPr>
        <w:pStyle w:val="Bullet"/>
      </w:pPr>
      <w:r w:rsidRPr="00DF2316">
        <w:t>When sensitive information is archived it is stored in a secure Ministry database and is only retrievable by authorised Ministry personnel.</w:t>
      </w:r>
    </w:p>
    <w:p w14:paraId="0298DD9E" w14:textId="7F4B504D" w:rsidR="00DC342D" w:rsidRDefault="00DF2316" w:rsidP="00D20108">
      <w:pPr>
        <w:pStyle w:val="Heading1"/>
      </w:pPr>
      <w:r w:rsidRPr="00DF2316">
        <w:t>Policy</w:t>
      </w:r>
      <w:r w:rsidRPr="00DF2316">
        <w:tab/>
      </w:r>
      <w:r w:rsidRPr="00DF2316">
        <w:tab/>
      </w:r>
    </w:p>
    <w:p w14:paraId="34641AF3" w14:textId="6AD4C8D5" w:rsidR="00DF2316" w:rsidRPr="00DF2316" w:rsidRDefault="00DF2316" w:rsidP="00D20108">
      <w:pPr>
        <w:pStyle w:val="Number"/>
      </w:pPr>
      <w:r w:rsidRPr="00DF2316">
        <w:t>General information</w:t>
      </w:r>
    </w:p>
    <w:p w14:paraId="7F6AA21B" w14:textId="77777777" w:rsidR="00DF2316" w:rsidRPr="00DF2316" w:rsidRDefault="00DF2316" w:rsidP="00DF2316">
      <w:r w:rsidRPr="00DF2316">
        <w:t>The Ministry recognises the importance of ensuring that complaints made by the general</w:t>
      </w:r>
      <w:r w:rsidRPr="00DF2316">
        <w:rPr>
          <w:rStyle w:val="Heading1Char"/>
          <w:rFonts w:cs="Times New Roman"/>
          <w:bCs w:val="0"/>
          <w:sz w:val="36"/>
          <w:szCs w:val="36"/>
        </w:rPr>
        <w:t xml:space="preserve"> </w:t>
      </w:r>
      <w:r w:rsidRPr="00DF2316">
        <w:t xml:space="preserve">public and drug checking providers (where relevant) are investigated. </w:t>
      </w:r>
    </w:p>
    <w:p w14:paraId="38D9F11A" w14:textId="77777777" w:rsidR="00DF2316" w:rsidRPr="00DF2316" w:rsidRDefault="00DF2316" w:rsidP="00DF2316">
      <w:r w:rsidRPr="00DF2316">
        <w:t xml:space="preserve">As the licensing authority, the Ministry will receive, investigate and act on complaints as a core component of our regulatory role. The outcomes from investigations into service provider complaints inform licensing decisions and are part of our performance monitoring function. </w:t>
      </w:r>
    </w:p>
    <w:p w14:paraId="1C033FB3" w14:textId="77777777" w:rsidR="00DF2316" w:rsidRPr="00DF2316" w:rsidRDefault="00DF2316" w:rsidP="00DF2316">
      <w:r w:rsidRPr="00DF2316">
        <w:t>The Health and Disability Services (Safety) Act 2001 applies to drug checking providers and complaints may also be made or referred to the Health and Disability Commission (HDC). When the HDC receives a complaint, it will assess the complaint and may choose to investigate it if it involves harm or potential harm to a service user. Refer to the HDC’s Code of Rights (the Code) for more information on complaints.</w:t>
      </w:r>
    </w:p>
    <w:p w14:paraId="43AF73EB" w14:textId="77777777" w:rsidR="00DF2316" w:rsidRPr="00DF2316" w:rsidRDefault="00DF2316" w:rsidP="00DF2316">
      <w:r w:rsidRPr="00DF2316">
        <w:t>Service providers must cooperate fully with any</w:t>
      </w:r>
      <w:r w:rsidRPr="00DF2316">
        <w:rPr>
          <w:rStyle w:val="Heading1Char"/>
          <w:rFonts w:cs="Times New Roman"/>
          <w:bCs w:val="0"/>
          <w:sz w:val="36"/>
          <w:szCs w:val="36"/>
        </w:rPr>
        <w:t xml:space="preserve"> </w:t>
      </w:r>
      <w:r w:rsidRPr="00DF2316">
        <w:t>inquiry in the event of a complaint about their drug checking service.</w:t>
      </w:r>
    </w:p>
    <w:p w14:paraId="6CCDD256" w14:textId="77777777" w:rsidR="000253A7" w:rsidRDefault="000253A7">
      <w:pPr>
        <w:spacing w:before="0" w:after="0" w:line="240" w:lineRule="auto"/>
        <w:rPr>
          <w:b/>
          <w:sz w:val="36"/>
          <w:szCs w:val="36"/>
        </w:rPr>
      </w:pPr>
      <w:r>
        <w:br w:type="page"/>
      </w:r>
    </w:p>
    <w:p w14:paraId="3CFED98F" w14:textId="20DD563D" w:rsidR="00DF2316" w:rsidRPr="00DF2316" w:rsidRDefault="00DF2316" w:rsidP="00D20108">
      <w:pPr>
        <w:pStyle w:val="Heading1"/>
      </w:pPr>
      <w:r w:rsidRPr="00DF2316">
        <w:lastRenderedPageBreak/>
        <w:t>Submission of complaints</w:t>
      </w:r>
    </w:p>
    <w:p w14:paraId="17ED1EF7" w14:textId="77777777" w:rsidR="00DF2316" w:rsidRPr="00DF2316" w:rsidRDefault="00DF2316" w:rsidP="00DF2316">
      <w:r w:rsidRPr="00DF2316">
        <w:t xml:space="preserve">The general public and drug checking service users need to be able to easily and anonymously (if desired) make complaints and provide feedback about drug checking providers. </w:t>
      </w:r>
    </w:p>
    <w:p w14:paraId="7EC99F4D" w14:textId="00A65C21" w:rsidR="00DF2316" w:rsidRPr="00DF2316" w:rsidRDefault="00DF2316" w:rsidP="00DF2316">
      <w:r w:rsidRPr="00DF2316">
        <w:t xml:space="preserve">We can receive complaints in any format, including by mail, email or by phone (call 0800 855 066). You can download a complaint form from our drug checking webpage (https://www.health.govt.nz/our-work/regulation-health-and-disability-system/drug-checking) and, once filled out, email it to </w:t>
      </w:r>
      <w:hyperlink r:id="rId12" w:history="1">
        <w:r w:rsidR="000253A7" w:rsidRPr="000253A7">
          <w:rPr>
            <w:rStyle w:val="Hyperlink"/>
            <w:color w:val="0A6AB4"/>
          </w:rPr>
          <w:t>drugcheckingadmin@health.govt.nz</w:t>
        </w:r>
      </w:hyperlink>
    </w:p>
    <w:p w14:paraId="17F1484F" w14:textId="65A3CFB9" w:rsidR="00DF2316" w:rsidRPr="00DF2316" w:rsidRDefault="00DF2316" w:rsidP="00DF2316">
      <w:r w:rsidRPr="00DF2316">
        <w:t>If you prefer, your complaint can be anonymous. Any verbal complaints received by our drug checking team will be documented on the complaints form.</w:t>
      </w:r>
    </w:p>
    <w:p w14:paraId="1E6FB194" w14:textId="03D01F35" w:rsidR="00DF2316" w:rsidRPr="00CD0053" w:rsidRDefault="00DF2316" w:rsidP="00D20108">
      <w:pPr>
        <w:pStyle w:val="Heading1"/>
        <w:rPr>
          <w:rStyle w:val="NumberedHeadingBoldChar"/>
          <w:b/>
          <w:bCs/>
          <w:sz w:val="32"/>
          <w:szCs w:val="32"/>
        </w:rPr>
      </w:pPr>
      <w:r w:rsidRPr="00CD0053">
        <w:rPr>
          <w:rStyle w:val="NumberedHeadingBoldChar"/>
          <w:b/>
          <w:bCs/>
          <w:sz w:val="32"/>
          <w:szCs w:val="32"/>
        </w:rPr>
        <w:t>Complaint investigation</w:t>
      </w:r>
    </w:p>
    <w:p w14:paraId="3DFC3B0E" w14:textId="77777777" w:rsidR="00DF2316" w:rsidRPr="00DF2316" w:rsidRDefault="00DF2316" w:rsidP="00DF2316">
      <w:r w:rsidRPr="00DF2316">
        <w:t xml:space="preserve">The purpose of investigating a complaint is to establish the facts. We gather information about the complaint in an unbiased and impartial manner, considering all information in a balanced way. </w:t>
      </w:r>
    </w:p>
    <w:p w14:paraId="10725C15" w14:textId="77777777" w:rsidR="00DF2316" w:rsidRPr="00DF2316" w:rsidRDefault="00DF2316" w:rsidP="00DF2316">
      <w:r w:rsidRPr="00DF2316">
        <w:t xml:space="preserve">We may need more information from the complainant to clarify issues raised in the complaint before we decide whether to investigate. If a complaint is not deemed relevant to drug checking services, we may decide not to investigate it. </w:t>
      </w:r>
    </w:p>
    <w:p w14:paraId="0E435CDC" w14:textId="77777777" w:rsidR="00DF2316" w:rsidRPr="00DF2316" w:rsidRDefault="00DF2316" w:rsidP="00DF2316">
      <w:r w:rsidRPr="00DF2316">
        <w:t xml:space="preserve">Where a complaint is investigated, we will let the service provider know about the complaint made, the scope of the investigation and who will be conducting it. </w:t>
      </w:r>
    </w:p>
    <w:p w14:paraId="494E257C" w14:textId="77777777" w:rsidR="00DF2316" w:rsidRPr="00DF2316" w:rsidRDefault="00DF2316" w:rsidP="00DF2316">
      <w:r w:rsidRPr="00DF2316">
        <w:t xml:space="preserve">We apply natural justice principles to the complaint investigation process to ensure it is fair and that decision-making is unbiased and reasonable. This includes: making sure we give a provider enough notice of the complaint before they (or whoever the complaint is about) need to respond; giving the provider an opportunity to be ‘heard’ fairly; and that there is no bias and decisions are based on evidence. </w:t>
      </w:r>
    </w:p>
    <w:p w14:paraId="5600DD6A" w14:textId="77777777" w:rsidR="00DF2316" w:rsidRPr="00DF2316" w:rsidRDefault="00DF2316" w:rsidP="00DF2316">
      <w:r w:rsidRPr="00DF2316">
        <w:t>We will keep the complainant informed of progress of the complaint investigation.</w:t>
      </w:r>
    </w:p>
    <w:p w14:paraId="7A3AFD67" w14:textId="270DF077" w:rsidR="00DF2316" w:rsidRPr="00DF2316" w:rsidRDefault="00DF2316" w:rsidP="00D20108">
      <w:pPr>
        <w:pStyle w:val="Number"/>
      </w:pPr>
      <w:r w:rsidRPr="00DF2316">
        <w:t>Suspension of licence whilst investigation is undertaken</w:t>
      </w:r>
    </w:p>
    <w:p w14:paraId="441846B6" w14:textId="2A00AADA" w:rsidR="00DF2316" w:rsidRPr="00DF2316" w:rsidRDefault="00DF2316" w:rsidP="00DF2316">
      <w:r w:rsidRPr="00DF2316">
        <w:t>If there is a potential serious breach of the legislation, regulations or licensing conditions, the</w:t>
      </w:r>
      <w:r w:rsidRPr="00DF2316">
        <w:rPr>
          <w:rStyle w:val="Heading1Char"/>
          <w:rFonts w:cs="Times New Roman"/>
          <w:bCs w:val="0"/>
          <w:sz w:val="36"/>
          <w:szCs w:val="36"/>
        </w:rPr>
        <w:t xml:space="preserve"> </w:t>
      </w:r>
      <w:r w:rsidRPr="00DF2316">
        <w:t>provider’s licence may be suspended until the investigation is completed.</w:t>
      </w:r>
    </w:p>
    <w:p w14:paraId="725D9C57" w14:textId="77777777" w:rsidR="00DF2316" w:rsidRPr="00DF2316" w:rsidRDefault="00DF2316" w:rsidP="00DF2316">
      <w:r w:rsidRPr="00DF2316">
        <w:t>If this happens, we will write to the licence holder to let them know of the suspension and reasons why.</w:t>
      </w:r>
    </w:p>
    <w:p w14:paraId="0C43A8D9" w14:textId="77777777" w:rsidR="00DF2316" w:rsidRPr="00DF2316" w:rsidRDefault="00DF2316" w:rsidP="000253A7">
      <w:pPr>
        <w:pStyle w:val="Number"/>
      </w:pPr>
      <w:r w:rsidRPr="00DF2316">
        <w:t>Investigation timeframes</w:t>
      </w:r>
    </w:p>
    <w:p w14:paraId="1AB14E66" w14:textId="77777777" w:rsidR="00DF2316" w:rsidRPr="00DF2316" w:rsidRDefault="00DF2316" w:rsidP="00DF2316">
      <w:r w:rsidRPr="00DF2316">
        <w:t>Where the drug checking licensing team decides to investigate a complaint, the usual timeframes are:</w:t>
      </w:r>
    </w:p>
    <w:p w14:paraId="1F19500F" w14:textId="1CCA4AEA" w:rsidR="00DF2316" w:rsidRPr="00891CA0" w:rsidRDefault="00DF2316" w:rsidP="00891CA0">
      <w:pPr>
        <w:pStyle w:val="Bullet"/>
        <w:rPr>
          <w:rStyle w:val="Heading1Char"/>
          <w:rFonts w:cs="Times New Roman"/>
          <w:b w:val="0"/>
          <w:bCs w:val="0"/>
          <w:sz w:val="22"/>
          <w:szCs w:val="24"/>
        </w:rPr>
      </w:pPr>
      <w:r w:rsidRPr="00891CA0">
        <w:rPr>
          <w:rStyle w:val="Heading1Char"/>
          <w:rFonts w:cs="Times New Roman"/>
          <w:b w:val="0"/>
          <w:bCs w:val="0"/>
          <w:sz w:val="22"/>
          <w:szCs w:val="24"/>
        </w:rPr>
        <w:t xml:space="preserve">within 5 working days of receiving the complaint, we will send an acknowledgment email to the complainant (unless no email address is available for them) </w:t>
      </w:r>
    </w:p>
    <w:p w14:paraId="29212159" w14:textId="55796DC8" w:rsidR="00DF2316" w:rsidRPr="00891CA0" w:rsidRDefault="00DF2316" w:rsidP="00891CA0">
      <w:pPr>
        <w:pStyle w:val="Bullet"/>
        <w:rPr>
          <w:rStyle w:val="Heading1Char"/>
          <w:rFonts w:cs="Times New Roman"/>
          <w:b w:val="0"/>
          <w:bCs w:val="0"/>
          <w:sz w:val="22"/>
          <w:szCs w:val="24"/>
        </w:rPr>
      </w:pPr>
      <w:r w:rsidRPr="00891CA0">
        <w:rPr>
          <w:rStyle w:val="Heading1Char"/>
          <w:rFonts w:cs="Times New Roman"/>
          <w:b w:val="0"/>
          <w:bCs w:val="0"/>
          <w:sz w:val="22"/>
          <w:szCs w:val="24"/>
        </w:rPr>
        <w:t xml:space="preserve">within 10 working days of receiving the complaint, we will let the complainant know if we have decided to investigate the complaint </w:t>
      </w:r>
    </w:p>
    <w:p w14:paraId="77091B43" w14:textId="68F1C115" w:rsidR="00DF2316" w:rsidRPr="00891CA0" w:rsidRDefault="00DF2316" w:rsidP="00891CA0">
      <w:pPr>
        <w:pStyle w:val="Bullet"/>
        <w:rPr>
          <w:rStyle w:val="Heading1Char"/>
          <w:rFonts w:cs="Times New Roman"/>
          <w:b w:val="0"/>
          <w:bCs w:val="0"/>
          <w:sz w:val="22"/>
          <w:szCs w:val="24"/>
        </w:rPr>
      </w:pPr>
      <w:r w:rsidRPr="00891CA0">
        <w:rPr>
          <w:rStyle w:val="Heading1Char"/>
          <w:rFonts w:cs="Times New Roman"/>
          <w:b w:val="0"/>
          <w:bCs w:val="0"/>
          <w:sz w:val="22"/>
          <w:szCs w:val="24"/>
        </w:rPr>
        <w:lastRenderedPageBreak/>
        <w:t>every 30 working days after that, we will let the complainant know about the investigation’s progress (unless the complaint was anonymous).</w:t>
      </w:r>
    </w:p>
    <w:p w14:paraId="3367C191" w14:textId="00B00FEB" w:rsidR="00DF2316" w:rsidRPr="000253A7" w:rsidRDefault="00DF2316" w:rsidP="00D20108">
      <w:pPr>
        <w:pStyle w:val="Heading1"/>
        <w:rPr>
          <w:rStyle w:val="Heading1Char"/>
          <w:b/>
          <w:bCs/>
        </w:rPr>
      </w:pPr>
      <w:r w:rsidRPr="000253A7">
        <w:rPr>
          <w:rStyle w:val="Heading1Char"/>
          <w:b/>
          <w:bCs/>
        </w:rPr>
        <w:t xml:space="preserve">Complaint investigation outcome </w:t>
      </w:r>
    </w:p>
    <w:p w14:paraId="2E79A4A1" w14:textId="3ED8DF87" w:rsidR="00DF2316" w:rsidRPr="00DF2316" w:rsidRDefault="00DF2316" w:rsidP="00DF2316">
      <w:r w:rsidRPr="00DF2316">
        <w:t xml:space="preserve">The facts ascertained during a complaint investigation inform the complaint outcome. A risk analysis is completed to work out whether any action is required, including any decision </w:t>
      </w:r>
      <w:r w:rsidR="005B7853">
        <w:br/>
      </w:r>
      <w:r w:rsidRPr="00DF2316">
        <w:t xml:space="preserve">on licensing. </w:t>
      </w:r>
    </w:p>
    <w:p w14:paraId="0BAD7CDF" w14:textId="15D59C46" w:rsidR="00DF2316" w:rsidRPr="00DF2316" w:rsidRDefault="00DF2316" w:rsidP="00DF2316">
      <w:r w:rsidRPr="00DF2316">
        <w:t xml:space="preserve">We will communicate all outcomes of relevant complaints investigated to the complainant (unless anonymous) and the provider. This includes whether the result of the investigation has substantiated the complaint or not and whether any licensing decisions will be actioned as </w:t>
      </w:r>
      <w:r w:rsidR="005B7853">
        <w:br/>
      </w:r>
      <w:r w:rsidRPr="00DF2316">
        <w:t>a result.</w:t>
      </w:r>
    </w:p>
    <w:p w14:paraId="199C3C53" w14:textId="77777777" w:rsidR="00DF2316" w:rsidRPr="00DF2316" w:rsidRDefault="00DF2316" w:rsidP="00DF2316">
      <w:r w:rsidRPr="00DF2316">
        <w:t>Any changes to licensing or conditions, will take immediate effect once received by the provider in writing.</w:t>
      </w:r>
    </w:p>
    <w:p w14:paraId="19C2F04E" w14:textId="0E146886" w:rsidR="00DF2316" w:rsidRPr="00DF2316" w:rsidRDefault="00DF2316" w:rsidP="00D20108">
      <w:pPr>
        <w:pStyle w:val="Heading1"/>
      </w:pPr>
      <w:r w:rsidRPr="00DF2316">
        <w:t xml:space="preserve">Compliance and progress monitoring </w:t>
      </w:r>
    </w:p>
    <w:p w14:paraId="6689A3FF" w14:textId="77777777" w:rsidR="00DF2316" w:rsidRPr="00DF2316" w:rsidRDefault="00DF2316" w:rsidP="00DF2316">
      <w:r w:rsidRPr="00DF2316">
        <w:t xml:space="preserve">Dates for reporting to the Ministry on progress monitoring are set as a result of the complaint investigation. These dates will be set out in the letter to the provider about the outcome of the complaint investigation. </w:t>
      </w:r>
    </w:p>
    <w:p w14:paraId="4965484D" w14:textId="00FF4AF3" w:rsidR="00DF2316" w:rsidRPr="00DF2316" w:rsidRDefault="00DF2316" w:rsidP="00DF2316">
      <w:r w:rsidRPr="00DF2316">
        <w:t xml:space="preserve">Providers can report progress by emailing </w:t>
      </w:r>
      <w:r w:rsidRPr="003D215E">
        <w:rPr>
          <w:color w:val="0A6AB4"/>
        </w:rPr>
        <w:t>drugcheckingadmin@health.govt.nz</w:t>
      </w:r>
    </w:p>
    <w:p w14:paraId="51EF5A4A" w14:textId="763B9349" w:rsidR="000253A7" w:rsidRDefault="00DF2316" w:rsidP="00D20108">
      <w:pPr>
        <w:pStyle w:val="Heading1"/>
      </w:pPr>
      <w:r w:rsidRPr="00DF2316">
        <w:t>Related reading</w:t>
      </w:r>
      <w:r w:rsidRPr="00DF2316">
        <w:tab/>
      </w:r>
    </w:p>
    <w:p w14:paraId="2F2B4A76" w14:textId="4F663998" w:rsidR="00DF2316" w:rsidRPr="00DF2316" w:rsidRDefault="00DF2316" w:rsidP="00DF2316">
      <w:r w:rsidRPr="00DF2316">
        <w:t>Refer to related documents below:</w:t>
      </w:r>
    </w:p>
    <w:p w14:paraId="2AD46337" w14:textId="6E043ECC" w:rsidR="00DF2316" w:rsidRPr="00DF2316" w:rsidRDefault="00DF2316" w:rsidP="00891CA0">
      <w:pPr>
        <w:pStyle w:val="Bullet"/>
      </w:pPr>
      <w:r w:rsidRPr="00DF2316">
        <w:t>The Misuse of Drugs Act (1975)</w:t>
      </w:r>
    </w:p>
    <w:p w14:paraId="30EF005C" w14:textId="36CD6592" w:rsidR="00DF2316" w:rsidRPr="00DF2316" w:rsidRDefault="00DF2316" w:rsidP="00891CA0">
      <w:pPr>
        <w:pStyle w:val="Bullet"/>
      </w:pPr>
      <w:r w:rsidRPr="00DF2316">
        <w:t>The Misuse of Drugs (Drug and Substance Checking Service Provider) Regulations 2022</w:t>
      </w:r>
    </w:p>
    <w:p w14:paraId="5BED98EB" w14:textId="245D06FD" w:rsidR="00DF2316" w:rsidRPr="00DF2316" w:rsidRDefault="00DF2316" w:rsidP="00891CA0">
      <w:pPr>
        <w:pStyle w:val="Bullet"/>
      </w:pPr>
      <w:r w:rsidRPr="00DF2316">
        <w:t>The Drug Checking Service Provider Licensing Handbook</w:t>
      </w:r>
    </w:p>
    <w:p w14:paraId="451064DC" w14:textId="38E79CBA" w:rsidR="00DF2316" w:rsidRPr="00DF2316" w:rsidRDefault="00DF2316" w:rsidP="00891CA0">
      <w:pPr>
        <w:pStyle w:val="Bullet"/>
      </w:pPr>
      <w:r w:rsidRPr="00DF2316">
        <w:t>Drug Checking Complaints Form (Published on the Ministry’s drug checking webpage)</w:t>
      </w:r>
    </w:p>
    <w:p w14:paraId="20FA1E92" w14:textId="146A6E75" w:rsidR="00DF2316" w:rsidRPr="00DF2316" w:rsidRDefault="00DF2316" w:rsidP="00891CA0">
      <w:pPr>
        <w:pStyle w:val="Bullet"/>
      </w:pPr>
      <w:r w:rsidRPr="00DF2316">
        <w:t>Drug Checking Policies including:</w:t>
      </w:r>
    </w:p>
    <w:p w14:paraId="367387EE" w14:textId="2253D237" w:rsidR="00DF2316" w:rsidRPr="000253A7" w:rsidRDefault="00DF2316" w:rsidP="00891CA0">
      <w:pPr>
        <w:pStyle w:val="Dash"/>
        <w:ind w:left="851"/>
        <w:rPr>
          <w:rStyle w:val="Heading1Char"/>
          <w:rFonts w:cs="Arial Mäori"/>
          <w:b w:val="0"/>
          <w:bCs w:val="0"/>
          <w:sz w:val="22"/>
          <w:szCs w:val="22"/>
          <w:lang w:eastAsia="en-NZ"/>
        </w:rPr>
      </w:pPr>
      <w:r w:rsidRPr="000253A7">
        <w:rPr>
          <w:rStyle w:val="Heading1Char"/>
          <w:rFonts w:cs="Arial Mäori"/>
          <w:b w:val="0"/>
          <w:bCs w:val="0"/>
          <w:sz w:val="22"/>
          <w:szCs w:val="22"/>
          <w:lang w:eastAsia="en-NZ"/>
        </w:rPr>
        <w:t>Suitability and Non-compliance Policy</w:t>
      </w:r>
    </w:p>
    <w:p w14:paraId="0932747B" w14:textId="13A42ECC" w:rsidR="00DF2316" w:rsidRPr="000253A7" w:rsidRDefault="00DF2316" w:rsidP="00891CA0">
      <w:pPr>
        <w:pStyle w:val="Dash"/>
        <w:ind w:left="851"/>
        <w:rPr>
          <w:rStyle w:val="Heading1Char"/>
          <w:rFonts w:cs="Arial Mäori"/>
          <w:b w:val="0"/>
          <w:bCs w:val="0"/>
          <w:sz w:val="22"/>
          <w:szCs w:val="22"/>
          <w:lang w:eastAsia="en-NZ"/>
        </w:rPr>
      </w:pPr>
      <w:r w:rsidRPr="000253A7">
        <w:rPr>
          <w:rStyle w:val="Heading1Char"/>
          <w:rFonts w:cs="Arial Mäori"/>
          <w:b w:val="0"/>
          <w:bCs w:val="0"/>
          <w:sz w:val="22"/>
          <w:szCs w:val="22"/>
          <w:lang w:eastAsia="en-NZ"/>
        </w:rPr>
        <w:t>Review of Licensing Decisions Policy</w:t>
      </w:r>
    </w:p>
    <w:p w14:paraId="6FAB3CF1" w14:textId="4C2299AF" w:rsidR="00DF2316" w:rsidRPr="000253A7" w:rsidRDefault="006E17A7" w:rsidP="00891CA0">
      <w:pPr>
        <w:pStyle w:val="Dash"/>
        <w:ind w:left="851"/>
        <w:rPr>
          <w:rStyle w:val="Heading1Char"/>
          <w:rFonts w:cs="Arial Mäori"/>
          <w:b w:val="0"/>
          <w:bCs w:val="0"/>
          <w:sz w:val="22"/>
          <w:szCs w:val="22"/>
          <w:lang w:eastAsia="en-NZ"/>
        </w:rPr>
      </w:pPr>
      <w:r>
        <w:rPr>
          <w:rStyle w:val="Heading1Char"/>
          <w:rFonts w:cs="Arial Mäori"/>
          <w:b w:val="0"/>
          <w:bCs w:val="0"/>
          <w:sz w:val="22"/>
          <w:szCs w:val="22"/>
          <w:lang w:eastAsia="en-NZ"/>
        </w:rPr>
        <w:t xml:space="preserve">Change to </w:t>
      </w:r>
      <w:r w:rsidR="00563A31">
        <w:rPr>
          <w:rStyle w:val="Heading1Char"/>
          <w:rFonts w:cs="Arial Mäori"/>
          <w:b w:val="0"/>
          <w:bCs w:val="0"/>
          <w:sz w:val="22"/>
          <w:szCs w:val="22"/>
          <w:lang w:eastAsia="en-NZ"/>
        </w:rPr>
        <w:t>L</w:t>
      </w:r>
      <w:r w:rsidR="00DF2316" w:rsidRPr="000253A7">
        <w:rPr>
          <w:rStyle w:val="Heading1Char"/>
          <w:rFonts w:cs="Arial Mäori"/>
          <w:b w:val="0"/>
          <w:bCs w:val="0"/>
          <w:sz w:val="22"/>
          <w:szCs w:val="22"/>
          <w:lang w:eastAsia="en-NZ"/>
        </w:rPr>
        <w:t xml:space="preserve">icensing Status Policy </w:t>
      </w:r>
    </w:p>
    <w:p w14:paraId="3F349F90" w14:textId="77777777" w:rsidR="00C07A8B" w:rsidRDefault="00DF2316" w:rsidP="00891CA0">
      <w:pPr>
        <w:pStyle w:val="Dash"/>
        <w:ind w:left="851"/>
        <w:rPr>
          <w:rStyle w:val="Heading1Char"/>
          <w:rFonts w:cs="Arial Mäori"/>
          <w:b w:val="0"/>
          <w:bCs w:val="0"/>
          <w:sz w:val="22"/>
          <w:szCs w:val="22"/>
          <w:lang w:eastAsia="en-NZ"/>
        </w:rPr>
      </w:pPr>
      <w:r w:rsidRPr="000253A7">
        <w:rPr>
          <w:rStyle w:val="Heading1Char"/>
          <w:rFonts w:cs="Arial Mäori"/>
          <w:b w:val="0"/>
          <w:bCs w:val="0"/>
          <w:sz w:val="22"/>
          <w:szCs w:val="22"/>
          <w:lang w:eastAsia="en-NZ"/>
        </w:rPr>
        <w:t xml:space="preserve">Maintenance and Monitoring Policy </w:t>
      </w:r>
    </w:p>
    <w:p w14:paraId="40770B4E" w14:textId="77777777" w:rsidR="001514C1" w:rsidRDefault="001514C1">
      <w:pPr>
        <w:pStyle w:val="Dash"/>
        <w:numPr>
          <w:ilvl w:val="0"/>
          <w:numId w:val="0"/>
        </w:numPr>
        <w:ind w:left="1418" w:hanging="425"/>
        <w:rPr>
          <w:rStyle w:val="Heading1Char"/>
          <w:rFonts w:cs="Arial Mäori"/>
          <w:b w:val="0"/>
          <w:bCs w:val="0"/>
          <w:sz w:val="22"/>
          <w:szCs w:val="22"/>
          <w:lang w:eastAsia="en-NZ"/>
        </w:rPr>
      </w:pPr>
    </w:p>
    <w:p w14:paraId="63F45B17" w14:textId="7AC7D0F8" w:rsidR="00CD3CE9" w:rsidRDefault="00CD3CE9">
      <w:pPr>
        <w:pStyle w:val="Dash"/>
        <w:numPr>
          <w:ilvl w:val="0"/>
          <w:numId w:val="0"/>
        </w:numPr>
        <w:ind w:left="1418" w:hanging="425"/>
        <w:rPr>
          <w:rStyle w:val="Heading1Char"/>
          <w:rFonts w:cs="Arial Mäori"/>
          <w:b w:val="0"/>
          <w:bCs w:val="0"/>
          <w:sz w:val="22"/>
          <w:szCs w:val="22"/>
          <w:lang w:eastAsia="en-NZ"/>
        </w:rPr>
      </w:pPr>
    </w:p>
    <w:p w14:paraId="796D1679" w14:textId="77777777" w:rsidR="00CD3CE9" w:rsidRDefault="00CD3CE9" w:rsidP="00CD3CE9">
      <w:pPr>
        <w:spacing w:before="240"/>
        <w:rPr>
          <w:sz w:val="18"/>
          <w:szCs w:val="18"/>
        </w:rPr>
      </w:pPr>
    </w:p>
    <w:p w14:paraId="5AAF945C" w14:textId="77777777" w:rsidR="00CD3CE9" w:rsidRDefault="00CD3CE9" w:rsidP="00CD3CE9">
      <w:pPr>
        <w:spacing w:before="240"/>
        <w:rPr>
          <w:sz w:val="18"/>
          <w:szCs w:val="18"/>
        </w:rPr>
      </w:pPr>
    </w:p>
    <w:p w14:paraId="552F7751" w14:textId="50004110" w:rsidR="00CD3CE9" w:rsidRDefault="00CD3CE9" w:rsidP="00CD3CE9">
      <w:pPr>
        <w:spacing w:before="240"/>
        <w:jc w:val="center"/>
        <w:rPr>
          <w:sz w:val="18"/>
          <w:szCs w:val="18"/>
        </w:rPr>
      </w:pPr>
      <w:r>
        <w:rPr>
          <w:noProof/>
          <w:sz w:val="18"/>
          <w:szCs w:val="18"/>
        </w:rPr>
        <w:lastRenderedPageBreak/>
        <w:drawing>
          <wp:inline distT="0" distB="0" distL="0" distR="0" wp14:anchorId="34CCE38C" wp14:editId="147BB861">
            <wp:extent cx="1346662" cy="635924"/>
            <wp:effectExtent l="0" t="0" r="6350" b="0"/>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pic:nvPicPr>
                  <pic:blipFill>
                    <a:blip r:embed="rId13">
                      <a:extLst>
                        <a:ext uri="{28A0092B-C50C-407E-A947-70E740481C1C}">
                          <a14:useLocalDpi xmlns:a14="http://schemas.microsoft.com/office/drawing/2010/main" val="0"/>
                        </a:ext>
                      </a:extLst>
                    </a:blip>
                    <a:stretch>
                      <a:fillRect/>
                    </a:stretch>
                  </pic:blipFill>
                  <pic:spPr>
                    <a:xfrm>
                      <a:off x="0" y="0"/>
                      <a:ext cx="1346662" cy="635924"/>
                    </a:xfrm>
                    <a:prstGeom prst="rect">
                      <a:avLst/>
                    </a:prstGeom>
                  </pic:spPr>
                </pic:pic>
              </a:graphicData>
            </a:graphic>
          </wp:inline>
        </w:drawing>
      </w:r>
    </w:p>
    <w:p w14:paraId="668A380E" w14:textId="77777777" w:rsidR="00CD3CE9" w:rsidRDefault="00CD3CE9" w:rsidP="00CD3CE9">
      <w:pPr>
        <w:spacing w:before="240"/>
        <w:rPr>
          <w:sz w:val="18"/>
          <w:szCs w:val="18"/>
        </w:rPr>
      </w:pPr>
    </w:p>
    <w:p w14:paraId="02A283D0" w14:textId="2E8BB20E" w:rsidR="00CD3CE9" w:rsidRPr="005B7853" w:rsidRDefault="00617539" w:rsidP="00CD3CE9">
      <w:pPr>
        <w:spacing w:before="240"/>
        <w:jc w:val="center"/>
        <w:rPr>
          <w:sz w:val="18"/>
          <w:szCs w:val="18"/>
          <w:lang w:eastAsia="en-NZ"/>
        </w:rPr>
      </w:pPr>
      <w:r>
        <w:rPr>
          <w:sz w:val="18"/>
          <w:szCs w:val="18"/>
        </w:rPr>
        <w:t>November</w:t>
      </w:r>
      <w:r w:rsidR="00CD3CE9" w:rsidRPr="005B7853">
        <w:rPr>
          <w:sz w:val="18"/>
          <w:szCs w:val="18"/>
        </w:rPr>
        <w:t xml:space="preserve"> 2022</w:t>
      </w:r>
      <w:r w:rsidR="00CD3CE9" w:rsidRPr="005B7853">
        <w:rPr>
          <w:sz w:val="18"/>
          <w:szCs w:val="18"/>
        </w:rPr>
        <w:br/>
      </w:r>
      <w:r w:rsidR="00CD3CE9" w:rsidRPr="005B7853">
        <w:rPr>
          <w:sz w:val="18"/>
          <w:szCs w:val="18"/>
          <w:lang w:eastAsia="en-NZ"/>
        </w:rPr>
        <w:t xml:space="preserve">HP </w:t>
      </w:r>
      <w:r w:rsidR="00AE4173">
        <w:rPr>
          <w:sz w:val="18"/>
          <w:szCs w:val="18"/>
          <w:lang w:eastAsia="en-NZ"/>
        </w:rPr>
        <w:t>8652</w:t>
      </w:r>
    </w:p>
    <w:p w14:paraId="08AFB643" w14:textId="77777777" w:rsidR="00CD3CE9" w:rsidRDefault="00CD3CE9">
      <w:pPr>
        <w:pStyle w:val="Dash"/>
        <w:numPr>
          <w:ilvl w:val="0"/>
          <w:numId w:val="0"/>
        </w:numPr>
        <w:ind w:left="1418" w:hanging="425"/>
        <w:rPr>
          <w:rStyle w:val="Heading1Char"/>
          <w:rFonts w:cs="Arial Mäori"/>
          <w:b w:val="0"/>
          <w:bCs w:val="0"/>
          <w:sz w:val="22"/>
          <w:szCs w:val="22"/>
          <w:lang w:eastAsia="en-NZ"/>
        </w:rPr>
      </w:pPr>
    </w:p>
    <w:p w14:paraId="6442976C" w14:textId="77777777" w:rsidR="00CD3CE9" w:rsidRDefault="00CD3CE9">
      <w:pPr>
        <w:pStyle w:val="Dash"/>
        <w:numPr>
          <w:ilvl w:val="0"/>
          <w:numId w:val="0"/>
        </w:numPr>
        <w:ind w:left="1418" w:hanging="425"/>
        <w:rPr>
          <w:rStyle w:val="Heading1Char"/>
          <w:rFonts w:cs="Arial Mäori"/>
          <w:b w:val="0"/>
          <w:bCs w:val="0"/>
          <w:sz w:val="22"/>
          <w:szCs w:val="22"/>
          <w:lang w:eastAsia="en-NZ"/>
        </w:rPr>
      </w:pPr>
    </w:p>
    <w:tbl>
      <w:tblPr>
        <w:tblpPr w:leftFromText="180" w:rightFromText="180" w:vertAnchor="text" w:horzAnchor="margin" w:tblpXSpec="center" w:tblpY="861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5534"/>
        <w:gridCol w:w="1837"/>
        <w:gridCol w:w="1559"/>
      </w:tblGrid>
      <w:tr w:rsidR="00CD3CE9" w:rsidRPr="00C46B4E" w14:paraId="1CC8EAC5" w14:textId="77777777" w:rsidTr="00CD3CE9">
        <w:trPr>
          <w:trHeight w:val="416"/>
        </w:trPr>
        <w:tc>
          <w:tcPr>
            <w:tcW w:w="1838" w:type="dxa"/>
            <w:shd w:val="clear" w:color="auto" w:fill="auto"/>
          </w:tcPr>
          <w:p w14:paraId="08D3B6A9" w14:textId="77777777" w:rsidR="00CD3CE9" w:rsidRPr="00D61B28" w:rsidRDefault="00CD3CE9" w:rsidP="00CD3CE9">
            <w:pPr>
              <w:tabs>
                <w:tab w:val="center" w:pos="4513"/>
                <w:tab w:val="right" w:pos="9026"/>
              </w:tabs>
              <w:rPr>
                <w:rFonts w:cs="Segoe UI"/>
                <w:bCs/>
                <w:sz w:val="16"/>
                <w:szCs w:val="16"/>
              </w:rPr>
            </w:pPr>
            <w:r w:rsidRPr="00D61B28">
              <w:rPr>
                <w:rFonts w:cs="Segoe UI"/>
                <w:b/>
                <w:sz w:val="16"/>
                <w:szCs w:val="16"/>
              </w:rPr>
              <w:t xml:space="preserve">DCLS </w:t>
            </w:r>
            <w:r w:rsidRPr="00D61B28">
              <w:rPr>
                <w:rFonts w:cs="Segoe UI"/>
                <w:bCs/>
                <w:sz w:val="16"/>
                <w:szCs w:val="16"/>
              </w:rPr>
              <w:t>Review of licensing decisions policy</w:t>
            </w:r>
          </w:p>
        </w:tc>
        <w:tc>
          <w:tcPr>
            <w:tcW w:w="5534" w:type="dxa"/>
            <w:shd w:val="clear" w:color="auto" w:fill="auto"/>
          </w:tcPr>
          <w:p w14:paraId="3D131C8E" w14:textId="77777777" w:rsidR="00CD3CE9" w:rsidRPr="00D61B28" w:rsidRDefault="00CD3CE9" w:rsidP="00CD3CE9">
            <w:pPr>
              <w:tabs>
                <w:tab w:val="center" w:pos="4513"/>
                <w:tab w:val="right" w:pos="9026"/>
              </w:tabs>
              <w:rPr>
                <w:rFonts w:cs="Segoe UI"/>
                <w:sz w:val="16"/>
                <w:szCs w:val="16"/>
              </w:rPr>
            </w:pPr>
            <w:r w:rsidRPr="00D61B28">
              <w:rPr>
                <w:rFonts w:cs="Segoe UI"/>
                <w:bCs/>
                <w:sz w:val="16"/>
                <w:szCs w:val="16"/>
              </w:rPr>
              <w:t xml:space="preserve">Author: Jessica </w:t>
            </w:r>
            <w:r w:rsidRPr="00D61B28">
              <w:rPr>
                <w:rFonts w:cs="Segoe UI"/>
                <w:sz w:val="16"/>
                <w:szCs w:val="16"/>
              </w:rPr>
              <w:t>Smith</w:t>
            </w:r>
            <w:r w:rsidRPr="00D61B28">
              <w:rPr>
                <w:rFonts w:cs="Segoe UI"/>
                <w:b/>
                <w:bCs/>
                <w:sz w:val="16"/>
                <w:szCs w:val="16"/>
              </w:rPr>
              <w:t xml:space="preserve"> </w:t>
            </w:r>
            <w:r w:rsidRPr="00D61B28">
              <w:rPr>
                <w:rFonts w:cs="Segoe UI"/>
                <w:bCs/>
                <w:sz w:val="16"/>
                <w:szCs w:val="16"/>
              </w:rPr>
              <w:t>(née Marett), Drug Checking Licensing Advisor</w:t>
            </w:r>
          </w:p>
          <w:p w14:paraId="213B3F0A" w14:textId="77777777" w:rsidR="00CD3CE9" w:rsidRPr="00D61B28" w:rsidRDefault="00CD3CE9" w:rsidP="00CD3CE9">
            <w:pPr>
              <w:tabs>
                <w:tab w:val="center" w:pos="4513"/>
                <w:tab w:val="right" w:pos="9026"/>
              </w:tabs>
              <w:rPr>
                <w:rFonts w:cs="Segoe UI"/>
                <w:bCs/>
                <w:sz w:val="16"/>
                <w:szCs w:val="16"/>
              </w:rPr>
            </w:pPr>
            <w:r w:rsidRPr="00D61B28">
              <w:rPr>
                <w:rFonts w:cs="Segoe UI"/>
                <w:sz w:val="16"/>
                <w:szCs w:val="16"/>
              </w:rPr>
              <w:t>Approved: John Crawshaw, Director Mental Health &amp; Addictions</w:t>
            </w:r>
          </w:p>
        </w:tc>
        <w:tc>
          <w:tcPr>
            <w:tcW w:w="1837" w:type="dxa"/>
            <w:shd w:val="clear" w:color="auto" w:fill="auto"/>
          </w:tcPr>
          <w:p w14:paraId="78EE3919" w14:textId="6AEE33CA" w:rsidR="00CD3CE9" w:rsidRPr="00D61B28" w:rsidRDefault="00CD3CE9" w:rsidP="00CD3CE9">
            <w:pPr>
              <w:tabs>
                <w:tab w:val="center" w:pos="4513"/>
                <w:tab w:val="right" w:pos="9026"/>
              </w:tabs>
              <w:rPr>
                <w:rFonts w:cs="Segoe UI"/>
                <w:sz w:val="16"/>
                <w:szCs w:val="16"/>
              </w:rPr>
            </w:pPr>
            <w:r w:rsidRPr="00D61B28">
              <w:rPr>
                <w:rFonts w:cs="Segoe UI"/>
                <w:sz w:val="16"/>
                <w:szCs w:val="16"/>
              </w:rPr>
              <w:t xml:space="preserve">Issue </w:t>
            </w:r>
            <w:r>
              <w:rPr>
                <w:rFonts w:cs="Segoe UI"/>
                <w:sz w:val="16"/>
                <w:szCs w:val="16"/>
              </w:rPr>
              <w:t>d</w:t>
            </w:r>
            <w:r w:rsidRPr="00D61B28">
              <w:rPr>
                <w:rFonts w:cs="Segoe UI"/>
                <w:sz w:val="16"/>
                <w:szCs w:val="16"/>
              </w:rPr>
              <w:t xml:space="preserve">ate: </w:t>
            </w:r>
            <w:r w:rsidR="00E3729A">
              <w:rPr>
                <w:rFonts w:cs="Segoe UI"/>
                <w:sz w:val="16"/>
                <w:szCs w:val="16"/>
              </w:rPr>
              <w:t>Nov</w:t>
            </w:r>
            <w:r w:rsidRPr="00D61B28">
              <w:rPr>
                <w:rFonts w:cs="Segoe UI"/>
                <w:sz w:val="16"/>
                <w:szCs w:val="16"/>
              </w:rPr>
              <w:t xml:space="preserve"> 2022</w:t>
            </w:r>
          </w:p>
          <w:p w14:paraId="66116572" w14:textId="4F45C6F7" w:rsidR="00CD3CE9" w:rsidRPr="00D61B28" w:rsidRDefault="00CD3CE9" w:rsidP="00CD3CE9">
            <w:pPr>
              <w:tabs>
                <w:tab w:val="center" w:pos="4513"/>
                <w:tab w:val="right" w:pos="9026"/>
              </w:tabs>
              <w:rPr>
                <w:rFonts w:cs="Segoe UI"/>
                <w:sz w:val="16"/>
                <w:szCs w:val="16"/>
              </w:rPr>
            </w:pPr>
            <w:r w:rsidRPr="00D61B28">
              <w:rPr>
                <w:rFonts w:cs="Segoe UI"/>
                <w:sz w:val="16"/>
                <w:szCs w:val="16"/>
              </w:rPr>
              <w:t>Review</w:t>
            </w:r>
            <w:r>
              <w:rPr>
                <w:rFonts w:cs="Segoe UI"/>
                <w:sz w:val="16"/>
                <w:szCs w:val="16"/>
              </w:rPr>
              <w:t xml:space="preserve"> date</w:t>
            </w:r>
            <w:r w:rsidRPr="00D61B28">
              <w:rPr>
                <w:rFonts w:cs="Segoe UI"/>
                <w:sz w:val="16"/>
                <w:szCs w:val="16"/>
              </w:rPr>
              <w:t xml:space="preserve">: </w:t>
            </w:r>
            <w:r w:rsidR="00E3729A">
              <w:rPr>
                <w:rFonts w:cs="Segoe UI"/>
                <w:sz w:val="16"/>
                <w:szCs w:val="16"/>
              </w:rPr>
              <w:t>Nov</w:t>
            </w:r>
            <w:r w:rsidRPr="00D61B28">
              <w:rPr>
                <w:rFonts w:cs="Segoe UI"/>
                <w:sz w:val="16"/>
                <w:szCs w:val="16"/>
              </w:rPr>
              <w:t xml:space="preserve"> 2024</w:t>
            </w:r>
          </w:p>
        </w:tc>
        <w:tc>
          <w:tcPr>
            <w:tcW w:w="1559" w:type="dxa"/>
            <w:shd w:val="clear" w:color="auto" w:fill="auto"/>
          </w:tcPr>
          <w:p w14:paraId="446DBFDF" w14:textId="77777777" w:rsidR="00CD3CE9" w:rsidRPr="00D61B28" w:rsidRDefault="00CD3CE9" w:rsidP="00CD3CE9">
            <w:pPr>
              <w:tabs>
                <w:tab w:val="center" w:pos="4513"/>
                <w:tab w:val="right" w:pos="9026"/>
              </w:tabs>
              <w:rPr>
                <w:rFonts w:cs="Segoe UI"/>
                <w:sz w:val="16"/>
                <w:szCs w:val="16"/>
              </w:rPr>
            </w:pPr>
            <w:r w:rsidRPr="00D61B28">
              <w:rPr>
                <w:rFonts w:cs="Segoe UI"/>
                <w:sz w:val="16"/>
                <w:szCs w:val="16"/>
              </w:rPr>
              <w:t>No. 01: V: 01</w:t>
            </w:r>
          </w:p>
          <w:p w14:paraId="4166B8B6" w14:textId="77777777" w:rsidR="00CD3CE9" w:rsidRPr="00D61B28" w:rsidRDefault="00CD3CE9" w:rsidP="00CD3CE9">
            <w:pPr>
              <w:tabs>
                <w:tab w:val="center" w:pos="4513"/>
                <w:tab w:val="right" w:pos="9026"/>
              </w:tabs>
              <w:rPr>
                <w:rFonts w:cs="Segoe UI"/>
                <w:sz w:val="16"/>
                <w:szCs w:val="16"/>
              </w:rPr>
            </w:pPr>
            <w:r w:rsidRPr="00D61B28">
              <w:rPr>
                <w:rFonts w:cs="Segoe UI"/>
                <w:sz w:val="16"/>
                <w:szCs w:val="16"/>
              </w:rPr>
              <w:t xml:space="preserve">Page </w:t>
            </w:r>
            <w:r w:rsidRPr="00D61B28">
              <w:rPr>
                <w:rFonts w:cs="Segoe UI"/>
                <w:sz w:val="16"/>
                <w:szCs w:val="16"/>
              </w:rPr>
              <w:fldChar w:fldCharType="begin"/>
            </w:r>
            <w:r w:rsidRPr="00D61B28">
              <w:rPr>
                <w:rFonts w:cs="Segoe UI"/>
                <w:sz w:val="16"/>
                <w:szCs w:val="16"/>
              </w:rPr>
              <w:instrText xml:space="preserve"> PAGE </w:instrText>
            </w:r>
            <w:r w:rsidRPr="00D61B28">
              <w:rPr>
                <w:rFonts w:cs="Segoe UI"/>
                <w:sz w:val="16"/>
                <w:szCs w:val="16"/>
              </w:rPr>
              <w:fldChar w:fldCharType="separate"/>
            </w:r>
            <w:r w:rsidRPr="00D61B28">
              <w:rPr>
                <w:rFonts w:cs="Segoe UI"/>
                <w:sz w:val="16"/>
                <w:szCs w:val="16"/>
              </w:rPr>
              <w:t>1</w:t>
            </w:r>
            <w:r w:rsidRPr="00D61B28">
              <w:rPr>
                <w:rFonts w:cs="Segoe UI"/>
                <w:sz w:val="16"/>
                <w:szCs w:val="16"/>
              </w:rPr>
              <w:fldChar w:fldCharType="end"/>
            </w:r>
            <w:r w:rsidRPr="00D61B28">
              <w:rPr>
                <w:rFonts w:cs="Segoe UI"/>
                <w:sz w:val="16"/>
                <w:szCs w:val="16"/>
              </w:rPr>
              <w:t xml:space="preserve"> of </w:t>
            </w:r>
            <w:r w:rsidRPr="00D61B28">
              <w:rPr>
                <w:rFonts w:cs="Segoe UI"/>
                <w:sz w:val="16"/>
                <w:szCs w:val="16"/>
              </w:rPr>
              <w:fldChar w:fldCharType="begin"/>
            </w:r>
            <w:r w:rsidRPr="00D61B28">
              <w:rPr>
                <w:rFonts w:cs="Segoe UI"/>
                <w:sz w:val="16"/>
                <w:szCs w:val="16"/>
              </w:rPr>
              <w:instrText xml:space="preserve"> NUMPAGES </w:instrText>
            </w:r>
            <w:r w:rsidRPr="00D61B28">
              <w:rPr>
                <w:rFonts w:cs="Segoe UI"/>
                <w:sz w:val="16"/>
                <w:szCs w:val="16"/>
              </w:rPr>
              <w:fldChar w:fldCharType="separate"/>
            </w:r>
            <w:r w:rsidRPr="00D61B28">
              <w:rPr>
                <w:rFonts w:cs="Segoe UI"/>
                <w:sz w:val="16"/>
                <w:szCs w:val="16"/>
              </w:rPr>
              <w:t>2</w:t>
            </w:r>
            <w:r w:rsidRPr="00D61B28">
              <w:rPr>
                <w:rFonts w:cs="Segoe UI"/>
                <w:sz w:val="16"/>
                <w:szCs w:val="16"/>
              </w:rPr>
              <w:fldChar w:fldCharType="end"/>
            </w:r>
          </w:p>
        </w:tc>
      </w:tr>
    </w:tbl>
    <w:p w14:paraId="7454AC20" w14:textId="22F67711" w:rsidR="00CD3CE9" w:rsidRDefault="00CD3CE9" w:rsidP="00CD3CE9">
      <w:pPr>
        <w:pStyle w:val="Dash"/>
        <w:numPr>
          <w:ilvl w:val="0"/>
          <w:numId w:val="0"/>
        </w:numPr>
        <w:ind w:left="1418" w:hanging="425"/>
        <w:rPr>
          <w:rStyle w:val="Heading1Char"/>
          <w:rFonts w:cs="Arial Mäori"/>
          <w:b w:val="0"/>
          <w:bCs w:val="0"/>
          <w:sz w:val="22"/>
          <w:szCs w:val="22"/>
          <w:lang w:eastAsia="en-NZ"/>
        </w:rPr>
        <w:sectPr w:rsidR="00CD3CE9" w:rsidSect="00D37487">
          <w:footerReference w:type="even" r:id="rId14"/>
          <w:footerReference w:type="default" r:id="rId15"/>
          <w:headerReference w:type="first" r:id="rId16"/>
          <w:footerReference w:type="first" r:id="rId17"/>
          <w:pgSz w:w="11906" w:h="16838" w:code="9"/>
          <w:pgMar w:top="1134" w:right="1134" w:bottom="1134" w:left="1418" w:header="284" w:footer="425" w:gutter="0"/>
          <w:cols w:space="708"/>
          <w:titlePg/>
          <w:docGrid w:linePitch="360"/>
        </w:sectPr>
      </w:pPr>
    </w:p>
    <w:p w14:paraId="77D2A96D" w14:textId="78541A9D" w:rsidR="00D61B28" w:rsidRDefault="00D61B28">
      <w:pPr>
        <w:spacing w:before="0" w:after="0" w:line="240" w:lineRule="auto"/>
        <w:rPr>
          <w:b/>
          <w:bCs/>
        </w:rPr>
      </w:pPr>
    </w:p>
    <w:p w14:paraId="3BADFC94" w14:textId="0D06C635" w:rsidR="00F72455" w:rsidRPr="006673D3" w:rsidRDefault="00F72455" w:rsidP="00C07A8B">
      <w:pPr>
        <w:spacing w:before="0" w:after="160" w:line="259" w:lineRule="auto"/>
        <w:rPr>
          <w:b/>
          <w:bCs/>
          <w:sz w:val="28"/>
          <w:szCs w:val="28"/>
        </w:rPr>
      </w:pPr>
      <w:r w:rsidRPr="006673D3">
        <w:rPr>
          <w:b/>
          <w:bCs/>
          <w:sz w:val="28"/>
          <w:szCs w:val="28"/>
        </w:rPr>
        <w:t xml:space="preserve">Appendix 1: </w:t>
      </w:r>
      <w:r w:rsidR="003D215E" w:rsidRPr="006673D3">
        <w:rPr>
          <w:b/>
          <w:bCs/>
          <w:sz w:val="28"/>
          <w:szCs w:val="28"/>
        </w:rPr>
        <w:t>Complaints process flowchart</w:t>
      </w:r>
    </w:p>
    <w:p w14:paraId="4F885797" w14:textId="049D81EA" w:rsidR="00F72455" w:rsidRPr="00F72455" w:rsidRDefault="00F72455" w:rsidP="00F72455">
      <w:pPr>
        <w:spacing w:before="0" w:after="160" w:line="259" w:lineRule="auto"/>
        <w:rPr>
          <w:b/>
          <w:bCs/>
        </w:rPr>
      </w:pPr>
    </w:p>
    <w:p w14:paraId="06D88689" w14:textId="01FF5FBB" w:rsidR="00F72455" w:rsidRDefault="005B7853" w:rsidP="00F72455">
      <w:pPr>
        <w:pStyle w:val="Numberedlistindentedbrackets"/>
      </w:pPr>
      <w:r>
        <w:rPr>
          <w:noProof/>
        </w:rPr>
        <mc:AlternateContent>
          <mc:Choice Requires="wpg">
            <w:drawing>
              <wp:anchor distT="0" distB="0" distL="114300" distR="114300" simplePos="0" relativeHeight="251694080" behindDoc="0" locked="0" layoutInCell="1" allowOverlap="1" wp14:anchorId="3D084600" wp14:editId="237BD5A4">
                <wp:simplePos x="0" y="0"/>
                <wp:positionH relativeFrom="column">
                  <wp:posOffset>80010</wp:posOffset>
                </wp:positionH>
                <wp:positionV relativeFrom="paragraph">
                  <wp:posOffset>14605</wp:posOffset>
                </wp:positionV>
                <wp:extent cx="8797290" cy="3495675"/>
                <wp:effectExtent l="0" t="0" r="3810" b="9525"/>
                <wp:wrapNone/>
                <wp:docPr id="21" name="Group 21" descr="Process from complaint received via email, mail or phone to any actions required by the provider will be reported to the Ministry in accordance with monitoring requirements."/>
                <wp:cNvGraphicFramePr/>
                <a:graphic xmlns:a="http://schemas.openxmlformats.org/drawingml/2006/main">
                  <a:graphicData uri="http://schemas.microsoft.com/office/word/2010/wordprocessingGroup">
                    <wpg:wgp>
                      <wpg:cNvGrpSpPr/>
                      <wpg:grpSpPr>
                        <a:xfrm>
                          <a:off x="0" y="0"/>
                          <a:ext cx="8797290" cy="3495675"/>
                          <a:chOff x="0" y="0"/>
                          <a:chExt cx="8797290" cy="3495675"/>
                        </a:xfrm>
                      </wpg:grpSpPr>
                      <wps:wsp>
                        <wps:cNvPr id="35" name="Rectangle 35"/>
                        <wps:cNvSpPr/>
                        <wps:spPr>
                          <a:xfrm>
                            <a:off x="0" y="0"/>
                            <a:ext cx="1882140" cy="685800"/>
                          </a:xfrm>
                          <a:prstGeom prst="rect">
                            <a:avLst/>
                          </a:prstGeom>
                          <a:solidFill>
                            <a:srgbClr val="0A6AB4"/>
                          </a:solidFill>
                          <a:ln w="12700" cap="flat" cmpd="sng" algn="ctr">
                            <a:noFill/>
                            <a:prstDash val="solid"/>
                            <a:miter lim="800000"/>
                          </a:ln>
                          <a:effectLst/>
                        </wps:spPr>
                        <wps:txbx>
                          <w:txbxContent>
                            <w:p w14:paraId="3CC1D29B" w14:textId="023F9144" w:rsidR="00F72455" w:rsidRPr="00C07A8B" w:rsidRDefault="003D215E" w:rsidP="00F72455">
                              <w:pPr>
                                <w:jc w:val="center"/>
                                <w:rPr>
                                  <w:b/>
                                  <w:bCs/>
                                  <w:sz w:val="20"/>
                                  <w:szCs w:val="20"/>
                                  <w:lang w:val="mi-NZ"/>
                                </w:rPr>
                              </w:pPr>
                              <w:r w:rsidRPr="00C07A8B">
                                <w:rPr>
                                  <w:b/>
                                  <w:bCs/>
                                  <w:color w:val="FFFFFF" w:themeColor="background1"/>
                                  <w:sz w:val="20"/>
                                  <w:szCs w:val="20"/>
                                </w:rPr>
                                <w:t>Complaint received via email, mail or phone</w:t>
                              </w:r>
                              <w:r w:rsidR="00F72455" w:rsidRPr="00C07A8B">
                                <w:rPr>
                                  <w:b/>
                                  <w:bCs/>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562225" y="0"/>
                            <a:ext cx="2695575" cy="685800"/>
                          </a:xfrm>
                          <a:prstGeom prst="rect">
                            <a:avLst/>
                          </a:prstGeom>
                          <a:solidFill>
                            <a:srgbClr val="0A6AB4"/>
                          </a:solidFill>
                          <a:ln w="12700" cap="flat" cmpd="sng" algn="ctr">
                            <a:noFill/>
                            <a:prstDash val="solid"/>
                            <a:miter lim="800000"/>
                          </a:ln>
                          <a:effectLst/>
                        </wps:spPr>
                        <wps:txbx>
                          <w:txbxContent>
                            <w:p w14:paraId="0E1DED57" w14:textId="77777777" w:rsidR="003D215E" w:rsidRPr="003D215E" w:rsidRDefault="003D215E" w:rsidP="003D215E">
                              <w:pPr>
                                <w:spacing w:line="240" w:lineRule="auto"/>
                                <w:jc w:val="center"/>
                                <w:rPr>
                                  <w:rFonts w:cs="Segoe UI"/>
                                  <w:b/>
                                  <w:bCs/>
                                  <w:color w:val="000000"/>
                                  <w:sz w:val="20"/>
                                  <w:szCs w:val="20"/>
                                  <w:lang w:val="mi-NZ"/>
                                </w:rPr>
                              </w:pPr>
                              <w:r w:rsidRPr="003D215E">
                                <w:rPr>
                                  <w:rFonts w:cs="Segoe UI"/>
                                  <w:b/>
                                  <w:bCs/>
                                  <w:color w:val="FFFFFF" w:themeColor="background1"/>
                                  <w:sz w:val="20"/>
                                  <w:szCs w:val="20"/>
                                  <w:lang w:val="mi-NZ"/>
                                </w:rPr>
                                <w:t>Complaint assessed to determine whether an investigation will occur</w:t>
                              </w:r>
                            </w:p>
                            <w:p w14:paraId="5157ECB8" w14:textId="6D270CAB" w:rsidR="00F72455" w:rsidRPr="008D6EAB" w:rsidRDefault="00F72455" w:rsidP="00D61B2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5886450" y="0"/>
                            <a:ext cx="2910840" cy="752475"/>
                          </a:xfrm>
                          <a:prstGeom prst="rect">
                            <a:avLst/>
                          </a:prstGeom>
                          <a:solidFill>
                            <a:srgbClr val="0A6AB4"/>
                          </a:solidFill>
                          <a:ln w="12700" cap="flat" cmpd="sng" algn="ctr">
                            <a:noFill/>
                            <a:prstDash val="solid"/>
                            <a:miter lim="800000"/>
                          </a:ln>
                          <a:effectLst/>
                        </wps:spPr>
                        <wps:txbx>
                          <w:txbxContent>
                            <w:p w14:paraId="5C3D60E6" w14:textId="77777777" w:rsidR="003D215E" w:rsidRPr="003D215E" w:rsidRDefault="003D215E" w:rsidP="003D215E">
                              <w:pPr>
                                <w:spacing w:line="240" w:lineRule="auto"/>
                                <w:jc w:val="center"/>
                                <w:rPr>
                                  <w:rFonts w:cs="Segoe UI"/>
                                  <w:b/>
                                  <w:bCs/>
                                  <w:color w:val="000000"/>
                                  <w:sz w:val="20"/>
                                  <w:szCs w:val="20"/>
                                  <w:lang w:val="mi-NZ"/>
                                </w:rPr>
                              </w:pPr>
                              <w:r w:rsidRPr="003D215E">
                                <w:rPr>
                                  <w:rFonts w:cs="Segoe UI"/>
                                  <w:b/>
                                  <w:bCs/>
                                  <w:color w:val="FFFFFF" w:themeColor="background1"/>
                                  <w:sz w:val="20"/>
                                  <w:szCs w:val="20"/>
                                  <w:lang w:val="mi-NZ"/>
                                </w:rPr>
                                <w:t>Within 5 working days, an acknowledgment is sent to complainant and the provider is informed of the complaint</w:t>
                              </w:r>
                            </w:p>
                            <w:p w14:paraId="70FEED21" w14:textId="159A51B6" w:rsidR="00F72455" w:rsidRPr="00F72455" w:rsidRDefault="00F72455" w:rsidP="00D61B28">
                              <w:pPr>
                                <w:pStyle w:val="BlockText"/>
                                <w:spacing w:before="120" w:after="120"/>
                                <w:ind w:left="357"/>
                                <w:jc w:val="center"/>
                                <w:rPr>
                                  <w:rFonts w:ascii="Segoe UI" w:hAnsi="Segoe UI" w:cs="Segoe UI"/>
                                  <w:sz w:val="22"/>
                                  <w:szCs w:val="22"/>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1362075"/>
                            <a:ext cx="3072765" cy="681355"/>
                          </a:xfrm>
                          <a:prstGeom prst="rect">
                            <a:avLst/>
                          </a:prstGeom>
                          <a:solidFill>
                            <a:srgbClr val="0A6AB4"/>
                          </a:solidFill>
                          <a:ln w="12700" cap="flat" cmpd="sng" algn="ctr">
                            <a:noFill/>
                            <a:prstDash val="solid"/>
                            <a:miter lim="800000"/>
                          </a:ln>
                          <a:effectLst/>
                        </wps:spPr>
                        <wps:txbx>
                          <w:txbxContent>
                            <w:p w14:paraId="651A1CC6" w14:textId="77777777" w:rsidR="003D215E" w:rsidRPr="003D215E" w:rsidRDefault="003D215E" w:rsidP="003D215E">
                              <w:pPr>
                                <w:spacing w:line="240" w:lineRule="auto"/>
                                <w:jc w:val="center"/>
                                <w:rPr>
                                  <w:rFonts w:cs="Segoe UI"/>
                                  <w:b/>
                                  <w:bCs/>
                                  <w:color w:val="000000"/>
                                  <w:sz w:val="20"/>
                                  <w:szCs w:val="20"/>
                                  <w:lang w:val="mi-NZ"/>
                                </w:rPr>
                              </w:pPr>
                              <w:r w:rsidRPr="003D215E">
                                <w:rPr>
                                  <w:rFonts w:cs="Segoe UI"/>
                                  <w:b/>
                                  <w:bCs/>
                                  <w:color w:val="FFFFFF" w:themeColor="background1"/>
                                  <w:sz w:val="20"/>
                                  <w:szCs w:val="20"/>
                                  <w:lang w:val="en-US"/>
                                </w:rPr>
                                <w:t>Complainant will be kept informed of progress</w:t>
                              </w:r>
                            </w:p>
                            <w:p w14:paraId="27C54B25" w14:textId="77777777" w:rsidR="00F72455" w:rsidRPr="003D215E" w:rsidRDefault="00F72455" w:rsidP="003D215E">
                              <w:pPr>
                                <w:jc w:val="center"/>
                                <w:rPr>
                                  <w:rFonts w:cs="Segoe UI"/>
                                  <w:color w:val="FFFFFF" w:themeColor="background1"/>
                                  <w:sz w:val="20"/>
                                  <w:szCs w:val="20"/>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333875" y="1362075"/>
                            <a:ext cx="4463415" cy="781050"/>
                          </a:xfrm>
                          <a:prstGeom prst="rect">
                            <a:avLst/>
                          </a:prstGeom>
                          <a:solidFill>
                            <a:srgbClr val="0A6AB4"/>
                          </a:solidFill>
                          <a:ln w="12700" cap="flat" cmpd="sng" algn="ctr">
                            <a:noFill/>
                            <a:prstDash val="solid"/>
                            <a:miter lim="800000"/>
                          </a:ln>
                          <a:effectLst/>
                        </wps:spPr>
                        <wps:txbx>
                          <w:txbxContent>
                            <w:p w14:paraId="61569B5B" w14:textId="4E2B31CC" w:rsidR="00C07A8B" w:rsidRPr="00C07A8B" w:rsidRDefault="00C07A8B" w:rsidP="00C07A8B">
                              <w:pPr>
                                <w:jc w:val="center"/>
                                <w:rPr>
                                  <w:rFonts w:cs="Segoe UI"/>
                                  <w:b/>
                                  <w:bCs/>
                                  <w:color w:val="FFFFFF" w:themeColor="background1"/>
                                  <w:sz w:val="20"/>
                                  <w:szCs w:val="20"/>
                                  <w:lang w:val="mi-NZ"/>
                                </w:rPr>
                              </w:pPr>
                              <w:r w:rsidRPr="00C07A8B">
                                <w:rPr>
                                  <w:rFonts w:cs="Segoe UI"/>
                                  <w:b/>
                                  <w:bCs/>
                                  <w:color w:val="FFFFFF" w:themeColor="background1"/>
                                  <w:sz w:val="20"/>
                                  <w:szCs w:val="20"/>
                                  <w:lang w:val="en-US"/>
                                </w:rPr>
                                <w:t xml:space="preserve">Within 10 working days, the complainant will be informed whether an investigation will occur. The provider will receive </w:t>
                              </w:r>
                              <w:r w:rsidR="005B7853">
                                <w:rPr>
                                  <w:rFonts w:cs="Segoe UI"/>
                                  <w:b/>
                                  <w:bCs/>
                                  <w:color w:val="FFFFFF" w:themeColor="background1"/>
                                  <w:sz w:val="20"/>
                                  <w:szCs w:val="20"/>
                                  <w:lang w:val="en-US"/>
                                </w:rPr>
                                <w:br/>
                              </w:r>
                              <w:r w:rsidRPr="00C07A8B">
                                <w:rPr>
                                  <w:rFonts w:cs="Segoe UI"/>
                                  <w:b/>
                                  <w:bCs/>
                                  <w:color w:val="FFFFFF" w:themeColor="background1"/>
                                  <w:sz w:val="20"/>
                                  <w:szCs w:val="20"/>
                                  <w:lang w:val="en-US"/>
                                </w:rPr>
                                <w:t>investigation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628900"/>
                            <a:ext cx="3072765" cy="866775"/>
                          </a:xfrm>
                          <a:prstGeom prst="rect">
                            <a:avLst/>
                          </a:prstGeom>
                          <a:solidFill>
                            <a:srgbClr val="0A6AB4"/>
                          </a:solidFill>
                          <a:ln w="12700" cap="flat" cmpd="sng" algn="ctr">
                            <a:noFill/>
                            <a:prstDash val="solid"/>
                            <a:miter lim="800000"/>
                          </a:ln>
                          <a:effectLst/>
                        </wps:spPr>
                        <wps:txbx>
                          <w:txbxContent>
                            <w:p w14:paraId="432737C6" w14:textId="77777777" w:rsidR="00C07A8B" w:rsidRPr="00C07A8B" w:rsidRDefault="00C07A8B" w:rsidP="00C07A8B">
                              <w:pPr>
                                <w:jc w:val="center"/>
                                <w:rPr>
                                  <w:b/>
                                  <w:bCs/>
                                  <w:sz w:val="20"/>
                                  <w:szCs w:val="20"/>
                                  <w:lang w:val="mi-NZ"/>
                                </w:rPr>
                              </w:pPr>
                              <w:r w:rsidRPr="00C07A8B">
                                <w:rPr>
                                  <w:b/>
                                  <w:bCs/>
                                  <w:color w:val="FFFFFF" w:themeColor="background1"/>
                                  <w:sz w:val="20"/>
                                  <w:szCs w:val="20"/>
                                  <w:lang w:val="mi-NZ"/>
                                </w:rPr>
                                <w:t xml:space="preserve">The outcome of the investigation and any resulting changes to licensing will be communicated to both the complainant and the provider. </w:t>
                              </w:r>
                            </w:p>
                            <w:p w14:paraId="089F5A74" w14:textId="6148DBDA" w:rsidR="00C07A8B" w:rsidRPr="003D215E" w:rsidRDefault="00C07A8B" w:rsidP="00C07A8B">
                              <w:pPr>
                                <w:jc w:val="center"/>
                                <w:rPr>
                                  <w:rFonts w:cs="Segoe UI"/>
                                  <w:color w:val="FFFFFF" w:themeColor="background1"/>
                                  <w:sz w:val="20"/>
                                  <w:szCs w:val="20"/>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333875" y="2628900"/>
                            <a:ext cx="4463415" cy="866775"/>
                          </a:xfrm>
                          <a:prstGeom prst="rect">
                            <a:avLst/>
                          </a:prstGeom>
                          <a:solidFill>
                            <a:srgbClr val="0A6AB4"/>
                          </a:solidFill>
                          <a:ln w="12700" cap="flat" cmpd="sng" algn="ctr">
                            <a:noFill/>
                            <a:prstDash val="solid"/>
                            <a:miter lim="800000"/>
                          </a:ln>
                          <a:effectLst/>
                        </wps:spPr>
                        <wps:txbx>
                          <w:txbxContent>
                            <w:p w14:paraId="647F5801" w14:textId="5BBBBCE3" w:rsidR="00C07A8B" w:rsidRPr="00C07A8B" w:rsidRDefault="00C07A8B" w:rsidP="00C07A8B">
                              <w:pPr>
                                <w:jc w:val="center"/>
                                <w:rPr>
                                  <w:b/>
                                  <w:bCs/>
                                  <w:sz w:val="20"/>
                                  <w:szCs w:val="20"/>
                                  <w:lang w:val="mi-NZ"/>
                                </w:rPr>
                              </w:pPr>
                              <w:r w:rsidRPr="00C07A8B">
                                <w:rPr>
                                  <w:b/>
                                  <w:bCs/>
                                  <w:color w:val="FFFFFF" w:themeColor="background1"/>
                                  <w:sz w:val="20"/>
                                  <w:szCs w:val="20"/>
                                </w:rPr>
                                <w:t xml:space="preserve">Any resulting actions required by the provider </w:t>
                              </w:r>
                              <w:r w:rsidR="005B7853">
                                <w:rPr>
                                  <w:b/>
                                  <w:bCs/>
                                  <w:color w:val="FFFFFF" w:themeColor="background1"/>
                                  <w:sz w:val="20"/>
                                  <w:szCs w:val="20"/>
                                </w:rPr>
                                <w:br/>
                              </w:r>
                              <w:r w:rsidRPr="00C07A8B">
                                <w:rPr>
                                  <w:b/>
                                  <w:bCs/>
                                  <w:color w:val="FFFFFF" w:themeColor="background1"/>
                                  <w:sz w:val="20"/>
                                  <w:szCs w:val="20"/>
                                </w:rPr>
                                <w:t>will be reported to the Ministry in accordance with monitoring requirements.</w:t>
                              </w:r>
                            </w:p>
                            <w:p w14:paraId="010B4A1E" w14:textId="77777777" w:rsidR="00C07A8B" w:rsidRPr="003D215E" w:rsidRDefault="00C07A8B" w:rsidP="00C07A8B">
                              <w:pPr>
                                <w:jc w:val="center"/>
                                <w:rPr>
                                  <w:rFonts w:cs="Segoe UI"/>
                                  <w:color w:val="FFFFFF" w:themeColor="background1"/>
                                  <w:sz w:val="20"/>
                                  <w:szCs w:val="20"/>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Right 15"/>
                        <wps:cNvSpPr/>
                        <wps:spPr>
                          <a:xfrm>
                            <a:off x="1885950" y="219075"/>
                            <a:ext cx="622935" cy="347345"/>
                          </a:xfrm>
                          <a:prstGeom prst="rightArrow">
                            <a:avLst/>
                          </a:prstGeom>
                          <a:solidFill>
                            <a:srgbClr val="23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Right 16"/>
                        <wps:cNvSpPr/>
                        <wps:spPr>
                          <a:xfrm>
                            <a:off x="5257800" y="209550"/>
                            <a:ext cx="561975" cy="347345"/>
                          </a:xfrm>
                          <a:prstGeom prst="rightArrow">
                            <a:avLst/>
                          </a:prstGeom>
                          <a:solidFill>
                            <a:srgbClr val="23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rot="10800000">
                            <a:off x="3171825" y="1533525"/>
                            <a:ext cx="1162050" cy="347345"/>
                          </a:xfrm>
                          <a:prstGeom prst="rightArrow">
                            <a:avLst/>
                          </a:prstGeom>
                          <a:solidFill>
                            <a:srgbClr val="23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Right 18"/>
                        <wps:cNvSpPr/>
                        <wps:spPr>
                          <a:xfrm>
                            <a:off x="3076575" y="2819400"/>
                            <a:ext cx="1171575" cy="347345"/>
                          </a:xfrm>
                          <a:prstGeom prst="rightArrow">
                            <a:avLst/>
                          </a:prstGeom>
                          <a:solidFill>
                            <a:srgbClr val="23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Down 19"/>
                        <wps:cNvSpPr/>
                        <wps:spPr>
                          <a:xfrm>
                            <a:off x="7200900" y="752475"/>
                            <a:ext cx="342900" cy="457200"/>
                          </a:xfrm>
                          <a:prstGeom prst="downArrow">
                            <a:avLst/>
                          </a:prstGeom>
                          <a:solidFill>
                            <a:srgbClr val="23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row: Down 20"/>
                        <wps:cNvSpPr/>
                        <wps:spPr>
                          <a:xfrm>
                            <a:off x="1285875" y="2038350"/>
                            <a:ext cx="342900" cy="528320"/>
                          </a:xfrm>
                          <a:prstGeom prst="downArrow">
                            <a:avLst/>
                          </a:prstGeom>
                          <a:solidFill>
                            <a:srgbClr val="23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084600" id="Group 21" o:spid="_x0000_s1026" alt="Process from complaint received via email, mail or phone to any actions required by the provider will be reported to the Ministry in accordance with monitoring requirements." style="position:absolute;left:0;text-align:left;margin-left:6.3pt;margin-top:1.15pt;width:692.7pt;height:275.25pt;z-index:251694080" coordsize="87972,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">
                <v:rect id="Rectangle 35" o:spid="_x0000_s1027" style="position:absolute;width:1882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" fillcolor="#0a6ab4" stroked="f" strokeweight="1pt">
                  <v:textbox>
                    <w:txbxContent>
                      <w:p w14:paraId="3CC1D29B" w14:textId="023F9144" w:rsidR="00F72455" w:rsidRPr="00C07A8B" w:rsidRDefault="003D215E" w:rsidP="00F72455">
                        <w:pPr>
                          <w:jc w:val="center"/>
                          <w:rPr>
                            <w:b/>
                            <w:bCs/>
                            <w:sz w:val="20"/>
                            <w:szCs w:val="20"/>
                            <w:lang w:val="mi-NZ"/>
                          </w:rPr>
                        </w:pPr>
                        <w:r w:rsidRPr="00C07A8B">
                          <w:rPr>
                            <w:b/>
                            <w:bCs/>
                            <w:color w:val="FFFFFF" w:themeColor="background1"/>
                            <w:sz w:val="20"/>
                            <w:szCs w:val="20"/>
                          </w:rPr>
                          <w:t>Complaint received via email, mail or phone</w:t>
                        </w:r>
                        <w:r w:rsidR="00F72455" w:rsidRPr="00C07A8B">
                          <w:rPr>
                            <w:b/>
                            <w:bCs/>
                            <w:color w:val="FFFFFF" w:themeColor="background1"/>
                            <w:sz w:val="20"/>
                            <w:szCs w:val="20"/>
                          </w:rPr>
                          <w:t xml:space="preserve"> </w:t>
                        </w:r>
                      </w:p>
                    </w:txbxContent>
                  </v:textbox>
                </v:rect>
                <v:rect id="Rectangle 37" o:spid="_x0000_s1028" style="position:absolute;left:25622;width:2695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" fillcolor="#0a6ab4" stroked="f" strokeweight="1pt">
                  <v:textbox>
                    <w:txbxContent>
                      <w:p w14:paraId="0E1DED57" w14:textId="77777777" w:rsidR="003D215E" w:rsidRPr="003D215E" w:rsidRDefault="003D215E" w:rsidP="003D215E">
                        <w:pPr>
                          <w:spacing w:line="240" w:lineRule="auto"/>
                          <w:jc w:val="center"/>
                          <w:rPr>
                            <w:rFonts w:cs="Segoe UI"/>
                            <w:b/>
                            <w:bCs/>
                            <w:color w:val="000000"/>
                            <w:sz w:val="20"/>
                            <w:szCs w:val="20"/>
                            <w:lang w:val="mi-NZ"/>
                          </w:rPr>
                        </w:pPr>
                        <w:proofErr w:type="spellStart"/>
                        <w:r w:rsidRPr="003D215E">
                          <w:rPr>
                            <w:rFonts w:cs="Segoe UI"/>
                            <w:b/>
                            <w:bCs/>
                            <w:color w:val="FFFFFF" w:themeColor="background1"/>
                            <w:sz w:val="20"/>
                            <w:szCs w:val="20"/>
                            <w:lang w:val="mi-NZ"/>
                          </w:rPr>
                          <w:t>Complaint</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assessed</w:t>
                        </w:r>
                        <w:proofErr w:type="spellEnd"/>
                        <w:r w:rsidRPr="003D215E">
                          <w:rPr>
                            <w:rFonts w:cs="Segoe UI"/>
                            <w:b/>
                            <w:bCs/>
                            <w:color w:val="FFFFFF" w:themeColor="background1"/>
                            <w:sz w:val="20"/>
                            <w:szCs w:val="20"/>
                            <w:lang w:val="mi-NZ"/>
                          </w:rPr>
                          <w:t xml:space="preserve"> to </w:t>
                        </w:r>
                        <w:proofErr w:type="spellStart"/>
                        <w:r w:rsidRPr="003D215E">
                          <w:rPr>
                            <w:rFonts w:cs="Segoe UI"/>
                            <w:b/>
                            <w:bCs/>
                            <w:color w:val="FFFFFF" w:themeColor="background1"/>
                            <w:sz w:val="20"/>
                            <w:szCs w:val="20"/>
                            <w:lang w:val="mi-NZ"/>
                          </w:rPr>
                          <w:t>determine</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whether</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an</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investigation</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will</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occur</w:t>
                        </w:r>
                        <w:proofErr w:type="spellEnd"/>
                      </w:p>
                      <w:p w14:paraId="5157ECB8" w14:textId="6D270CAB" w:rsidR="00F72455" w:rsidRPr="008D6EAB" w:rsidRDefault="00F72455" w:rsidP="00D61B28">
                        <w:pPr>
                          <w:spacing w:line="240" w:lineRule="auto"/>
                          <w:jc w:val="center"/>
                        </w:pPr>
                      </w:p>
                    </w:txbxContent>
                  </v:textbox>
                </v:rect>
                <v:rect id="Rectangle 39" o:spid="_x0000_s1029" style="position:absolute;left:58864;width:29108;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" fillcolor="#0a6ab4" stroked="f" strokeweight="1pt">
                  <v:textbox>
                    <w:txbxContent>
                      <w:p w14:paraId="5C3D60E6" w14:textId="77777777" w:rsidR="003D215E" w:rsidRPr="003D215E" w:rsidRDefault="003D215E" w:rsidP="003D215E">
                        <w:pPr>
                          <w:spacing w:line="240" w:lineRule="auto"/>
                          <w:jc w:val="center"/>
                          <w:rPr>
                            <w:rFonts w:cs="Segoe UI"/>
                            <w:b/>
                            <w:bCs/>
                            <w:color w:val="000000"/>
                            <w:sz w:val="20"/>
                            <w:szCs w:val="20"/>
                            <w:lang w:val="mi-NZ"/>
                          </w:rPr>
                        </w:pPr>
                        <w:proofErr w:type="spellStart"/>
                        <w:r w:rsidRPr="003D215E">
                          <w:rPr>
                            <w:rFonts w:cs="Segoe UI"/>
                            <w:b/>
                            <w:bCs/>
                            <w:color w:val="FFFFFF" w:themeColor="background1"/>
                            <w:sz w:val="20"/>
                            <w:szCs w:val="20"/>
                            <w:lang w:val="mi-NZ"/>
                          </w:rPr>
                          <w:t>Within</w:t>
                        </w:r>
                        <w:proofErr w:type="spellEnd"/>
                        <w:r w:rsidRPr="003D215E">
                          <w:rPr>
                            <w:rFonts w:cs="Segoe UI"/>
                            <w:b/>
                            <w:bCs/>
                            <w:color w:val="FFFFFF" w:themeColor="background1"/>
                            <w:sz w:val="20"/>
                            <w:szCs w:val="20"/>
                            <w:lang w:val="mi-NZ"/>
                          </w:rPr>
                          <w:t xml:space="preserve"> 5 </w:t>
                        </w:r>
                        <w:proofErr w:type="spellStart"/>
                        <w:r w:rsidRPr="003D215E">
                          <w:rPr>
                            <w:rFonts w:cs="Segoe UI"/>
                            <w:b/>
                            <w:bCs/>
                            <w:color w:val="FFFFFF" w:themeColor="background1"/>
                            <w:sz w:val="20"/>
                            <w:szCs w:val="20"/>
                            <w:lang w:val="mi-NZ"/>
                          </w:rPr>
                          <w:t>working</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days</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an</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acknowledgment</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is</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sent</w:t>
                        </w:r>
                        <w:proofErr w:type="spellEnd"/>
                        <w:r w:rsidRPr="003D215E">
                          <w:rPr>
                            <w:rFonts w:cs="Segoe UI"/>
                            <w:b/>
                            <w:bCs/>
                            <w:color w:val="FFFFFF" w:themeColor="background1"/>
                            <w:sz w:val="20"/>
                            <w:szCs w:val="20"/>
                            <w:lang w:val="mi-NZ"/>
                          </w:rPr>
                          <w:t xml:space="preserve"> to </w:t>
                        </w:r>
                        <w:proofErr w:type="spellStart"/>
                        <w:r w:rsidRPr="003D215E">
                          <w:rPr>
                            <w:rFonts w:cs="Segoe UI"/>
                            <w:b/>
                            <w:bCs/>
                            <w:color w:val="FFFFFF" w:themeColor="background1"/>
                            <w:sz w:val="20"/>
                            <w:szCs w:val="20"/>
                            <w:lang w:val="mi-NZ"/>
                          </w:rPr>
                          <w:t>complainant</w:t>
                        </w:r>
                        <w:proofErr w:type="spellEnd"/>
                        <w:r w:rsidRPr="003D215E">
                          <w:rPr>
                            <w:rFonts w:cs="Segoe UI"/>
                            <w:b/>
                            <w:bCs/>
                            <w:color w:val="FFFFFF" w:themeColor="background1"/>
                            <w:sz w:val="20"/>
                            <w:szCs w:val="20"/>
                            <w:lang w:val="mi-NZ"/>
                          </w:rPr>
                          <w:t xml:space="preserve"> and </w:t>
                        </w:r>
                        <w:proofErr w:type="spellStart"/>
                        <w:r w:rsidRPr="003D215E">
                          <w:rPr>
                            <w:rFonts w:cs="Segoe UI"/>
                            <w:b/>
                            <w:bCs/>
                            <w:color w:val="FFFFFF" w:themeColor="background1"/>
                            <w:sz w:val="20"/>
                            <w:szCs w:val="20"/>
                            <w:lang w:val="mi-NZ"/>
                          </w:rPr>
                          <w:t>the</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provider</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is</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informed</w:t>
                        </w:r>
                        <w:proofErr w:type="spellEnd"/>
                        <w:r w:rsidRPr="003D215E">
                          <w:rPr>
                            <w:rFonts w:cs="Segoe UI"/>
                            <w:b/>
                            <w:bCs/>
                            <w:color w:val="FFFFFF" w:themeColor="background1"/>
                            <w:sz w:val="20"/>
                            <w:szCs w:val="20"/>
                            <w:lang w:val="mi-NZ"/>
                          </w:rPr>
                          <w:t xml:space="preserve"> of </w:t>
                        </w:r>
                        <w:proofErr w:type="spellStart"/>
                        <w:r w:rsidRPr="003D215E">
                          <w:rPr>
                            <w:rFonts w:cs="Segoe UI"/>
                            <w:b/>
                            <w:bCs/>
                            <w:color w:val="FFFFFF" w:themeColor="background1"/>
                            <w:sz w:val="20"/>
                            <w:szCs w:val="20"/>
                            <w:lang w:val="mi-NZ"/>
                          </w:rPr>
                          <w:t>the</w:t>
                        </w:r>
                        <w:proofErr w:type="spellEnd"/>
                        <w:r w:rsidRPr="003D215E">
                          <w:rPr>
                            <w:rFonts w:cs="Segoe UI"/>
                            <w:b/>
                            <w:bCs/>
                            <w:color w:val="FFFFFF" w:themeColor="background1"/>
                            <w:sz w:val="20"/>
                            <w:szCs w:val="20"/>
                            <w:lang w:val="mi-NZ"/>
                          </w:rPr>
                          <w:t xml:space="preserve"> </w:t>
                        </w:r>
                        <w:proofErr w:type="spellStart"/>
                        <w:r w:rsidRPr="003D215E">
                          <w:rPr>
                            <w:rFonts w:cs="Segoe UI"/>
                            <w:b/>
                            <w:bCs/>
                            <w:color w:val="FFFFFF" w:themeColor="background1"/>
                            <w:sz w:val="20"/>
                            <w:szCs w:val="20"/>
                            <w:lang w:val="mi-NZ"/>
                          </w:rPr>
                          <w:t>complaint</w:t>
                        </w:r>
                        <w:proofErr w:type="spellEnd"/>
                      </w:p>
                      <w:p w14:paraId="70FEED21" w14:textId="159A51B6" w:rsidR="00F72455" w:rsidRPr="00F72455" w:rsidRDefault="00F72455" w:rsidP="00D61B28">
                        <w:pPr>
                          <w:pStyle w:val="BlockText"/>
                          <w:spacing w:before="120" w:after="120"/>
                          <w:ind w:left="357"/>
                          <w:jc w:val="center"/>
                          <w:rPr>
                            <w:rFonts w:ascii="Segoe UI" w:hAnsi="Segoe UI" w:cs="Segoe UI"/>
                            <w:sz w:val="22"/>
                            <w:szCs w:val="22"/>
                            <w:lang w:val="mi-NZ"/>
                          </w:rPr>
                        </w:pPr>
                      </w:p>
                    </w:txbxContent>
                  </v:textbox>
                </v:rect>
                <v:rect id="Rectangle 26" o:spid="_x0000_s1030" style="position:absolute;top:13620;width:30727;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" fillcolor="#0a6ab4" stroked="f" strokeweight="1pt">
                  <v:textbox>
                    <w:txbxContent>
                      <w:p w14:paraId="651A1CC6" w14:textId="77777777" w:rsidR="003D215E" w:rsidRPr="003D215E" w:rsidRDefault="003D215E" w:rsidP="003D215E">
                        <w:pPr>
                          <w:spacing w:line="240" w:lineRule="auto"/>
                          <w:jc w:val="center"/>
                          <w:rPr>
                            <w:rFonts w:cs="Segoe UI"/>
                            <w:b/>
                            <w:bCs/>
                            <w:color w:val="000000"/>
                            <w:sz w:val="20"/>
                            <w:szCs w:val="20"/>
                            <w:lang w:val="mi-NZ"/>
                          </w:rPr>
                        </w:pPr>
                        <w:r w:rsidRPr="003D215E">
                          <w:rPr>
                            <w:rFonts w:cs="Segoe UI"/>
                            <w:b/>
                            <w:bCs/>
                            <w:color w:val="FFFFFF" w:themeColor="background1"/>
                            <w:sz w:val="20"/>
                            <w:szCs w:val="20"/>
                            <w:lang w:val="en-US"/>
                          </w:rPr>
                          <w:t>Complainant will be kept informed of progress</w:t>
                        </w:r>
                      </w:p>
                      <w:p w14:paraId="27C54B25" w14:textId="77777777" w:rsidR="00F72455" w:rsidRPr="003D215E" w:rsidRDefault="00F72455" w:rsidP="003D215E">
                        <w:pPr>
                          <w:jc w:val="center"/>
                          <w:rPr>
                            <w:rFonts w:cs="Segoe UI"/>
                            <w:color w:val="FFFFFF" w:themeColor="background1"/>
                            <w:sz w:val="20"/>
                            <w:szCs w:val="20"/>
                            <w:lang w:val="mi-NZ"/>
                          </w:rPr>
                        </w:pPr>
                      </w:p>
                    </w:txbxContent>
                  </v:textbox>
                </v:rect>
                <v:rect id="Rectangle 9" o:spid="_x0000_s1031" style="position:absolute;left:43338;top:13620;width:44634;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" fillcolor="#0a6ab4" stroked="f" strokeweight="1pt">
                  <v:textbox>
                    <w:txbxContent>
                      <w:p w14:paraId="61569B5B" w14:textId="4E2B31CC" w:rsidR="00C07A8B" w:rsidRPr="00C07A8B" w:rsidRDefault="00C07A8B" w:rsidP="00C07A8B">
                        <w:pPr>
                          <w:jc w:val="center"/>
                          <w:rPr>
                            <w:rFonts w:cs="Segoe UI"/>
                            <w:b/>
                            <w:bCs/>
                            <w:color w:val="FFFFFF" w:themeColor="background1"/>
                            <w:sz w:val="20"/>
                            <w:szCs w:val="20"/>
                            <w:lang w:val="mi-NZ"/>
                          </w:rPr>
                        </w:pPr>
                        <w:r w:rsidRPr="00C07A8B">
                          <w:rPr>
                            <w:rFonts w:cs="Segoe UI"/>
                            <w:b/>
                            <w:bCs/>
                            <w:color w:val="FFFFFF" w:themeColor="background1"/>
                            <w:sz w:val="20"/>
                            <w:szCs w:val="20"/>
                            <w:lang w:val="en-US"/>
                          </w:rPr>
                          <w:t xml:space="preserve">Within 10 working days, the complainant will be informed whether an investigation will occur. The provider will receive </w:t>
                        </w:r>
                        <w:r w:rsidR="005B7853">
                          <w:rPr>
                            <w:rFonts w:cs="Segoe UI"/>
                            <w:b/>
                            <w:bCs/>
                            <w:color w:val="FFFFFF" w:themeColor="background1"/>
                            <w:sz w:val="20"/>
                            <w:szCs w:val="20"/>
                            <w:lang w:val="en-US"/>
                          </w:rPr>
                          <w:br/>
                        </w:r>
                        <w:r w:rsidRPr="00C07A8B">
                          <w:rPr>
                            <w:rFonts w:cs="Segoe UI"/>
                            <w:b/>
                            <w:bCs/>
                            <w:color w:val="FFFFFF" w:themeColor="background1"/>
                            <w:sz w:val="20"/>
                            <w:szCs w:val="20"/>
                            <w:lang w:val="en-US"/>
                          </w:rPr>
                          <w:t>investigation information.</w:t>
                        </w:r>
                      </w:p>
                    </w:txbxContent>
                  </v:textbox>
                </v:rect>
                <v:rect id="Rectangle 10" o:spid="_x0000_s1032" style="position:absolute;top:26289;width:30727;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" fillcolor="#0a6ab4" stroked="f" strokeweight="1pt">
                  <v:textbox>
                    <w:txbxContent>
                      <w:p w14:paraId="432737C6" w14:textId="77777777" w:rsidR="00C07A8B" w:rsidRPr="00C07A8B" w:rsidRDefault="00C07A8B" w:rsidP="00C07A8B">
                        <w:pPr>
                          <w:jc w:val="center"/>
                          <w:rPr>
                            <w:b/>
                            <w:bCs/>
                            <w:sz w:val="20"/>
                            <w:szCs w:val="20"/>
                            <w:lang w:val="mi-NZ"/>
                          </w:rPr>
                        </w:pPr>
                        <w:proofErr w:type="spellStart"/>
                        <w:r w:rsidRPr="00C07A8B">
                          <w:rPr>
                            <w:b/>
                            <w:bCs/>
                            <w:color w:val="FFFFFF" w:themeColor="background1"/>
                            <w:sz w:val="20"/>
                            <w:szCs w:val="20"/>
                            <w:lang w:val="mi-NZ"/>
                          </w:rPr>
                          <w:t>The</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outcome</w:t>
                        </w:r>
                        <w:proofErr w:type="spellEnd"/>
                        <w:r w:rsidRPr="00C07A8B">
                          <w:rPr>
                            <w:b/>
                            <w:bCs/>
                            <w:color w:val="FFFFFF" w:themeColor="background1"/>
                            <w:sz w:val="20"/>
                            <w:szCs w:val="20"/>
                            <w:lang w:val="mi-NZ"/>
                          </w:rPr>
                          <w:t xml:space="preserve"> of </w:t>
                        </w:r>
                        <w:proofErr w:type="spellStart"/>
                        <w:r w:rsidRPr="00C07A8B">
                          <w:rPr>
                            <w:b/>
                            <w:bCs/>
                            <w:color w:val="FFFFFF" w:themeColor="background1"/>
                            <w:sz w:val="20"/>
                            <w:szCs w:val="20"/>
                            <w:lang w:val="mi-NZ"/>
                          </w:rPr>
                          <w:t>the</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investigation</w:t>
                        </w:r>
                        <w:proofErr w:type="spellEnd"/>
                        <w:r w:rsidRPr="00C07A8B">
                          <w:rPr>
                            <w:b/>
                            <w:bCs/>
                            <w:color w:val="FFFFFF" w:themeColor="background1"/>
                            <w:sz w:val="20"/>
                            <w:szCs w:val="20"/>
                            <w:lang w:val="mi-NZ"/>
                          </w:rPr>
                          <w:t xml:space="preserve"> and </w:t>
                        </w:r>
                        <w:proofErr w:type="spellStart"/>
                        <w:r w:rsidRPr="00C07A8B">
                          <w:rPr>
                            <w:b/>
                            <w:bCs/>
                            <w:color w:val="FFFFFF" w:themeColor="background1"/>
                            <w:sz w:val="20"/>
                            <w:szCs w:val="20"/>
                            <w:lang w:val="mi-NZ"/>
                          </w:rPr>
                          <w:t>any</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resulting</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changes</w:t>
                        </w:r>
                        <w:proofErr w:type="spellEnd"/>
                        <w:r w:rsidRPr="00C07A8B">
                          <w:rPr>
                            <w:b/>
                            <w:bCs/>
                            <w:color w:val="FFFFFF" w:themeColor="background1"/>
                            <w:sz w:val="20"/>
                            <w:szCs w:val="20"/>
                            <w:lang w:val="mi-NZ"/>
                          </w:rPr>
                          <w:t xml:space="preserve"> to </w:t>
                        </w:r>
                        <w:proofErr w:type="spellStart"/>
                        <w:r w:rsidRPr="00C07A8B">
                          <w:rPr>
                            <w:b/>
                            <w:bCs/>
                            <w:color w:val="FFFFFF" w:themeColor="background1"/>
                            <w:sz w:val="20"/>
                            <w:szCs w:val="20"/>
                            <w:lang w:val="mi-NZ"/>
                          </w:rPr>
                          <w:t>licensing</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will</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be</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communicated</w:t>
                        </w:r>
                        <w:proofErr w:type="spellEnd"/>
                        <w:r w:rsidRPr="00C07A8B">
                          <w:rPr>
                            <w:b/>
                            <w:bCs/>
                            <w:color w:val="FFFFFF" w:themeColor="background1"/>
                            <w:sz w:val="20"/>
                            <w:szCs w:val="20"/>
                            <w:lang w:val="mi-NZ"/>
                          </w:rPr>
                          <w:t xml:space="preserve"> to </w:t>
                        </w:r>
                        <w:proofErr w:type="spellStart"/>
                        <w:r w:rsidRPr="00C07A8B">
                          <w:rPr>
                            <w:b/>
                            <w:bCs/>
                            <w:color w:val="FFFFFF" w:themeColor="background1"/>
                            <w:sz w:val="20"/>
                            <w:szCs w:val="20"/>
                            <w:lang w:val="mi-NZ"/>
                          </w:rPr>
                          <w:t>both</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the</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complainant</w:t>
                        </w:r>
                        <w:proofErr w:type="spellEnd"/>
                        <w:r w:rsidRPr="00C07A8B">
                          <w:rPr>
                            <w:b/>
                            <w:bCs/>
                            <w:color w:val="FFFFFF" w:themeColor="background1"/>
                            <w:sz w:val="20"/>
                            <w:szCs w:val="20"/>
                            <w:lang w:val="mi-NZ"/>
                          </w:rPr>
                          <w:t xml:space="preserve"> and </w:t>
                        </w:r>
                        <w:proofErr w:type="spellStart"/>
                        <w:r w:rsidRPr="00C07A8B">
                          <w:rPr>
                            <w:b/>
                            <w:bCs/>
                            <w:color w:val="FFFFFF" w:themeColor="background1"/>
                            <w:sz w:val="20"/>
                            <w:szCs w:val="20"/>
                            <w:lang w:val="mi-NZ"/>
                          </w:rPr>
                          <w:t>the</w:t>
                        </w:r>
                        <w:proofErr w:type="spellEnd"/>
                        <w:r w:rsidRPr="00C07A8B">
                          <w:rPr>
                            <w:b/>
                            <w:bCs/>
                            <w:color w:val="FFFFFF" w:themeColor="background1"/>
                            <w:sz w:val="20"/>
                            <w:szCs w:val="20"/>
                            <w:lang w:val="mi-NZ"/>
                          </w:rPr>
                          <w:t xml:space="preserve"> </w:t>
                        </w:r>
                        <w:proofErr w:type="spellStart"/>
                        <w:r w:rsidRPr="00C07A8B">
                          <w:rPr>
                            <w:b/>
                            <w:bCs/>
                            <w:color w:val="FFFFFF" w:themeColor="background1"/>
                            <w:sz w:val="20"/>
                            <w:szCs w:val="20"/>
                            <w:lang w:val="mi-NZ"/>
                          </w:rPr>
                          <w:t>provider</w:t>
                        </w:r>
                        <w:proofErr w:type="spellEnd"/>
                        <w:r w:rsidRPr="00C07A8B">
                          <w:rPr>
                            <w:b/>
                            <w:bCs/>
                            <w:color w:val="FFFFFF" w:themeColor="background1"/>
                            <w:sz w:val="20"/>
                            <w:szCs w:val="20"/>
                            <w:lang w:val="mi-NZ"/>
                          </w:rPr>
                          <w:t xml:space="preserve">. </w:t>
                        </w:r>
                      </w:p>
                      <w:p w14:paraId="089F5A74" w14:textId="6148DBDA" w:rsidR="00C07A8B" w:rsidRPr="003D215E" w:rsidRDefault="00C07A8B" w:rsidP="00C07A8B">
                        <w:pPr>
                          <w:jc w:val="center"/>
                          <w:rPr>
                            <w:rFonts w:cs="Segoe UI"/>
                            <w:color w:val="FFFFFF" w:themeColor="background1"/>
                            <w:sz w:val="20"/>
                            <w:szCs w:val="20"/>
                            <w:lang w:val="mi-NZ"/>
                          </w:rPr>
                        </w:pPr>
                      </w:p>
                    </w:txbxContent>
                  </v:textbox>
                </v:rect>
                <v:rect id="Rectangle 11" o:spid="_x0000_s1033" style="position:absolute;left:43338;top:26289;width:44634;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" fillcolor="#0a6ab4" stroked="f" strokeweight="1pt">
                  <v:textbox>
                    <w:txbxContent>
                      <w:p w14:paraId="647F5801" w14:textId="5BBBBCE3" w:rsidR="00C07A8B" w:rsidRPr="00C07A8B" w:rsidRDefault="00C07A8B" w:rsidP="00C07A8B">
                        <w:pPr>
                          <w:jc w:val="center"/>
                          <w:rPr>
                            <w:b/>
                            <w:bCs/>
                            <w:sz w:val="20"/>
                            <w:szCs w:val="20"/>
                            <w:lang w:val="mi-NZ"/>
                          </w:rPr>
                        </w:pPr>
                        <w:r w:rsidRPr="00C07A8B">
                          <w:rPr>
                            <w:b/>
                            <w:bCs/>
                            <w:color w:val="FFFFFF" w:themeColor="background1"/>
                            <w:sz w:val="20"/>
                            <w:szCs w:val="20"/>
                          </w:rPr>
                          <w:t xml:space="preserve">Any resulting actions required by the provider </w:t>
                        </w:r>
                        <w:r w:rsidR="005B7853">
                          <w:rPr>
                            <w:b/>
                            <w:bCs/>
                            <w:color w:val="FFFFFF" w:themeColor="background1"/>
                            <w:sz w:val="20"/>
                            <w:szCs w:val="20"/>
                          </w:rPr>
                          <w:br/>
                        </w:r>
                        <w:r w:rsidRPr="00C07A8B">
                          <w:rPr>
                            <w:b/>
                            <w:bCs/>
                            <w:color w:val="FFFFFF" w:themeColor="background1"/>
                            <w:sz w:val="20"/>
                            <w:szCs w:val="20"/>
                          </w:rPr>
                          <w:t>will be reported to the Ministry in accordance with monitoring requirements.</w:t>
                        </w:r>
                      </w:p>
                      <w:p w14:paraId="010B4A1E" w14:textId="77777777" w:rsidR="00C07A8B" w:rsidRPr="003D215E" w:rsidRDefault="00C07A8B" w:rsidP="00C07A8B">
                        <w:pPr>
                          <w:jc w:val="center"/>
                          <w:rPr>
                            <w:rFonts w:cs="Segoe UI"/>
                            <w:color w:val="FFFFFF" w:themeColor="background1"/>
                            <w:sz w:val="20"/>
                            <w:szCs w:val="20"/>
                            <w:lang w:val="mi-NZ"/>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34" type="#_x0000_t13" style="position:absolute;left:18859;top:2190;width:6229;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" adj="15578" fillcolor="#23305d" stroked="f" strokeweight="2pt"/>
                <v:shape id="Arrow: Right 16" o:spid="_x0000_s1035" type="#_x0000_t13" style="position:absolute;left:52578;top:2095;width:5619;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" adj="14925" fillcolor="#23305d" stroked="f" strokeweight="2pt"/>
                <v:shape id="Arrow: Right 17" o:spid="_x0000_s1036" type="#_x0000_t13" style="position:absolute;left:31718;top:15335;width:11620;height:34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" adj="18372" fillcolor="#23305d" stroked="f" strokeweight="2pt"/>
                <v:shape id="Arrow: Right 18" o:spid="_x0000_s1037" type="#_x0000_t13" style="position:absolute;left:30765;top:28194;width:11716;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" adj="18398" fillcolor="#23305d" stroked="f"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38" type="#_x0000_t67" style="position:absolute;left:72009;top:7524;width:34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" adj="13500" fillcolor="#23305d" stroked="f" strokeweight="2pt"/>
                <v:shape id="Arrow: Down 20" o:spid="_x0000_s1039" type="#_x0000_t67" style="position:absolute;left:12858;top:20383;width:3429;height:5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" adj="14590" fillcolor="#23305d" stroked="f" strokeweight="2pt"/>
              </v:group>
            </w:pict>
          </mc:Fallback>
        </mc:AlternateContent>
      </w:r>
    </w:p>
    <w:p w14:paraId="1B8AAF35" w14:textId="1EE65295" w:rsidR="00E6374A" w:rsidRPr="00887B0A" w:rsidRDefault="00E6374A" w:rsidP="00E6374A"/>
    <w:p w14:paraId="53D0E226" w14:textId="7789D8B0" w:rsidR="00783D9C" w:rsidRPr="00DD748F" w:rsidRDefault="00783D9C" w:rsidP="00A401D7"/>
    <w:p w14:paraId="0F80B528" w14:textId="146F293D" w:rsidR="00EB461E" w:rsidRPr="00DD748F" w:rsidRDefault="00EB461E" w:rsidP="00C34608">
      <w:pPr>
        <w:spacing w:before="480"/>
        <w:jc w:val="center"/>
        <w:rPr>
          <w:rFonts w:ascii="Cambria" w:hAnsi="Cambria"/>
        </w:rPr>
      </w:pPr>
    </w:p>
    <w:p w14:paraId="2649FB84" w14:textId="4C433D33" w:rsidR="00F72455" w:rsidRDefault="00F72455" w:rsidP="002233D8">
      <w:pPr>
        <w:spacing w:before="240"/>
        <w:jc w:val="center"/>
      </w:pPr>
    </w:p>
    <w:p w14:paraId="1381AE0D" w14:textId="7C4EA069" w:rsidR="00F72455" w:rsidRDefault="00F72455" w:rsidP="002233D8">
      <w:pPr>
        <w:spacing w:before="240"/>
        <w:jc w:val="center"/>
      </w:pPr>
    </w:p>
    <w:p w14:paraId="3CC781AB" w14:textId="217AF3FD" w:rsidR="00F72455" w:rsidRDefault="00F72455" w:rsidP="002233D8">
      <w:pPr>
        <w:spacing w:before="240"/>
        <w:jc w:val="center"/>
      </w:pPr>
    </w:p>
    <w:p w14:paraId="1F4078E2" w14:textId="6B1DBA84" w:rsidR="00F72455" w:rsidRDefault="00F72455" w:rsidP="002233D8">
      <w:pPr>
        <w:spacing w:before="240"/>
        <w:jc w:val="center"/>
      </w:pPr>
    </w:p>
    <w:p w14:paraId="6C821563" w14:textId="2B6FFF4F" w:rsidR="00F72455" w:rsidRDefault="00F72455" w:rsidP="002233D8">
      <w:pPr>
        <w:spacing w:before="240"/>
        <w:jc w:val="center"/>
      </w:pPr>
    </w:p>
    <w:p w14:paraId="79BD5F37" w14:textId="4B868F91" w:rsidR="00F72455" w:rsidRDefault="00F72455" w:rsidP="002233D8">
      <w:pPr>
        <w:spacing w:before="240"/>
        <w:jc w:val="center"/>
      </w:pPr>
    </w:p>
    <w:p w14:paraId="5BAFFDD4" w14:textId="67D9322C" w:rsidR="00F72455" w:rsidRDefault="00F72455" w:rsidP="002233D8">
      <w:pPr>
        <w:spacing w:before="240"/>
        <w:jc w:val="center"/>
      </w:pPr>
    </w:p>
    <w:p w14:paraId="479430D1" w14:textId="7BF74E60" w:rsidR="00F72455" w:rsidRDefault="00F72455" w:rsidP="002233D8">
      <w:pPr>
        <w:spacing w:before="240"/>
        <w:jc w:val="center"/>
      </w:pPr>
    </w:p>
    <w:p w14:paraId="762C0BCA" w14:textId="586AB221" w:rsidR="00660619" w:rsidRDefault="00660619" w:rsidP="00660619">
      <w:pPr>
        <w:rPr>
          <w:lang w:eastAsia="en-NZ"/>
        </w:rPr>
      </w:pPr>
    </w:p>
    <w:sectPr w:rsidR="00660619" w:rsidSect="00C07A8B">
      <w:headerReference w:type="first" r:id="rId18"/>
      <w:footerReference w:type="first" r:id="rId19"/>
      <w:pgSz w:w="16838" w:h="11906" w:orient="landscape" w:code="9"/>
      <w:pgMar w:top="1418" w:right="1134" w:bottom="1134"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31DE" w14:textId="77777777" w:rsidR="00664F23" w:rsidRDefault="00664F23">
      <w:r>
        <w:separator/>
      </w:r>
    </w:p>
  </w:endnote>
  <w:endnote w:type="continuationSeparator" w:id="0">
    <w:p w14:paraId="17B86E8F" w14:textId="77777777" w:rsidR="00664F23" w:rsidRDefault="0066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01997"/>
      <w:docPartObj>
        <w:docPartGallery w:val="Page Numbers (Bottom of Page)"/>
        <w:docPartUnique/>
      </w:docPartObj>
    </w:sdtPr>
    <w:sdtEndPr>
      <w:rPr>
        <w:b/>
        <w:bCs/>
        <w:noProof/>
        <w:sz w:val="22"/>
        <w:szCs w:val="22"/>
      </w:rPr>
    </w:sdtEndPr>
    <w:sdtContent>
      <w:p w14:paraId="51C39633" w14:textId="48F55CB5" w:rsidR="00034792" w:rsidRPr="00034792" w:rsidRDefault="00034792" w:rsidP="00034792">
        <w:pPr>
          <w:pStyle w:val="Footer"/>
          <w:tabs>
            <w:tab w:val="left" w:pos="851"/>
          </w:tabs>
          <w:rPr>
            <w:b/>
            <w:bCs/>
            <w:sz w:val="22"/>
            <w:szCs w:val="22"/>
          </w:rPr>
        </w:pPr>
        <w:r w:rsidRPr="00034792">
          <w:rPr>
            <w:b/>
            <w:bCs/>
            <w:sz w:val="22"/>
            <w:szCs w:val="22"/>
          </w:rPr>
          <w:fldChar w:fldCharType="begin"/>
        </w:r>
        <w:r w:rsidRPr="00034792">
          <w:rPr>
            <w:b/>
            <w:bCs/>
            <w:sz w:val="22"/>
            <w:szCs w:val="22"/>
          </w:rPr>
          <w:instrText xml:space="preserve"> PAGE   \* MERGEFORMAT </w:instrText>
        </w:r>
        <w:r w:rsidRPr="00034792">
          <w:rPr>
            <w:b/>
            <w:bCs/>
            <w:sz w:val="22"/>
            <w:szCs w:val="22"/>
          </w:rPr>
          <w:fldChar w:fldCharType="separate"/>
        </w:r>
        <w:r w:rsidRPr="00034792">
          <w:rPr>
            <w:b/>
            <w:bCs/>
            <w:noProof/>
            <w:sz w:val="22"/>
            <w:szCs w:val="22"/>
          </w:rPr>
          <w:t>2</w:t>
        </w:r>
        <w:r w:rsidRPr="00034792">
          <w:rPr>
            <w:b/>
            <w:bCs/>
            <w:noProof/>
            <w:sz w:val="22"/>
            <w:szCs w:val="22"/>
          </w:rPr>
          <w:fldChar w:fldCharType="end"/>
        </w:r>
        <w:r>
          <w:rPr>
            <w:b/>
            <w:bCs/>
            <w:noProof/>
            <w:sz w:val="22"/>
            <w:szCs w:val="22"/>
          </w:rPr>
          <w:tab/>
        </w:r>
        <w:r w:rsidRPr="00034792">
          <w:rPr>
            <w:sz w:val="15"/>
            <w:szCs w:val="15"/>
          </w:rPr>
          <w:t xml:space="preserve">DRUG CHECKING </w:t>
        </w:r>
        <w:r w:rsidR="009022A6">
          <w:rPr>
            <w:sz w:val="15"/>
            <w:szCs w:val="15"/>
          </w:rPr>
          <w:t>COMPLAINTS</w:t>
        </w:r>
        <w:r w:rsidRPr="00034792">
          <w:rPr>
            <w:sz w:val="15"/>
            <w:szCs w:val="15"/>
          </w:rPr>
          <w:t xml:space="preserve"> POLICY</w:t>
        </w:r>
      </w:p>
    </w:sdtContent>
  </w:sdt>
  <w:p w14:paraId="3E3D2028" w14:textId="77777777" w:rsidR="00EE6CE2" w:rsidRPr="00525FFB" w:rsidRDefault="00EE6CE2" w:rsidP="00034792">
    <w:pPr>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034792" w14:paraId="5357A07F" w14:textId="77777777" w:rsidTr="002B7139">
      <w:trPr>
        <w:cantSplit/>
      </w:trPr>
      <w:tc>
        <w:tcPr>
          <w:tcW w:w="8647" w:type="dxa"/>
          <w:vAlign w:val="center"/>
        </w:tcPr>
        <w:p w14:paraId="4A683252" w14:textId="5B3086E6" w:rsidR="00034792" w:rsidRDefault="009022A6" w:rsidP="00034792">
          <w:pPr>
            <w:pStyle w:val="RectoFooter"/>
          </w:pPr>
          <w:r w:rsidRPr="00034792">
            <w:rPr>
              <w:szCs w:val="15"/>
            </w:rPr>
            <w:t xml:space="preserve">DRUG CHECKING </w:t>
          </w:r>
          <w:r>
            <w:rPr>
              <w:szCs w:val="15"/>
            </w:rPr>
            <w:t>COMPLAINTS</w:t>
          </w:r>
          <w:r w:rsidRPr="00034792">
            <w:rPr>
              <w:szCs w:val="15"/>
            </w:rPr>
            <w:t xml:space="preserve"> POLICY</w:t>
          </w:r>
        </w:p>
      </w:tc>
      <w:tc>
        <w:tcPr>
          <w:tcW w:w="709" w:type="dxa"/>
          <w:vAlign w:val="center"/>
        </w:tcPr>
        <w:p w14:paraId="1A5F4144" w14:textId="77777777" w:rsidR="00034792" w:rsidRPr="00525FFB" w:rsidRDefault="00034792" w:rsidP="00034792">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01637F7F" w14:textId="77777777" w:rsidR="00525FFB" w:rsidRPr="00525FFB" w:rsidRDefault="00525FFB" w:rsidP="0003479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32B75209" w:rsidR="00113C1B" w:rsidRDefault="00E6374A" w:rsidP="00F06D3B">
          <w:pPr>
            <w:pStyle w:val="RectoFooter"/>
          </w:pPr>
          <w:r>
            <w:t>REVIEW OF DRUG CHECKING LICENSING POLICY</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963"/>
      <w:gridCol w:w="1062"/>
    </w:tblGrid>
    <w:tr w:rsidR="005B7853" w14:paraId="490E7430" w14:textId="77777777" w:rsidTr="005B7853">
      <w:trPr>
        <w:cantSplit/>
        <w:trHeight w:val="462"/>
      </w:trPr>
      <w:tc>
        <w:tcPr>
          <w:tcW w:w="12963" w:type="dxa"/>
          <w:vAlign w:val="center"/>
        </w:tcPr>
        <w:p w14:paraId="6B24CCC6" w14:textId="77777777" w:rsidR="005B7853" w:rsidRDefault="005B7853" w:rsidP="00F06D3B">
          <w:pPr>
            <w:pStyle w:val="RectoFooter"/>
          </w:pPr>
          <w:r>
            <w:t>REVIEW OF DRUG CHECKING LICENSING POLICY</w:t>
          </w:r>
        </w:p>
      </w:tc>
      <w:tc>
        <w:tcPr>
          <w:tcW w:w="1062" w:type="dxa"/>
          <w:vAlign w:val="center"/>
        </w:tcPr>
        <w:p w14:paraId="7DD0A9C9" w14:textId="77777777" w:rsidR="005B7853" w:rsidRPr="00525FFB" w:rsidRDefault="005B7853"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4A8C2C21" w14:textId="77777777" w:rsidR="005B7853" w:rsidRPr="00113C1B" w:rsidRDefault="005B7853"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748F" w14:textId="77777777" w:rsidR="00664F23" w:rsidRPr="00680D2D" w:rsidRDefault="00664F23" w:rsidP="00680D2D">
      <w:pPr>
        <w:pStyle w:val="Footer"/>
      </w:pPr>
    </w:p>
  </w:footnote>
  <w:footnote w:type="continuationSeparator" w:id="0">
    <w:p w14:paraId="3FE1C33F" w14:textId="77777777" w:rsidR="00664F23" w:rsidRDefault="0066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0B5459D1">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1" name="Picture 3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4691E0DC">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32" name="Picture 3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7A79" w14:textId="2D1D36D0" w:rsidR="00C07A8B" w:rsidRDefault="00C07A8B" w:rsidP="00BD22FC">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EE8"/>
    <w:multiLevelType w:val="hybridMultilevel"/>
    <w:tmpl w:val="B11ABA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A4254E8"/>
    <w:multiLevelType w:val="hybridMultilevel"/>
    <w:tmpl w:val="5BE6F5E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5AFC3AC9"/>
    <w:multiLevelType w:val="hybridMultilevel"/>
    <w:tmpl w:val="E83017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E1220AA"/>
    <w:multiLevelType w:val="multilevel"/>
    <w:tmpl w:val="F1A8484A"/>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umberedHeadingBold"/>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A425F"/>
    <w:multiLevelType w:val="hybridMultilevel"/>
    <w:tmpl w:val="9DAC8156"/>
    <w:lvl w:ilvl="0" w:tplc="4CBC308A">
      <w:start w:val="1"/>
      <w:numFmt w:val="bullet"/>
      <w:pStyle w:val="Dash"/>
      <w:lvlText w:val="–"/>
      <w:lvlJc w:val="left"/>
      <w:pPr>
        <w:ind w:left="1646" w:hanging="360"/>
      </w:pPr>
      <w:rPr>
        <w:rFonts w:ascii="Courier New" w:hAnsi="Courier New" w:hint="default"/>
      </w:rPr>
    </w:lvl>
    <w:lvl w:ilvl="1" w:tplc="14090003">
      <w:start w:val="1"/>
      <w:numFmt w:val="bullet"/>
      <w:lvlText w:val="o"/>
      <w:lvlJc w:val="left"/>
      <w:pPr>
        <w:ind w:left="2366" w:hanging="360"/>
      </w:pPr>
      <w:rPr>
        <w:rFonts w:ascii="Courier New" w:hAnsi="Courier New" w:cs="Courier New" w:hint="default"/>
      </w:rPr>
    </w:lvl>
    <w:lvl w:ilvl="2" w:tplc="14090005" w:tentative="1">
      <w:start w:val="1"/>
      <w:numFmt w:val="bullet"/>
      <w:lvlText w:val=""/>
      <w:lvlJc w:val="left"/>
      <w:pPr>
        <w:ind w:left="3086" w:hanging="360"/>
      </w:pPr>
      <w:rPr>
        <w:rFonts w:ascii="Wingdings" w:hAnsi="Wingdings" w:hint="default"/>
      </w:rPr>
    </w:lvl>
    <w:lvl w:ilvl="3" w:tplc="14090001" w:tentative="1">
      <w:start w:val="1"/>
      <w:numFmt w:val="bullet"/>
      <w:lvlText w:val=""/>
      <w:lvlJc w:val="left"/>
      <w:pPr>
        <w:ind w:left="3806" w:hanging="360"/>
      </w:pPr>
      <w:rPr>
        <w:rFonts w:ascii="Symbol" w:hAnsi="Symbol" w:hint="default"/>
      </w:rPr>
    </w:lvl>
    <w:lvl w:ilvl="4" w:tplc="14090003" w:tentative="1">
      <w:start w:val="1"/>
      <w:numFmt w:val="bullet"/>
      <w:lvlText w:val="o"/>
      <w:lvlJc w:val="left"/>
      <w:pPr>
        <w:ind w:left="4526" w:hanging="360"/>
      </w:pPr>
      <w:rPr>
        <w:rFonts w:ascii="Courier New" w:hAnsi="Courier New" w:cs="Courier New" w:hint="default"/>
      </w:rPr>
    </w:lvl>
    <w:lvl w:ilvl="5" w:tplc="14090005" w:tentative="1">
      <w:start w:val="1"/>
      <w:numFmt w:val="bullet"/>
      <w:lvlText w:val=""/>
      <w:lvlJc w:val="left"/>
      <w:pPr>
        <w:ind w:left="5246" w:hanging="360"/>
      </w:pPr>
      <w:rPr>
        <w:rFonts w:ascii="Wingdings" w:hAnsi="Wingdings" w:hint="default"/>
      </w:rPr>
    </w:lvl>
    <w:lvl w:ilvl="6" w:tplc="14090001" w:tentative="1">
      <w:start w:val="1"/>
      <w:numFmt w:val="bullet"/>
      <w:lvlText w:val=""/>
      <w:lvlJc w:val="left"/>
      <w:pPr>
        <w:ind w:left="5966" w:hanging="360"/>
      </w:pPr>
      <w:rPr>
        <w:rFonts w:ascii="Symbol" w:hAnsi="Symbol" w:hint="default"/>
      </w:rPr>
    </w:lvl>
    <w:lvl w:ilvl="7" w:tplc="14090003" w:tentative="1">
      <w:start w:val="1"/>
      <w:numFmt w:val="bullet"/>
      <w:lvlText w:val="o"/>
      <w:lvlJc w:val="left"/>
      <w:pPr>
        <w:ind w:left="6686" w:hanging="360"/>
      </w:pPr>
      <w:rPr>
        <w:rFonts w:ascii="Courier New" w:hAnsi="Courier New" w:cs="Courier New" w:hint="default"/>
      </w:rPr>
    </w:lvl>
    <w:lvl w:ilvl="8" w:tplc="14090005" w:tentative="1">
      <w:start w:val="1"/>
      <w:numFmt w:val="bullet"/>
      <w:lvlText w:val=""/>
      <w:lvlJc w:val="left"/>
      <w:pPr>
        <w:ind w:left="7406" w:hanging="360"/>
      </w:pPr>
      <w:rPr>
        <w:rFonts w:ascii="Wingdings" w:hAnsi="Wingdings" w:hint="default"/>
      </w:rPr>
    </w:lvl>
  </w:abstractNum>
  <w:abstractNum w:abstractNumId="7" w15:restartNumberingAfterBreak="0">
    <w:nsid w:val="66BC78ED"/>
    <w:multiLevelType w:val="hybridMultilevel"/>
    <w:tmpl w:val="76E81A86"/>
    <w:lvl w:ilvl="0" w:tplc="DBC47BB6">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50C27FC0">
      <w:start w:val="1"/>
      <w:numFmt w:val="bullet"/>
      <w:lvlText w:val=""/>
      <w:lvlJc w:val="left"/>
      <w:pPr>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4769E3"/>
    <w:multiLevelType w:val="hybridMultilevel"/>
    <w:tmpl w:val="DF148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15:restartNumberingAfterBreak="0">
    <w:nsid w:val="6C3B70FC"/>
    <w:multiLevelType w:val="multilevel"/>
    <w:tmpl w:val="F474987E"/>
    <w:lvl w:ilvl="0">
      <w:start w:val="1"/>
      <w:numFmt w:val="decimal"/>
      <w:pStyle w:val="Numberedpar"/>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79CF5EAC"/>
    <w:multiLevelType w:val="hybridMultilevel"/>
    <w:tmpl w:val="FFFFFFFF"/>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B1D54C2"/>
    <w:multiLevelType w:val="hybridMultilevel"/>
    <w:tmpl w:val="8CFE85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8"/>
  </w:num>
  <w:num w:numId="10">
    <w:abstractNumId w:val="12"/>
  </w:num>
  <w:num w:numId="11">
    <w:abstractNumId w:val="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1"/>
  </w:num>
  <w:num w:numId="16">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20081"/>
    <w:rsid w:val="000253A7"/>
    <w:rsid w:val="00034792"/>
    <w:rsid w:val="00075ED0"/>
    <w:rsid w:val="00080D1E"/>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514C1"/>
    <w:rsid w:val="001705DC"/>
    <w:rsid w:val="0018777F"/>
    <w:rsid w:val="001925EF"/>
    <w:rsid w:val="001A3A19"/>
    <w:rsid w:val="001A7FBC"/>
    <w:rsid w:val="001B546D"/>
    <w:rsid w:val="001D5873"/>
    <w:rsid w:val="001E1749"/>
    <w:rsid w:val="001E2403"/>
    <w:rsid w:val="001F5811"/>
    <w:rsid w:val="001F6C46"/>
    <w:rsid w:val="001F7445"/>
    <w:rsid w:val="00206DC0"/>
    <w:rsid w:val="002222BC"/>
    <w:rsid w:val="002233D8"/>
    <w:rsid w:val="00225A19"/>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2D6D82"/>
    <w:rsid w:val="002E5747"/>
    <w:rsid w:val="003005BD"/>
    <w:rsid w:val="003030F4"/>
    <w:rsid w:val="003046F0"/>
    <w:rsid w:val="00306307"/>
    <w:rsid w:val="00307CE5"/>
    <w:rsid w:val="0031520E"/>
    <w:rsid w:val="003156B0"/>
    <w:rsid w:val="003221A7"/>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D215E"/>
    <w:rsid w:val="003D2937"/>
    <w:rsid w:val="003E6828"/>
    <w:rsid w:val="003F0969"/>
    <w:rsid w:val="003F471C"/>
    <w:rsid w:val="004014CB"/>
    <w:rsid w:val="0041467A"/>
    <w:rsid w:val="00423830"/>
    <w:rsid w:val="00433D3E"/>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C49F1"/>
    <w:rsid w:val="004D17ED"/>
    <w:rsid w:val="004E420D"/>
    <w:rsid w:val="005132E5"/>
    <w:rsid w:val="005243E3"/>
    <w:rsid w:val="00525F48"/>
    <w:rsid w:val="00525FFB"/>
    <w:rsid w:val="00527FCE"/>
    <w:rsid w:val="00532A27"/>
    <w:rsid w:val="005363DD"/>
    <w:rsid w:val="00545BA3"/>
    <w:rsid w:val="00546D2C"/>
    <w:rsid w:val="00554E9C"/>
    <w:rsid w:val="00555074"/>
    <w:rsid w:val="005559D9"/>
    <w:rsid w:val="00560222"/>
    <w:rsid w:val="00563001"/>
    <w:rsid w:val="00563A31"/>
    <w:rsid w:val="00577711"/>
    <w:rsid w:val="00582EA7"/>
    <w:rsid w:val="0058606E"/>
    <w:rsid w:val="00587DF4"/>
    <w:rsid w:val="00590D07"/>
    <w:rsid w:val="005950A6"/>
    <w:rsid w:val="005958F2"/>
    <w:rsid w:val="00597F47"/>
    <w:rsid w:val="005B2223"/>
    <w:rsid w:val="005B7853"/>
    <w:rsid w:val="005D3D35"/>
    <w:rsid w:val="005E2D49"/>
    <w:rsid w:val="005E44CE"/>
    <w:rsid w:val="005F139D"/>
    <w:rsid w:val="006140C0"/>
    <w:rsid w:val="00617539"/>
    <w:rsid w:val="00620375"/>
    <w:rsid w:val="00622810"/>
    <w:rsid w:val="0062291E"/>
    <w:rsid w:val="006306C9"/>
    <w:rsid w:val="0063296E"/>
    <w:rsid w:val="006339A0"/>
    <w:rsid w:val="00640014"/>
    <w:rsid w:val="00644953"/>
    <w:rsid w:val="00660619"/>
    <w:rsid w:val="00660E5F"/>
    <w:rsid w:val="00664F23"/>
    <w:rsid w:val="006673D3"/>
    <w:rsid w:val="00672B8B"/>
    <w:rsid w:val="00673303"/>
    <w:rsid w:val="006744E6"/>
    <w:rsid w:val="00676929"/>
    <w:rsid w:val="00680D2D"/>
    <w:rsid w:val="006819B0"/>
    <w:rsid w:val="00686753"/>
    <w:rsid w:val="006A2250"/>
    <w:rsid w:val="006B339F"/>
    <w:rsid w:val="006C1FB8"/>
    <w:rsid w:val="006C407C"/>
    <w:rsid w:val="006C583E"/>
    <w:rsid w:val="006D0197"/>
    <w:rsid w:val="006D1FA2"/>
    <w:rsid w:val="006D2458"/>
    <w:rsid w:val="006E17A7"/>
    <w:rsid w:val="006F544C"/>
    <w:rsid w:val="00737F49"/>
    <w:rsid w:val="00740786"/>
    <w:rsid w:val="0074188F"/>
    <w:rsid w:val="00760E80"/>
    <w:rsid w:val="00761961"/>
    <w:rsid w:val="00766D1F"/>
    <w:rsid w:val="00771B0E"/>
    <w:rsid w:val="00777DD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61B1B"/>
    <w:rsid w:val="00871DCD"/>
    <w:rsid w:val="00874284"/>
    <w:rsid w:val="00874CFF"/>
    <w:rsid w:val="00876FB8"/>
    <w:rsid w:val="008772CA"/>
    <w:rsid w:val="00880305"/>
    <w:rsid w:val="008911F1"/>
    <w:rsid w:val="00891CA0"/>
    <w:rsid w:val="008B458F"/>
    <w:rsid w:val="008B5992"/>
    <w:rsid w:val="008C6C9F"/>
    <w:rsid w:val="008C7877"/>
    <w:rsid w:val="008D2C1F"/>
    <w:rsid w:val="008E18DB"/>
    <w:rsid w:val="008F2E4A"/>
    <w:rsid w:val="008F7A81"/>
    <w:rsid w:val="0090028B"/>
    <w:rsid w:val="009022A6"/>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216C"/>
    <w:rsid w:val="00973036"/>
    <w:rsid w:val="009842E4"/>
    <w:rsid w:val="009874FB"/>
    <w:rsid w:val="00993F56"/>
    <w:rsid w:val="009948F8"/>
    <w:rsid w:val="009A3D52"/>
    <w:rsid w:val="009A60E7"/>
    <w:rsid w:val="009A7FAF"/>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41FD0"/>
    <w:rsid w:val="00A655A6"/>
    <w:rsid w:val="00A7037D"/>
    <w:rsid w:val="00A71902"/>
    <w:rsid w:val="00A821D8"/>
    <w:rsid w:val="00A8585C"/>
    <w:rsid w:val="00A92321"/>
    <w:rsid w:val="00A969B1"/>
    <w:rsid w:val="00AA7466"/>
    <w:rsid w:val="00AB0789"/>
    <w:rsid w:val="00AB1FC9"/>
    <w:rsid w:val="00AD2971"/>
    <w:rsid w:val="00AE227E"/>
    <w:rsid w:val="00AE4173"/>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A8B"/>
    <w:rsid w:val="00C07E3F"/>
    <w:rsid w:val="00C169F3"/>
    <w:rsid w:val="00C25485"/>
    <w:rsid w:val="00C260A1"/>
    <w:rsid w:val="00C32E23"/>
    <w:rsid w:val="00C34608"/>
    <w:rsid w:val="00C37086"/>
    <w:rsid w:val="00C44CE3"/>
    <w:rsid w:val="00C50606"/>
    <w:rsid w:val="00C5449C"/>
    <w:rsid w:val="00C60C5C"/>
    <w:rsid w:val="00C63124"/>
    <w:rsid w:val="00C8457A"/>
    <w:rsid w:val="00C903AA"/>
    <w:rsid w:val="00CA2A9E"/>
    <w:rsid w:val="00CB6E4F"/>
    <w:rsid w:val="00CC140B"/>
    <w:rsid w:val="00CC3C38"/>
    <w:rsid w:val="00CD0053"/>
    <w:rsid w:val="00CD373C"/>
    <w:rsid w:val="00CD3CE9"/>
    <w:rsid w:val="00CD6D75"/>
    <w:rsid w:val="00CE636E"/>
    <w:rsid w:val="00CE689C"/>
    <w:rsid w:val="00CE689F"/>
    <w:rsid w:val="00CF55A8"/>
    <w:rsid w:val="00CF580E"/>
    <w:rsid w:val="00CF7EBD"/>
    <w:rsid w:val="00D0569E"/>
    <w:rsid w:val="00D1061D"/>
    <w:rsid w:val="00D20108"/>
    <w:rsid w:val="00D20C0C"/>
    <w:rsid w:val="00D24A2A"/>
    <w:rsid w:val="00D3063B"/>
    <w:rsid w:val="00D307BA"/>
    <w:rsid w:val="00D30984"/>
    <w:rsid w:val="00D36191"/>
    <w:rsid w:val="00D37487"/>
    <w:rsid w:val="00D40578"/>
    <w:rsid w:val="00D518A4"/>
    <w:rsid w:val="00D52304"/>
    <w:rsid w:val="00D532EE"/>
    <w:rsid w:val="00D56D8D"/>
    <w:rsid w:val="00D61B28"/>
    <w:rsid w:val="00D64E5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C342D"/>
    <w:rsid w:val="00DD2C28"/>
    <w:rsid w:val="00DD748F"/>
    <w:rsid w:val="00DE5ADA"/>
    <w:rsid w:val="00DF0496"/>
    <w:rsid w:val="00DF2316"/>
    <w:rsid w:val="00DF2727"/>
    <w:rsid w:val="00E062F3"/>
    <w:rsid w:val="00E158A8"/>
    <w:rsid w:val="00E2207D"/>
    <w:rsid w:val="00E2772A"/>
    <w:rsid w:val="00E27894"/>
    <w:rsid w:val="00E27F17"/>
    <w:rsid w:val="00E362D1"/>
    <w:rsid w:val="00E3729A"/>
    <w:rsid w:val="00E40493"/>
    <w:rsid w:val="00E43A89"/>
    <w:rsid w:val="00E44733"/>
    <w:rsid w:val="00E5476D"/>
    <w:rsid w:val="00E54AB1"/>
    <w:rsid w:val="00E6374A"/>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2455"/>
    <w:rsid w:val="00F74042"/>
    <w:rsid w:val="00F75AA1"/>
    <w:rsid w:val="00F824C7"/>
    <w:rsid w:val="00F9005E"/>
    <w:rsid w:val="00F95B54"/>
    <w:rsid w:val="00FA5B0D"/>
    <w:rsid w:val="00FA6AD2"/>
    <w:rsid w:val="00FC0E59"/>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81"/>
    <w:pPr>
      <w:spacing w:before="120" w:after="120" w:line="264" w:lineRule="auto"/>
    </w:pPr>
    <w:rPr>
      <w:rFonts w:ascii="Segoe UI" w:hAnsi="Segoe UI"/>
      <w:sz w:val="22"/>
      <w:szCs w:val="24"/>
      <w:lang w:eastAsia="en-US"/>
    </w:rPr>
  </w:style>
  <w:style w:type="paragraph" w:styleId="Heading1">
    <w:name w:val="heading 1"/>
    <w:basedOn w:val="Normal"/>
    <w:next w:val="Normal"/>
    <w:link w:val="Heading1Char"/>
    <w:uiPriority w:val="9"/>
    <w:qFormat/>
    <w:rsid w:val="00D37487"/>
    <w:pPr>
      <w:numPr>
        <w:numId w:val="11"/>
      </w:numPr>
      <w:spacing w:before="240" w:after="240"/>
      <w:outlineLvl w:val="0"/>
    </w:pPr>
    <w:rPr>
      <w:rFonts w:cs="Arial"/>
      <w:b/>
      <w:bCs/>
      <w:sz w:val="32"/>
      <w:szCs w:val="48"/>
    </w:rPr>
  </w:style>
  <w:style w:type="paragraph" w:styleId="Heading2">
    <w:name w:val="heading 2"/>
    <w:basedOn w:val="Normal"/>
    <w:next w:val="Normal"/>
    <w:link w:val="Heading2Char"/>
    <w:uiPriority w:val="9"/>
    <w:qFormat/>
    <w:rsid w:val="00433D3E"/>
    <w:pPr>
      <w:keepNext/>
      <w:spacing w:before="360"/>
      <w:outlineLvl w:val="1"/>
    </w:pPr>
    <w:rPr>
      <w:rFonts w:cs="Arial"/>
      <w:b/>
      <w:bCs/>
      <w:iCs/>
      <w:sz w:val="24"/>
      <w:szCs w:val="28"/>
    </w:rPr>
  </w:style>
  <w:style w:type="paragraph" w:styleId="Heading3">
    <w:name w:val="heading 3"/>
    <w:basedOn w:val="Normal"/>
    <w:next w:val="Normal"/>
    <w:qFormat/>
    <w:rsid w:val="0090028B"/>
    <w:pPr>
      <w:keepNext/>
      <w:spacing w:before="360"/>
      <w:outlineLvl w:val="2"/>
    </w:pPr>
    <w:rPr>
      <w:rFonts w:cs="Arial"/>
      <w:b/>
      <w:bCs/>
      <w:sz w:val="28"/>
      <w:szCs w:val="26"/>
    </w:rPr>
  </w:style>
  <w:style w:type="paragraph" w:styleId="Heading4">
    <w:name w:val="heading 4"/>
    <w:basedOn w:val="Normal"/>
    <w:next w:val="Normal"/>
    <w:link w:val="Heading4Char"/>
    <w:unhideWhenUsed/>
    <w:qFormat/>
    <w:rsid w:val="00EE6CE2"/>
    <w:pPr>
      <w:keepNext/>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0200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527FCE"/>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rPr>
      <w:sz w:val="18"/>
    </w:rPr>
  </w:style>
  <w:style w:type="paragraph" w:customStyle="1" w:styleId="Number">
    <w:name w:val="Number"/>
    <w:basedOn w:val="Normal"/>
    <w:qFormat/>
    <w:rsid w:val="00D37487"/>
    <w:pPr>
      <w:numPr>
        <w:ilvl w:val="1"/>
        <w:numId w:val="11"/>
      </w:numPr>
      <w:spacing w:before="240"/>
    </w:pPr>
    <w:rPr>
      <w:b/>
      <w:sz w:val="24"/>
    </w:rPr>
  </w:style>
  <w:style w:type="paragraph" w:customStyle="1" w:styleId="Letter">
    <w:name w:val="Letter"/>
    <w:basedOn w:val="Normal"/>
    <w:qFormat/>
    <w:rsid w:val="00A401D7"/>
    <w:pPr>
      <w:numPr>
        <w:ilvl w:val="2"/>
        <w:numId w:val="11"/>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ind w:left="567" w:right="284" w:hanging="283"/>
    </w:pPr>
    <w:rPr>
      <w:szCs w:val="20"/>
      <w:lang w:eastAsia="en-GB"/>
    </w:rPr>
  </w:style>
  <w:style w:type="character" w:customStyle="1" w:styleId="BulletChar">
    <w:name w:val="Bullet Char"/>
    <w:link w:val="Bullet"/>
    <w:locked/>
    <w:rsid w:val="00527FCE"/>
    <w:rPr>
      <w:rFonts w:ascii="Segoe UI" w:hAnsi="Segoe UI"/>
      <w:sz w:val="22"/>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Cs w:val="22"/>
      <w:lang w:eastAsia="en-AU"/>
    </w:rPr>
  </w:style>
  <w:style w:type="paragraph" w:styleId="TOC2">
    <w:name w:val="toc 2"/>
    <w:basedOn w:val="Normal"/>
    <w:next w:val="Normal"/>
    <w:uiPriority w:val="39"/>
    <w:unhideWhenUsed/>
    <w:qFormat/>
    <w:rsid w:val="008911F1"/>
    <w:pPr>
      <w:tabs>
        <w:tab w:val="left" w:pos="1134"/>
        <w:tab w:val="right" w:pos="9356"/>
      </w:tabs>
      <w:ind w:left="1134" w:right="567" w:hanging="567"/>
    </w:pPr>
    <w:rPr>
      <w:szCs w:val="22"/>
      <w:lang w:eastAsia="en-AU"/>
    </w:rPr>
  </w:style>
  <w:style w:type="paragraph" w:customStyle="1" w:styleId="Dash">
    <w:name w:val="Dash"/>
    <w:basedOn w:val="Normal"/>
    <w:link w:val="DashChar"/>
    <w:qFormat/>
    <w:rsid w:val="000253A7"/>
    <w:pPr>
      <w:numPr>
        <w:numId w:val="3"/>
      </w:numPr>
      <w:spacing w:before="60"/>
      <w:ind w:left="1418" w:hanging="425"/>
    </w:pPr>
    <w:rPr>
      <w:rFonts w:eastAsia="Calibri" w:cs="Arial Mäori"/>
      <w:szCs w:val="22"/>
      <w:lang w:eastAsia="en-NZ"/>
    </w:rPr>
  </w:style>
  <w:style w:type="character" w:customStyle="1" w:styleId="DashChar">
    <w:name w:val="Dash Char"/>
    <w:link w:val="Dash"/>
    <w:rsid w:val="000253A7"/>
    <w:rPr>
      <w:rFonts w:ascii="Segoe UI" w:eastAsia="Calibri" w:hAnsi="Segoe UI" w:cs="Arial Mäori"/>
      <w:sz w:val="22"/>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pPr>
    <w:rPr>
      <w:b/>
    </w:rPr>
  </w:style>
  <w:style w:type="paragraph" w:customStyle="1" w:styleId="TableBullet">
    <w:name w:val="TableBullet"/>
    <w:basedOn w:val="TableText"/>
    <w:qFormat/>
    <w:rsid w:val="00E6374A"/>
    <w:pPr>
      <w:numPr>
        <w:numId w:val="4"/>
      </w:numPr>
      <w:spacing w:before="0"/>
      <w:ind w:left="284" w:hanging="284"/>
    </w:pPr>
    <w:rPr>
      <w:sz w:val="20"/>
      <w:szCs w:val="20"/>
    </w:rPr>
  </w:style>
  <w:style w:type="paragraph" w:styleId="Title">
    <w:name w:val="Title"/>
    <w:basedOn w:val="Normal"/>
    <w:next w:val="Normal"/>
    <w:link w:val="TitleChar"/>
    <w:uiPriority w:val="10"/>
    <w:qFormat/>
    <w:rsid w:val="00D37487"/>
    <w:pPr>
      <w:spacing w:after="80" w:line="240" w:lineRule="auto"/>
    </w:pPr>
    <w:rPr>
      <w:rFonts w:eastAsiaTheme="majorEastAsia" w:cstheme="majorBidi"/>
      <w:b/>
      <w:color w:val="23305D"/>
      <w:sz w:val="44"/>
      <w:szCs w:val="52"/>
    </w:rPr>
  </w:style>
  <w:style w:type="character" w:customStyle="1" w:styleId="TitleChar">
    <w:name w:val="Title Char"/>
    <w:basedOn w:val="DefaultParagraphFont"/>
    <w:link w:val="Title"/>
    <w:uiPriority w:val="10"/>
    <w:rsid w:val="00D37487"/>
    <w:rPr>
      <w:rFonts w:ascii="Segoe UI" w:eastAsiaTheme="majorEastAsia" w:hAnsi="Segoe UI" w:cstheme="majorBidi"/>
      <w:b/>
      <w:color w:val="23305D"/>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433D3E"/>
    <w:rPr>
      <w:rFonts w:ascii="Segoe UI" w:hAnsi="Segoe UI" w:cs="Arial"/>
      <w:b/>
      <w:bCs/>
      <w:iCs/>
      <w:sz w:val="24"/>
      <w:szCs w:val="28"/>
      <w:lang w:eastAsia="en-US"/>
    </w:rPr>
  </w:style>
  <w:style w:type="character" w:customStyle="1" w:styleId="FooterChar">
    <w:name w:val="Footer Char"/>
    <w:basedOn w:val="DefaultParagraphFont"/>
    <w:link w:val="Footer"/>
    <w:uiPriority w:val="99"/>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D37487"/>
    <w:rPr>
      <w:rFonts w:ascii="Segoe UI" w:hAnsi="Segoe UI" w:cs="Arial"/>
      <w:b/>
      <w:bCs/>
      <w:sz w:val="32"/>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BulletText1">
    <w:name w:val="Bullet Text 1"/>
    <w:basedOn w:val="Normal"/>
    <w:qFormat/>
    <w:rsid w:val="00FC0E59"/>
    <w:pPr>
      <w:numPr>
        <w:numId w:val="6"/>
      </w:numPr>
      <w:spacing w:line="240" w:lineRule="auto"/>
    </w:pPr>
    <w:rPr>
      <w:rFonts w:ascii="Times New Roman" w:hAnsi="Times New Roman"/>
      <w:color w:val="000000"/>
      <w:sz w:val="24"/>
      <w:szCs w:val="20"/>
      <w:lang w:val="en-US"/>
    </w:rPr>
  </w:style>
  <w:style w:type="paragraph" w:customStyle="1" w:styleId="EmbeddedText">
    <w:name w:val="Embedded Text"/>
    <w:basedOn w:val="Normal"/>
    <w:rsid w:val="00FC0E59"/>
    <w:pPr>
      <w:spacing w:line="240" w:lineRule="auto"/>
    </w:pPr>
    <w:rPr>
      <w:rFonts w:ascii="Times New Roman" w:hAnsi="Times New Roman"/>
      <w:color w:val="000000"/>
      <w:sz w:val="24"/>
      <w:szCs w:val="20"/>
      <w:lang w:val="en-US"/>
    </w:rPr>
  </w:style>
  <w:style w:type="paragraph" w:customStyle="1" w:styleId="TableHeaderText">
    <w:name w:val="Table Header Text"/>
    <w:basedOn w:val="Normal"/>
    <w:rsid w:val="00FC0E59"/>
    <w:pPr>
      <w:spacing w:line="240" w:lineRule="auto"/>
      <w:jc w:val="center"/>
    </w:pPr>
    <w:rPr>
      <w:rFonts w:ascii="Times New Roman" w:hAnsi="Times New Roman"/>
      <w:b/>
      <w:color w:val="000000"/>
      <w:sz w:val="24"/>
      <w:szCs w:val="20"/>
      <w:lang w:val="en-US"/>
    </w:rPr>
  </w:style>
  <w:style w:type="paragraph" w:customStyle="1" w:styleId="TableText0">
    <w:name w:val="Table Text"/>
    <w:basedOn w:val="Normal"/>
    <w:qFormat/>
    <w:rsid w:val="00E6374A"/>
    <w:pPr>
      <w:spacing w:line="240" w:lineRule="auto"/>
    </w:pPr>
    <w:rPr>
      <w:rFonts w:ascii="Times New Roman" w:hAnsi="Times New Roman"/>
      <w:color w:val="000000"/>
      <w:sz w:val="24"/>
      <w:szCs w:val="20"/>
      <w:lang w:val="en-US"/>
    </w:rPr>
  </w:style>
  <w:style w:type="character" w:styleId="UnresolvedMention">
    <w:name w:val="Unresolved Mention"/>
    <w:basedOn w:val="DefaultParagraphFont"/>
    <w:uiPriority w:val="99"/>
    <w:semiHidden/>
    <w:unhideWhenUsed/>
    <w:rsid w:val="00E6374A"/>
    <w:rPr>
      <w:color w:val="605E5C"/>
      <w:shd w:val="clear" w:color="auto" w:fill="E1DFDD"/>
    </w:rPr>
  </w:style>
  <w:style w:type="character" w:customStyle="1" w:styleId="Heading5Char">
    <w:name w:val="Heading 5 Char"/>
    <w:basedOn w:val="DefaultParagraphFont"/>
    <w:link w:val="Heading5"/>
    <w:uiPriority w:val="9"/>
    <w:semiHidden/>
    <w:rsid w:val="00020081"/>
    <w:rPr>
      <w:rFonts w:asciiTheme="majorHAnsi" w:eastAsiaTheme="majorEastAsia" w:hAnsiTheme="majorHAnsi" w:cstheme="majorBidi"/>
      <w:color w:val="365F91" w:themeColor="accent1" w:themeShade="BF"/>
      <w:sz w:val="21"/>
      <w:szCs w:val="24"/>
      <w:lang w:eastAsia="en-US"/>
    </w:rPr>
  </w:style>
  <w:style w:type="paragraph" w:styleId="ListParagraph">
    <w:name w:val="List Paragraph"/>
    <w:basedOn w:val="Normal"/>
    <w:link w:val="ListParagraphChar"/>
    <w:uiPriority w:val="34"/>
    <w:qFormat/>
    <w:rsid w:val="00020081"/>
    <w:pPr>
      <w:ind w:left="720"/>
      <w:contextualSpacing/>
    </w:pPr>
  </w:style>
  <w:style w:type="paragraph" w:customStyle="1" w:styleId="Numberedpar">
    <w:name w:val="Numbered par"/>
    <w:basedOn w:val="ListParagraph"/>
    <w:link w:val="NumberedparChar"/>
    <w:qFormat/>
    <w:rsid w:val="00020081"/>
    <w:pPr>
      <w:numPr>
        <w:numId w:val="13"/>
      </w:numPr>
    </w:pPr>
  </w:style>
  <w:style w:type="paragraph" w:customStyle="1" w:styleId="Indentedpar">
    <w:name w:val="Indented par"/>
    <w:basedOn w:val="Normal"/>
    <w:link w:val="IndentedparChar"/>
    <w:qFormat/>
    <w:rsid w:val="00020081"/>
    <w:pPr>
      <w:ind w:left="720" w:hanging="11"/>
    </w:pPr>
  </w:style>
  <w:style w:type="character" w:customStyle="1" w:styleId="ListParagraphChar">
    <w:name w:val="List Paragraph Char"/>
    <w:basedOn w:val="DefaultParagraphFont"/>
    <w:link w:val="ListParagraph"/>
    <w:uiPriority w:val="34"/>
    <w:rsid w:val="00020081"/>
    <w:rPr>
      <w:rFonts w:ascii="Segoe UI" w:hAnsi="Segoe UI"/>
      <w:sz w:val="22"/>
      <w:szCs w:val="24"/>
      <w:lang w:eastAsia="en-US"/>
    </w:rPr>
  </w:style>
  <w:style w:type="character" w:customStyle="1" w:styleId="NumberedparChar">
    <w:name w:val="Numbered par Char"/>
    <w:basedOn w:val="ListParagraphChar"/>
    <w:link w:val="Numberedpar"/>
    <w:rsid w:val="00020081"/>
    <w:rPr>
      <w:rFonts w:ascii="Segoe UI" w:hAnsi="Segoe UI"/>
      <w:sz w:val="22"/>
      <w:szCs w:val="24"/>
      <w:lang w:eastAsia="en-US"/>
    </w:rPr>
  </w:style>
  <w:style w:type="paragraph" w:customStyle="1" w:styleId="NumberedHeadingBold">
    <w:name w:val="Numbered Heading Bold"/>
    <w:basedOn w:val="Normal"/>
    <w:link w:val="NumberedHeadingBoldChar"/>
    <w:qFormat/>
    <w:rsid w:val="00080D1E"/>
    <w:pPr>
      <w:numPr>
        <w:ilvl w:val="6"/>
        <w:numId w:val="11"/>
      </w:numPr>
      <w:spacing w:before="240"/>
      <w:ind w:left="567" w:hanging="567"/>
    </w:pPr>
    <w:rPr>
      <w:b/>
      <w:bCs/>
      <w:sz w:val="36"/>
      <w:szCs w:val="36"/>
    </w:rPr>
  </w:style>
  <w:style w:type="character" w:customStyle="1" w:styleId="IndentedparChar">
    <w:name w:val="Indented par Char"/>
    <w:basedOn w:val="DefaultParagraphFont"/>
    <w:link w:val="Indentedpar"/>
    <w:rsid w:val="00020081"/>
    <w:rPr>
      <w:rFonts w:ascii="Segoe UI" w:hAnsi="Segoe UI"/>
      <w:sz w:val="22"/>
      <w:szCs w:val="24"/>
      <w:lang w:eastAsia="en-US"/>
    </w:rPr>
  </w:style>
  <w:style w:type="character" w:customStyle="1" w:styleId="NumberedHeadingBoldChar">
    <w:name w:val="Numbered Heading Bold Char"/>
    <w:basedOn w:val="NumberedparChar"/>
    <w:link w:val="NumberedHeadingBold"/>
    <w:rsid w:val="00080D1E"/>
    <w:rPr>
      <w:rFonts w:ascii="Segoe UI" w:hAnsi="Segoe UI"/>
      <w:b/>
      <w:bCs/>
      <w:sz w:val="36"/>
      <w:szCs w:val="36"/>
      <w:lang w:eastAsia="en-US"/>
    </w:rPr>
  </w:style>
  <w:style w:type="paragraph" w:customStyle="1" w:styleId="Letteredlistabcindented">
    <w:name w:val="Lettered list abc indented"/>
    <w:basedOn w:val="Normal"/>
    <w:link w:val="LetteredlistabcindentedChar"/>
    <w:qFormat/>
    <w:rsid w:val="00F72455"/>
    <w:pPr>
      <w:ind w:left="993" w:hanging="567"/>
    </w:pPr>
  </w:style>
  <w:style w:type="paragraph" w:customStyle="1" w:styleId="Numberedlistindentedbrackets">
    <w:name w:val="Numbered list indented brackets"/>
    <w:basedOn w:val="Normal"/>
    <w:link w:val="NumberedlistindentedbracketsChar"/>
    <w:qFormat/>
    <w:rsid w:val="00433D3E"/>
    <w:pPr>
      <w:tabs>
        <w:tab w:val="left" w:pos="426"/>
      </w:tabs>
      <w:ind w:left="426" w:hanging="426"/>
    </w:pPr>
  </w:style>
  <w:style w:type="character" w:customStyle="1" w:styleId="LetteredlistabcindentedChar">
    <w:name w:val="Lettered list abc indented Char"/>
    <w:basedOn w:val="DefaultParagraphFont"/>
    <w:link w:val="Letteredlistabcindented"/>
    <w:rsid w:val="00F72455"/>
    <w:rPr>
      <w:rFonts w:ascii="Segoe UI" w:hAnsi="Segoe UI"/>
      <w:sz w:val="22"/>
      <w:szCs w:val="24"/>
      <w:lang w:eastAsia="en-US"/>
    </w:rPr>
  </w:style>
  <w:style w:type="paragraph" w:customStyle="1" w:styleId="Legislationtitle">
    <w:name w:val="Legislation title"/>
    <w:basedOn w:val="Heading2"/>
    <w:link w:val="LegislationtitleChar"/>
    <w:qFormat/>
    <w:rsid w:val="00F72455"/>
    <w:pPr>
      <w:spacing w:after="240"/>
    </w:pPr>
    <w:rPr>
      <w:sz w:val="28"/>
    </w:rPr>
  </w:style>
  <w:style w:type="character" w:customStyle="1" w:styleId="NumberedlistindentedbracketsChar">
    <w:name w:val="Numbered list indented brackets Char"/>
    <w:basedOn w:val="DefaultParagraphFont"/>
    <w:link w:val="Numberedlistindentedbrackets"/>
    <w:rsid w:val="00433D3E"/>
    <w:rPr>
      <w:rFonts w:ascii="Segoe UI" w:hAnsi="Segoe UI"/>
      <w:sz w:val="22"/>
      <w:szCs w:val="24"/>
      <w:lang w:eastAsia="en-US"/>
    </w:rPr>
  </w:style>
  <w:style w:type="paragraph" w:styleId="BlockText">
    <w:name w:val="Block Text"/>
    <w:basedOn w:val="Normal"/>
    <w:qFormat/>
    <w:rsid w:val="00F72455"/>
    <w:pPr>
      <w:spacing w:before="0" w:after="0" w:line="240" w:lineRule="auto"/>
    </w:pPr>
    <w:rPr>
      <w:rFonts w:ascii="Times New Roman" w:hAnsi="Times New Roman"/>
      <w:color w:val="000000"/>
      <w:sz w:val="24"/>
      <w:lang w:val="en-US"/>
    </w:rPr>
  </w:style>
  <w:style w:type="character" w:customStyle="1" w:styleId="LegislationtitleChar">
    <w:name w:val="Legislation title Char"/>
    <w:basedOn w:val="Heading2Char"/>
    <w:link w:val="Legislationtitle"/>
    <w:rsid w:val="00F72455"/>
    <w:rPr>
      <w:rFonts w:ascii="Segoe UI" w:hAnsi="Segoe UI" w:cs="Arial"/>
      <w:b/>
      <w:bCs/>
      <w:iCs/>
      <w:sz w:val="28"/>
      <w:szCs w:val="28"/>
      <w:lang w:eastAsia="en-US"/>
    </w:rPr>
  </w:style>
  <w:style w:type="character" w:styleId="CommentReference">
    <w:name w:val="annotation reference"/>
    <w:basedOn w:val="DefaultParagraphFont"/>
    <w:uiPriority w:val="99"/>
    <w:semiHidden/>
    <w:unhideWhenUsed/>
    <w:rsid w:val="00D61B28"/>
    <w:rPr>
      <w:sz w:val="16"/>
      <w:szCs w:val="16"/>
    </w:rPr>
  </w:style>
  <w:style w:type="paragraph" w:styleId="CommentText">
    <w:name w:val="annotation text"/>
    <w:basedOn w:val="Normal"/>
    <w:link w:val="CommentTextChar"/>
    <w:uiPriority w:val="99"/>
    <w:unhideWhenUsed/>
    <w:rsid w:val="00D61B28"/>
    <w:pPr>
      <w:spacing w:line="240" w:lineRule="auto"/>
    </w:pPr>
    <w:rPr>
      <w:sz w:val="20"/>
      <w:szCs w:val="20"/>
    </w:rPr>
  </w:style>
  <w:style w:type="character" w:customStyle="1" w:styleId="CommentTextChar">
    <w:name w:val="Comment Text Char"/>
    <w:basedOn w:val="DefaultParagraphFont"/>
    <w:link w:val="CommentText"/>
    <w:uiPriority w:val="99"/>
    <w:rsid w:val="00D61B28"/>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61B28"/>
    <w:rPr>
      <w:b/>
      <w:bCs/>
    </w:rPr>
  </w:style>
  <w:style w:type="character" w:customStyle="1" w:styleId="CommentSubjectChar">
    <w:name w:val="Comment Subject Char"/>
    <w:basedOn w:val="CommentTextChar"/>
    <w:link w:val="CommentSubject"/>
    <w:uiPriority w:val="99"/>
    <w:semiHidden/>
    <w:rsid w:val="00D61B28"/>
    <w:rPr>
      <w:rFonts w:ascii="Segoe UI" w:hAnsi="Segoe UI"/>
      <w:b/>
      <w:bCs/>
      <w:lang w:eastAsia="en-US"/>
    </w:rPr>
  </w:style>
  <w:style w:type="paragraph" w:customStyle="1" w:styleId="Tabletext10pt">
    <w:name w:val="Table text 10pt"/>
    <w:basedOn w:val="Normal"/>
    <w:qFormat/>
    <w:rsid w:val="0097216C"/>
    <w:rPr>
      <w:rFonts w:cs="Segoe UI"/>
      <w:sz w:val="20"/>
      <w:szCs w:val="20"/>
    </w:rPr>
  </w:style>
  <w:style w:type="paragraph" w:customStyle="1" w:styleId="TableBullet10pt">
    <w:name w:val="Table Bullet 10pt"/>
    <w:basedOn w:val="Bullet"/>
    <w:qFormat/>
    <w:rsid w:val="00AD2971"/>
    <w:rPr>
      <w:sz w:val="20"/>
      <w:szCs w:val="20"/>
      <w:lang w:val="en-US"/>
    </w:rPr>
  </w:style>
  <w:style w:type="paragraph" w:customStyle="1" w:styleId="Bulletsindented">
    <w:name w:val="Bullets indented"/>
    <w:basedOn w:val="Bullet"/>
    <w:qFormat/>
    <w:rsid w:val="00DC342D"/>
    <w:pPr>
      <w:tabs>
        <w:tab w:val="clear" w:pos="284"/>
        <w:tab w:val="num" w:pos="993"/>
      </w:tabs>
      <w:ind w:left="993"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rugcheckingadmin@health.govt.nz?subject=Submission%20of%20complain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gcheckingadmin@health.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TaxCatchAll xmlns="ddbcb19b-9574-4b2f-8698-1926aad31d8a"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Drug and Substance Checking Services</Activity>
    <AggregationStatus xmlns="4f9c820c-e7e2-444d-97ee-45f2b3485c1d">Normal</AggregationStatus>
    <OverrideLabel xmlns="d0b61010-d6f3-4072-b934-7bbb13e97771" xsi:nil="true"/>
    <_Flow_SignoffStatus xmlns="d25c032a-5541-45df-991a-ebc9dfcd9605" xsi:nil="true"/>
    <CategoryValue xmlns="4f9c820c-e7e2-444d-97ee-45f2b3485c1d">Complaints Policy, SOP &amp; Form</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Drug and Substance Checking Services</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Retain</SetLabel>
    <lcf76f155ced4ddcb4097134ff3c332f xmlns="d25c032a-5541-45df-991a-ebc9dfcd9605">
      <Terms xmlns="http://schemas.microsoft.com/office/infopath/2007/PartnerControls"/>
    </lcf76f155ced4ddcb4097134ff3c332f>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Policies, SOPs and Forms</CategoryName>
    <PRADateTrigger xmlns="4f9c820c-e7e2-444d-97ee-45f2b3485c1d" xsi:nil="true"/>
    <PRAText2 xmlns="4f9c820c-e7e2-444d-97ee-45f2b3485c1d" xsi:nil="true"/>
    <zLegacyID xmlns="184c05c4-c568-455d-94a4-7e009b164348" xsi:nil="true"/>
    <_dlc_DocId xmlns="ddbcb19b-9574-4b2f-8698-1926aad31d8a">MOHECM-563404676-633</_dlc_DocId>
    <_dlc_DocIdUrl xmlns="ddbcb19b-9574-4b2f-8698-1926aad31d8a">
      <Url>https://mohgovtnz.sharepoint.com/sites/moh-ecm-DSCService/_layouts/15/DocIdRedir.aspx?ID=MOHECM-563404676-633</Url>
      <Description>MOHECM-563404676-633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eDocument" ma:contentTypeID="0x01010035BDB2E636E52C4A97F6EA784072A674" ma:contentTypeVersion="143" ma:contentTypeDescription="Create a new document." ma:contentTypeScope="" ma:versionID="5599e840d6fee0ca596d047e10e0fd44">
  <xsd:schema xmlns:xsd="http://www.w3.org/2001/XMLSchema" xmlns:xs="http://www.w3.org/2001/XMLSchema" xmlns:p="http://schemas.microsoft.com/office/2006/metadata/properties" xmlns:ns2="ddbcb19b-9574-4b2f-8698-1926aad31d8a" xmlns:ns3="4f9c820c-e7e2-444d-97ee-45f2b3485c1d" xmlns:ns4="15ffb055-6eb4-45a1-bc20-bf2ac0d420da" xmlns:ns5="725c79e5-42ce-4aa0-ac78-b6418001f0d2" xmlns:ns6="c91a514c-9034-4fa3-897a-8352025b26ed" xmlns:ns7="d0b61010-d6f3-4072-b934-7bbb13e97771" xmlns:ns8="184c05c4-c568-455d-94a4-7e009b164348" xmlns:ns9="d25c032a-5541-45df-991a-ebc9dfcd9605" targetNamespace="http://schemas.microsoft.com/office/2006/metadata/properties" ma:root="true" ma:fieldsID="65ae48ae9ae99a1358d8bd64414d8889" ns2:_="" ns3:_="" ns4:_="" ns5:_="" ns6:_="" ns7:_="" ns8:_="" ns9:_="">
    <xsd:import namespace="ddbcb19b-9574-4b2f-8698-1926aad31d8a"/>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d25c032a-5541-45df-991a-ebc9dfcd960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2:SharedWithUsers" minOccurs="0"/>
                <xsd:element ref="ns2:SharedWithDetails" minOccurs="0"/>
                <xsd:element ref="ns9: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b19b-9574-4b2f-8698-1926aad31d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96d264d4-7a3f-4bf8-8e0a-1a59b551dc01}" ma:internalName="TaxCatchAll" ma:showField="CatchAllData" ma:web="ddbcb19b-9574-4b2f-8698-1926aad31d8a">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ory Function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Drug and Substance Checking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Drug and Substance Checking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d25c032a-5541-45df-991a-ebc9dfcd960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DateTaken" ma:index="59" nillable="true" ma:displayName="MediaServiceDateTaken" ma:hidden="true" ma:indexed="true" ma:internalName="MediaServiceDateTaken" ma:readOnly="true">
      <xsd:simpleType>
        <xsd:restriction base="dms:Text"/>
      </xsd:simpleType>
    </xsd:element>
    <xsd:element name="_Flow_SignoffStatus" ma:index="6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4.xml><?xml version="1.0" encoding="utf-8"?>
<ds:datastoreItem xmlns:ds="http://schemas.openxmlformats.org/officeDocument/2006/customXml" ds:itemID="{D97B5F48-F950-4D53-8F79-CEE9ABB3E4F7}"/>
</file>

<file path=customXml/itemProps5.xml><?xml version="1.0" encoding="utf-8"?>
<ds:datastoreItem xmlns:ds="http://schemas.openxmlformats.org/officeDocument/2006/customXml" ds:itemID="{06F884F5-4ED1-4806-97CC-C4EDD76F4CC6}"/>
</file>

<file path=docProps/app.xml><?xml version="1.0" encoding="utf-8"?>
<Properties xmlns="http://schemas.openxmlformats.org/officeDocument/2006/extended-properties" xmlns:vt="http://schemas.openxmlformats.org/officeDocument/2006/docPropsVTypes">
  <Template>Factsheet template</Template>
  <TotalTime>42</TotalTime>
  <Pages>10</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Checking Complaints Policy</dc:title>
  <dc:creator>Ministry of Health</dc:creator>
  <cp:lastModifiedBy>Ministry of Health</cp:lastModifiedBy>
  <cp:revision>18</cp:revision>
  <cp:lastPrinted>2014-10-20T03:59:00Z</cp:lastPrinted>
  <dcterms:created xsi:type="dcterms:W3CDTF">2022-11-21T21:41:00Z</dcterms:created>
  <dcterms:modified xsi:type="dcterms:W3CDTF">2022-11-30T22:52:00Z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0x01010035BDB2E636E52C4A97F6EA784072A674</vt:lpwstr>
  </property>
  <property fmtid="{D5CDD505-2E9C-101B-9397-08002B2CF9AE}" pid="3" name="_dlc_DocIdItemGuid">
    <vt:lpwstr>7f0a8395-1c56-43be-a62c-cc1f361c2934</vt:lpwstr>
  </property>
  <property fmtid="{D5CDD505-2E9C-101B-9397-08002B2CF9AE}" pid="4" name="MediaServiceImageTags">
    <vt:lpwstr/>
  </property>
</Properties>
</file>