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word/glossary/document.xml" ContentType="application/vnd.openxmlformats-officedocument.wordprocessingml.document.glossary+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body>
    <w:tbl>
      <w:tblPr>
        <w:tblW w:w="9705" w:type="dxa"/>
        <w:tblBorders>
          <w:bottom w:val="single" w:color="auto" w:sz="12" w:space="0"/>
        </w:tblBorders>
        <w:tblLayout w:type="fixed"/>
        <w:tblCellMar>
          <w:left w:w="0" w:type="dxa"/>
          <w:right w:w="0" w:type="dxa"/>
        </w:tblCellMar>
        <w:tblLook w:val="01E0" w:firstRow="1" w:lastRow="1" w:firstColumn="1" w:lastColumn="1" w:noHBand="0" w:noVBand="0"/>
      </w:tblPr>
      <w:tblGrid>
        <w:gridCol w:w="7938"/>
        <w:gridCol w:w="1767"/>
      </w:tblGrid>
      <w:tr w:rsidRPr="00DD748F" w:rsidR="00D56D8D" w:rsidTr="00D37487" w14:paraId="0D335D4D" w14:textId="77777777">
        <w:trPr>
          <w:cantSplit/>
          <w:trHeight w:val="1328"/>
        </w:trPr>
        <w:tc>
          <w:tcPr>
            <w:tcW w:w="7938" w:type="dxa"/>
            <w:tcBorders>
              <w:bottom w:val="single" w:color="auto" w:sz="12" w:space="0"/>
            </w:tcBorders>
            <w:shd w:val="clear" w:color="auto" w:fill="auto"/>
            <w:vAlign w:val="bottom"/>
          </w:tcPr>
          <w:p w:rsidRPr="00DD748F" w:rsidR="008348B7" w:rsidP="00D37487" w:rsidRDefault="00FC0E59" w14:paraId="6E098CD1" w14:textId="6C92A969">
            <w:pPr>
              <w:pStyle w:val="Title"/>
              <w:spacing w:after="360"/>
            </w:pPr>
            <w:bookmarkStart w:name="_Ref366673580" w:id="0"/>
            <w:r w:rsidRPr="00155D75">
              <w:t xml:space="preserve">Drug </w:t>
            </w:r>
            <w:r>
              <w:t>C</w:t>
            </w:r>
            <w:r w:rsidRPr="00155D75">
              <w:t xml:space="preserve">hecking </w:t>
            </w:r>
            <w:r w:rsidRPr="00B40DCD">
              <w:t>Review of</w:t>
            </w:r>
            <w:r w:rsidR="00D37487">
              <w:t xml:space="preserve"> </w:t>
            </w:r>
            <w:r>
              <w:t>L</w:t>
            </w:r>
            <w:r w:rsidRPr="00B40DCD">
              <w:t xml:space="preserve">icensing </w:t>
            </w:r>
            <w:r>
              <w:t>D</w:t>
            </w:r>
            <w:r w:rsidRPr="00B40DCD">
              <w:t xml:space="preserve">ecisions </w:t>
            </w:r>
            <w:r w:rsidRPr="00A258A0">
              <w:t>Policy</w:t>
            </w:r>
            <w:bookmarkEnd w:id="0"/>
          </w:p>
        </w:tc>
        <w:tc>
          <w:tcPr>
            <w:tcW w:w="1767" w:type="dxa"/>
            <w:shd w:val="clear" w:color="auto" w:fill="auto"/>
            <w:vAlign w:val="bottom"/>
          </w:tcPr>
          <w:p w:rsidRPr="00DD748F" w:rsidR="00CD373C" w:rsidP="0092659B" w:rsidRDefault="00CD373C" w14:paraId="7F6C11BA" w14:textId="77777777">
            <w:pPr>
              <w:jc w:val="right"/>
            </w:pPr>
          </w:p>
          <w:p w:rsidRPr="00242284" w:rsidR="00423830" w:rsidP="00242284" w:rsidRDefault="00423830" w14:paraId="6FF10AAC" w14:textId="2C112105">
            <w:pPr>
              <w:jc w:val="right"/>
              <w:rPr>
                <w:rFonts w:cs="Segoe UI"/>
                <w:color w:val="002B7F"/>
                <w:sz w:val="28"/>
                <w:szCs w:val="28"/>
              </w:rPr>
            </w:pPr>
          </w:p>
        </w:tc>
      </w:tr>
    </w:tbl>
    <w:p w:rsidR="00FC0E59" w:rsidP="00FC0E59" w:rsidRDefault="00FC0E59" w14:paraId="3BCFA1D3" w14:textId="3E95B593">
      <w:pPr>
        <w:pStyle w:val="Heading1"/>
      </w:pPr>
      <w:r>
        <w:t>Introduction</w:t>
      </w:r>
    </w:p>
    <w:p w:rsidRPr="00E6374A" w:rsidR="00E6374A" w:rsidP="00E6374A" w:rsidRDefault="00E6374A" w14:paraId="10638F5D" w14:textId="349308BF">
      <w:r w:rsidRPr="00543AF2">
        <w:t xml:space="preserve">This policy provides guidance to the Manatū Hauora </w:t>
      </w:r>
      <w:r w:rsidR="00C86589">
        <w:t xml:space="preserve"> </w:t>
      </w:r>
      <w:r w:rsidR="00C86589">
        <w:rPr>
          <w:rFonts w:cs="Segoe UI"/>
        </w:rPr>
        <w:t>|</w:t>
      </w:r>
      <w:r w:rsidR="00C86589">
        <w:t xml:space="preserve"> </w:t>
      </w:r>
      <w:r w:rsidRPr="00543AF2">
        <w:t>Ministry of Health (the Ministry) to administer licensing of drug</w:t>
      </w:r>
      <w:r>
        <w:t xml:space="preserve"> </w:t>
      </w:r>
      <w:r w:rsidRPr="00543AF2">
        <w:t>checking providers under the amendments made in December 2021 to the Misuse of Drugs Act 1975 (MoDA).</w:t>
      </w:r>
    </w:p>
    <w:p w:rsidRPr="00422C76" w:rsidR="00E6374A" w:rsidP="00E6374A" w:rsidRDefault="00E6374A" w14:paraId="5585575A" w14:textId="77777777">
      <w:pPr>
        <w:pStyle w:val="Heading1"/>
      </w:pPr>
      <w:r>
        <w:t>Policy overview</w:t>
      </w:r>
    </w:p>
    <w:p w:rsidR="00E6374A" w:rsidP="00E6374A" w:rsidRDefault="00E6374A" w14:paraId="0CF13E78" w14:textId="77777777">
      <w:pPr>
        <w:pStyle w:val="Number"/>
      </w:pPr>
      <w:r>
        <w:t>Overview</w:t>
      </w:r>
    </w:p>
    <w:p w:rsidR="00E6374A" w:rsidP="00E6374A" w:rsidRDefault="00E6374A" w14:paraId="07F77561" w14:textId="77777777">
      <w:r w:rsidRPr="00FC0E59">
        <w:t>The policy includes the main information, guidance, principles and considerations for reviewing drug checking licensing decisions to ensure this occurs in a consistent, fair and equitable manner.</w:t>
      </w:r>
    </w:p>
    <w:p w:rsidR="00E6374A" w:rsidP="00E6374A" w:rsidRDefault="00E6374A" w14:paraId="3F052B9B" w14:textId="77777777">
      <w:pPr>
        <w:pStyle w:val="Number"/>
      </w:pPr>
      <w:r>
        <w:t>Scope</w:t>
      </w:r>
      <w:r>
        <w:tab/>
      </w:r>
    </w:p>
    <w:p w:rsidR="00E6374A" w:rsidP="00E6374A" w:rsidRDefault="00E6374A" w14:paraId="3391A35D" w14:textId="77777777">
      <w:r>
        <w:t>This policy applies to:</w:t>
      </w:r>
    </w:p>
    <w:p w:rsidR="00E6374A" w:rsidP="00E6374A" w:rsidRDefault="00E6374A" w14:paraId="753503B1" w14:textId="77777777">
      <w:r>
        <w:t>•</w:t>
      </w:r>
      <w:r>
        <w:tab/>
      </w:r>
      <w:r>
        <w:t xml:space="preserve">internal Ministry staff </w:t>
      </w:r>
    </w:p>
    <w:p w:rsidR="00E6374A" w:rsidP="00E6374A" w:rsidRDefault="00E6374A" w14:paraId="0DDBA67F" w14:textId="77777777">
      <w:r>
        <w:t>•</w:t>
      </w:r>
      <w:r>
        <w:tab/>
      </w:r>
      <w:r>
        <w:t>stakeholders applying to have a drug checking licensing decision reviewed.</w:t>
      </w:r>
    </w:p>
    <w:p w:rsidRPr="00E6374A" w:rsidR="00E6374A" w:rsidP="00E6374A" w:rsidRDefault="00E6374A" w14:paraId="13CEF6EA" w14:textId="77777777">
      <w:pPr>
        <w:pStyle w:val="Number"/>
      </w:pPr>
      <w:r w:rsidRPr="00E6374A">
        <w:t>Definitions</w:t>
      </w:r>
    </w:p>
    <w:p w:rsidRPr="00E6374A" w:rsidR="00E6374A" w:rsidP="00D37487" w:rsidRDefault="00E6374A" w14:paraId="6C8F6E3F" w14:textId="3AB88860">
      <w:pPr>
        <w:widowControl w:val="0"/>
        <w:spacing w:after="240"/>
      </w:pPr>
      <w:r>
        <w:t>The following definitions apply to this policy unless otherwise stated</w:t>
      </w:r>
      <w:r w:rsidR="00020081">
        <w:t>.</w:t>
      </w:r>
    </w:p>
    <w:tbl>
      <w:tblPr>
        <w:tblStyle w:val="TableGrid"/>
        <w:tblW w:w="9348"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Look w:val="04A0" w:firstRow="1" w:lastRow="0" w:firstColumn="1" w:lastColumn="0" w:noHBand="0" w:noVBand="1"/>
      </w:tblPr>
      <w:tblGrid>
        <w:gridCol w:w="2969"/>
        <w:gridCol w:w="6379"/>
      </w:tblGrid>
      <w:tr w:rsidRPr="00FC0E59" w:rsidR="00D37487" w:rsidTr="009439F5" w14:paraId="10C63731" w14:textId="77777777">
        <w:tc>
          <w:tcPr>
            <w:tcW w:w="2969" w:type="dxa"/>
            <w:shd w:val="clear" w:color="auto" w:fill="23305D"/>
          </w:tcPr>
          <w:p w:rsidRPr="00FC0E59" w:rsidR="009439F5" w:rsidP="009439F5" w:rsidRDefault="00D37487" w14:paraId="5FBE4468" w14:textId="0E72F05B">
            <w:pPr>
              <w:pStyle w:val="Table"/>
              <w:widowControl w:val="0"/>
              <w:spacing w:line="300" w:lineRule="exact"/>
            </w:pPr>
            <w:r w:rsidRPr="00FC0E59">
              <w:t>Word or phrase</w:t>
            </w:r>
          </w:p>
        </w:tc>
        <w:tc>
          <w:tcPr>
            <w:tcW w:w="6379" w:type="dxa"/>
            <w:shd w:val="clear" w:color="auto" w:fill="23305D"/>
          </w:tcPr>
          <w:p w:rsidRPr="00FC0E59" w:rsidR="00D37487" w:rsidP="009439F5" w:rsidRDefault="00D37487" w14:paraId="21533934" w14:textId="77777777">
            <w:pPr>
              <w:pStyle w:val="Table"/>
              <w:widowControl w:val="0"/>
              <w:spacing w:line="300" w:lineRule="exact"/>
            </w:pPr>
            <w:r w:rsidRPr="00FC0E59">
              <w:t>Definition</w:t>
            </w:r>
          </w:p>
        </w:tc>
      </w:tr>
      <w:tr w:rsidRPr="00FC0E59" w:rsidR="00D37487" w:rsidTr="00D37487" w14:paraId="68DBA6C6" w14:textId="77777777">
        <w:tc>
          <w:tcPr>
            <w:tcW w:w="2969" w:type="dxa"/>
            <w:shd w:val="clear" w:color="auto" w:fill="auto"/>
          </w:tcPr>
          <w:p w:rsidRPr="00E6374A" w:rsidR="00D37487" w:rsidP="009A7FAF" w:rsidRDefault="00D37487" w14:paraId="1F40083A" w14:textId="77777777">
            <w:pPr>
              <w:pStyle w:val="EmbeddedText"/>
              <w:widowControl w:val="0"/>
              <w:spacing w:before="0" w:after="0" w:line="300" w:lineRule="exact"/>
              <w:rPr>
                <w:rFonts w:ascii="Segoe UI" w:hAnsi="Segoe UI" w:cs="Segoe UI"/>
                <w:sz w:val="20"/>
              </w:rPr>
            </w:pPr>
            <w:r w:rsidRPr="00E6374A">
              <w:rPr>
                <w:rFonts w:ascii="Segoe UI" w:hAnsi="Segoe UI" w:cs="Segoe UI"/>
                <w:sz w:val="20"/>
              </w:rPr>
              <w:t>Applicant</w:t>
            </w:r>
          </w:p>
        </w:tc>
        <w:tc>
          <w:tcPr>
            <w:tcW w:w="6379" w:type="dxa"/>
            <w:shd w:val="clear" w:color="auto" w:fill="auto"/>
          </w:tcPr>
          <w:p w:rsidRPr="00E6374A" w:rsidR="00D37487" w:rsidP="009A7FAF" w:rsidRDefault="00D37487" w14:paraId="76886019" w14:textId="77777777">
            <w:pPr>
              <w:pStyle w:val="EmbeddedText"/>
              <w:widowControl w:val="0"/>
              <w:spacing w:before="0" w:after="0" w:line="300" w:lineRule="exact"/>
              <w:rPr>
                <w:rFonts w:ascii="Segoe UI" w:hAnsi="Segoe UI" w:cs="Segoe UI"/>
                <w:sz w:val="20"/>
              </w:rPr>
            </w:pPr>
            <w:r w:rsidRPr="00E6374A">
              <w:rPr>
                <w:rFonts w:ascii="Segoe UI" w:hAnsi="Segoe UI" w:cs="Segoe UI"/>
                <w:sz w:val="20"/>
              </w:rPr>
              <w:t>Refers to a person or entity applying for a drug checking licence.</w:t>
            </w:r>
          </w:p>
        </w:tc>
      </w:tr>
      <w:tr w:rsidRPr="00FC0E59" w:rsidR="00D37487" w:rsidTr="00D37487" w14:paraId="18782967" w14:textId="77777777">
        <w:tc>
          <w:tcPr>
            <w:tcW w:w="2969" w:type="dxa"/>
            <w:shd w:val="clear" w:color="auto" w:fill="auto"/>
          </w:tcPr>
          <w:p w:rsidRPr="00E6374A" w:rsidR="00D37487" w:rsidP="009A7FAF" w:rsidRDefault="00D37487" w14:paraId="4D99F855" w14:textId="77777777">
            <w:pPr>
              <w:pStyle w:val="EmbeddedText"/>
              <w:widowControl w:val="0"/>
              <w:spacing w:before="0" w:after="0" w:line="300" w:lineRule="exact"/>
              <w:rPr>
                <w:rFonts w:ascii="Segoe UI" w:hAnsi="Segoe UI" w:cs="Segoe UI"/>
                <w:sz w:val="20"/>
              </w:rPr>
            </w:pPr>
            <w:r w:rsidRPr="00E6374A">
              <w:rPr>
                <w:rFonts w:ascii="Segoe UI" w:hAnsi="Segoe UI" w:cs="Segoe UI"/>
                <w:sz w:val="20"/>
              </w:rPr>
              <w:t>Director-General of Health</w:t>
            </w:r>
          </w:p>
        </w:tc>
        <w:tc>
          <w:tcPr>
            <w:tcW w:w="6379" w:type="dxa"/>
            <w:shd w:val="clear" w:color="auto" w:fill="auto"/>
          </w:tcPr>
          <w:p w:rsidRPr="00E6374A" w:rsidR="00D37487" w:rsidP="009A7FAF" w:rsidRDefault="00D37487" w14:paraId="26D8BF21" w14:textId="77777777">
            <w:pPr>
              <w:pStyle w:val="EmbeddedText"/>
              <w:widowControl w:val="0"/>
              <w:spacing w:before="0" w:after="0" w:line="300" w:lineRule="exact"/>
              <w:rPr>
                <w:rFonts w:ascii="Segoe UI" w:hAnsi="Segoe UI" w:cs="Segoe UI"/>
                <w:sz w:val="20"/>
              </w:rPr>
            </w:pPr>
            <w:r w:rsidRPr="00E6374A">
              <w:rPr>
                <w:rFonts w:ascii="Segoe UI" w:hAnsi="Segoe UI" w:cs="Segoe UI"/>
                <w:sz w:val="20"/>
              </w:rPr>
              <w:t xml:space="preserve">The chief executive of the Ministry is referred to as the Director-General of Health. </w:t>
            </w:r>
          </w:p>
          <w:p w:rsidRPr="00E6374A" w:rsidR="00D37487" w:rsidP="009A7FAF" w:rsidRDefault="00D37487" w14:paraId="64291E31" w14:textId="77777777">
            <w:pPr>
              <w:pStyle w:val="EmbeddedText"/>
              <w:widowControl w:val="0"/>
              <w:spacing w:before="0" w:after="0" w:line="300" w:lineRule="exact"/>
              <w:rPr>
                <w:rFonts w:ascii="Segoe UI" w:hAnsi="Segoe UI" w:cs="Segoe UI"/>
                <w:sz w:val="20"/>
              </w:rPr>
            </w:pPr>
            <w:r w:rsidRPr="00E6374A">
              <w:rPr>
                <w:rFonts w:ascii="Segoe UI" w:hAnsi="Segoe UI" w:cs="Segoe UI"/>
                <w:sz w:val="20"/>
              </w:rPr>
              <w:t>Where the policy refers to the Director-General, this also includes any authorised delegate of the Director-General of Health.</w:t>
            </w:r>
          </w:p>
        </w:tc>
      </w:tr>
      <w:tr w:rsidRPr="00FC0E59" w:rsidR="00D37487" w:rsidTr="00D37487" w14:paraId="5CD011DC" w14:textId="77777777">
        <w:tc>
          <w:tcPr>
            <w:tcW w:w="2969" w:type="dxa"/>
            <w:shd w:val="clear" w:color="auto" w:fill="auto"/>
          </w:tcPr>
          <w:p w:rsidRPr="00E6374A" w:rsidR="00D37487" w:rsidP="009A7FAF" w:rsidRDefault="00D37487" w14:paraId="54D90199" w14:textId="77777777">
            <w:pPr>
              <w:pStyle w:val="EmbeddedText"/>
              <w:widowControl w:val="0"/>
              <w:spacing w:before="0" w:after="0" w:line="300" w:lineRule="exact"/>
              <w:rPr>
                <w:rFonts w:ascii="Segoe UI" w:hAnsi="Segoe UI" w:cs="Segoe UI"/>
                <w:sz w:val="20"/>
              </w:rPr>
            </w:pPr>
            <w:r w:rsidRPr="00E6374A">
              <w:rPr>
                <w:rFonts w:ascii="Segoe UI" w:hAnsi="Segoe UI" w:cs="Segoe UI"/>
                <w:sz w:val="20"/>
              </w:rPr>
              <w:t>Non-compliance</w:t>
            </w:r>
          </w:p>
        </w:tc>
        <w:tc>
          <w:tcPr>
            <w:tcW w:w="6379" w:type="dxa"/>
            <w:shd w:val="clear" w:color="auto" w:fill="auto"/>
          </w:tcPr>
          <w:p w:rsidRPr="00E6374A" w:rsidR="00D37487" w:rsidP="009A7FAF" w:rsidRDefault="00D37487" w14:paraId="241F38BB" w14:textId="77777777">
            <w:pPr>
              <w:pStyle w:val="EmbeddedText"/>
              <w:widowControl w:val="0"/>
              <w:spacing w:before="0" w:after="0" w:line="300" w:lineRule="exact"/>
              <w:rPr>
                <w:rFonts w:ascii="Segoe UI" w:hAnsi="Segoe UI" w:cs="Segoe UI"/>
                <w:sz w:val="20"/>
              </w:rPr>
            </w:pPr>
            <w:r w:rsidRPr="00E6374A">
              <w:rPr>
                <w:rFonts w:ascii="Segoe UI" w:hAnsi="Segoe UI" w:cs="Segoe UI"/>
                <w:sz w:val="20"/>
              </w:rPr>
              <w:t>Refers to any serious breach of the MoDA, its regulations or licence conditions.</w:t>
            </w:r>
          </w:p>
        </w:tc>
      </w:tr>
      <w:tr w:rsidRPr="00FC0E59" w:rsidR="00201E1B" w:rsidTr="00D37487" w14:paraId="23A25AA1" w14:textId="77777777">
        <w:tc>
          <w:tcPr>
            <w:tcW w:w="2969" w:type="dxa"/>
            <w:shd w:val="clear" w:color="auto" w:fill="auto"/>
          </w:tcPr>
          <w:p w:rsidRPr="00E6374A" w:rsidR="00201E1B" w:rsidP="00201E1B" w:rsidRDefault="00201E1B" w14:paraId="0C8A2ADF" w14:textId="77777777">
            <w:pPr>
              <w:pStyle w:val="EmbeddedText"/>
              <w:widowControl w:val="0"/>
              <w:spacing w:before="0" w:after="0" w:line="300" w:lineRule="exact"/>
              <w:rPr>
                <w:rFonts w:ascii="Segoe UI" w:hAnsi="Segoe UI" w:cs="Segoe UI"/>
                <w:sz w:val="20"/>
              </w:rPr>
            </w:pPr>
            <w:r w:rsidRPr="00E6374A">
              <w:rPr>
                <w:rFonts w:ascii="Segoe UI" w:hAnsi="Segoe UI" w:cs="Segoe UI"/>
                <w:sz w:val="20"/>
              </w:rPr>
              <w:t xml:space="preserve">Repeated offence/non-compliance </w:t>
            </w:r>
          </w:p>
          <w:p w:rsidRPr="00E6374A" w:rsidR="00201E1B" w:rsidP="00201E1B" w:rsidRDefault="00201E1B" w14:paraId="1C00718E" w14:textId="77777777">
            <w:pPr>
              <w:pStyle w:val="EmbeddedText"/>
              <w:widowControl w:val="0"/>
              <w:spacing w:before="0" w:after="0" w:line="300" w:lineRule="exact"/>
              <w:rPr>
                <w:rFonts w:ascii="Segoe UI" w:hAnsi="Segoe UI" w:cs="Segoe UI"/>
                <w:sz w:val="20"/>
              </w:rPr>
            </w:pPr>
          </w:p>
        </w:tc>
        <w:tc>
          <w:tcPr>
            <w:tcW w:w="6379" w:type="dxa"/>
            <w:shd w:val="clear" w:color="auto" w:fill="auto"/>
          </w:tcPr>
          <w:p w:rsidRPr="00E6374A" w:rsidR="00201E1B" w:rsidP="00201E1B" w:rsidRDefault="00201E1B" w14:paraId="58111D6A" w14:textId="03F0E027">
            <w:pPr>
              <w:pStyle w:val="EmbeddedText"/>
              <w:widowControl w:val="0"/>
              <w:spacing w:before="0" w:after="0" w:line="300" w:lineRule="exact"/>
              <w:rPr>
                <w:rFonts w:ascii="Segoe UI" w:hAnsi="Segoe UI" w:cs="Segoe UI"/>
                <w:sz w:val="20"/>
              </w:rPr>
            </w:pPr>
            <w:r w:rsidRPr="00E6374A">
              <w:rPr>
                <w:rFonts w:ascii="Segoe UI" w:hAnsi="Segoe UI" w:cs="Segoe UI"/>
                <w:sz w:val="20"/>
              </w:rPr>
              <w:t>Refers to any significant (or serious) offence or breach of the MoDA committed more than once, however for less significant (non-serious) offending the definition of ‘repeated’ is defined as habitual or regular offending.</w:t>
            </w:r>
          </w:p>
        </w:tc>
      </w:tr>
      <w:tr w:rsidRPr="00FC0E59" w:rsidR="00D37487" w:rsidTr="00D37487" w14:paraId="478E8064" w14:textId="77777777">
        <w:tc>
          <w:tcPr>
            <w:tcW w:w="2969" w:type="dxa"/>
            <w:shd w:val="clear" w:color="auto" w:fill="auto"/>
          </w:tcPr>
          <w:p w:rsidRPr="00E6374A" w:rsidR="00D37487" w:rsidP="009A7FAF" w:rsidRDefault="00D37487" w14:paraId="3549FA0B" w14:textId="77777777">
            <w:pPr>
              <w:pStyle w:val="EmbeddedText"/>
              <w:widowControl w:val="0"/>
              <w:spacing w:before="0" w:after="0" w:line="300" w:lineRule="exact"/>
              <w:rPr>
                <w:rFonts w:ascii="Segoe UI" w:hAnsi="Segoe UI" w:cs="Segoe UI"/>
                <w:sz w:val="20"/>
              </w:rPr>
            </w:pPr>
            <w:r w:rsidRPr="00E6374A">
              <w:rPr>
                <w:rFonts w:ascii="Segoe UI" w:hAnsi="Segoe UI" w:cs="Segoe UI"/>
                <w:sz w:val="20"/>
              </w:rPr>
              <w:t>Responsible person</w:t>
            </w:r>
          </w:p>
        </w:tc>
        <w:tc>
          <w:tcPr>
            <w:tcW w:w="6379" w:type="dxa"/>
            <w:shd w:val="clear" w:color="auto" w:fill="auto"/>
          </w:tcPr>
          <w:p w:rsidRPr="00E6374A" w:rsidR="00D37487" w:rsidP="009A7FAF" w:rsidRDefault="00D37487" w14:paraId="720A38A8" w14:textId="77777777">
            <w:pPr>
              <w:pStyle w:val="EmbeddedText"/>
              <w:widowControl w:val="0"/>
              <w:spacing w:before="0" w:after="0" w:line="300" w:lineRule="exact"/>
              <w:rPr>
                <w:rFonts w:ascii="Segoe UI" w:hAnsi="Segoe UI" w:cs="Segoe UI"/>
                <w:sz w:val="20"/>
              </w:rPr>
            </w:pPr>
            <w:r w:rsidRPr="00E6374A">
              <w:rPr>
                <w:rFonts w:ascii="Segoe UI" w:hAnsi="Segoe UI" w:cs="Segoe UI"/>
                <w:sz w:val="20"/>
              </w:rPr>
              <w:t xml:space="preserve">In relation to an entity that is (or is applying to be) a drug checking </w:t>
            </w:r>
            <w:r w:rsidRPr="00E6374A">
              <w:rPr>
                <w:rFonts w:ascii="Segoe UI" w:hAnsi="Segoe UI" w:cs="Segoe UI"/>
                <w:sz w:val="20"/>
              </w:rPr>
              <w:lastRenderedPageBreak/>
              <w:t>service provider, responsible person means:</w:t>
            </w:r>
          </w:p>
          <w:p w:rsidRPr="00E6374A" w:rsidR="00D37487" w:rsidP="009A7FAF" w:rsidRDefault="00D37487" w14:paraId="0D2C7BDF" w14:textId="77777777">
            <w:pPr>
              <w:pStyle w:val="TableBullet"/>
              <w:widowControl w:val="0"/>
              <w:spacing w:after="0" w:line="300" w:lineRule="exact"/>
            </w:pPr>
            <w:r w:rsidRPr="00E6374A">
              <w:t>a director, partner or trustee of the entity, or</w:t>
            </w:r>
          </w:p>
          <w:p w:rsidRPr="00E6374A" w:rsidR="00D37487" w:rsidP="009A7FAF" w:rsidRDefault="00D37487" w14:paraId="7E98D0C8" w14:textId="77777777">
            <w:pPr>
              <w:pStyle w:val="TableBullet"/>
              <w:widowControl w:val="0"/>
              <w:spacing w:after="0" w:line="300" w:lineRule="exact"/>
            </w:pPr>
            <w:r w:rsidRPr="00E6374A">
              <w:t>if the entity does not have directors, partners, or trustees, a person who acts in relation to the entity in the same or a similar fashion as a director, partner, or trustee would were the entity a company, partnership, or trust.</w:t>
            </w:r>
          </w:p>
        </w:tc>
      </w:tr>
      <w:tr w:rsidRPr="00FC0E59" w:rsidR="00D37487" w:rsidTr="00D37487" w14:paraId="7DC4507B" w14:textId="77777777">
        <w:tc>
          <w:tcPr>
            <w:tcW w:w="2969" w:type="dxa"/>
            <w:shd w:val="clear" w:color="auto" w:fill="auto"/>
          </w:tcPr>
          <w:p w:rsidRPr="00E6374A" w:rsidR="00D37487" w:rsidP="009A7FAF" w:rsidRDefault="00D37487" w14:paraId="427B3EDC" w14:textId="77777777">
            <w:pPr>
              <w:pStyle w:val="EmbeddedText"/>
              <w:widowControl w:val="0"/>
              <w:spacing w:before="0" w:after="0" w:line="300" w:lineRule="exact"/>
              <w:rPr>
                <w:rFonts w:ascii="Segoe UI" w:hAnsi="Segoe UI" w:cs="Segoe UI"/>
                <w:sz w:val="20"/>
              </w:rPr>
            </w:pPr>
            <w:r w:rsidRPr="00E6374A">
              <w:rPr>
                <w:rFonts w:ascii="Segoe UI" w:hAnsi="Segoe UI" w:cs="Segoe UI"/>
                <w:sz w:val="20"/>
              </w:rPr>
              <w:lastRenderedPageBreak/>
              <w:t>Seriousness of drug offences</w:t>
            </w:r>
          </w:p>
        </w:tc>
        <w:tc>
          <w:tcPr>
            <w:tcW w:w="6379" w:type="dxa"/>
            <w:shd w:val="clear" w:color="auto" w:fill="auto"/>
          </w:tcPr>
          <w:p w:rsidRPr="00E6374A" w:rsidR="00D37487" w:rsidP="009A7FAF" w:rsidRDefault="00D37487" w14:paraId="0D2743FC" w14:textId="77777777">
            <w:pPr>
              <w:pStyle w:val="EmbeddedText"/>
              <w:widowControl w:val="0"/>
              <w:spacing w:before="0" w:after="0" w:line="300" w:lineRule="exact"/>
              <w:rPr>
                <w:rFonts w:ascii="Segoe UI" w:hAnsi="Segoe UI" w:cs="Segoe UI"/>
                <w:sz w:val="20"/>
              </w:rPr>
            </w:pPr>
            <w:r w:rsidRPr="00E6374A">
              <w:rPr>
                <w:rFonts w:ascii="Segoe UI" w:hAnsi="Segoe UI" w:cs="Segoe UI"/>
                <w:sz w:val="20"/>
              </w:rPr>
              <w:t xml:space="preserve">This is determined by considering: </w:t>
            </w:r>
          </w:p>
          <w:p w:rsidRPr="00E6374A" w:rsidR="00D37487" w:rsidP="009A7FAF" w:rsidRDefault="00D37487" w14:paraId="3667C7A8" w14:textId="77777777">
            <w:pPr>
              <w:pStyle w:val="TableBullet"/>
              <w:widowControl w:val="0"/>
              <w:spacing w:after="0" w:line="300" w:lineRule="exact"/>
            </w:pPr>
            <w:r w:rsidRPr="00E6374A">
              <w:t>the usual justice system response to an offence</w:t>
            </w:r>
          </w:p>
          <w:p w:rsidRPr="00E6374A" w:rsidR="00D37487" w:rsidP="009A7FAF" w:rsidRDefault="00D37487" w14:paraId="466338D8" w14:textId="77777777">
            <w:pPr>
              <w:pStyle w:val="TableBullet"/>
              <w:widowControl w:val="0"/>
              <w:spacing w:after="0" w:line="300" w:lineRule="exact"/>
            </w:pPr>
            <w:r w:rsidRPr="00E6374A">
              <w:t>the likely impact of the offending on other people, and the scale of the likely impact</w:t>
            </w:r>
          </w:p>
          <w:p w:rsidRPr="00E6374A" w:rsidR="00D37487" w:rsidP="009A7FAF" w:rsidRDefault="00D37487" w14:paraId="678894E0" w14:textId="77777777">
            <w:pPr>
              <w:pStyle w:val="TableBullet"/>
              <w:widowControl w:val="0"/>
              <w:spacing w:after="0" w:line="300" w:lineRule="exact"/>
            </w:pPr>
            <w:r w:rsidRPr="00E6374A">
              <w:t xml:space="preserve">the extent to which the offending calls into question the character or judgement of the responsible person. </w:t>
            </w:r>
          </w:p>
        </w:tc>
      </w:tr>
      <w:tr w:rsidRPr="00FC0E59" w:rsidR="00D37487" w:rsidTr="00D37487" w14:paraId="2CBD0207" w14:textId="77777777">
        <w:tc>
          <w:tcPr>
            <w:tcW w:w="2969" w:type="dxa"/>
            <w:shd w:val="clear" w:color="auto" w:fill="auto"/>
          </w:tcPr>
          <w:p w:rsidRPr="00E6374A" w:rsidR="00D37487" w:rsidP="009A7FAF" w:rsidRDefault="00D37487" w14:paraId="6F50693B" w14:textId="77777777">
            <w:pPr>
              <w:pStyle w:val="EmbeddedText"/>
              <w:widowControl w:val="0"/>
              <w:spacing w:before="0" w:after="0" w:line="300" w:lineRule="exact"/>
              <w:rPr>
                <w:rFonts w:ascii="Segoe UI" w:hAnsi="Segoe UI" w:cs="Segoe UI"/>
                <w:sz w:val="20"/>
              </w:rPr>
            </w:pPr>
            <w:r w:rsidRPr="00E6374A">
              <w:rPr>
                <w:rFonts w:ascii="Segoe UI" w:hAnsi="Segoe UI" w:cs="Segoe UI"/>
                <w:sz w:val="20"/>
              </w:rPr>
              <w:t>Seriousness of non-compliance</w:t>
            </w:r>
          </w:p>
        </w:tc>
        <w:tc>
          <w:tcPr>
            <w:tcW w:w="6379" w:type="dxa"/>
            <w:shd w:val="clear" w:color="auto" w:fill="auto"/>
          </w:tcPr>
          <w:p w:rsidRPr="00E6374A" w:rsidR="00D37487" w:rsidP="009A7FAF" w:rsidRDefault="00D37487" w14:paraId="7AE1E1A9" w14:textId="77777777">
            <w:pPr>
              <w:pStyle w:val="EmbeddedText"/>
              <w:widowControl w:val="0"/>
              <w:spacing w:before="0" w:after="0" w:line="300" w:lineRule="exact"/>
              <w:rPr>
                <w:rFonts w:ascii="Segoe UI" w:hAnsi="Segoe UI" w:cs="Segoe UI"/>
                <w:sz w:val="20"/>
              </w:rPr>
            </w:pPr>
            <w:r w:rsidRPr="00E6374A">
              <w:rPr>
                <w:rFonts w:ascii="Segoe UI" w:hAnsi="Segoe UI" w:cs="Segoe UI"/>
                <w:sz w:val="20"/>
              </w:rPr>
              <w:t xml:space="preserve">This is determined by considering: </w:t>
            </w:r>
          </w:p>
          <w:p w:rsidRPr="00E6374A" w:rsidR="00D37487" w:rsidP="009A7FAF" w:rsidRDefault="00D37487" w14:paraId="469AF985" w14:textId="77777777">
            <w:pPr>
              <w:pStyle w:val="TableBullet"/>
              <w:widowControl w:val="0"/>
              <w:spacing w:after="0" w:line="300" w:lineRule="exact"/>
            </w:pPr>
            <w:r w:rsidRPr="00E6374A">
              <w:t>the actual and potential impact of the non-compliance</w:t>
            </w:r>
          </w:p>
          <w:p w:rsidRPr="00E6374A" w:rsidR="00D37487" w:rsidP="009A7FAF" w:rsidRDefault="00D37487" w14:paraId="42633729" w14:textId="77777777">
            <w:pPr>
              <w:pStyle w:val="TableBullet"/>
              <w:widowControl w:val="0"/>
              <w:spacing w:after="0" w:line="300" w:lineRule="exact"/>
            </w:pPr>
            <w:r w:rsidRPr="00E6374A">
              <w:t xml:space="preserve">if the non-compliance was of a technical nature (eg, providing information late or in the wrong format) or misleading (eg, not declaring relevant information) </w:t>
            </w:r>
          </w:p>
          <w:p w:rsidRPr="00E6374A" w:rsidR="00D37487" w:rsidP="009A7FAF" w:rsidRDefault="00D37487" w14:paraId="7348038C" w14:textId="77777777">
            <w:pPr>
              <w:pStyle w:val="TableBullet"/>
              <w:widowControl w:val="0"/>
              <w:spacing w:after="0" w:line="300" w:lineRule="exact"/>
            </w:pPr>
            <w:r w:rsidRPr="00E6374A">
              <w:t>whether the relevant regulatory team would view the non-compliance as serious.</w:t>
            </w:r>
          </w:p>
        </w:tc>
      </w:tr>
      <w:tr w:rsidRPr="00FC0E59" w:rsidR="00D37487" w:rsidTr="00D37487" w14:paraId="3BA67469" w14:textId="77777777">
        <w:tc>
          <w:tcPr>
            <w:tcW w:w="2969" w:type="dxa"/>
            <w:shd w:val="clear" w:color="auto" w:fill="auto"/>
          </w:tcPr>
          <w:p w:rsidRPr="00E6374A" w:rsidR="00D37487" w:rsidP="009A7FAF" w:rsidRDefault="00D37487" w14:paraId="6A039D3C" w14:textId="77777777">
            <w:pPr>
              <w:pStyle w:val="EmbeddedText"/>
              <w:widowControl w:val="0"/>
              <w:spacing w:before="0" w:after="0" w:line="300" w:lineRule="exact"/>
              <w:rPr>
                <w:rFonts w:ascii="Segoe UI" w:hAnsi="Segoe UI" w:cs="Segoe UI"/>
                <w:sz w:val="20"/>
              </w:rPr>
            </w:pPr>
            <w:r w:rsidRPr="00E6374A">
              <w:rPr>
                <w:rFonts w:ascii="Segoe UI" w:hAnsi="Segoe UI" w:cs="Segoe UI"/>
                <w:sz w:val="20"/>
              </w:rPr>
              <w:t>Suitable</w:t>
            </w:r>
          </w:p>
        </w:tc>
        <w:tc>
          <w:tcPr>
            <w:tcW w:w="6379" w:type="dxa"/>
            <w:shd w:val="clear" w:color="auto" w:fill="auto"/>
          </w:tcPr>
          <w:p w:rsidRPr="00E6374A" w:rsidR="00D37487" w:rsidP="009A7FAF" w:rsidRDefault="00D37487" w14:paraId="27B3E6B5" w14:textId="77777777">
            <w:pPr>
              <w:pStyle w:val="EmbeddedText"/>
              <w:widowControl w:val="0"/>
              <w:spacing w:before="0" w:after="0" w:line="300" w:lineRule="exact"/>
              <w:rPr>
                <w:rFonts w:ascii="Segoe UI" w:hAnsi="Segoe UI" w:cs="Segoe UI"/>
                <w:sz w:val="20"/>
              </w:rPr>
            </w:pPr>
            <w:r w:rsidRPr="00E6374A">
              <w:rPr>
                <w:rFonts w:ascii="Segoe UI" w:hAnsi="Segoe UI" w:cs="Segoe UI"/>
                <w:sz w:val="20"/>
              </w:rPr>
              <w:t>Refers to whether the applicant meets the requirements to be licensed as a drug checking provider.</w:t>
            </w:r>
          </w:p>
        </w:tc>
      </w:tr>
    </w:tbl>
    <w:p w:rsidR="00A401D7" w:rsidP="00E6374A" w:rsidRDefault="00E6374A" w14:paraId="6F3985BA" w14:textId="3307FDAA">
      <w:pPr>
        <w:pStyle w:val="Number"/>
      </w:pPr>
      <w:r>
        <w:t>Owner</w:t>
      </w:r>
    </w:p>
    <w:p w:rsidR="00E6374A" w:rsidP="00E6374A" w:rsidRDefault="00E6374A" w14:paraId="549B3E05" w14:textId="0A7C2BA7">
      <w:r w:rsidRPr="004D4B7B">
        <w:t>The Director of Mental Health and Addictions</w:t>
      </w:r>
    </w:p>
    <w:p w:rsidR="00E6374A" w:rsidP="00E6374A" w:rsidRDefault="00E6374A" w14:paraId="58A3673B" w14:textId="063F1613">
      <w:pPr>
        <w:pStyle w:val="Number"/>
      </w:pPr>
      <w:r>
        <w:t>General enquiries</w:t>
      </w:r>
    </w:p>
    <w:p w:rsidRPr="004D4B7B" w:rsidR="00E6374A" w:rsidP="00E6374A" w:rsidRDefault="00E6374A" w14:paraId="25D91FAF" w14:textId="77777777">
      <w:r w:rsidRPr="004D4B7B">
        <w:t xml:space="preserve">Manager Drug Checking Licensing </w:t>
      </w:r>
    </w:p>
    <w:p w:rsidR="00E6374A" w:rsidP="00E6374A" w:rsidRDefault="00E6374A" w14:paraId="3D3E9B50" w14:textId="5D0802C9">
      <w:r w:rsidRPr="004D4B7B">
        <w:t xml:space="preserve">Email: </w:t>
      </w:r>
      <w:hyperlink w:history="1" r:id="rId11">
        <w:r w:rsidRPr="00EA7587">
          <w:rPr>
            <w:rStyle w:val="Hyperlink"/>
          </w:rPr>
          <w:t>drugcheckingadmin@health.govt.nz</w:t>
        </w:r>
      </w:hyperlink>
    </w:p>
    <w:p w:rsidR="00E6374A" w:rsidP="00E6374A" w:rsidRDefault="00E6374A" w14:paraId="2E4E539D" w14:textId="609982FF">
      <w:pPr>
        <w:pStyle w:val="Number"/>
      </w:pPr>
      <w:r>
        <w:t>Contents</w:t>
      </w:r>
    </w:p>
    <w:p w:rsidRPr="00AC0FFF" w:rsidR="00E6374A" w:rsidP="00E6374A" w:rsidRDefault="00E6374A" w14:paraId="3DA6AF52" w14:textId="77777777">
      <w:r w:rsidRPr="00AC0FFF">
        <w:t>This document contains the following topics.</w:t>
      </w:r>
    </w:p>
    <w:tbl>
      <w:tblPr>
        <w:tblStyle w:val="TableGrid"/>
        <w:tblW w:w="9353" w:type="dxa"/>
        <w:tblBorders>
          <w:top w:val="single" w:color="999999" w:sz="2" w:space="0"/>
          <w:left w:val="single" w:color="999999" w:sz="2" w:space="0"/>
          <w:bottom w:val="single" w:color="999999" w:sz="2" w:space="0"/>
          <w:right w:val="single" w:color="999999" w:sz="2" w:space="0"/>
          <w:insideH w:val="single" w:color="999999" w:sz="2" w:space="0"/>
          <w:insideV w:val="single" w:color="999999" w:sz="2" w:space="0"/>
        </w:tblBorders>
        <w:tblLayout w:type="fixed"/>
        <w:tblLook w:val="04A0" w:firstRow="1" w:lastRow="0" w:firstColumn="1" w:lastColumn="0" w:noHBand="0" w:noVBand="1"/>
      </w:tblPr>
      <w:tblGrid>
        <w:gridCol w:w="7652"/>
        <w:gridCol w:w="1701"/>
      </w:tblGrid>
      <w:tr w:rsidRPr="009439F5" w:rsidR="009439F5" w:rsidTr="009439F5" w14:paraId="71514E3F" w14:textId="77777777">
        <w:trPr>
          <w:trHeight w:val="257"/>
        </w:trPr>
        <w:tc>
          <w:tcPr>
            <w:tcW w:w="7652" w:type="dxa"/>
            <w:shd w:val="clear" w:color="auto" w:fill="23305D"/>
          </w:tcPr>
          <w:p w:rsidRPr="009439F5" w:rsidR="00E6374A" w:rsidP="00E6374A" w:rsidRDefault="00E6374A" w14:paraId="066DE747" w14:textId="77777777">
            <w:pPr>
              <w:pStyle w:val="TableText0"/>
              <w:rPr>
                <w:rFonts w:ascii="Segoe UI" w:hAnsi="Segoe UI" w:cs="Segoe UI"/>
                <w:b/>
                <w:bCs/>
                <w:color w:val="FFFFFF" w:themeColor="background1"/>
                <w:sz w:val="20"/>
              </w:rPr>
            </w:pPr>
            <w:r w:rsidRPr="009439F5">
              <w:rPr>
                <w:rFonts w:ascii="Segoe UI" w:hAnsi="Segoe UI" w:cs="Segoe UI"/>
                <w:b/>
                <w:bCs/>
                <w:color w:val="FFFFFF" w:themeColor="background1"/>
                <w:sz w:val="20"/>
              </w:rPr>
              <w:t>Topic</w:t>
            </w:r>
          </w:p>
        </w:tc>
        <w:tc>
          <w:tcPr>
            <w:tcW w:w="1701" w:type="dxa"/>
            <w:shd w:val="clear" w:color="auto" w:fill="23305D"/>
          </w:tcPr>
          <w:p w:rsidRPr="009439F5" w:rsidR="00E6374A" w:rsidP="00E6374A" w:rsidRDefault="00E6374A" w14:paraId="414E3B9A" w14:textId="77FCC7E7">
            <w:pPr>
              <w:pStyle w:val="TableText0"/>
              <w:rPr>
                <w:rFonts w:ascii="Segoe UI" w:hAnsi="Segoe UI" w:cs="Segoe UI"/>
                <w:b/>
                <w:bCs/>
                <w:color w:val="FFFFFF" w:themeColor="background1"/>
                <w:sz w:val="20"/>
              </w:rPr>
            </w:pPr>
            <w:r w:rsidRPr="009439F5">
              <w:rPr>
                <w:rFonts w:ascii="Segoe UI" w:hAnsi="Segoe UI" w:cs="Segoe UI"/>
                <w:b/>
                <w:bCs/>
                <w:color w:val="FFFFFF" w:themeColor="background1"/>
                <w:sz w:val="20"/>
              </w:rPr>
              <w:t>Page number</w:t>
            </w:r>
          </w:p>
        </w:tc>
      </w:tr>
      <w:tr w:rsidRPr="00AC0FFF" w:rsidR="00E6374A" w:rsidTr="00E6374A" w14:paraId="03174C31" w14:textId="77777777">
        <w:trPr>
          <w:trHeight w:val="257"/>
        </w:trPr>
        <w:tc>
          <w:tcPr>
            <w:tcW w:w="7652" w:type="dxa"/>
            <w:shd w:val="clear" w:color="auto" w:fill="auto"/>
          </w:tcPr>
          <w:p w:rsidRPr="00E6374A" w:rsidR="00E6374A" w:rsidP="00E6374A" w:rsidRDefault="00E6374A" w14:paraId="5733B5C8" w14:textId="77777777">
            <w:pPr>
              <w:pStyle w:val="TableText0"/>
              <w:spacing w:line="264" w:lineRule="auto"/>
              <w:rPr>
                <w:rFonts w:ascii="Segoe UI" w:hAnsi="Segoe UI" w:cs="Segoe UI"/>
                <w:sz w:val="20"/>
              </w:rPr>
            </w:pPr>
            <w:r w:rsidRPr="00E6374A">
              <w:rPr>
                <w:rFonts w:ascii="Segoe UI" w:hAnsi="Segoe UI" w:cs="Segoe UI"/>
                <w:sz w:val="20"/>
              </w:rPr>
              <w:t>Introduction</w:t>
            </w:r>
          </w:p>
        </w:tc>
        <w:tc>
          <w:tcPr>
            <w:tcW w:w="1701" w:type="dxa"/>
            <w:shd w:val="clear" w:color="auto" w:fill="auto"/>
          </w:tcPr>
          <w:p w:rsidRPr="00E6374A" w:rsidR="00E6374A" w:rsidP="00E6374A" w:rsidRDefault="00016C2D" w14:paraId="75D18CE6" w14:textId="3D4BFABD">
            <w:pPr>
              <w:pStyle w:val="TableText0"/>
              <w:spacing w:line="264" w:lineRule="auto"/>
              <w:rPr>
                <w:rFonts w:ascii="Segoe UI" w:hAnsi="Segoe UI" w:cs="Segoe UI"/>
                <w:sz w:val="20"/>
              </w:rPr>
            </w:pPr>
            <w:r>
              <w:rPr>
                <w:rFonts w:ascii="Segoe UI" w:hAnsi="Segoe UI" w:cs="Segoe UI"/>
                <w:sz w:val="20"/>
              </w:rPr>
              <w:t>4</w:t>
            </w:r>
          </w:p>
        </w:tc>
      </w:tr>
      <w:tr w:rsidRPr="00AC0FFF" w:rsidR="00E6374A" w:rsidTr="00E6374A" w14:paraId="4F68B4B2" w14:textId="77777777">
        <w:trPr>
          <w:trHeight w:val="257"/>
        </w:trPr>
        <w:tc>
          <w:tcPr>
            <w:tcW w:w="7652" w:type="dxa"/>
            <w:shd w:val="clear" w:color="auto" w:fill="auto"/>
          </w:tcPr>
          <w:p w:rsidRPr="00E6374A" w:rsidR="00E6374A" w:rsidP="00E6374A" w:rsidRDefault="00E6374A" w14:paraId="2FD2B85D" w14:textId="77777777">
            <w:pPr>
              <w:pStyle w:val="TableText0"/>
              <w:spacing w:line="264" w:lineRule="auto"/>
              <w:rPr>
                <w:rFonts w:ascii="Segoe UI" w:hAnsi="Segoe UI" w:cs="Segoe UI"/>
                <w:sz w:val="20"/>
              </w:rPr>
            </w:pPr>
            <w:r w:rsidRPr="00E6374A">
              <w:rPr>
                <w:rFonts w:ascii="Segoe UI" w:hAnsi="Segoe UI" w:cs="Segoe UI"/>
                <w:sz w:val="20"/>
              </w:rPr>
              <w:t>Legislative interpretation and guidance</w:t>
            </w:r>
          </w:p>
        </w:tc>
        <w:tc>
          <w:tcPr>
            <w:tcW w:w="1701" w:type="dxa"/>
            <w:shd w:val="clear" w:color="auto" w:fill="auto"/>
          </w:tcPr>
          <w:p w:rsidRPr="00E6374A" w:rsidR="00E6374A" w:rsidP="00E6374A" w:rsidRDefault="00016C2D" w14:paraId="41F782FB" w14:textId="5240F868">
            <w:pPr>
              <w:pStyle w:val="TableText0"/>
              <w:spacing w:line="264" w:lineRule="auto"/>
              <w:rPr>
                <w:rFonts w:ascii="Segoe UI" w:hAnsi="Segoe UI" w:cs="Segoe UI"/>
                <w:sz w:val="20"/>
              </w:rPr>
            </w:pPr>
            <w:r>
              <w:rPr>
                <w:rFonts w:ascii="Segoe UI" w:hAnsi="Segoe UI" w:cs="Segoe UI"/>
                <w:sz w:val="20"/>
              </w:rPr>
              <w:t>4</w:t>
            </w:r>
          </w:p>
        </w:tc>
      </w:tr>
      <w:tr w:rsidRPr="00AC0FFF" w:rsidR="00E6374A" w:rsidTr="00E6374A" w14:paraId="7F12BACD" w14:textId="77777777">
        <w:trPr>
          <w:trHeight w:val="257"/>
        </w:trPr>
        <w:tc>
          <w:tcPr>
            <w:tcW w:w="7652" w:type="dxa"/>
            <w:shd w:val="clear" w:color="auto" w:fill="auto"/>
          </w:tcPr>
          <w:p w:rsidRPr="00E6374A" w:rsidR="00E6374A" w:rsidP="00E6374A" w:rsidRDefault="00E6374A" w14:paraId="7EE8DE83" w14:textId="77777777">
            <w:pPr>
              <w:pStyle w:val="TableText0"/>
              <w:spacing w:line="264" w:lineRule="auto"/>
              <w:rPr>
                <w:rFonts w:ascii="Segoe UI" w:hAnsi="Segoe UI" w:cs="Segoe UI"/>
                <w:sz w:val="20"/>
              </w:rPr>
            </w:pPr>
            <w:r w:rsidRPr="00E6374A">
              <w:rPr>
                <w:rFonts w:ascii="Segoe UI" w:hAnsi="Segoe UI" w:cs="Segoe UI"/>
                <w:sz w:val="20"/>
              </w:rPr>
              <w:t>Principles</w:t>
            </w:r>
          </w:p>
        </w:tc>
        <w:tc>
          <w:tcPr>
            <w:tcW w:w="1701" w:type="dxa"/>
            <w:shd w:val="clear" w:color="auto" w:fill="auto"/>
          </w:tcPr>
          <w:p w:rsidRPr="00E6374A" w:rsidR="00E6374A" w:rsidP="00E6374A" w:rsidRDefault="00016C2D" w14:paraId="46AD3D3A" w14:textId="41D40783">
            <w:pPr>
              <w:pStyle w:val="TableText0"/>
              <w:spacing w:line="264" w:lineRule="auto"/>
              <w:rPr>
                <w:rFonts w:ascii="Segoe UI" w:hAnsi="Segoe UI" w:cs="Segoe UI"/>
                <w:sz w:val="20"/>
              </w:rPr>
            </w:pPr>
            <w:r>
              <w:rPr>
                <w:rFonts w:ascii="Segoe UI" w:hAnsi="Segoe UI" w:cs="Segoe UI"/>
                <w:sz w:val="20"/>
              </w:rPr>
              <w:t>4</w:t>
            </w:r>
          </w:p>
        </w:tc>
      </w:tr>
      <w:tr w:rsidRPr="00AC0FFF" w:rsidR="00E6374A" w:rsidTr="00E6374A" w14:paraId="5296598C" w14:textId="77777777">
        <w:trPr>
          <w:trHeight w:val="237"/>
        </w:trPr>
        <w:tc>
          <w:tcPr>
            <w:tcW w:w="7652" w:type="dxa"/>
            <w:shd w:val="clear" w:color="auto" w:fill="auto"/>
          </w:tcPr>
          <w:p w:rsidRPr="00E6374A" w:rsidR="00E6374A" w:rsidP="00E6374A" w:rsidRDefault="00E6374A" w14:paraId="0C95376C" w14:textId="77777777">
            <w:pPr>
              <w:pStyle w:val="TableText0"/>
              <w:spacing w:line="264" w:lineRule="auto"/>
              <w:rPr>
                <w:rFonts w:ascii="Segoe UI" w:hAnsi="Segoe UI" w:cs="Segoe UI"/>
                <w:sz w:val="20"/>
              </w:rPr>
            </w:pPr>
            <w:r w:rsidRPr="00E6374A">
              <w:rPr>
                <w:rFonts w:ascii="Segoe UI" w:hAnsi="Segoe UI" w:cs="Segoe UI"/>
                <w:sz w:val="20"/>
              </w:rPr>
              <w:t>Application for review of licensing decision</w:t>
            </w:r>
          </w:p>
        </w:tc>
        <w:tc>
          <w:tcPr>
            <w:tcW w:w="1701" w:type="dxa"/>
            <w:shd w:val="clear" w:color="auto" w:fill="auto"/>
          </w:tcPr>
          <w:p w:rsidRPr="00E6374A" w:rsidR="00E6374A" w:rsidP="00E6374A" w:rsidRDefault="00E6374A" w14:paraId="537BE1E8" w14:textId="77777777">
            <w:pPr>
              <w:pStyle w:val="TableText0"/>
              <w:spacing w:line="264" w:lineRule="auto"/>
              <w:rPr>
                <w:rFonts w:ascii="Segoe UI" w:hAnsi="Segoe UI" w:cs="Segoe UI"/>
                <w:sz w:val="20"/>
              </w:rPr>
            </w:pPr>
            <w:r w:rsidRPr="00E6374A">
              <w:rPr>
                <w:rFonts w:ascii="Segoe UI" w:hAnsi="Segoe UI" w:cs="Segoe UI"/>
                <w:sz w:val="20"/>
              </w:rPr>
              <w:t>5</w:t>
            </w:r>
          </w:p>
        </w:tc>
      </w:tr>
      <w:tr w:rsidRPr="00AC0FFF" w:rsidR="00E6374A" w:rsidTr="00E6374A" w14:paraId="3397A6F3" w14:textId="77777777">
        <w:trPr>
          <w:trHeight w:val="257"/>
        </w:trPr>
        <w:tc>
          <w:tcPr>
            <w:tcW w:w="7652" w:type="dxa"/>
            <w:shd w:val="clear" w:color="auto" w:fill="auto"/>
          </w:tcPr>
          <w:p w:rsidRPr="00E6374A" w:rsidR="00E6374A" w:rsidP="00E6374A" w:rsidRDefault="00E6374A" w14:paraId="6CF628A6" w14:textId="77777777">
            <w:pPr>
              <w:pStyle w:val="TableText0"/>
              <w:spacing w:line="264" w:lineRule="auto"/>
              <w:rPr>
                <w:rFonts w:ascii="Segoe UI" w:hAnsi="Segoe UI" w:cs="Segoe UI"/>
                <w:sz w:val="20"/>
              </w:rPr>
            </w:pPr>
            <w:r w:rsidRPr="00E6374A">
              <w:rPr>
                <w:rFonts w:ascii="Segoe UI" w:hAnsi="Segoe UI" w:cs="Segoe UI"/>
                <w:sz w:val="20"/>
              </w:rPr>
              <w:t>Review process</w:t>
            </w:r>
          </w:p>
        </w:tc>
        <w:tc>
          <w:tcPr>
            <w:tcW w:w="1701" w:type="dxa"/>
            <w:shd w:val="clear" w:color="auto" w:fill="auto"/>
          </w:tcPr>
          <w:p w:rsidRPr="00E6374A" w:rsidR="00E6374A" w:rsidP="00E6374A" w:rsidRDefault="00E6374A" w14:paraId="3A824B83" w14:textId="77777777">
            <w:pPr>
              <w:pStyle w:val="TableText0"/>
              <w:spacing w:line="264" w:lineRule="auto"/>
              <w:rPr>
                <w:rFonts w:ascii="Segoe UI" w:hAnsi="Segoe UI" w:cs="Segoe UI"/>
                <w:sz w:val="20"/>
              </w:rPr>
            </w:pPr>
            <w:r w:rsidRPr="00E6374A">
              <w:rPr>
                <w:rFonts w:ascii="Segoe UI" w:hAnsi="Segoe UI" w:cs="Segoe UI"/>
                <w:sz w:val="20"/>
              </w:rPr>
              <w:t>6</w:t>
            </w:r>
          </w:p>
        </w:tc>
      </w:tr>
      <w:tr w:rsidRPr="00AC0FFF" w:rsidR="00E6374A" w:rsidTr="00E6374A" w14:paraId="58F25B07" w14:textId="77777777">
        <w:trPr>
          <w:trHeight w:val="257"/>
        </w:trPr>
        <w:tc>
          <w:tcPr>
            <w:tcW w:w="7652" w:type="dxa"/>
            <w:shd w:val="clear" w:color="auto" w:fill="auto"/>
          </w:tcPr>
          <w:p w:rsidRPr="00E6374A" w:rsidR="00E6374A" w:rsidP="00E6374A" w:rsidRDefault="00E6374A" w14:paraId="5BEC8142" w14:textId="77777777">
            <w:pPr>
              <w:pStyle w:val="TableText0"/>
              <w:spacing w:line="264" w:lineRule="auto"/>
              <w:rPr>
                <w:rFonts w:ascii="Segoe UI" w:hAnsi="Segoe UI" w:cs="Segoe UI"/>
                <w:sz w:val="20"/>
              </w:rPr>
            </w:pPr>
            <w:r w:rsidRPr="00E6374A">
              <w:rPr>
                <w:rFonts w:ascii="Segoe UI" w:hAnsi="Segoe UI" w:cs="Segoe UI"/>
                <w:sz w:val="20"/>
              </w:rPr>
              <w:t>Review decision</w:t>
            </w:r>
          </w:p>
        </w:tc>
        <w:tc>
          <w:tcPr>
            <w:tcW w:w="1701" w:type="dxa"/>
            <w:shd w:val="clear" w:color="auto" w:fill="auto"/>
          </w:tcPr>
          <w:p w:rsidRPr="00E6374A" w:rsidR="00E6374A" w:rsidP="00E6374A" w:rsidRDefault="00E6374A" w14:paraId="1B2797AC" w14:textId="77777777">
            <w:pPr>
              <w:pStyle w:val="TableText0"/>
              <w:spacing w:line="264" w:lineRule="auto"/>
              <w:rPr>
                <w:rFonts w:ascii="Segoe UI" w:hAnsi="Segoe UI" w:cs="Segoe UI"/>
                <w:sz w:val="20"/>
              </w:rPr>
            </w:pPr>
            <w:r w:rsidRPr="00E6374A">
              <w:rPr>
                <w:rFonts w:ascii="Segoe UI" w:hAnsi="Segoe UI" w:cs="Segoe UI"/>
                <w:sz w:val="20"/>
              </w:rPr>
              <w:t>6</w:t>
            </w:r>
          </w:p>
        </w:tc>
      </w:tr>
      <w:tr w:rsidRPr="00AC0FFF" w:rsidR="00E6374A" w:rsidTr="00E6374A" w14:paraId="7F3074D3" w14:textId="77777777">
        <w:trPr>
          <w:trHeight w:val="257"/>
        </w:trPr>
        <w:tc>
          <w:tcPr>
            <w:tcW w:w="7652" w:type="dxa"/>
            <w:shd w:val="clear" w:color="auto" w:fill="auto"/>
          </w:tcPr>
          <w:p w:rsidRPr="00E6374A" w:rsidR="00E6374A" w:rsidP="00E6374A" w:rsidRDefault="00E6374A" w14:paraId="649B0890" w14:textId="77777777">
            <w:pPr>
              <w:pStyle w:val="TableText0"/>
              <w:spacing w:line="264" w:lineRule="auto"/>
              <w:rPr>
                <w:rFonts w:ascii="Segoe UI" w:hAnsi="Segoe UI" w:cs="Segoe UI"/>
                <w:sz w:val="20"/>
              </w:rPr>
            </w:pPr>
            <w:r w:rsidRPr="00E6374A">
              <w:rPr>
                <w:rFonts w:ascii="Segoe UI" w:hAnsi="Segoe UI" w:cs="Segoe UI"/>
                <w:sz w:val="20"/>
              </w:rPr>
              <w:t>Related reading</w:t>
            </w:r>
          </w:p>
        </w:tc>
        <w:tc>
          <w:tcPr>
            <w:tcW w:w="1701" w:type="dxa"/>
            <w:shd w:val="clear" w:color="auto" w:fill="auto"/>
          </w:tcPr>
          <w:p w:rsidRPr="00E6374A" w:rsidR="00E6374A" w:rsidP="00E6374A" w:rsidRDefault="00016C2D" w14:paraId="2AA4612B" w14:textId="0B4F0026">
            <w:pPr>
              <w:pStyle w:val="TableText0"/>
              <w:spacing w:line="264" w:lineRule="auto"/>
              <w:rPr>
                <w:rFonts w:ascii="Segoe UI" w:hAnsi="Segoe UI" w:cs="Segoe UI"/>
                <w:sz w:val="20"/>
              </w:rPr>
            </w:pPr>
            <w:r>
              <w:rPr>
                <w:rFonts w:ascii="Segoe UI" w:hAnsi="Segoe UI" w:cs="Segoe UI"/>
                <w:sz w:val="20"/>
              </w:rPr>
              <w:t>7</w:t>
            </w:r>
          </w:p>
        </w:tc>
      </w:tr>
      <w:tr w:rsidRPr="00AC0FFF" w:rsidR="00E6374A" w:rsidTr="00E6374A" w14:paraId="5DE400C8" w14:textId="77777777">
        <w:trPr>
          <w:trHeight w:val="257"/>
        </w:trPr>
        <w:tc>
          <w:tcPr>
            <w:tcW w:w="7652" w:type="dxa"/>
            <w:shd w:val="clear" w:color="auto" w:fill="auto"/>
          </w:tcPr>
          <w:p w:rsidRPr="00E6374A" w:rsidR="00E6374A" w:rsidP="00E6374A" w:rsidRDefault="00E6374A" w14:paraId="00FECA6D" w14:textId="77777777">
            <w:pPr>
              <w:pStyle w:val="TableText0"/>
              <w:spacing w:line="264" w:lineRule="auto"/>
              <w:rPr>
                <w:rFonts w:ascii="Segoe UI" w:hAnsi="Segoe UI" w:cs="Segoe UI"/>
                <w:sz w:val="20"/>
              </w:rPr>
            </w:pPr>
            <w:r w:rsidRPr="00E6374A">
              <w:rPr>
                <w:rFonts w:ascii="Segoe UI" w:hAnsi="Segoe UI" w:cs="Segoe UI"/>
                <w:sz w:val="20"/>
              </w:rPr>
              <w:lastRenderedPageBreak/>
              <w:t>Relevant legislative clauses: MoDA</w:t>
            </w:r>
          </w:p>
        </w:tc>
        <w:tc>
          <w:tcPr>
            <w:tcW w:w="1701" w:type="dxa"/>
            <w:shd w:val="clear" w:color="auto" w:fill="auto"/>
          </w:tcPr>
          <w:p w:rsidRPr="00E6374A" w:rsidR="00E6374A" w:rsidP="00E6374A" w:rsidRDefault="00E6374A" w14:paraId="49A8702B" w14:textId="77777777">
            <w:pPr>
              <w:pStyle w:val="TableText0"/>
              <w:spacing w:line="264" w:lineRule="auto"/>
              <w:rPr>
                <w:rFonts w:ascii="Segoe UI" w:hAnsi="Segoe UI" w:cs="Segoe UI"/>
                <w:sz w:val="20"/>
              </w:rPr>
            </w:pPr>
            <w:r w:rsidRPr="00E6374A">
              <w:rPr>
                <w:rFonts w:ascii="Segoe UI" w:hAnsi="Segoe UI" w:cs="Segoe UI"/>
                <w:sz w:val="20"/>
              </w:rPr>
              <w:t>7</w:t>
            </w:r>
          </w:p>
        </w:tc>
      </w:tr>
      <w:tr w:rsidRPr="00AC0FFF" w:rsidR="00E6374A" w:rsidTr="00E6374A" w14:paraId="6496DC92" w14:textId="77777777">
        <w:trPr>
          <w:trHeight w:val="358"/>
        </w:trPr>
        <w:tc>
          <w:tcPr>
            <w:tcW w:w="7652" w:type="dxa"/>
            <w:shd w:val="clear" w:color="auto" w:fill="auto"/>
          </w:tcPr>
          <w:p w:rsidRPr="00E6374A" w:rsidR="00E6374A" w:rsidP="00E6374A" w:rsidRDefault="00E6374A" w14:paraId="0EFED1D3" w14:textId="77777777">
            <w:pPr>
              <w:pStyle w:val="TableText0"/>
              <w:spacing w:line="264" w:lineRule="auto"/>
              <w:rPr>
                <w:rFonts w:ascii="Segoe UI" w:hAnsi="Segoe UI" w:cs="Segoe UI"/>
                <w:sz w:val="20"/>
              </w:rPr>
            </w:pPr>
            <w:r w:rsidRPr="00E6374A">
              <w:rPr>
                <w:rFonts w:ascii="Segoe UI" w:hAnsi="Segoe UI" w:cs="Segoe UI"/>
                <w:sz w:val="20"/>
              </w:rPr>
              <w:t>Relevant legislative clauses: MoDA Regulations</w:t>
            </w:r>
          </w:p>
        </w:tc>
        <w:tc>
          <w:tcPr>
            <w:tcW w:w="1701" w:type="dxa"/>
            <w:shd w:val="clear" w:color="auto" w:fill="auto"/>
          </w:tcPr>
          <w:p w:rsidRPr="00E6374A" w:rsidR="00E6374A" w:rsidP="00E6374A" w:rsidRDefault="00016C2D" w14:paraId="60C444F9" w14:textId="4BD7531E">
            <w:pPr>
              <w:pStyle w:val="TableText0"/>
              <w:spacing w:line="264" w:lineRule="auto"/>
              <w:rPr>
                <w:rFonts w:ascii="Segoe UI" w:hAnsi="Segoe UI" w:cs="Segoe UI"/>
                <w:sz w:val="20"/>
              </w:rPr>
            </w:pPr>
            <w:r>
              <w:rPr>
                <w:rFonts w:ascii="Segoe UI" w:hAnsi="Segoe UI" w:cs="Segoe UI"/>
                <w:sz w:val="20"/>
              </w:rPr>
              <w:t>8</w:t>
            </w:r>
          </w:p>
        </w:tc>
      </w:tr>
      <w:tr w:rsidRPr="00AC0FFF" w:rsidR="00E6374A" w:rsidTr="00E6374A" w14:paraId="2793BE6C" w14:textId="77777777">
        <w:trPr>
          <w:trHeight w:val="377"/>
        </w:trPr>
        <w:tc>
          <w:tcPr>
            <w:tcW w:w="7652" w:type="dxa"/>
            <w:shd w:val="clear" w:color="auto" w:fill="auto"/>
          </w:tcPr>
          <w:p w:rsidRPr="00E6374A" w:rsidR="00E6374A" w:rsidP="00E6374A" w:rsidRDefault="00E6374A" w14:paraId="0A98BE42" w14:textId="77777777">
            <w:pPr>
              <w:pStyle w:val="TableText0"/>
              <w:spacing w:line="264" w:lineRule="auto"/>
              <w:rPr>
                <w:rFonts w:ascii="Segoe UI" w:hAnsi="Segoe UI" w:cs="Segoe UI"/>
                <w:sz w:val="20"/>
              </w:rPr>
            </w:pPr>
            <w:r w:rsidRPr="00E6374A">
              <w:rPr>
                <w:rFonts w:ascii="Segoe UI" w:hAnsi="Segoe UI" w:cs="Segoe UI"/>
                <w:sz w:val="20"/>
              </w:rPr>
              <w:t>Appendix 1: Drug Checking suitability decision support tool</w:t>
            </w:r>
          </w:p>
        </w:tc>
        <w:tc>
          <w:tcPr>
            <w:tcW w:w="1701" w:type="dxa"/>
            <w:shd w:val="clear" w:color="auto" w:fill="auto"/>
          </w:tcPr>
          <w:p w:rsidRPr="00E6374A" w:rsidR="00E6374A" w:rsidP="00E6374A" w:rsidRDefault="00E6374A" w14:paraId="20C7AF10" w14:textId="77777777">
            <w:pPr>
              <w:pStyle w:val="TableText0"/>
              <w:spacing w:line="264" w:lineRule="auto"/>
              <w:rPr>
                <w:rFonts w:ascii="Segoe UI" w:hAnsi="Segoe UI" w:cs="Segoe UI"/>
                <w:sz w:val="20"/>
              </w:rPr>
            </w:pPr>
            <w:r w:rsidRPr="00E6374A">
              <w:rPr>
                <w:rFonts w:ascii="Segoe UI" w:hAnsi="Segoe UI" w:cs="Segoe UI"/>
                <w:sz w:val="20"/>
              </w:rPr>
              <w:t>9</w:t>
            </w:r>
          </w:p>
        </w:tc>
      </w:tr>
    </w:tbl>
    <w:p w:rsidR="008C7877" w:rsidP="008C7877" w:rsidRDefault="008C7877" w14:paraId="1D8E3BB3" w14:textId="2EA5082C">
      <w:pPr>
        <w:pStyle w:val="Number"/>
      </w:pPr>
      <w:r>
        <w:t>Review date</w:t>
      </w:r>
    </w:p>
    <w:p w:rsidR="008C7877" w:rsidP="00E6374A" w:rsidRDefault="00201E1B" w14:paraId="0C373C01" w14:textId="7B3C9B8E">
      <w:r>
        <w:t>November</w:t>
      </w:r>
      <w:r w:rsidR="008C7877">
        <w:t xml:space="preserve"> 2024</w:t>
      </w:r>
    </w:p>
    <w:p w:rsidR="00433D3E" w:rsidRDefault="00433D3E" w14:paraId="7087810E" w14:textId="77777777">
      <w:pPr>
        <w:spacing w:before="0" w:after="0" w:line="240" w:lineRule="auto"/>
        <w:rPr>
          <w:b/>
          <w:bCs/>
          <w:sz w:val="28"/>
          <w:szCs w:val="28"/>
        </w:rPr>
      </w:pPr>
      <w:r>
        <w:rPr>
          <w:b/>
          <w:bCs/>
          <w:sz w:val="28"/>
          <w:szCs w:val="28"/>
        </w:rPr>
        <w:br w:type="page"/>
      </w:r>
    </w:p>
    <w:p w:rsidRPr="00433D3E" w:rsidR="00433D3E" w:rsidP="00433D3E" w:rsidRDefault="00433D3E" w14:paraId="3CDE7BE3" w14:textId="0871CF11">
      <w:pPr>
        <w:pBdr>
          <w:bottom w:val="single" w:color="999999" w:sz="4" w:space="1"/>
        </w:pBdr>
        <w:rPr>
          <w:b/>
          <w:bCs/>
          <w:sz w:val="28"/>
          <w:szCs w:val="28"/>
        </w:rPr>
      </w:pPr>
      <w:r w:rsidRPr="00433D3E">
        <w:rPr>
          <w:b/>
          <w:bCs/>
          <w:sz w:val="28"/>
          <w:szCs w:val="28"/>
        </w:rPr>
        <w:lastRenderedPageBreak/>
        <w:t xml:space="preserve">Drug Checking Review of Licensing Decisions Policy </w:t>
      </w:r>
    </w:p>
    <w:p w:rsidR="00020081" w:rsidRDefault="00020081" w14:paraId="315E3DE1" w14:textId="196EDADE">
      <w:pPr>
        <w:spacing w:line="240" w:lineRule="auto"/>
      </w:pPr>
    </w:p>
    <w:p w:rsidRPr="009439F5" w:rsidR="00020081" w:rsidP="009439F5" w:rsidRDefault="00020081" w14:paraId="164BA3D2" w14:textId="134D886D">
      <w:pPr>
        <w:pStyle w:val="Heading1"/>
        <w:numPr>
          <w:ilvl w:val="0"/>
          <w:numId w:val="15"/>
        </w:numPr>
        <w:rPr>
          <w:rStyle w:val="Heading1Char"/>
          <w:rFonts w:cs="Times New Roman"/>
          <w:b/>
          <w:bCs/>
          <w:sz w:val="36"/>
          <w:szCs w:val="36"/>
        </w:rPr>
      </w:pPr>
      <w:r w:rsidRPr="009439F5">
        <w:rPr>
          <w:rStyle w:val="Heading1Char"/>
          <w:rFonts w:cs="Times New Roman"/>
          <w:b/>
          <w:sz w:val="36"/>
          <w:szCs w:val="36"/>
        </w:rPr>
        <w:t>Introduction</w:t>
      </w:r>
    </w:p>
    <w:p w:rsidRPr="00020081" w:rsidR="00020081" w:rsidP="00527FCE" w:rsidRDefault="00020081" w14:paraId="7FC78B63" w14:textId="32C89156">
      <w:r w:rsidRPr="00020081">
        <w:t>The purpose of the policy is to support Ministry officials in their review of drug checking licensing decisions, ensuring this occurs in a fair, equitable, reliable and consistent way.</w:t>
      </w:r>
    </w:p>
    <w:p w:rsidR="00020081" w:rsidP="00527FCE" w:rsidRDefault="00020081" w14:paraId="253B54CB" w14:textId="77777777">
      <w:r w:rsidRPr="00020081">
        <w:t>The policy is also available to inform stakeholders in an open and transparent manner of the Ministry’s processes and considerations that guide the review of licensing decisions</w:t>
      </w:r>
      <w:r>
        <w:t>.</w:t>
      </w:r>
    </w:p>
    <w:p w:rsidR="00020081" w:rsidP="009439F5" w:rsidRDefault="00020081" w14:paraId="2AAD06C2" w14:textId="302269AE">
      <w:pPr>
        <w:pStyle w:val="Heading1"/>
      </w:pPr>
      <w:r>
        <w:t>Legislative interpretation and guidance</w:t>
      </w:r>
    </w:p>
    <w:p w:rsidR="00020081" w:rsidP="00527FCE" w:rsidRDefault="00020081" w14:paraId="1A05D8ED" w14:textId="67403AED">
      <w:r w:rsidRPr="00527FCE">
        <w:rPr>
          <w:b/>
          <w:bCs/>
        </w:rPr>
        <w:t>The Misuse of Drugs Act (1975), Schedule 6, clause 11(1) and (2) and clause 12(1–7)</w:t>
      </w:r>
      <w:r>
        <w:t xml:space="preserve"> sets out the provision for an applicant or drug checking entity to apply for a review of a licensing decision. This includes declining to issue a licence or renew a licence, changes to a licensing status (eg, suspension, cancellation) or any changes to licence conditions. </w:t>
      </w:r>
    </w:p>
    <w:p w:rsidR="00020081" w:rsidP="00527FCE" w:rsidRDefault="00020081" w14:paraId="6D5FC05B" w14:textId="77777777">
      <w:r w:rsidRPr="00527FCE">
        <w:rPr>
          <w:b/>
          <w:bCs/>
        </w:rPr>
        <w:t>The Misuse of Drugs (Drug and Substance Checking Service Provider) Regulations 2022, Regulation 10(1)(2) and (3)</w:t>
      </w:r>
      <w:r>
        <w:t xml:space="preserve"> sets out the provision for an applicant or drug checking entity to apply for a review of a renewal licensing decision. </w:t>
      </w:r>
    </w:p>
    <w:p w:rsidR="00020081" w:rsidP="00527FCE" w:rsidRDefault="00020081" w14:paraId="0D634F1C" w14:textId="77777777">
      <w:r w:rsidRPr="00527FCE">
        <w:rPr>
          <w:b/>
          <w:bCs/>
        </w:rPr>
        <w:t>The Drug Checking Review of Licensing Decisions Policy</w:t>
      </w:r>
      <w:r>
        <w:t xml:space="preserve"> sets out the Ministry of Health’s approach to the review of licensing decisions to ensure the processes to administer any such review align with the provisions in the MoDA and its regulations.</w:t>
      </w:r>
    </w:p>
    <w:p w:rsidR="00020081" w:rsidP="009439F5" w:rsidRDefault="00020081" w14:paraId="431A3B89" w14:textId="27D44151">
      <w:pPr>
        <w:pStyle w:val="Heading1"/>
      </w:pPr>
      <w:r>
        <w:t>Principles</w:t>
      </w:r>
    </w:p>
    <w:p w:rsidR="00020081" w:rsidP="00020081" w:rsidRDefault="00020081" w14:paraId="372B6EA2" w14:textId="30B4AFCB">
      <w:r>
        <w:t>The following principles apply and are secondary to requirements of the MoDA and its regulations:</w:t>
      </w:r>
    </w:p>
    <w:p w:rsidR="00020081" w:rsidP="00527FCE" w:rsidRDefault="00020081" w14:paraId="18401126" w14:textId="77777777">
      <w:pPr>
        <w:pStyle w:val="Heading2"/>
      </w:pPr>
      <w:r>
        <w:t>Lived experience</w:t>
      </w:r>
    </w:p>
    <w:p w:rsidR="00020081" w:rsidP="00527FCE" w:rsidRDefault="00020081" w14:paraId="6CDE9F8A" w14:textId="375A0561">
      <w:pPr>
        <w:pStyle w:val="Bullet"/>
      </w:pPr>
      <w:r>
        <w:t xml:space="preserve">Individuals with lived experiences of drug use are often the best people to provide advice about harm reduction and other support to people who are current users. </w:t>
      </w:r>
    </w:p>
    <w:p w:rsidR="00020081" w:rsidP="00527FCE" w:rsidRDefault="00020081" w14:paraId="339B6EF0" w14:textId="27595FE0">
      <w:pPr>
        <w:pStyle w:val="Bullet"/>
      </w:pPr>
      <w:r>
        <w:t>The drug checking licensing team acknowledge the value of lived experience, in both leadership and governance roles, as well as for employees who deliver drug checking and drug-harm reduction services.</w:t>
      </w:r>
    </w:p>
    <w:p w:rsidR="00020081" w:rsidP="00527FCE" w:rsidRDefault="00527FCE" w14:paraId="6CFBC620" w14:textId="4FCB74AE">
      <w:pPr>
        <w:pStyle w:val="Bullet"/>
      </w:pPr>
      <w:r>
        <w:t xml:space="preserve">Drug </w:t>
      </w:r>
      <w:r w:rsidR="00020081">
        <w:t xml:space="preserve">convictions or non-compliance under the MoDA does not automatically disqualify an applicant from holding a licence or being a responsible person. </w:t>
      </w:r>
    </w:p>
    <w:p w:rsidR="00020081" w:rsidP="00527FCE" w:rsidRDefault="00020081" w14:paraId="11ECAAC5" w14:textId="77777777">
      <w:pPr>
        <w:pStyle w:val="Heading2"/>
      </w:pPr>
      <w:r>
        <w:t>Commitment to Te Tiriti o Waitangi and Pae Ora</w:t>
      </w:r>
    </w:p>
    <w:p w:rsidRPr="00527FCE" w:rsidR="00020081" w:rsidP="00527FCE" w:rsidRDefault="00020081" w14:paraId="3F6005D5" w14:textId="77777777">
      <w:pPr>
        <w:ind w:left="284" w:hanging="284"/>
        <w:rPr>
          <w:rStyle w:val="BulletChar"/>
          <w:szCs w:val="22"/>
        </w:rPr>
      </w:pPr>
      <w:r w:rsidRPr="00433D3E">
        <w:rPr>
          <w:sz w:val="28"/>
          <w:szCs w:val="28"/>
        </w:rPr>
        <w:t>•</w:t>
      </w:r>
      <w:r>
        <w:tab/>
      </w:r>
      <w:r w:rsidRPr="00527FCE">
        <w:rPr>
          <w:rStyle w:val="BulletChar"/>
          <w:szCs w:val="22"/>
        </w:rPr>
        <w:t xml:space="preserve">The principles of Te Tiriti o Waitangi: tino rangatiratanga; equity; active protection; options and partnership provide the framework for how drug checking services will meet our obligations under Te Tiriti o Waitangi in our day-to-day work. </w:t>
      </w:r>
    </w:p>
    <w:p w:rsidRPr="00527FCE" w:rsidR="00020081" w:rsidP="00527FCE" w:rsidRDefault="00020081" w14:paraId="61CC940B" w14:textId="77777777">
      <w:pPr>
        <w:ind w:left="284" w:hanging="284"/>
        <w:rPr>
          <w:rStyle w:val="BulletChar"/>
        </w:rPr>
      </w:pPr>
      <w:r w:rsidRPr="00433D3E">
        <w:rPr>
          <w:sz w:val="28"/>
          <w:szCs w:val="28"/>
        </w:rPr>
        <w:lastRenderedPageBreak/>
        <w:t>•</w:t>
      </w:r>
      <w:r>
        <w:tab/>
      </w:r>
      <w:r w:rsidRPr="00527FCE">
        <w:rPr>
          <w:rStyle w:val="BulletChar"/>
        </w:rPr>
        <w:t>Meeting our obligations under Te Tiriti o Waitangi is necessary to realise the overall aim of Pae Ora (healthy futures for Māori) under He Korowai Oranga (the Māori Health Strategy).</w:t>
      </w:r>
    </w:p>
    <w:p w:rsidR="00020081" w:rsidP="00527FCE" w:rsidRDefault="00020081" w14:paraId="582BD803" w14:textId="77777777">
      <w:pPr>
        <w:pStyle w:val="Heading2"/>
      </w:pPr>
      <w:r>
        <w:t>Equity</w:t>
      </w:r>
    </w:p>
    <w:p w:rsidRPr="00527FCE" w:rsidR="00020081" w:rsidP="00527FCE" w:rsidRDefault="00020081" w14:paraId="250AD4D1" w14:textId="4B8B32F2">
      <w:pPr>
        <w:pStyle w:val="Bullet"/>
        <w:rPr>
          <w:rStyle w:val="BulletChar"/>
        </w:rPr>
      </w:pPr>
      <w:r w:rsidRPr="00527FCE">
        <w:rPr>
          <w:rStyle w:val="BulletChar"/>
        </w:rPr>
        <w:t xml:space="preserve">We acknowledge conviction rates reflect inequities experienced by Māori and other groups and, for this reason, we will apply the legislation, regulations and associated principles equitably and in accordance with the principles of Te Tiriti o Waitangi. No meaningful difference exists between a person who has been convicted of an offence and a person who committed the same offence but was not convicted (non-compliance). </w:t>
      </w:r>
    </w:p>
    <w:p w:rsidR="00020081" w:rsidP="00527FCE" w:rsidRDefault="00020081" w14:paraId="2B93231A" w14:textId="77777777">
      <w:pPr>
        <w:pStyle w:val="Heading2"/>
      </w:pPr>
      <w:r>
        <w:t>Suitability</w:t>
      </w:r>
    </w:p>
    <w:p w:rsidR="00020081" w:rsidP="00527FCE" w:rsidRDefault="00020081" w14:paraId="46B679BB" w14:textId="1DC92E7D">
      <w:pPr>
        <w:pStyle w:val="Bullet"/>
      </w:pPr>
      <w:r>
        <w:t xml:space="preserve">Applicant entities are best placed to assess the suitability of their organisation. </w:t>
      </w:r>
    </w:p>
    <w:p w:rsidR="00020081" w:rsidP="00527FCE" w:rsidRDefault="00020081" w14:paraId="6168DA3E" w14:textId="600ED9A3">
      <w:pPr>
        <w:pStyle w:val="Bullet"/>
      </w:pPr>
      <w:r>
        <w:t xml:space="preserve">If an applicant entity has appointed someone to a responsible person position, that shows they believe the person to be trustworthy and responsible, and that the person will not put the entity’s licence at risk. </w:t>
      </w:r>
    </w:p>
    <w:p w:rsidR="00020081" w:rsidP="00527FCE" w:rsidRDefault="00020081" w14:paraId="0E89582A" w14:textId="4D0EC812">
      <w:pPr>
        <w:pStyle w:val="Bullet"/>
      </w:pPr>
      <w:r>
        <w:t>We consider whether the applicant entity as a whole is suitable for licensing and will comply with the MoDA, its regulations and licensing conditions, rather than considering any particular responsible person of an entity.</w:t>
      </w:r>
    </w:p>
    <w:p w:rsidR="00020081" w:rsidP="00527FCE" w:rsidRDefault="00020081" w14:paraId="4607FC5A" w14:textId="77777777">
      <w:pPr>
        <w:pStyle w:val="Heading2"/>
      </w:pPr>
      <w:r>
        <w:t>Case-by-case consideration</w:t>
      </w:r>
    </w:p>
    <w:p w:rsidR="00020081" w:rsidP="00527FCE" w:rsidRDefault="00020081" w14:paraId="3B68F245" w14:textId="26C9860F">
      <w:pPr>
        <w:pStyle w:val="Bullet"/>
      </w:pPr>
      <w:r>
        <w:t xml:space="preserve">We assess applicants on a case-by-case basis. </w:t>
      </w:r>
    </w:p>
    <w:p w:rsidR="00020081" w:rsidP="00527FCE" w:rsidRDefault="00020081" w14:paraId="44231848" w14:textId="60A0B404">
      <w:pPr>
        <w:pStyle w:val="Bullet"/>
      </w:pPr>
      <w:r>
        <w:t xml:space="preserve">The licensing scheme is flexible, fair and open to a wide range of circumstances to determine suitability. </w:t>
      </w:r>
    </w:p>
    <w:p w:rsidR="00020081" w:rsidP="00527FCE" w:rsidRDefault="00020081" w14:paraId="11676C7C" w14:textId="77777777">
      <w:pPr>
        <w:pStyle w:val="Heading2"/>
      </w:pPr>
      <w:r>
        <w:t>Impartiality</w:t>
      </w:r>
    </w:p>
    <w:p w:rsidRPr="00527FCE" w:rsidR="00020081" w:rsidP="00527FCE" w:rsidRDefault="00020081" w14:paraId="47B97ADB" w14:textId="08939D7C">
      <w:pPr>
        <w:pStyle w:val="Bullet"/>
      </w:pPr>
      <w:r w:rsidRPr="00527FCE">
        <w:t>We apply principles of impartiality and independence to ensure our processes for assessing suitability are applied fairly, reasonably and consistently.</w:t>
      </w:r>
    </w:p>
    <w:p w:rsidR="00020081" w:rsidP="00527FCE" w:rsidRDefault="00020081" w14:paraId="31AB0B09" w14:textId="77777777">
      <w:pPr>
        <w:pStyle w:val="Heading2"/>
      </w:pPr>
      <w:r>
        <w:t>Management of sensitive and confidential information</w:t>
      </w:r>
    </w:p>
    <w:p w:rsidR="00020081" w:rsidP="00527FCE" w:rsidRDefault="00020081" w14:paraId="09D32C31" w14:textId="7674E668">
      <w:pPr>
        <w:pStyle w:val="Bullet"/>
      </w:pPr>
      <w:r>
        <w:t>Sensitive information relating to providers and responsible person(s) that is submitted to the Ministry (eg, criminal record check, suitability statements) is held in a secure Ministry database. This is only accessible to authorised officials who are tasked with discharging the Ministry’s duty under the MoDA and the Drug Checking Licensing Scheme.</w:t>
      </w:r>
    </w:p>
    <w:p w:rsidR="00020081" w:rsidP="00527FCE" w:rsidRDefault="00020081" w14:paraId="05531810" w14:textId="19F36732">
      <w:pPr>
        <w:pStyle w:val="Bullet"/>
      </w:pPr>
      <w:r>
        <w:t xml:space="preserve">Personal names and sensitive information of responsible persons are redacted in any Official Information Act enquiry. </w:t>
      </w:r>
    </w:p>
    <w:p w:rsidR="00020081" w:rsidP="00527FCE" w:rsidRDefault="00020081" w14:paraId="5FCEE37F" w14:textId="5FDEEF1B">
      <w:pPr>
        <w:pStyle w:val="Bullet"/>
      </w:pPr>
      <w:r>
        <w:t>The Ministry will retain sensitive information for as long as required by Public Records and Privacy Act legislation.</w:t>
      </w:r>
    </w:p>
    <w:p w:rsidRPr="00527FCE" w:rsidR="00020081" w:rsidP="00527FCE" w:rsidRDefault="00020081" w14:paraId="1EFA5621" w14:textId="2181A755">
      <w:pPr>
        <w:pStyle w:val="ListParagraph"/>
        <w:numPr>
          <w:ilvl w:val="1"/>
          <w:numId w:val="1"/>
        </w:numPr>
        <w:ind w:left="284" w:hanging="284"/>
        <w:rPr>
          <w:rStyle w:val="BulletChar"/>
          <w:szCs w:val="22"/>
        </w:rPr>
      </w:pPr>
      <w:r w:rsidRPr="00527FCE">
        <w:rPr>
          <w:rStyle w:val="BulletChar"/>
          <w:szCs w:val="22"/>
        </w:rPr>
        <w:t>When we archive sensitive information it is stored in a secure Ministry database and only retrievable by authorised Ministry personnel.</w:t>
      </w:r>
    </w:p>
    <w:p w:rsidR="00034792" w:rsidP="009439F5" w:rsidRDefault="00020081" w14:paraId="3CC7DF96" w14:textId="66B9D2C7">
      <w:pPr>
        <w:pStyle w:val="Heading1"/>
      </w:pPr>
      <w:r>
        <w:lastRenderedPageBreak/>
        <w:t>Policy</w:t>
      </w:r>
      <w:r>
        <w:tab/>
      </w:r>
    </w:p>
    <w:p w:rsidR="00020081" w:rsidP="00020081" w:rsidRDefault="00277BBB" w14:paraId="174E60C8" w14:textId="48CA2054">
      <w:r w:rsidRPr="00277BBB">
        <w:t xml:space="preserve">Application for review of licensing decision </w:t>
      </w:r>
      <w:r w:rsidR="00020081">
        <w:t>An individual or entity may apply to the Director-General of Health to have a licensing decision reviewed.</w:t>
      </w:r>
    </w:p>
    <w:p w:rsidR="00020081" w:rsidP="00020081" w:rsidRDefault="00020081" w14:paraId="34E390C7" w14:textId="77777777">
      <w:r>
        <w:t>Under the MoDA schedule 6, clause 11(1) and (2) and clause 12 (1–7), a review of licensing decision may occur where the Ministry has:</w:t>
      </w:r>
    </w:p>
    <w:p w:rsidR="00020081" w:rsidP="00034792" w:rsidRDefault="00020081" w14:paraId="1935FE02" w14:textId="52AC188F">
      <w:pPr>
        <w:pStyle w:val="Bullet"/>
      </w:pPr>
      <w:r>
        <w:t>declined to issue a licence to the individual or entity</w:t>
      </w:r>
    </w:p>
    <w:p w:rsidR="00020081" w:rsidP="00034792" w:rsidRDefault="00020081" w14:paraId="475E52CA" w14:textId="6F021765">
      <w:pPr>
        <w:pStyle w:val="Bullet"/>
      </w:pPr>
      <w:r>
        <w:t>imposed, amended or revoked a condition(s) on a licence</w:t>
      </w:r>
    </w:p>
    <w:p w:rsidR="00020081" w:rsidP="00034792" w:rsidRDefault="00020081" w14:paraId="089AF4D7" w14:textId="797800F5">
      <w:pPr>
        <w:pStyle w:val="Bullet"/>
      </w:pPr>
      <w:r>
        <w:t>cancelled or suspended a licence</w:t>
      </w:r>
    </w:p>
    <w:p w:rsidR="00020081" w:rsidP="00034792" w:rsidRDefault="00020081" w14:paraId="3BAF8D55" w14:textId="55BF8FD4">
      <w:pPr>
        <w:pStyle w:val="Bullet"/>
      </w:pPr>
      <w:r>
        <w:t xml:space="preserve">declined to renew a licence. </w:t>
      </w:r>
    </w:p>
    <w:p w:rsidR="00020081" w:rsidP="00020081" w:rsidRDefault="00020081" w14:paraId="58CDDCAE" w14:textId="77777777">
      <w:r>
        <w:t xml:space="preserve">The individual or entity must submit their request for a review of their licensing decision to the Director-General of Health no later than 14 days after the date when they received written notice of the licensing decision. </w:t>
      </w:r>
    </w:p>
    <w:p w:rsidR="00020081" w:rsidP="00020081" w:rsidRDefault="00020081" w14:paraId="6C97E124" w14:textId="77777777">
      <w:r>
        <w:t>An application form for a review of a licensing decision can be downloaded from the Ministry’s drug checking webpage and emailed to drugcheckingadmin@health.govt.nz</w:t>
      </w:r>
    </w:p>
    <w:p w:rsidR="00020081" w:rsidP="009439F5" w:rsidRDefault="00020081" w14:paraId="19A50B6E" w14:textId="3454E730">
      <w:pPr>
        <w:pStyle w:val="Heading1"/>
      </w:pPr>
      <w:r>
        <w:t>Review process</w:t>
      </w:r>
    </w:p>
    <w:p w:rsidR="00020081" w:rsidP="00020081" w:rsidRDefault="00020081" w14:paraId="6BB43D6C" w14:textId="77777777">
      <w:r>
        <w:t>The Director-General of Health will appoint a Ministry official to conduct a review (“the reviewer”) after receiving the review request under the MoDA schedule 6, clause 11.</w:t>
      </w:r>
    </w:p>
    <w:p w:rsidR="00020081" w:rsidP="00020081" w:rsidRDefault="00020081" w14:paraId="7CA5367E" w14:textId="77777777">
      <w:r>
        <w:t xml:space="preserve">The appointed reviewer is impartial and independent of any previous drug checking decision made about the provider. They are required to be familiar with the drug checking licensing scheme, including the drug checking legislation, regulations, policies, standard operating procedures (SOPs) and guidance material. </w:t>
      </w:r>
    </w:p>
    <w:p w:rsidR="00020081" w:rsidP="00020081" w:rsidRDefault="00020081" w14:paraId="69286D17" w14:textId="77777777">
      <w:r>
        <w:t>The reviewer may ask the review applicant for more information.</w:t>
      </w:r>
    </w:p>
    <w:p w:rsidR="00034792" w:rsidP="00020081" w:rsidRDefault="00020081" w14:paraId="4B2BD529" w14:textId="77777777">
      <w:r>
        <w:t xml:space="preserve">The reviewer considers and critiques all documentation relating to licensing assessment, including any supporting documents the applicant has submitted. </w:t>
      </w:r>
    </w:p>
    <w:p w:rsidRPr="00016C2D" w:rsidR="00020081" w:rsidP="009439F5" w:rsidRDefault="00020081" w14:paraId="1D553D97" w14:textId="50CC5D80">
      <w:pPr>
        <w:pStyle w:val="Heading1"/>
        <w:rPr>
          <w:rStyle w:val="NumberedHeadingBoldChar"/>
          <w:b/>
          <w:sz w:val="32"/>
          <w:szCs w:val="32"/>
        </w:rPr>
      </w:pPr>
      <w:r w:rsidRPr="00016C2D">
        <w:rPr>
          <w:rStyle w:val="NumberedHeadingBoldChar"/>
          <w:b/>
          <w:sz w:val="32"/>
          <w:szCs w:val="32"/>
        </w:rPr>
        <w:t>Review decision</w:t>
      </w:r>
    </w:p>
    <w:p w:rsidR="00020081" w:rsidP="00020081" w:rsidRDefault="00020081" w14:paraId="6A288246" w14:textId="77777777">
      <w:r>
        <w:t xml:space="preserve">The Director-General of Health must make a decision before the close of the 60th day after the date on which the request for review of the licensing decision was received. However, the Director-General of Health, or their delegate, may extend this 60-day period for as long as is reasonably necessary. For example, an extension may occur when the applicant fails to provide information the reviewer needs in a reasonable timeframe, or if the Director-General requires more time to make a decision. </w:t>
      </w:r>
    </w:p>
    <w:p w:rsidR="00020081" w:rsidP="00020081" w:rsidRDefault="00020081" w14:paraId="2F1AAF04" w14:textId="77777777">
      <w:r>
        <w:t>Once the review is completed, and where the reviewer agrees with the original licensing decision, the Director-General will notify the provider and include the reasons for the decision.</w:t>
      </w:r>
    </w:p>
    <w:p w:rsidR="00020081" w:rsidP="00020081" w:rsidRDefault="00020081" w14:paraId="2DB90266" w14:textId="77777777">
      <w:r>
        <w:t xml:space="preserve">Where a change is recommended to the original licensing decision, the Director-General will inform the provider of the outcome of this change and the reasons. Where a review results in a licence being granted, all licensing documentation will be provided. </w:t>
      </w:r>
    </w:p>
    <w:p w:rsidR="00034792" w:rsidP="009439F5" w:rsidRDefault="00020081" w14:paraId="6ABBC853" w14:textId="77777777">
      <w:pPr>
        <w:pStyle w:val="Heading1"/>
      </w:pPr>
      <w:r>
        <w:lastRenderedPageBreak/>
        <w:t>Related readin</w:t>
      </w:r>
      <w:r w:rsidR="00034792">
        <w:t>g</w:t>
      </w:r>
    </w:p>
    <w:p w:rsidR="00020081" w:rsidP="00020081" w:rsidRDefault="00020081" w14:paraId="18675A73" w14:textId="2C93A546">
      <w:r>
        <w:t>Refer to related documents below:</w:t>
      </w:r>
    </w:p>
    <w:p w:rsidR="00020081" w:rsidP="00034792" w:rsidRDefault="00020081" w14:paraId="5005A885" w14:textId="57EC9635">
      <w:pPr>
        <w:pStyle w:val="Bullet"/>
      </w:pPr>
      <w:r>
        <w:t>The Misuse of Drugs Act (1975)</w:t>
      </w:r>
    </w:p>
    <w:p w:rsidR="00020081" w:rsidP="00034792" w:rsidRDefault="00020081" w14:paraId="041EDFBF" w14:textId="29929D9A">
      <w:pPr>
        <w:pStyle w:val="Bullet"/>
      </w:pPr>
      <w:r>
        <w:t>The Misuse of Drugs (Drug and Substance Checking Service Provider) Regulations 2022</w:t>
      </w:r>
    </w:p>
    <w:p w:rsidR="00020081" w:rsidP="00034792" w:rsidRDefault="00020081" w14:paraId="2F7A454E" w14:textId="4F4D0722">
      <w:pPr>
        <w:pStyle w:val="Bullet"/>
        <w:spacing w:after="240"/>
      </w:pPr>
      <w:r>
        <w:t>The Drug Checking Service Provider Licensing Handbook</w:t>
      </w:r>
    </w:p>
    <w:p w:rsidR="00020081" w:rsidP="00020081" w:rsidRDefault="00020081" w14:paraId="00C18D8B" w14:textId="310AE571">
      <w:r>
        <w:t>Drug Checking policies including:</w:t>
      </w:r>
    </w:p>
    <w:p w:rsidR="00020081" w:rsidP="00034792" w:rsidRDefault="00020081" w14:paraId="1C5FB68F" w14:textId="15A187C3">
      <w:pPr>
        <w:pStyle w:val="Bullet"/>
      </w:pPr>
      <w:r>
        <w:t>Suitability and Non-compliance Policy</w:t>
      </w:r>
    </w:p>
    <w:p w:rsidR="00020081" w:rsidP="00034792" w:rsidRDefault="00020081" w14:paraId="1EEB541C" w14:textId="29E4D890">
      <w:pPr>
        <w:pStyle w:val="Bullet"/>
      </w:pPr>
      <w:r>
        <w:t>Complaints Policy</w:t>
      </w:r>
    </w:p>
    <w:p w:rsidR="00020081" w:rsidP="00034792" w:rsidRDefault="006128AE" w14:paraId="45067214" w14:textId="6F21E1CF">
      <w:pPr>
        <w:pStyle w:val="Bullet"/>
      </w:pPr>
      <w:r>
        <w:t xml:space="preserve">Change to </w:t>
      </w:r>
      <w:r w:rsidR="00220F6E">
        <w:t>L</w:t>
      </w:r>
      <w:r w:rsidR="00020081">
        <w:t xml:space="preserve">icensing Status Policy </w:t>
      </w:r>
    </w:p>
    <w:p w:rsidR="00020081" w:rsidP="00034792" w:rsidRDefault="00020081" w14:paraId="2353386E" w14:textId="72EEF7F6">
      <w:pPr>
        <w:pStyle w:val="Bullet"/>
      </w:pPr>
      <w:r>
        <w:t xml:space="preserve">Maintenance and Monitoring Policy </w:t>
      </w:r>
    </w:p>
    <w:p w:rsidR="00020081" w:rsidP="00034792" w:rsidRDefault="00020081" w14:paraId="4AA896F2" w14:textId="56706621">
      <w:pPr>
        <w:pStyle w:val="Bullet"/>
      </w:pPr>
      <w:r>
        <w:t>Compliance and Enforcement Policy.</w:t>
      </w:r>
    </w:p>
    <w:p w:rsidR="00034792" w:rsidP="009439F5" w:rsidRDefault="00020081" w14:paraId="7A79937B" w14:textId="77777777">
      <w:pPr>
        <w:pStyle w:val="Heading1"/>
      </w:pPr>
      <w:r>
        <w:t>Relevant legislative clauses</w:t>
      </w:r>
    </w:p>
    <w:p w:rsidRPr="00F72455" w:rsidR="00020081" w:rsidP="00F72455" w:rsidRDefault="00020081" w14:paraId="47A4332E" w14:textId="41EB86A4">
      <w:pPr>
        <w:pStyle w:val="Legislationtitle"/>
      </w:pPr>
      <w:r w:rsidRPr="00F72455">
        <w:t>Misuse of Drugs Act 1975 (MoDA) (as at 7 Dec 2021)</w:t>
      </w:r>
    </w:p>
    <w:p w:rsidRPr="00034792" w:rsidR="00020081" w:rsidP="00020081" w:rsidRDefault="00020081" w14:paraId="014C3AC4" w14:textId="77777777">
      <w:pPr>
        <w:rPr>
          <w:b/>
          <w:bCs/>
        </w:rPr>
      </w:pPr>
      <w:r w:rsidRPr="00034792">
        <w:rPr>
          <w:b/>
          <w:bCs/>
        </w:rPr>
        <w:t>Drug and substance checking</w:t>
      </w:r>
    </w:p>
    <w:p w:rsidRPr="00F72455" w:rsidR="00020081" w:rsidP="00020081" w:rsidRDefault="00020081" w14:paraId="64771684" w14:textId="77777777">
      <w:pPr>
        <w:rPr>
          <w:b/>
          <w:bCs/>
        </w:rPr>
      </w:pPr>
      <w:r w:rsidRPr="00F72455">
        <w:rPr>
          <w:b/>
          <w:bCs/>
        </w:rPr>
        <w:t>Schedule 6: Licensing of drug and substance checking service providers</w:t>
      </w:r>
    </w:p>
    <w:p w:rsidRPr="00034792" w:rsidR="00020081" w:rsidP="00020081" w:rsidRDefault="00020081" w14:paraId="47A7B154" w14:textId="77777777">
      <w:pPr>
        <w:rPr>
          <w:i/>
          <w:iCs/>
        </w:rPr>
      </w:pPr>
      <w:r w:rsidRPr="00034792">
        <w:rPr>
          <w:i/>
          <w:iCs/>
        </w:rPr>
        <w:t>Review of decisions</w:t>
      </w:r>
    </w:p>
    <w:p w:rsidRPr="00F72455" w:rsidR="00020081" w:rsidP="00020081" w:rsidRDefault="00020081" w14:paraId="074AADA0" w14:textId="77777777">
      <w:pPr>
        <w:rPr>
          <w:u w:val="single"/>
        </w:rPr>
      </w:pPr>
      <w:r w:rsidRPr="00F72455">
        <w:rPr>
          <w:u w:val="single"/>
        </w:rPr>
        <w:t>11  Application for review of decision</w:t>
      </w:r>
    </w:p>
    <w:p w:rsidR="00020081" w:rsidP="00433D3E" w:rsidRDefault="00020081" w14:paraId="56F378E3" w14:textId="5F08AAB3">
      <w:pPr>
        <w:pStyle w:val="Numberedlistindentedbrackets"/>
      </w:pPr>
      <w:r>
        <w:t xml:space="preserve">(1)  </w:t>
      </w:r>
      <w:r w:rsidR="00433D3E">
        <w:tab/>
      </w:r>
      <w:r>
        <w:t>An individual or entity may apply for a review of the Director-General of Health’s decision to—</w:t>
      </w:r>
    </w:p>
    <w:p w:rsidR="00020081" w:rsidP="00F72455" w:rsidRDefault="00020081" w14:paraId="55718B48" w14:textId="77777777">
      <w:pPr>
        <w:pStyle w:val="Letteredlistabcindented"/>
      </w:pPr>
      <w:r>
        <w:t>(a) decline to issue a licence to the individual or entity under clause 4; or</w:t>
      </w:r>
    </w:p>
    <w:p w:rsidR="00020081" w:rsidP="00F72455" w:rsidRDefault="00020081" w14:paraId="7FF93BCB" w14:textId="77777777">
      <w:pPr>
        <w:pStyle w:val="Letteredlistabcindented"/>
      </w:pPr>
      <w:r>
        <w:t>(b) impose, amend, or revoke a condition on the licence of the individual or entity under clause 7; or</w:t>
      </w:r>
    </w:p>
    <w:p w:rsidR="00020081" w:rsidP="00F72455" w:rsidRDefault="00020081" w14:paraId="1777D781" w14:textId="77777777">
      <w:pPr>
        <w:pStyle w:val="Letteredlistabcindented"/>
      </w:pPr>
      <w:r>
        <w:t>(c) suspend or cancel the licence of the individual or entity under clause 9.</w:t>
      </w:r>
    </w:p>
    <w:p w:rsidR="00020081" w:rsidP="00433D3E" w:rsidRDefault="00020081" w14:paraId="6B9333F9" w14:textId="77777777">
      <w:pPr>
        <w:pStyle w:val="Numberedlistindentedbrackets"/>
      </w:pPr>
      <w:r>
        <w:t>(2)  The individual or entity must apply to the Director-General of Health before the close of the 14th day after the date on which they receive written notice of the decision.</w:t>
      </w:r>
    </w:p>
    <w:p w:rsidRPr="00F72455" w:rsidR="00020081" w:rsidP="00020081" w:rsidRDefault="00020081" w14:paraId="093DB592" w14:textId="77777777">
      <w:pPr>
        <w:rPr>
          <w:u w:val="single"/>
        </w:rPr>
      </w:pPr>
      <w:r w:rsidRPr="00F72455">
        <w:rPr>
          <w:u w:val="single"/>
        </w:rPr>
        <w:t>12   Decision on application for review</w:t>
      </w:r>
    </w:p>
    <w:p w:rsidR="00020081" w:rsidP="00433D3E" w:rsidRDefault="00020081" w14:paraId="1F6B5AE9" w14:textId="77777777">
      <w:pPr>
        <w:pStyle w:val="Numberedlistindentedbrackets"/>
      </w:pPr>
      <w:r>
        <w:t>(1)</w:t>
      </w:r>
      <w:r>
        <w:tab/>
      </w:r>
      <w:r>
        <w:t>After receiving the application for review under clause 11, the Director-General of Health must appoint a person to conduct the review (the reviewer).</w:t>
      </w:r>
    </w:p>
    <w:p w:rsidR="00020081" w:rsidP="00433D3E" w:rsidRDefault="00020081" w14:paraId="748B7150" w14:textId="77777777">
      <w:pPr>
        <w:pStyle w:val="Numberedlistindentedbrackets"/>
      </w:pPr>
      <w:r>
        <w:t>(2)</w:t>
      </w:r>
      <w:r>
        <w:tab/>
      </w:r>
      <w:r>
        <w:t>The reviewer may be an employee of the Ministry of Health but must not have had any previous involvement in the case.</w:t>
      </w:r>
    </w:p>
    <w:p w:rsidR="00020081" w:rsidP="00433D3E" w:rsidRDefault="00020081" w14:paraId="2486EDA5" w14:textId="77777777">
      <w:pPr>
        <w:pStyle w:val="Numberedlistindentedbrackets"/>
      </w:pPr>
      <w:r>
        <w:t>(3)</w:t>
      </w:r>
      <w:r>
        <w:tab/>
      </w:r>
      <w:r>
        <w:t>If, after conducting the review, the reviewer—</w:t>
      </w:r>
    </w:p>
    <w:p w:rsidRPr="00F72455" w:rsidR="00020081" w:rsidP="00F72455" w:rsidRDefault="00020081" w14:paraId="675795DA" w14:textId="77777777">
      <w:pPr>
        <w:pStyle w:val="Letteredlistabcindented"/>
      </w:pPr>
      <w:r w:rsidRPr="00F72455">
        <w:lastRenderedPageBreak/>
        <w:t>(a)</w:t>
      </w:r>
      <w:r w:rsidRPr="00F72455">
        <w:tab/>
      </w:r>
      <w:r w:rsidRPr="00F72455">
        <w:t>considers the decision well founded, the reviewer must recommend the decision be confirmed:</w:t>
      </w:r>
    </w:p>
    <w:p w:rsidRPr="00F72455" w:rsidR="00020081" w:rsidP="00F72455" w:rsidRDefault="00020081" w14:paraId="261CADE7" w14:textId="77777777">
      <w:pPr>
        <w:pStyle w:val="Letteredlistabcindented"/>
      </w:pPr>
      <w:r w:rsidRPr="00F72455">
        <w:t>(b)</w:t>
      </w:r>
      <w:r w:rsidRPr="00F72455">
        <w:tab/>
      </w:r>
      <w:r w:rsidRPr="00F72455">
        <w:t>does not consider the decision well founded, the reviewer must recommend the decision be reconsidered.</w:t>
      </w:r>
    </w:p>
    <w:p w:rsidR="00020081" w:rsidP="00433D3E" w:rsidRDefault="00020081" w14:paraId="35484B5D" w14:textId="77777777">
      <w:pPr>
        <w:pStyle w:val="Numberedlistindentedbrackets"/>
      </w:pPr>
      <w:r>
        <w:t>(4)</w:t>
      </w:r>
      <w:r>
        <w:tab/>
      </w:r>
      <w:r>
        <w:t xml:space="preserve"> After considering the reviewer’s recommendation, the Director-General of Health must—</w:t>
      </w:r>
    </w:p>
    <w:p w:rsidR="00020081" w:rsidP="00F72455" w:rsidRDefault="00020081" w14:paraId="317FFD76" w14:textId="18283A36">
      <w:pPr>
        <w:pStyle w:val="Letteredlistabcindented"/>
      </w:pPr>
      <w:r>
        <w:t>(a)</w:t>
      </w:r>
      <w:r>
        <w:tab/>
      </w:r>
      <w:r>
        <w:t>confirm the decision or make a new decision; and</w:t>
      </w:r>
    </w:p>
    <w:p w:rsidR="00020081" w:rsidP="00F72455" w:rsidRDefault="00020081" w14:paraId="162B6712" w14:textId="7B1E913F">
      <w:pPr>
        <w:pStyle w:val="Letteredlistabcindented"/>
      </w:pPr>
      <w:r>
        <w:t>(b)</w:t>
      </w:r>
      <w:r>
        <w:tab/>
      </w:r>
      <w:r>
        <w:t>give the applicant written notice of the confirmed or new decision and the reasons</w:t>
      </w:r>
      <w:r w:rsidR="00F72455">
        <w:br/>
      </w:r>
      <w:r>
        <w:t>for it.</w:t>
      </w:r>
    </w:p>
    <w:p w:rsidR="00020081" w:rsidP="00F72455" w:rsidRDefault="00020081" w14:paraId="1A1DD0CB" w14:textId="0E304451">
      <w:pPr>
        <w:ind w:left="426" w:hanging="426"/>
      </w:pPr>
      <w:r w:rsidRPr="00F72455">
        <w:rPr>
          <w:rStyle w:val="NumberedlistindentedbracketsChar"/>
        </w:rPr>
        <w:t>(5)</w:t>
      </w:r>
      <w:r w:rsidR="00F72455">
        <w:rPr>
          <w:rStyle w:val="NumberedlistindentedbracketsChar"/>
        </w:rPr>
        <w:tab/>
      </w:r>
      <w:r w:rsidRPr="00F72455">
        <w:rPr>
          <w:rStyle w:val="NumberedlistindentedbracketsChar"/>
        </w:rPr>
        <w:t>The notice has effect as soon as it is given to the applicant</w:t>
      </w:r>
      <w:r>
        <w:t>.</w:t>
      </w:r>
    </w:p>
    <w:p w:rsidR="00020081" w:rsidP="00F72455" w:rsidRDefault="00020081" w14:paraId="04DFB884" w14:textId="7E8DE151">
      <w:pPr>
        <w:pStyle w:val="Numberedlistindentedbrackets"/>
      </w:pPr>
      <w:r>
        <w:t>(6)</w:t>
      </w:r>
      <w:r>
        <w:tab/>
      </w:r>
      <w:r>
        <w:t>The Director-General of Health must make a decision under this clause before the close of the 60th day after the date on which the Director-General received the application for review.</w:t>
      </w:r>
    </w:p>
    <w:p w:rsidR="00020081" w:rsidP="00F72455" w:rsidRDefault="00020081" w14:paraId="15B65F58" w14:textId="77777777">
      <w:pPr>
        <w:pStyle w:val="Numberedlistindentedbrackets"/>
      </w:pPr>
      <w:r>
        <w:t>(7)</w:t>
      </w:r>
      <w:r>
        <w:tab/>
      </w:r>
      <w:r>
        <w:t>However, the Director-General of Health may extend that period for as long as is reasonably necessary if the applicant fails to provide, within a reasonable time, information reasonably required by the reviewer to carry out the review or by the Director-General to make the decision.</w:t>
      </w:r>
    </w:p>
    <w:p w:rsidRPr="00F72455" w:rsidR="00020081" w:rsidP="00F72455" w:rsidRDefault="00020081" w14:paraId="10748013" w14:textId="5EB70FDA">
      <w:pPr>
        <w:pStyle w:val="Legislationtitle"/>
      </w:pPr>
      <w:r w:rsidRPr="00F72455">
        <w:t xml:space="preserve">Misuse of Drugs (Drug and Substance Checking Service Providers) </w:t>
      </w:r>
      <w:r w:rsidRPr="00F72455" w:rsidR="00F72455">
        <w:br/>
      </w:r>
      <w:r w:rsidRPr="00F72455">
        <w:t>Regulations 2022</w:t>
      </w:r>
    </w:p>
    <w:p w:rsidRPr="00F72455" w:rsidR="00020081" w:rsidP="00020081" w:rsidRDefault="00020081" w14:paraId="606208DB" w14:textId="77777777">
      <w:pPr>
        <w:rPr>
          <w:b/>
          <w:bCs/>
        </w:rPr>
      </w:pPr>
      <w:r w:rsidRPr="00F72455">
        <w:rPr>
          <w:b/>
          <w:bCs/>
        </w:rPr>
        <w:t>Part 1: Licence applications, renewals, and other matters</w:t>
      </w:r>
    </w:p>
    <w:p w:rsidRPr="00034792" w:rsidR="00020081" w:rsidP="00020081" w:rsidRDefault="00020081" w14:paraId="2BFA9CFD" w14:textId="77777777">
      <w:pPr>
        <w:rPr>
          <w:i/>
          <w:iCs/>
        </w:rPr>
      </w:pPr>
      <w:r w:rsidRPr="00034792">
        <w:rPr>
          <w:i/>
          <w:iCs/>
        </w:rPr>
        <w:t>Licence renewals</w:t>
      </w:r>
    </w:p>
    <w:p w:rsidRPr="00F72455" w:rsidR="00020081" w:rsidP="00F72455" w:rsidRDefault="00020081" w14:paraId="4865712C" w14:textId="40AC174D">
      <w:pPr>
        <w:ind w:left="426" w:hanging="426"/>
        <w:rPr>
          <w:u w:val="single"/>
        </w:rPr>
      </w:pPr>
      <w:r w:rsidRPr="00F72455">
        <w:rPr>
          <w:u w:val="single"/>
        </w:rPr>
        <w:t>10</w:t>
      </w:r>
      <w:r w:rsidR="00F72455">
        <w:rPr>
          <w:u w:val="single"/>
        </w:rPr>
        <w:tab/>
      </w:r>
      <w:r w:rsidRPr="00F72455">
        <w:rPr>
          <w:u w:val="single"/>
        </w:rPr>
        <w:t>Review of decision on application to renew licence</w:t>
      </w:r>
    </w:p>
    <w:p w:rsidR="00020081" w:rsidP="00F72455" w:rsidRDefault="00020081" w14:paraId="76B387F6" w14:textId="6BEB65C5">
      <w:pPr>
        <w:pStyle w:val="Numberedlistindentedbrackets"/>
      </w:pPr>
      <w:r>
        <w:t>(1)</w:t>
      </w:r>
      <w:r>
        <w:tab/>
      </w:r>
      <w:r>
        <w:t>An applicant for a licence renewal may apply for a review of a decision to decline to renew their licence.</w:t>
      </w:r>
    </w:p>
    <w:p w:rsidR="00020081" w:rsidP="00F72455" w:rsidRDefault="00020081" w14:paraId="6073E68B" w14:textId="77777777">
      <w:pPr>
        <w:pStyle w:val="Numberedlistindentedbrackets"/>
      </w:pPr>
      <w:r>
        <w:t>(2)</w:t>
      </w:r>
      <w:r>
        <w:tab/>
      </w:r>
      <w:r>
        <w:t xml:space="preserve">The applicant must apply to the Director-General of Health before the close of the 14th day after the date on which they received written notice of the decision. </w:t>
      </w:r>
    </w:p>
    <w:p w:rsidR="00020081" w:rsidP="00F72455" w:rsidRDefault="00020081" w14:paraId="59605E34" w14:textId="11D48305">
      <w:pPr>
        <w:pStyle w:val="Numberedlistindentedbrackets"/>
      </w:pPr>
      <w:r>
        <w:t>(3)</w:t>
      </w:r>
      <w:r>
        <w:tab/>
      </w:r>
      <w:r>
        <w:t>The Director-General of Health must make a decision on the application for review by following the process set out in clause 12 of Schedule 6 of the Act (which applies as if the application for review were made under clause 11 of that schedule).</w:t>
      </w:r>
    </w:p>
    <w:p w:rsidR="00F72455" w:rsidP="00F72455" w:rsidRDefault="00F72455" w14:paraId="20B31828" w14:textId="11B278FF">
      <w:pPr>
        <w:pStyle w:val="Numberedlistindentedbrackets"/>
      </w:pPr>
    </w:p>
    <w:p w:rsidR="00F02958" w:rsidP="00F02958" w:rsidRDefault="00F02958" w14:paraId="2B2C1E56" w14:textId="77777777">
      <w:pPr>
        <w:spacing w:before="240"/>
        <w:jc w:val="center"/>
      </w:pPr>
    </w:p>
    <w:p w:rsidR="00F02958" w:rsidP="00F02958" w:rsidRDefault="00F02958" w14:paraId="4B51F34F" w14:textId="77777777">
      <w:pPr>
        <w:spacing w:before="240"/>
        <w:jc w:val="center"/>
      </w:pPr>
    </w:p>
    <w:p w:rsidR="00F02958" w:rsidP="00F02958" w:rsidRDefault="00F02958" w14:paraId="56949FDC" w14:textId="6ACB1644">
      <w:pPr>
        <w:spacing w:before="240"/>
        <w:jc w:val="center"/>
      </w:pPr>
    </w:p>
    <w:p w:rsidR="00F02958" w:rsidP="00F02958" w:rsidRDefault="00F02958" w14:paraId="4B566259" w14:textId="77777777">
      <w:pPr>
        <w:spacing w:before="240"/>
        <w:jc w:val="center"/>
      </w:pPr>
    </w:p>
    <w:p w:rsidR="00F02958" w:rsidP="00F02958" w:rsidRDefault="00F02958" w14:paraId="2E42157D" w14:textId="4FC1729A">
      <w:pPr>
        <w:spacing w:before="240"/>
        <w:jc w:val="center"/>
      </w:pPr>
      <w:r>
        <w:rPr>
          <w:noProof/>
        </w:rPr>
        <w:lastRenderedPageBreak/>
        <w:drawing>
          <wp:inline distT="0" distB="0" distL="0" distR="0" wp14:anchorId="1AC779AC" wp14:editId="732FE172">
            <wp:extent cx="1066800" cy="503767"/>
            <wp:effectExtent l="0" t="0" r="0" b="0"/>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6725" cy="508454"/>
                    </a:xfrm>
                    <a:prstGeom prst="rect">
                      <a:avLst/>
                    </a:prstGeom>
                  </pic:spPr>
                </pic:pic>
              </a:graphicData>
            </a:graphic>
          </wp:inline>
        </w:drawing>
      </w:r>
    </w:p>
    <w:p w:rsidRPr="009439F5" w:rsidR="00F02958" w:rsidP="00F02958" w:rsidRDefault="00F02958" w14:paraId="383F2A43" w14:textId="47925F1C">
      <w:pPr>
        <w:spacing w:before="240"/>
        <w:jc w:val="center"/>
        <w:rPr>
          <w:sz w:val="20"/>
          <w:szCs w:val="20"/>
          <w:lang w:eastAsia="en-NZ"/>
        </w:rPr>
      </w:pPr>
      <w:r w:rsidRPr="009439F5">
        <w:rPr>
          <w:sz w:val="20"/>
          <w:szCs w:val="20"/>
        </w:rPr>
        <w:t>November 2022</w:t>
      </w:r>
      <w:r w:rsidRPr="009439F5">
        <w:rPr>
          <w:sz w:val="20"/>
          <w:szCs w:val="20"/>
        </w:rPr>
        <w:br/>
      </w:r>
      <w:r w:rsidRPr="009439F5">
        <w:rPr>
          <w:sz w:val="20"/>
          <w:szCs w:val="20"/>
          <w:lang w:eastAsia="en-NZ"/>
        </w:rPr>
        <w:t xml:space="preserve">HP </w:t>
      </w:r>
      <w:r w:rsidR="00181075">
        <w:rPr>
          <w:sz w:val="20"/>
          <w:szCs w:val="20"/>
          <w:lang w:eastAsia="en-NZ"/>
        </w:rPr>
        <w:t>8652</w:t>
      </w:r>
    </w:p>
    <w:p w:rsidR="00F02958" w:rsidP="00F02958" w:rsidRDefault="00F02958" w14:paraId="6A451B9D" w14:textId="77777777">
      <w:pPr>
        <w:rPr>
          <w:lang w:eastAsia="en-NZ"/>
        </w:rPr>
      </w:pPr>
    </w:p>
    <w:tbl>
      <w:tblPr>
        <w:tblpPr w:leftFromText="180" w:rightFromText="180" w:vertAnchor="text" w:horzAnchor="margin" w:tblpXSpec="center" w:tblpY="10181"/>
        <w:tblW w:w="109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694"/>
        <w:gridCol w:w="5103"/>
        <w:gridCol w:w="1979"/>
        <w:gridCol w:w="1140"/>
      </w:tblGrid>
      <w:tr w:rsidRPr="00C46B4E" w:rsidR="00F02958" w:rsidTr="00F02958" w14:paraId="1DBE3859" w14:textId="77777777">
        <w:trPr>
          <w:trHeight w:val="416"/>
        </w:trPr>
        <w:tc>
          <w:tcPr>
            <w:tcW w:w="2694" w:type="dxa"/>
            <w:shd w:val="clear" w:color="auto" w:fill="auto"/>
          </w:tcPr>
          <w:p w:rsidRPr="00D61B28" w:rsidR="00F02958" w:rsidP="00F02958" w:rsidRDefault="00F02958" w14:paraId="183D434B" w14:textId="77777777">
            <w:pPr>
              <w:tabs>
                <w:tab w:val="center" w:pos="4513"/>
                <w:tab w:val="right" w:pos="9026"/>
              </w:tabs>
              <w:rPr>
                <w:rFonts w:cs="Segoe UI"/>
                <w:bCs/>
                <w:sz w:val="16"/>
                <w:szCs w:val="16"/>
              </w:rPr>
            </w:pPr>
            <w:r w:rsidRPr="00D61B28">
              <w:rPr>
                <w:rFonts w:cs="Segoe UI"/>
                <w:b/>
                <w:sz w:val="16"/>
                <w:szCs w:val="16"/>
              </w:rPr>
              <w:t xml:space="preserve">DCLS </w:t>
            </w:r>
            <w:r w:rsidRPr="00D61B28">
              <w:rPr>
                <w:rFonts w:cs="Segoe UI"/>
                <w:bCs/>
                <w:sz w:val="16"/>
                <w:szCs w:val="16"/>
              </w:rPr>
              <w:t>Review of licensing decisions policy</w:t>
            </w:r>
          </w:p>
        </w:tc>
        <w:tc>
          <w:tcPr>
            <w:tcW w:w="5103" w:type="dxa"/>
            <w:shd w:val="clear" w:color="auto" w:fill="auto"/>
          </w:tcPr>
          <w:p w:rsidRPr="00D61B28" w:rsidR="00F02958" w:rsidP="00F02958" w:rsidRDefault="00F02958" w14:paraId="014B3FEF" w14:textId="77777777">
            <w:pPr>
              <w:tabs>
                <w:tab w:val="center" w:pos="4513"/>
                <w:tab w:val="right" w:pos="9026"/>
              </w:tabs>
              <w:rPr>
                <w:rFonts w:cs="Segoe UI"/>
                <w:sz w:val="16"/>
                <w:szCs w:val="16"/>
              </w:rPr>
            </w:pPr>
            <w:r w:rsidRPr="00D61B28">
              <w:rPr>
                <w:rFonts w:cs="Segoe UI"/>
                <w:bCs/>
                <w:sz w:val="16"/>
                <w:szCs w:val="16"/>
              </w:rPr>
              <w:t xml:space="preserve">Author: Jessica </w:t>
            </w:r>
            <w:r w:rsidRPr="00D61B28">
              <w:rPr>
                <w:rFonts w:cs="Segoe UI"/>
                <w:sz w:val="16"/>
                <w:szCs w:val="16"/>
              </w:rPr>
              <w:t>Smith</w:t>
            </w:r>
            <w:r w:rsidRPr="00D61B28">
              <w:rPr>
                <w:rFonts w:cs="Segoe UI"/>
                <w:b/>
                <w:bCs/>
                <w:sz w:val="16"/>
                <w:szCs w:val="16"/>
              </w:rPr>
              <w:t xml:space="preserve"> </w:t>
            </w:r>
            <w:r w:rsidRPr="00D61B28">
              <w:rPr>
                <w:rFonts w:cs="Segoe UI"/>
                <w:bCs/>
                <w:sz w:val="16"/>
                <w:szCs w:val="16"/>
              </w:rPr>
              <w:t>(née Marett), Drug Checking Licensing Advisor</w:t>
            </w:r>
          </w:p>
          <w:p w:rsidRPr="00D61B28" w:rsidR="00F02958" w:rsidP="00F02958" w:rsidRDefault="00F02958" w14:paraId="3EE06354" w14:textId="77777777">
            <w:pPr>
              <w:tabs>
                <w:tab w:val="center" w:pos="4513"/>
                <w:tab w:val="right" w:pos="9026"/>
              </w:tabs>
              <w:rPr>
                <w:rFonts w:cs="Segoe UI"/>
                <w:bCs/>
                <w:sz w:val="16"/>
                <w:szCs w:val="16"/>
              </w:rPr>
            </w:pPr>
            <w:r w:rsidRPr="00D61B28">
              <w:rPr>
                <w:rFonts w:cs="Segoe UI"/>
                <w:sz w:val="16"/>
                <w:szCs w:val="16"/>
              </w:rPr>
              <w:t>Approved: John Crawshaw, Director Mental Health &amp; Addictions</w:t>
            </w:r>
          </w:p>
        </w:tc>
        <w:tc>
          <w:tcPr>
            <w:tcW w:w="1979" w:type="dxa"/>
            <w:shd w:val="clear" w:color="auto" w:fill="auto"/>
          </w:tcPr>
          <w:p w:rsidRPr="00D61B28" w:rsidR="00F02958" w:rsidP="00F02958" w:rsidRDefault="00F02958" w14:paraId="414F6D80" w14:textId="0D471454">
            <w:pPr>
              <w:tabs>
                <w:tab w:val="center" w:pos="4513"/>
                <w:tab w:val="right" w:pos="9026"/>
              </w:tabs>
              <w:rPr>
                <w:rFonts w:cs="Segoe UI"/>
                <w:sz w:val="16"/>
                <w:szCs w:val="16"/>
              </w:rPr>
            </w:pPr>
            <w:r w:rsidRPr="00D61B28">
              <w:rPr>
                <w:rFonts w:cs="Segoe UI"/>
                <w:sz w:val="16"/>
                <w:szCs w:val="16"/>
              </w:rPr>
              <w:t xml:space="preserve">Issue </w:t>
            </w:r>
            <w:r>
              <w:rPr>
                <w:rFonts w:cs="Segoe UI"/>
                <w:sz w:val="16"/>
                <w:szCs w:val="16"/>
              </w:rPr>
              <w:t>d</w:t>
            </w:r>
            <w:r w:rsidRPr="00D61B28">
              <w:rPr>
                <w:rFonts w:cs="Segoe UI"/>
                <w:sz w:val="16"/>
                <w:szCs w:val="16"/>
              </w:rPr>
              <w:t xml:space="preserve">ate: </w:t>
            </w:r>
            <w:r w:rsidR="00B64DFB">
              <w:rPr>
                <w:rFonts w:cs="Segoe UI"/>
                <w:sz w:val="16"/>
                <w:szCs w:val="16"/>
              </w:rPr>
              <w:t>Nov</w:t>
            </w:r>
            <w:r w:rsidRPr="00D61B28">
              <w:rPr>
                <w:rFonts w:cs="Segoe UI"/>
                <w:sz w:val="16"/>
                <w:szCs w:val="16"/>
              </w:rPr>
              <w:t xml:space="preserve"> 2022</w:t>
            </w:r>
          </w:p>
          <w:p w:rsidRPr="00D61B28" w:rsidR="00F02958" w:rsidP="00F02958" w:rsidRDefault="00F02958" w14:paraId="1F28A098" w14:textId="7AE39DDF">
            <w:pPr>
              <w:tabs>
                <w:tab w:val="center" w:pos="4513"/>
                <w:tab w:val="right" w:pos="9026"/>
              </w:tabs>
              <w:rPr>
                <w:rFonts w:cs="Segoe UI"/>
                <w:sz w:val="16"/>
                <w:szCs w:val="16"/>
              </w:rPr>
            </w:pPr>
            <w:r w:rsidRPr="00D61B28">
              <w:rPr>
                <w:rFonts w:cs="Segoe UI"/>
                <w:sz w:val="16"/>
                <w:szCs w:val="16"/>
              </w:rPr>
              <w:t>Review</w:t>
            </w:r>
            <w:r>
              <w:rPr>
                <w:rFonts w:cs="Segoe UI"/>
                <w:sz w:val="16"/>
                <w:szCs w:val="16"/>
              </w:rPr>
              <w:t xml:space="preserve"> date</w:t>
            </w:r>
            <w:r w:rsidRPr="00D61B28">
              <w:rPr>
                <w:rFonts w:cs="Segoe UI"/>
                <w:sz w:val="16"/>
                <w:szCs w:val="16"/>
              </w:rPr>
              <w:t xml:space="preserve">: </w:t>
            </w:r>
            <w:r w:rsidR="00B64DFB">
              <w:rPr>
                <w:rFonts w:cs="Segoe UI"/>
                <w:sz w:val="16"/>
                <w:szCs w:val="16"/>
              </w:rPr>
              <w:t>Nov</w:t>
            </w:r>
            <w:r w:rsidRPr="00D61B28">
              <w:rPr>
                <w:rFonts w:cs="Segoe UI"/>
                <w:sz w:val="16"/>
                <w:szCs w:val="16"/>
              </w:rPr>
              <w:t xml:space="preserve"> 2024</w:t>
            </w:r>
          </w:p>
        </w:tc>
        <w:tc>
          <w:tcPr>
            <w:tcW w:w="1140" w:type="dxa"/>
            <w:shd w:val="clear" w:color="auto" w:fill="auto"/>
          </w:tcPr>
          <w:p w:rsidRPr="00D61B28" w:rsidR="00F02958" w:rsidP="00F02958" w:rsidRDefault="00F02958" w14:paraId="74A59991" w14:textId="77777777">
            <w:pPr>
              <w:tabs>
                <w:tab w:val="center" w:pos="4513"/>
                <w:tab w:val="right" w:pos="9026"/>
              </w:tabs>
              <w:rPr>
                <w:rFonts w:cs="Segoe UI"/>
                <w:sz w:val="16"/>
                <w:szCs w:val="16"/>
              </w:rPr>
            </w:pPr>
            <w:r w:rsidRPr="00D61B28">
              <w:rPr>
                <w:rFonts w:cs="Segoe UI"/>
                <w:sz w:val="16"/>
                <w:szCs w:val="16"/>
              </w:rPr>
              <w:t>No. 01: V: 01</w:t>
            </w:r>
          </w:p>
          <w:p w:rsidRPr="00D61B28" w:rsidR="00F02958" w:rsidP="00F02958" w:rsidRDefault="00F02958" w14:paraId="10015247" w14:textId="77777777">
            <w:pPr>
              <w:tabs>
                <w:tab w:val="center" w:pos="4513"/>
                <w:tab w:val="right" w:pos="9026"/>
              </w:tabs>
              <w:rPr>
                <w:rFonts w:cs="Segoe UI"/>
                <w:sz w:val="16"/>
                <w:szCs w:val="16"/>
              </w:rPr>
            </w:pPr>
            <w:r w:rsidRPr="00D61B28">
              <w:rPr>
                <w:rFonts w:cs="Segoe UI"/>
                <w:sz w:val="16"/>
                <w:szCs w:val="16"/>
              </w:rPr>
              <w:t xml:space="preserve">Page </w:t>
            </w:r>
            <w:r w:rsidRPr="00D61B28">
              <w:rPr>
                <w:rFonts w:cs="Segoe UI"/>
                <w:sz w:val="16"/>
                <w:szCs w:val="16"/>
              </w:rPr>
              <w:fldChar w:fldCharType="begin"/>
            </w:r>
            <w:r w:rsidRPr="00D61B28">
              <w:rPr>
                <w:rFonts w:cs="Segoe UI"/>
                <w:sz w:val="16"/>
                <w:szCs w:val="16"/>
              </w:rPr>
              <w:instrText xml:space="preserve"> PAGE </w:instrText>
            </w:r>
            <w:r w:rsidRPr="00D61B28">
              <w:rPr>
                <w:rFonts w:cs="Segoe UI"/>
                <w:sz w:val="16"/>
                <w:szCs w:val="16"/>
              </w:rPr>
              <w:fldChar w:fldCharType="separate"/>
            </w:r>
            <w:r w:rsidRPr="00D61B28">
              <w:rPr>
                <w:rFonts w:cs="Segoe UI"/>
                <w:sz w:val="16"/>
                <w:szCs w:val="16"/>
              </w:rPr>
              <w:t>1</w:t>
            </w:r>
            <w:r w:rsidRPr="00D61B28">
              <w:rPr>
                <w:rFonts w:cs="Segoe UI"/>
                <w:sz w:val="16"/>
                <w:szCs w:val="16"/>
              </w:rPr>
              <w:fldChar w:fldCharType="end"/>
            </w:r>
            <w:r w:rsidRPr="00D61B28">
              <w:rPr>
                <w:rFonts w:cs="Segoe UI"/>
                <w:sz w:val="16"/>
                <w:szCs w:val="16"/>
              </w:rPr>
              <w:t xml:space="preserve"> of </w:t>
            </w:r>
            <w:r w:rsidRPr="00D61B28">
              <w:rPr>
                <w:rFonts w:cs="Segoe UI"/>
                <w:sz w:val="16"/>
                <w:szCs w:val="16"/>
              </w:rPr>
              <w:fldChar w:fldCharType="begin"/>
            </w:r>
            <w:r w:rsidRPr="00D61B28">
              <w:rPr>
                <w:rFonts w:cs="Segoe UI"/>
                <w:sz w:val="16"/>
                <w:szCs w:val="16"/>
              </w:rPr>
              <w:instrText xml:space="preserve"> NUMPAGES </w:instrText>
            </w:r>
            <w:r w:rsidRPr="00D61B28">
              <w:rPr>
                <w:rFonts w:cs="Segoe UI"/>
                <w:sz w:val="16"/>
                <w:szCs w:val="16"/>
              </w:rPr>
              <w:fldChar w:fldCharType="separate"/>
            </w:r>
            <w:r w:rsidRPr="00D61B28">
              <w:rPr>
                <w:rFonts w:cs="Segoe UI"/>
                <w:sz w:val="16"/>
                <w:szCs w:val="16"/>
              </w:rPr>
              <w:t>2</w:t>
            </w:r>
            <w:r w:rsidRPr="00D61B28">
              <w:rPr>
                <w:rFonts w:cs="Segoe UI"/>
                <w:sz w:val="16"/>
                <w:szCs w:val="16"/>
              </w:rPr>
              <w:fldChar w:fldCharType="end"/>
            </w:r>
          </w:p>
        </w:tc>
      </w:tr>
    </w:tbl>
    <w:p w:rsidR="00D61B28" w:rsidRDefault="00D61B28" w14:paraId="77D2A96D" w14:textId="77777777">
      <w:pPr>
        <w:spacing w:before="0" w:after="0" w:line="240" w:lineRule="auto"/>
        <w:rPr>
          <w:b/>
          <w:bCs/>
        </w:rPr>
      </w:pPr>
      <w:r>
        <w:rPr>
          <w:b/>
          <w:bCs/>
        </w:rPr>
        <w:br w:type="page"/>
      </w:r>
    </w:p>
    <w:p w:rsidRPr="009439F5" w:rsidR="00F72455" w:rsidP="00D61B28" w:rsidRDefault="00F72455" w14:paraId="3BADFC94" w14:textId="64284457">
      <w:pPr>
        <w:spacing w:before="0" w:after="160" w:line="259" w:lineRule="auto"/>
        <w:jc w:val="center"/>
        <w:rPr>
          <w:b/>
          <w:bCs/>
          <w:sz w:val="28"/>
          <w:szCs w:val="28"/>
        </w:rPr>
      </w:pPr>
      <w:r w:rsidRPr="009439F5">
        <w:rPr>
          <w:b/>
          <w:bCs/>
          <w:sz w:val="28"/>
          <w:szCs w:val="28"/>
        </w:rPr>
        <w:lastRenderedPageBreak/>
        <w:t>Appendix 1: Drug Checking review of decision process</w:t>
      </w:r>
    </w:p>
    <w:p w:rsidRPr="00F72455" w:rsidR="00F72455" w:rsidP="00F72455" w:rsidRDefault="00F72455" w14:paraId="4F885797" w14:textId="4558E527">
      <w:pPr>
        <w:spacing w:before="0" w:after="160" w:line="259" w:lineRule="auto"/>
        <w:rPr>
          <w:b/>
          <w:bCs/>
        </w:rPr>
      </w:pPr>
    </w:p>
    <w:p w:rsidR="00F72455" w:rsidP="00F72455" w:rsidRDefault="00D61B28" w14:paraId="06D88689" w14:textId="7E5BF390">
      <w:pPr>
        <w:pStyle w:val="Numberedlistindentedbrackets"/>
      </w:pPr>
      <w:r w:rsidRPr="005912CE">
        <w:rPr>
          <w:b/>
          <w:bCs/>
          <w:noProof/>
        </w:rPr>
        <mc:AlternateContent>
          <mc:Choice Requires="wps">
            <w:drawing>
              <wp:anchor distT="0" distB="0" distL="114300" distR="114300" simplePos="0" relativeHeight="251659264" behindDoc="0" locked="0" layoutInCell="1" allowOverlap="1" wp14:anchorId="7568491C" wp14:editId="31D03D51">
                <wp:simplePos x="0" y="0"/>
                <wp:positionH relativeFrom="column">
                  <wp:posOffset>580390</wp:posOffset>
                </wp:positionH>
                <wp:positionV relativeFrom="paragraph">
                  <wp:posOffset>74930</wp:posOffset>
                </wp:positionV>
                <wp:extent cx="4796155" cy="614045"/>
                <wp:effectExtent l="0" t="0" r="4445" b="0"/>
                <wp:wrapNone/>
                <wp:docPr id="35" name="Rectangle 35"/>
                <wp:cNvGraphicFramePr/>
                <a:graphic xmlns:a="http://schemas.openxmlformats.org/drawingml/2006/main">
                  <a:graphicData uri="http://schemas.microsoft.com/office/word/2010/wordprocessingShape">
                    <wps:wsp>
                      <wps:cNvSpPr/>
                      <wps:spPr>
                        <a:xfrm>
                          <a:off x="0" y="0"/>
                          <a:ext cx="4796155" cy="614045"/>
                        </a:xfrm>
                        <a:prstGeom prst="rect">
                          <a:avLst/>
                        </a:prstGeom>
                        <a:solidFill>
                          <a:srgbClr val="0A6AB4"/>
                        </a:solidFill>
                        <a:ln w="12700" cap="flat" cmpd="sng" algn="ctr">
                          <a:noFill/>
                          <a:prstDash val="solid"/>
                          <a:miter lim="800000"/>
                        </a:ln>
                        <a:effectLst/>
                      </wps:spPr>
                      <wps:txbx>
                        <w:txbxContent>
                          <w:p w:rsidRPr="009439F5" w:rsidR="00F72455" w:rsidP="00F72455" w:rsidRDefault="00F72455" w14:paraId="3CC1D29B" w14:textId="77777777">
                            <w:pPr>
                              <w:jc w:val="center"/>
                              <w:rPr>
                                <w:sz w:val="20"/>
                                <w:szCs w:val="20"/>
                                <w:lang w:val="mi-NZ"/>
                              </w:rPr>
                            </w:pPr>
                            <w:r w:rsidRPr="009439F5">
                              <w:rPr>
                                <w:color w:val="FFFFFF" w:themeColor="background1"/>
                                <w:sz w:val="20"/>
                                <w:szCs w:val="20"/>
                              </w:rPr>
                              <w:t xml:space="preserve">Application received from provider for review of licensing decision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3E7FD70">
              <v:rect id="Rectangle 35" style="position:absolute;left:0;text-align:left;margin-left:45.7pt;margin-top:5.9pt;width:377.65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a6ab4" stroked="f" strokeweight="1pt" w14:anchorId="756849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">
                <v:textbox>
                  <w:txbxContent>
                    <w:p w:rsidRPr="009439F5" w:rsidR="00F72455" w:rsidP="00F72455" w:rsidRDefault="00F72455" w14:paraId="428629A4" w14:textId="77777777">
                      <w:pPr>
                        <w:jc w:val="center"/>
                        <w:rPr>
                          <w:sz w:val="20"/>
                          <w:szCs w:val="20"/>
                          <w:lang w:val="mi-NZ"/>
                        </w:rPr>
                      </w:pPr>
                      <w:r w:rsidRPr="009439F5">
                        <w:rPr>
                          <w:color w:val="FFFFFF" w:themeColor="background1"/>
                          <w:sz w:val="20"/>
                          <w:szCs w:val="20"/>
                        </w:rPr>
                        <w:t xml:space="preserve">Application received from provider for review of licensing decision </w:t>
                      </w:r>
                    </w:p>
                  </w:txbxContent>
                </v:textbox>
              </v:rect>
            </w:pict>
          </mc:Fallback>
        </mc:AlternateContent>
      </w:r>
    </w:p>
    <w:p w:rsidRPr="00887B0A" w:rsidR="00E6374A" w:rsidP="00E6374A" w:rsidRDefault="00E6374A" w14:paraId="1B8AAF35" w14:textId="18F27BD4"/>
    <w:p w:rsidRPr="00DD748F" w:rsidR="00783D9C" w:rsidP="00A401D7" w:rsidRDefault="00D61B28" w14:paraId="53D0E226" w14:textId="2985289E">
      <w:r w:rsidRPr="005912CE">
        <w:rPr>
          <w:b/>
          <w:bCs/>
          <w:noProof/>
        </w:rPr>
        <mc:AlternateContent>
          <mc:Choice Requires="wps">
            <w:drawing>
              <wp:anchor distT="0" distB="0" distL="114300" distR="114300" simplePos="0" relativeHeight="251665408" behindDoc="0" locked="0" layoutInCell="1" allowOverlap="1" wp14:anchorId="526410EC" wp14:editId="0EE8C07D">
                <wp:simplePos x="0" y="0"/>
                <wp:positionH relativeFrom="leftMargin">
                  <wp:posOffset>3624580</wp:posOffset>
                </wp:positionH>
                <wp:positionV relativeFrom="paragraph">
                  <wp:posOffset>113030</wp:posOffset>
                </wp:positionV>
                <wp:extent cx="438150" cy="395605"/>
                <wp:effectExtent l="0" t="0" r="0" b="4445"/>
                <wp:wrapNone/>
                <wp:docPr id="5" name="Arrow: Down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8150" cy="395605"/>
                        </a:xfrm>
                        <a:prstGeom prst="downArrow">
                          <a:avLst/>
                        </a:prstGeom>
                        <a:solidFill>
                          <a:srgbClr val="23305D"/>
                        </a:solidFill>
                        <a:ln w="12700" cap="flat" cmpd="sng" algn="ctr">
                          <a:noFill/>
                          <a:prstDash val="solid"/>
                          <a:miter lim="800000"/>
                        </a:ln>
                        <a:effectLst/>
                      </wps:spPr>
                      <wps:txbx>
                        <w:txbxContent>
                          <w:p w:rsidR="00F72455" w:rsidP="00F72455" w:rsidRDefault="00F72455" w14:paraId="18353D64"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65E6CB1">
              <v:shapetype id="_x0000_t67" coordsize="21600,21600" o:spt="67" adj="16200,5400" path="m0@0l@1@0@1,0@2,0@2@0,21600@0,10800,21600xe" w14:anchorId="526410EC">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5" style="position:absolute;margin-left:285.4pt;margin-top:8.9pt;width:34.5pt;height:31.1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lt="&quot;&quot;" o:spid="_x0000_s1027" fillcolor="#23305d" stroked="f"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">
                <v:textbox>
                  <w:txbxContent>
                    <w:p w:rsidR="00F72455" w:rsidP="00F72455" w:rsidRDefault="00F72455" w14:paraId="672A6659" w14:textId="77777777">
                      <w:pPr>
                        <w:jc w:val="center"/>
                      </w:pPr>
                    </w:p>
                  </w:txbxContent>
                </v:textbox>
                <w10:wrap anchorx="margin"/>
              </v:shape>
            </w:pict>
          </mc:Fallback>
        </mc:AlternateContent>
      </w:r>
    </w:p>
    <w:p w:rsidRPr="00DD748F" w:rsidR="00EB461E" w:rsidP="00C34608" w:rsidRDefault="00D61B28" w14:paraId="0F80B528" w14:textId="422541AE">
      <w:pPr>
        <w:spacing w:before="480"/>
        <w:jc w:val="center"/>
        <w:rPr>
          <w:rFonts w:ascii="Cambria" w:hAnsi="Cambria"/>
        </w:rPr>
      </w:pPr>
      <w:r w:rsidRPr="00785C6C">
        <w:rPr>
          <w:noProof/>
        </w:rPr>
        <mc:AlternateContent>
          <mc:Choice Requires="wps">
            <w:drawing>
              <wp:anchor distT="0" distB="0" distL="114300" distR="114300" simplePos="0" relativeHeight="251669504" behindDoc="0" locked="0" layoutInCell="1" allowOverlap="1" wp14:anchorId="55F15E6C" wp14:editId="42A41945">
                <wp:simplePos x="0" y="0"/>
                <wp:positionH relativeFrom="margin">
                  <wp:posOffset>575945</wp:posOffset>
                </wp:positionH>
                <wp:positionV relativeFrom="paragraph">
                  <wp:posOffset>333375</wp:posOffset>
                </wp:positionV>
                <wp:extent cx="4796155" cy="570586"/>
                <wp:effectExtent l="0" t="0" r="4445" b="1270"/>
                <wp:wrapNone/>
                <wp:docPr id="37" name="Rectangle 37"/>
                <wp:cNvGraphicFramePr/>
                <a:graphic xmlns:a="http://schemas.openxmlformats.org/drawingml/2006/main">
                  <a:graphicData uri="http://schemas.microsoft.com/office/word/2010/wordprocessingShape">
                    <wps:wsp>
                      <wps:cNvSpPr/>
                      <wps:spPr>
                        <a:xfrm>
                          <a:off x="0" y="0"/>
                          <a:ext cx="4796155" cy="570586"/>
                        </a:xfrm>
                        <a:prstGeom prst="rect">
                          <a:avLst/>
                        </a:prstGeom>
                        <a:solidFill>
                          <a:srgbClr val="0A6AB4"/>
                        </a:solidFill>
                        <a:ln w="12700" cap="flat" cmpd="sng" algn="ctr">
                          <a:noFill/>
                          <a:prstDash val="solid"/>
                          <a:miter lim="800000"/>
                        </a:ln>
                        <a:effectLst/>
                      </wps:spPr>
                      <wps:txbx>
                        <w:txbxContent>
                          <w:p w:rsidRPr="009439F5" w:rsidR="00F72455" w:rsidP="00D61B28" w:rsidRDefault="00F72455" w14:paraId="5157ECB8" w14:textId="0DA36F3E">
                            <w:pPr>
                              <w:spacing w:line="240" w:lineRule="auto"/>
                              <w:jc w:val="center"/>
                              <w:rPr>
                                <w:sz w:val="20"/>
                                <w:szCs w:val="20"/>
                              </w:rPr>
                            </w:pPr>
                            <w:r w:rsidRPr="009439F5">
                              <w:rPr>
                                <w:color w:val="FFFFFF" w:themeColor="background1"/>
                                <w:sz w:val="20"/>
                                <w:szCs w:val="20"/>
                              </w:rPr>
                              <w:t>The Director-General of Health appoints an independent and</w:t>
                            </w:r>
                            <w:r w:rsidRPr="009439F5" w:rsidR="00D61B28">
                              <w:rPr>
                                <w:color w:val="FFFFFF" w:themeColor="background1"/>
                                <w:sz w:val="20"/>
                                <w:szCs w:val="20"/>
                              </w:rPr>
                              <w:br/>
                            </w:r>
                            <w:r w:rsidRPr="009439F5">
                              <w:rPr>
                                <w:color w:val="FFFFFF" w:themeColor="background1"/>
                                <w:sz w:val="20"/>
                                <w:szCs w:val="20"/>
                              </w:rPr>
                              <w:t xml:space="preserve"> impartial reviewer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FFBD30A">
              <v:rect id="Rectangle 37" style="position:absolute;left:0;text-align:left;margin-left:45.35pt;margin-top:26.25pt;width:377.65pt;height:44.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8" fillcolor="#0a6ab4" stroked="f" strokeweight="1pt" w14:anchorId="55F15E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">
                <v:textbox>
                  <w:txbxContent>
                    <w:p w:rsidRPr="009439F5" w:rsidR="00F72455" w:rsidP="00D61B28" w:rsidRDefault="00F72455" w14:paraId="29CF8955" w14:textId="0DA36F3E">
                      <w:pPr>
                        <w:spacing w:line="240" w:lineRule="auto"/>
                        <w:jc w:val="center"/>
                        <w:rPr>
                          <w:sz w:val="20"/>
                          <w:szCs w:val="20"/>
                        </w:rPr>
                      </w:pPr>
                      <w:r w:rsidRPr="009439F5">
                        <w:rPr>
                          <w:color w:val="FFFFFF" w:themeColor="background1"/>
                          <w:sz w:val="20"/>
                          <w:szCs w:val="20"/>
                        </w:rPr>
                        <w:t>The Director-General of Health appoints an independent and</w:t>
                      </w:r>
                      <w:r w:rsidRPr="009439F5" w:rsidR="00D61B28">
                        <w:rPr>
                          <w:color w:val="FFFFFF" w:themeColor="background1"/>
                          <w:sz w:val="20"/>
                          <w:szCs w:val="20"/>
                        </w:rPr>
                        <w:br/>
                      </w:r>
                      <w:r w:rsidRPr="009439F5">
                        <w:rPr>
                          <w:color w:val="FFFFFF" w:themeColor="background1"/>
                          <w:sz w:val="20"/>
                          <w:szCs w:val="20"/>
                        </w:rPr>
                        <w:t xml:space="preserve"> impartial reviewer</w:t>
                      </w:r>
                    </w:p>
                  </w:txbxContent>
                </v:textbox>
                <w10:wrap anchorx="margin"/>
              </v:rect>
            </w:pict>
          </mc:Fallback>
        </mc:AlternateContent>
      </w:r>
    </w:p>
    <w:p w:rsidR="00F72455" w:rsidP="002233D8" w:rsidRDefault="00F72455" w14:paraId="2649FB84" w14:textId="707C98A4">
      <w:pPr>
        <w:spacing w:before="240"/>
        <w:jc w:val="center"/>
      </w:pPr>
    </w:p>
    <w:p w:rsidR="00F72455" w:rsidP="002233D8" w:rsidRDefault="00D61B28" w14:paraId="1381AE0D" w14:textId="5CAB1A57">
      <w:pPr>
        <w:spacing w:before="240"/>
        <w:jc w:val="center"/>
      </w:pPr>
      <w:r w:rsidRPr="005912CE">
        <w:rPr>
          <w:b/>
          <w:bCs/>
          <w:noProof/>
        </w:rPr>
        <mc:AlternateContent>
          <mc:Choice Requires="wps">
            <w:drawing>
              <wp:anchor distT="0" distB="0" distL="114300" distR="114300" simplePos="0" relativeHeight="251675648" behindDoc="0" locked="0" layoutInCell="1" allowOverlap="1" wp14:anchorId="436D6951" wp14:editId="122D2872">
                <wp:simplePos x="0" y="0"/>
                <wp:positionH relativeFrom="leftMargin">
                  <wp:posOffset>3624580</wp:posOffset>
                </wp:positionH>
                <wp:positionV relativeFrom="paragraph">
                  <wp:posOffset>1083310</wp:posOffset>
                </wp:positionV>
                <wp:extent cx="438150" cy="395605"/>
                <wp:effectExtent l="0" t="0" r="0" b="4445"/>
                <wp:wrapNone/>
                <wp:docPr id="7" name="Arrow: Down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8150" cy="395605"/>
                        </a:xfrm>
                        <a:prstGeom prst="downArrow">
                          <a:avLst/>
                        </a:prstGeom>
                        <a:solidFill>
                          <a:srgbClr val="23305D"/>
                        </a:solidFill>
                        <a:ln w="12700" cap="flat" cmpd="sng" algn="ctr">
                          <a:noFill/>
                          <a:prstDash val="solid"/>
                          <a:miter lim="800000"/>
                        </a:ln>
                        <a:effectLst/>
                      </wps:spPr>
                      <wps:txbx>
                        <w:txbxContent>
                          <w:p w:rsidR="00D61B28" w:rsidP="00D61B28" w:rsidRDefault="00D61B28" w14:paraId="56D5090B"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A7DEEF9">
              <v:shape id="Arrow: Down 7" style="position:absolute;left:0;text-align:left;margin-left:285.4pt;margin-top:85.3pt;width:34.5pt;height:31.15pt;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lt="&quot;&quot;" o:spid="_x0000_s1029" fillcolor="#23305d" stroked="f"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" w14:anchorId="436D6951">
                <v:textbox>
                  <w:txbxContent>
                    <w:p w:rsidR="00D61B28" w:rsidP="00D61B28" w:rsidRDefault="00D61B28" w14:paraId="0A37501D" w14:textId="77777777">
                      <w:pPr>
                        <w:jc w:val="center"/>
                      </w:pPr>
                    </w:p>
                  </w:txbxContent>
                </v:textbox>
                <w10:wrap anchorx="margin"/>
              </v:shape>
            </w:pict>
          </mc:Fallback>
        </mc:AlternateContent>
      </w:r>
      <w:r w:rsidRPr="005912CE">
        <w:rPr>
          <w:b/>
          <w:bCs/>
          <w:noProof/>
        </w:rPr>
        <mc:AlternateContent>
          <mc:Choice Requires="wps">
            <w:drawing>
              <wp:anchor distT="0" distB="0" distL="114300" distR="114300" simplePos="0" relativeHeight="251667456" behindDoc="0" locked="0" layoutInCell="1" allowOverlap="1" wp14:anchorId="146DFC40" wp14:editId="69755742">
                <wp:simplePos x="0" y="0"/>
                <wp:positionH relativeFrom="leftMargin">
                  <wp:posOffset>3629025</wp:posOffset>
                </wp:positionH>
                <wp:positionV relativeFrom="paragraph">
                  <wp:posOffset>60960</wp:posOffset>
                </wp:positionV>
                <wp:extent cx="438150" cy="390525"/>
                <wp:effectExtent l="0" t="0" r="0" b="9525"/>
                <wp:wrapNone/>
                <wp:docPr id="6" name="Arrow: Down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8150" cy="390525"/>
                        </a:xfrm>
                        <a:prstGeom prst="downArrow">
                          <a:avLst/>
                        </a:prstGeom>
                        <a:solidFill>
                          <a:srgbClr val="23305D"/>
                        </a:solidFill>
                        <a:ln w="12700" cap="flat" cmpd="sng" algn="ctr">
                          <a:noFill/>
                          <a:prstDash val="solid"/>
                          <a:miter lim="800000"/>
                        </a:ln>
                        <a:effectLst/>
                      </wps:spPr>
                      <wps:txbx>
                        <w:txbxContent>
                          <w:p w:rsidR="00F72455" w:rsidP="00F72455" w:rsidRDefault="00F72455" w14:paraId="3CA09D8C"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217D5B8">
              <v:shape id="Arrow: Down 6" style="position:absolute;left:0;text-align:left;margin-left:285.75pt;margin-top:4.8pt;width:34.5pt;height:30.7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lt="&quot;&quot;" o:spid="_x0000_s1030" fillcolor="#23305d" stroked="f"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" w14:anchorId="146DFC40">
                <v:textbox>
                  <w:txbxContent>
                    <w:p w:rsidR="00F72455" w:rsidP="00F72455" w:rsidRDefault="00F72455" w14:paraId="5DAB6C7B" w14:textId="77777777">
                      <w:pPr>
                        <w:jc w:val="center"/>
                      </w:pPr>
                    </w:p>
                  </w:txbxContent>
                </v:textbox>
                <w10:wrap anchorx="margin"/>
              </v:shape>
            </w:pict>
          </mc:Fallback>
        </mc:AlternateContent>
      </w:r>
    </w:p>
    <w:p w:rsidR="00F72455" w:rsidP="002233D8" w:rsidRDefault="00D61B28" w14:paraId="3CC781AB" w14:textId="38DDF32C">
      <w:pPr>
        <w:spacing w:before="240"/>
        <w:jc w:val="center"/>
      </w:pPr>
      <w:r w:rsidRPr="00785C6C">
        <w:rPr>
          <w:noProof/>
        </w:rPr>
        <mc:AlternateContent>
          <mc:Choice Requires="wps">
            <w:drawing>
              <wp:anchor distT="0" distB="0" distL="114300" distR="114300" simplePos="0" relativeHeight="251671552" behindDoc="0" locked="0" layoutInCell="1" allowOverlap="1" wp14:anchorId="72972E7E" wp14:editId="6CD26B3E">
                <wp:simplePos x="0" y="0"/>
                <wp:positionH relativeFrom="column">
                  <wp:posOffset>552450</wp:posOffset>
                </wp:positionH>
                <wp:positionV relativeFrom="paragraph">
                  <wp:posOffset>177800</wp:posOffset>
                </wp:positionV>
                <wp:extent cx="4796155" cy="548640"/>
                <wp:effectExtent l="0" t="0" r="4445" b="3810"/>
                <wp:wrapNone/>
                <wp:docPr id="39" name="Rectangle 39"/>
                <wp:cNvGraphicFramePr/>
                <a:graphic xmlns:a="http://schemas.openxmlformats.org/drawingml/2006/main">
                  <a:graphicData uri="http://schemas.microsoft.com/office/word/2010/wordprocessingShape">
                    <wps:wsp>
                      <wps:cNvSpPr/>
                      <wps:spPr>
                        <a:xfrm>
                          <a:off x="0" y="0"/>
                          <a:ext cx="4796155" cy="548640"/>
                        </a:xfrm>
                        <a:prstGeom prst="rect">
                          <a:avLst/>
                        </a:prstGeom>
                        <a:solidFill>
                          <a:srgbClr val="0A6AB4"/>
                        </a:solidFill>
                        <a:ln w="12700" cap="flat" cmpd="sng" algn="ctr">
                          <a:noFill/>
                          <a:prstDash val="solid"/>
                          <a:miter lim="800000"/>
                        </a:ln>
                        <a:effectLst/>
                      </wps:spPr>
                      <wps:txbx>
                        <w:txbxContent>
                          <w:p w:rsidRPr="009439F5" w:rsidR="00F72455" w:rsidP="00D61B28" w:rsidRDefault="00F72455" w14:paraId="70FEED21" w14:textId="51EF5545">
                            <w:pPr>
                              <w:pStyle w:val="BlockText"/>
                              <w:spacing w:before="120" w:after="120"/>
                              <w:ind w:left="357"/>
                              <w:jc w:val="center"/>
                              <w:rPr>
                                <w:rFonts w:ascii="Segoe UI" w:hAnsi="Segoe UI" w:cs="Segoe UI"/>
                                <w:sz w:val="20"/>
                                <w:szCs w:val="20"/>
                                <w:lang w:val="mi-NZ"/>
                              </w:rPr>
                            </w:pPr>
                            <w:r w:rsidRPr="009439F5">
                              <w:rPr>
                                <w:rFonts w:ascii="Segoe UI" w:hAnsi="Segoe UI" w:cs="Segoe UI"/>
                                <w:color w:val="FFFFFF" w:themeColor="background1"/>
                                <w:sz w:val="20"/>
                                <w:szCs w:val="20"/>
                              </w:rPr>
                              <w:t>The reviewer considers and critiques all licensing assessment documentation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5A5D3FB">
              <v:rect id="Rectangle 39" style="position:absolute;left:0;text-align:left;margin-left:43.5pt;margin-top:14pt;width:377.65pt;height:4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0a6ab4" stroked="f" strokeweight="1pt" w14:anchorId="72972E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">
                <v:textbox>
                  <w:txbxContent>
                    <w:p w:rsidRPr="009439F5" w:rsidR="00F72455" w:rsidP="00D61B28" w:rsidRDefault="00F72455" w14:paraId="5C4747E4" w14:textId="51EF5545">
                      <w:pPr>
                        <w:pStyle w:val="BlockText"/>
                        <w:spacing w:before="120" w:after="120"/>
                        <w:ind w:left="357"/>
                        <w:jc w:val="center"/>
                        <w:rPr>
                          <w:rFonts w:ascii="Segoe UI" w:hAnsi="Segoe UI" w:cs="Segoe UI"/>
                          <w:sz w:val="20"/>
                          <w:szCs w:val="20"/>
                          <w:lang w:val="mi-NZ"/>
                        </w:rPr>
                      </w:pPr>
                      <w:r w:rsidRPr="009439F5">
                        <w:rPr>
                          <w:rFonts w:ascii="Segoe UI" w:hAnsi="Segoe UI" w:cs="Segoe UI"/>
                          <w:color w:val="FFFFFF" w:themeColor="background1"/>
                          <w:sz w:val="20"/>
                          <w:szCs w:val="20"/>
                        </w:rPr>
                        <w:t>The reviewer considers and critiques all licensing assessment documentation</w:t>
                      </w:r>
                    </w:p>
                  </w:txbxContent>
                </v:textbox>
              </v:rect>
            </w:pict>
          </mc:Fallback>
        </mc:AlternateContent>
      </w:r>
    </w:p>
    <w:p w:rsidR="00F72455" w:rsidP="002233D8" w:rsidRDefault="00F72455" w14:paraId="1F4078E2" w14:textId="34D7FA53">
      <w:pPr>
        <w:spacing w:before="240"/>
        <w:jc w:val="center"/>
      </w:pPr>
    </w:p>
    <w:p w:rsidR="00F72455" w:rsidP="002233D8" w:rsidRDefault="00F72455" w14:paraId="6C821563" w14:textId="14F66FB4">
      <w:pPr>
        <w:spacing w:before="240"/>
        <w:jc w:val="center"/>
      </w:pPr>
    </w:p>
    <w:p w:rsidR="00F72455" w:rsidP="002233D8" w:rsidRDefault="00D61B28" w14:paraId="79BD5F37" w14:textId="4D280AA8">
      <w:pPr>
        <w:spacing w:before="240"/>
        <w:jc w:val="center"/>
      </w:pPr>
      <w:r w:rsidRPr="00785C6C">
        <w:rPr>
          <w:noProof/>
        </w:rPr>
        <mc:AlternateContent>
          <mc:Choice Requires="wps">
            <w:drawing>
              <wp:anchor distT="0" distB="0" distL="114300" distR="114300" simplePos="0" relativeHeight="251673600" behindDoc="0" locked="0" layoutInCell="1" allowOverlap="1" wp14:anchorId="2CE9BBFF" wp14:editId="4BDD2521">
                <wp:simplePos x="0" y="0"/>
                <wp:positionH relativeFrom="margin">
                  <wp:posOffset>556895</wp:posOffset>
                </wp:positionH>
                <wp:positionV relativeFrom="paragraph">
                  <wp:posOffset>145415</wp:posOffset>
                </wp:positionV>
                <wp:extent cx="4796155" cy="777240"/>
                <wp:effectExtent l="0" t="0" r="4445" b="3810"/>
                <wp:wrapNone/>
                <wp:docPr id="26" name="Rectangle 26"/>
                <wp:cNvGraphicFramePr/>
                <a:graphic xmlns:a="http://schemas.openxmlformats.org/drawingml/2006/main">
                  <a:graphicData uri="http://schemas.microsoft.com/office/word/2010/wordprocessingShape">
                    <wps:wsp>
                      <wps:cNvSpPr/>
                      <wps:spPr>
                        <a:xfrm>
                          <a:off x="0" y="0"/>
                          <a:ext cx="4796155" cy="777240"/>
                        </a:xfrm>
                        <a:prstGeom prst="rect">
                          <a:avLst/>
                        </a:prstGeom>
                        <a:solidFill>
                          <a:srgbClr val="0A6AB4"/>
                        </a:solidFill>
                        <a:ln w="12700" cap="flat" cmpd="sng" algn="ctr">
                          <a:noFill/>
                          <a:prstDash val="solid"/>
                          <a:miter lim="800000"/>
                        </a:ln>
                        <a:effectLst/>
                      </wps:spPr>
                      <wps:txbx>
                        <w:txbxContent>
                          <w:p w:rsidRPr="009439F5" w:rsidR="00F72455" w:rsidP="00D61B28" w:rsidRDefault="00F72455" w14:paraId="2CF0AA62" w14:textId="5635B9A4">
                            <w:pPr>
                              <w:pStyle w:val="BlockText"/>
                              <w:spacing w:before="120" w:after="120"/>
                              <w:jc w:val="center"/>
                              <w:rPr>
                                <w:rFonts w:ascii="Segoe UI" w:hAnsi="Segoe UI" w:cs="Segoe UI"/>
                                <w:color w:val="FFFFFF" w:themeColor="background1"/>
                                <w:sz w:val="20"/>
                                <w:szCs w:val="20"/>
                                <w:lang w:val="mi-NZ"/>
                              </w:rPr>
                            </w:pPr>
                            <w:r w:rsidRPr="009439F5">
                              <w:rPr>
                                <w:rFonts w:ascii="Segoe UI" w:hAnsi="Segoe UI" w:cs="Segoe UI"/>
                                <w:color w:val="FFFFFF" w:themeColor="background1"/>
                                <w:sz w:val="20"/>
                                <w:szCs w:val="20"/>
                                <w:lang w:val="mi-NZ"/>
                              </w:rPr>
                              <w:t xml:space="preserve">Within 60 working days (unless timeframe is extended), the </w:t>
                            </w:r>
                            <w:r w:rsidRPr="009439F5" w:rsidR="00D61B28">
                              <w:rPr>
                                <w:rFonts w:ascii="Segoe UI" w:hAnsi="Segoe UI" w:cs="Segoe UI"/>
                                <w:color w:val="FFFFFF" w:themeColor="background1"/>
                                <w:sz w:val="20"/>
                                <w:szCs w:val="20"/>
                                <w:lang w:val="mi-NZ"/>
                              </w:rPr>
                              <w:br/>
                            </w:r>
                            <w:r w:rsidRPr="009439F5">
                              <w:rPr>
                                <w:rFonts w:ascii="Segoe UI" w:hAnsi="Segoe UI" w:cs="Segoe UI"/>
                                <w:color w:val="FFFFFF" w:themeColor="background1"/>
                                <w:sz w:val="20"/>
                                <w:szCs w:val="20"/>
                                <w:lang w:val="mi-NZ"/>
                              </w:rPr>
                              <w:t xml:space="preserve">Director-General informs the provider of the review’s outcome and </w:t>
                            </w:r>
                            <w:r w:rsidRPr="009439F5" w:rsidR="00D61B28">
                              <w:rPr>
                                <w:rFonts w:ascii="Segoe UI" w:hAnsi="Segoe UI" w:cs="Segoe UI"/>
                                <w:color w:val="FFFFFF" w:themeColor="background1"/>
                                <w:sz w:val="20"/>
                                <w:szCs w:val="20"/>
                                <w:lang w:val="mi-NZ"/>
                              </w:rPr>
                              <w:br/>
                            </w:r>
                            <w:r w:rsidRPr="009439F5">
                              <w:rPr>
                                <w:rFonts w:ascii="Segoe UI" w:hAnsi="Segoe UI" w:cs="Segoe UI"/>
                                <w:color w:val="FFFFFF" w:themeColor="background1"/>
                                <w:sz w:val="20"/>
                                <w:szCs w:val="20"/>
                                <w:lang w:val="mi-NZ"/>
                              </w:rPr>
                              <w:t>the reasons for their decision.</w:t>
                            </w:r>
                          </w:p>
                          <w:p w:rsidRPr="008F0979" w:rsidR="00F72455" w:rsidP="00F72455" w:rsidRDefault="00F72455" w14:paraId="27C54B25" w14:textId="77777777">
                            <w:pPr>
                              <w:jc w:val="center"/>
                              <w:rPr>
                                <w:color w:val="FFFFFF" w:themeColor="background1"/>
                                <w:lang w:val="mi-N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80E249C">
              <v:rect id="Rectangle 26" style="position:absolute;left:0;text-align:left;margin-left:43.85pt;margin-top:11.45pt;width:377.65pt;height:61.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2" fillcolor="#0a6ab4" stroked="f" strokeweight="1pt" w14:anchorId="2CE9BB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">
                <v:textbox>
                  <w:txbxContent>
                    <w:p w:rsidRPr="009439F5" w:rsidR="00F72455" w:rsidP="00D61B28" w:rsidRDefault="00F72455" w14:paraId="73706679" w14:textId="5635B9A4">
                      <w:pPr>
                        <w:pStyle w:val="BlockText"/>
                        <w:spacing w:before="120" w:after="120"/>
                        <w:jc w:val="center"/>
                        <w:rPr>
                          <w:rFonts w:ascii="Segoe UI" w:hAnsi="Segoe UI" w:cs="Segoe UI"/>
                          <w:color w:val="FFFFFF" w:themeColor="background1"/>
                          <w:sz w:val="20"/>
                          <w:szCs w:val="20"/>
                          <w:lang w:val="mi-NZ"/>
                        </w:rPr>
                      </w:pPr>
                      <w:r w:rsidRPr="009439F5">
                        <w:rPr>
                          <w:rFonts w:ascii="Segoe UI" w:hAnsi="Segoe UI" w:cs="Segoe UI"/>
                          <w:color w:val="FFFFFF" w:themeColor="background1"/>
                          <w:sz w:val="20"/>
                          <w:szCs w:val="20"/>
                          <w:lang w:val="mi-NZ"/>
                        </w:rPr>
                        <w:t xml:space="preserve">Within 60 working days (unless timeframe is extended), the </w:t>
                      </w:r>
                      <w:r w:rsidRPr="009439F5" w:rsidR="00D61B28">
                        <w:rPr>
                          <w:rFonts w:ascii="Segoe UI" w:hAnsi="Segoe UI" w:cs="Segoe UI"/>
                          <w:color w:val="FFFFFF" w:themeColor="background1"/>
                          <w:sz w:val="20"/>
                          <w:szCs w:val="20"/>
                          <w:lang w:val="mi-NZ"/>
                        </w:rPr>
                        <w:br/>
                      </w:r>
                      <w:r w:rsidRPr="009439F5">
                        <w:rPr>
                          <w:rFonts w:ascii="Segoe UI" w:hAnsi="Segoe UI" w:cs="Segoe UI"/>
                          <w:color w:val="FFFFFF" w:themeColor="background1"/>
                          <w:sz w:val="20"/>
                          <w:szCs w:val="20"/>
                          <w:lang w:val="mi-NZ"/>
                        </w:rPr>
                        <w:t xml:space="preserve">Director-General informs the provider of the review’s outcome and </w:t>
                      </w:r>
                      <w:r w:rsidRPr="009439F5" w:rsidR="00D61B28">
                        <w:rPr>
                          <w:rFonts w:ascii="Segoe UI" w:hAnsi="Segoe UI" w:cs="Segoe UI"/>
                          <w:color w:val="FFFFFF" w:themeColor="background1"/>
                          <w:sz w:val="20"/>
                          <w:szCs w:val="20"/>
                          <w:lang w:val="mi-NZ"/>
                        </w:rPr>
                        <w:br/>
                      </w:r>
                      <w:r w:rsidRPr="009439F5">
                        <w:rPr>
                          <w:rFonts w:ascii="Segoe UI" w:hAnsi="Segoe UI" w:cs="Segoe UI"/>
                          <w:color w:val="FFFFFF" w:themeColor="background1"/>
                          <w:sz w:val="20"/>
                          <w:szCs w:val="20"/>
                          <w:lang w:val="mi-NZ"/>
                        </w:rPr>
                        <w:t>the reasons for their decision.</w:t>
                      </w:r>
                    </w:p>
                    <w:p w:rsidRPr="008F0979" w:rsidR="00F72455" w:rsidP="00F72455" w:rsidRDefault="00F72455" w14:paraId="02EB378F" w14:textId="77777777">
                      <w:pPr>
                        <w:jc w:val="center"/>
                        <w:rPr>
                          <w:color w:val="FFFFFF" w:themeColor="background1"/>
                          <w:lang w:val="mi-NZ"/>
                        </w:rPr>
                      </w:pPr>
                    </w:p>
                  </w:txbxContent>
                </v:textbox>
                <w10:wrap anchorx="margin"/>
              </v:rect>
            </w:pict>
          </mc:Fallback>
        </mc:AlternateContent>
      </w:r>
    </w:p>
    <w:p w:rsidR="00F72455" w:rsidP="002233D8" w:rsidRDefault="00F72455" w14:paraId="5BAFFDD4" w14:textId="77777777">
      <w:pPr>
        <w:spacing w:before="240"/>
        <w:jc w:val="center"/>
      </w:pPr>
    </w:p>
    <w:p w:rsidR="00F72455" w:rsidP="002233D8" w:rsidRDefault="00F72455" w14:paraId="479430D1" w14:textId="25B26DBE">
      <w:pPr>
        <w:spacing w:before="240"/>
        <w:jc w:val="center"/>
      </w:pPr>
    </w:p>
    <w:p w:rsidR="00D61B28" w:rsidP="002233D8" w:rsidRDefault="00D61B28" w14:paraId="78C5D246" w14:textId="77777777">
      <w:pPr>
        <w:spacing w:before="240"/>
        <w:jc w:val="center"/>
      </w:pPr>
    </w:p>
    <w:p w:rsidR="00D61B28" w:rsidP="002233D8" w:rsidRDefault="00D61B28" w14:paraId="7C274890" w14:textId="77777777">
      <w:pPr>
        <w:spacing w:before="240"/>
        <w:jc w:val="center"/>
      </w:pPr>
    </w:p>
    <w:p w:rsidR="00660619" w:rsidP="00660619" w:rsidRDefault="00660619" w14:paraId="762C0BCA" w14:textId="77777777">
      <w:pPr>
        <w:rPr>
          <w:lang w:eastAsia="en-NZ"/>
        </w:rPr>
      </w:pPr>
    </w:p>
    <w:sectPr w:rsidR="00660619" w:rsidSect="00D37487">
      <w:footerReference w:type="even" r:id="rId13"/>
      <w:footerReference w:type="default" r:id="rId14"/>
      <w:headerReference w:type="first" r:id="rId15"/>
      <w:footerReference w:type="first" r:id="rId16"/>
      <w:pgSz w:w="11906" w:h="16838" w:orient="portrait" w:code="9"/>
      <w:pgMar w:top="1134" w:right="1134" w:bottom="1134" w:left="1418" w:header="284" w:footer="425" w:gutter="0"/>
      <w:cols w:space="708"/>
      <w:titlePg/>
      <w:docGrid w:linePitch="360"/>
      <w:headerReference w:type="default" r:id="R2c9697dcb107402c"/>
      <w:headerReference w:type="even" r:id="R0f481fed888e4b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1E47" w:rsidRDefault="002B1E47" w14:paraId="4F428B0B" w14:textId="77777777">
      <w:r>
        <w:separator/>
      </w:r>
    </w:p>
  </w:endnote>
  <w:endnote w:type="continuationSeparator" w:id="0">
    <w:p w:rsidR="002B1E47" w:rsidRDefault="002B1E47" w14:paraId="28489C7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34792" w:rsidR="00034792" w:rsidP="00034792" w:rsidRDefault="00034792" w14:paraId="51C39633" w14:textId="66C21239">
    <w:pPr>
      <w:pStyle w:val="Footer"/>
      <w:tabs>
        <w:tab w:val="left" w:pos="851"/>
      </w:tabs>
      <w:rPr>
        <w:b/>
        <w:bCs/>
        <w:sz w:val="22"/>
        <w:szCs w:val="22"/>
      </w:rPr>
    </w:pPr>
    <w:r w:rsidRPr="00034792">
      <w:rPr>
        <w:b/>
        <w:bCs/>
        <w:sz w:val="22"/>
        <w:szCs w:val="22"/>
      </w:rPr>
      <w:fldChar w:fldCharType="begin"/>
    </w:r>
    <w:r w:rsidRPr="00034792">
      <w:rPr>
        <w:b/>
        <w:bCs/>
        <w:sz w:val="22"/>
        <w:szCs w:val="22"/>
      </w:rPr>
      <w:instrText xml:space="preserve"> PAGE   \* MERGEFORMAT </w:instrText>
    </w:r>
    <w:r w:rsidRPr="00034792">
      <w:rPr>
        <w:b/>
        <w:bCs/>
        <w:sz w:val="22"/>
        <w:szCs w:val="22"/>
      </w:rPr>
      <w:fldChar w:fldCharType="separate"/>
    </w:r>
    <w:r w:rsidRPr="00034792">
      <w:rPr>
        <w:b/>
        <w:bCs/>
        <w:noProof/>
        <w:sz w:val="22"/>
        <w:szCs w:val="22"/>
      </w:rPr>
      <w:t>2</w:t>
    </w:r>
    <w:r w:rsidRPr="00034792">
      <w:rPr>
        <w:b/>
        <w:bCs/>
        <w:noProof/>
        <w:sz w:val="22"/>
        <w:szCs w:val="22"/>
      </w:rPr>
      <w:fldChar w:fldCharType="end"/>
    </w:r>
    <w:r>
      <w:rPr>
        <w:b/>
        <w:bCs/>
        <w:noProof/>
        <w:sz w:val="22"/>
        <w:szCs w:val="22"/>
      </w:rPr>
      <w:tab/>
    </w:r>
    <w:r w:rsidRPr="00034792">
      <w:rPr>
        <w:sz w:val="15"/>
        <w:szCs w:val="15"/>
      </w:rPr>
      <w:t>REVIEW OF DRUG CHECKING LICENSING POLICY</w:t>
    </w:r>
  </w:p>
  <w:p w:rsidRPr="00525FFB" w:rsidR="00EE6CE2" w:rsidP="00034792" w:rsidRDefault="00EE6CE2" w14:paraId="3E3D2028" w14:textId="77777777">
    <w:pPr>
      <w:tabs>
        <w:tab w:val="left" w:pos="567"/>
      </w:tabs>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8647"/>
      <w:gridCol w:w="709"/>
    </w:tblGrid>
    <w:tr w:rsidR="00034792" w:rsidTr="002B7139" w14:paraId="5357A07F" w14:textId="77777777">
      <w:trPr>
        <w:cantSplit/>
      </w:trPr>
      <w:tc>
        <w:tcPr>
          <w:tcW w:w="8647" w:type="dxa"/>
          <w:vAlign w:val="center"/>
        </w:tcPr>
        <w:p w:rsidR="00034792" w:rsidP="00034792" w:rsidRDefault="00034792" w14:paraId="4A683252" w14:textId="77777777">
          <w:pPr>
            <w:pStyle w:val="RectoFooter"/>
          </w:pPr>
          <w:r>
            <w:t>REVIEW OF DRUG CHECKING LICENSING POLICY</w:t>
          </w:r>
        </w:p>
      </w:tc>
      <w:tc>
        <w:tcPr>
          <w:tcW w:w="709" w:type="dxa"/>
          <w:vAlign w:val="center"/>
        </w:tcPr>
        <w:p w:rsidRPr="00525FFB" w:rsidR="00034792" w:rsidP="00034792" w:rsidRDefault="00034792" w14:paraId="1A5F4144" w14:textId="77777777">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Pr>
              <w:rStyle w:val="PageNumber"/>
              <w:noProof/>
              <w:sz w:val="22"/>
              <w:szCs w:val="22"/>
            </w:rPr>
            <w:t>1</w:t>
          </w:r>
          <w:r w:rsidRPr="00525FFB">
            <w:rPr>
              <w:rStyle w:val="PageNumber"/>
              <w:sz w:val="22"/>
              <w:szCs w:val="22"/>
            </w:rPr>
            <w:fldChar w:fldCharType="end"/>
          </w:r>
        </w:p>
      </w:tc>
    </w:tr>
  </w:tbl>
  <w:p w:rsidRPr="00525FFB" w:rsidR="00525FFB" w:rsidP="00034792" w:rsidRDefault="00525FFB" w14:paraId="01637F7F" w14:textId="77777777">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8647"/>
      <w:gridCol w:w="709"/>
    </w:tblGrid>
    <w:tr w:rsidR="00113C1B" w:rsidTr="00F06D3B" w14:paraId="21D7E1BB" w14:textId="77777777">
      <w:trPr>
        <w:cantSplit/>
      </w:trPr>
      <w:tc>
        <w:tcPr>
          <w:tcW w:w="8647" w:type="dxa"/>
          <w:vAlign w:val="center"/>
        </w:tcPr>
        <w:p w:rsidR="00113C1B" w:rsidP="00F06D3B" w:rsidRDefault="00E6374A" w14:paraId="0A280F73" w14:textId="32B75209">
          <w:pPr>
            <w:pStyle w:val="RectoFooter"/>
          </w:pPr>
          <w:r>
            <w:t>REVIEW OF DRUG CHECKING LICENSING POLICY</w:t>
          </w:r>
        </w:p>
      </w:tc>
      <w:tc>
        <w:tcPr>
          <w:tcW w:w="709" w:type="dxa"/>
          <w:vAlign w:val="center"/>
        </w:tcPr>
        <w:p w:rsidRPr="00525FFB" w:rsidR="00113C1B" w:rsidP="00F06D3B" w:rsidRDefault="00113C1B" w14:paraId="3DE55418" w14:textId="77777777">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1</w:t>
          </w:r>
          <w:r w:rsidRPr="00525FFB">
            <w:rPr>
              <w:rStyle w:val="PageNumber"/>
              <w:sz w:val="22"/>
              <w:szCs w:val="22"/>
            </w:rPr>
            <w:fldChar w:fldCharType="end"/>
          </w:r>
        </w:p>
      </w:tc>
    </w:tr>
  </w:tbl>
  <w:p w:rsidRPr="00113C1B" w:rsidR="00113C1B" w:rsidP="00113C1B" w:rsidRDefault="00113C1B" w14:paraId="71FB8192" w14:textId="77777777">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680D2D" w:rsidR="002B1E47" w:rsidP="00680D2D" w:rsidRDefault="002B1E47" w14:paraId="4C6CFA1C" w14:textId="77777777">
      <w:pPr>
        <w:pStyle w:val="Footer"/>
      </w:pPr>
    </w:p>
  </w:footnote>
  <w:footnote w:type="continuationSeparator" w:id="0">
    <w:p w:rsidR="002B1E47" w:rsidRDefault="002B1E47" w14:paraId="751D3FC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E6CE2" w:rsidP="00BD22FC" w:rsidRDefault="003156B0" w14:paraId="751EA36F" w14:textId="30AADA4A">
    <w:pPr>
      <w:pStyle w:val="Header"/>
      <w:spacing w:after="480"/>
    </w:pPr>
    <w:r>
      <w:rPr>
        <w:noProof/>
      </w:rPr>
      <w:drawing>
        <wp:anchor distT="0" distB="0" distL="114300" distR="114300" simplePos="0" relativeHeight="251660288" behindDoc="1" locked="0" layoutInCell="1" allowOverlap="1" wp14:anchorId="1A847BBA" wp14:editId="6A81C1DF">
          <wp:simplePos x="0" y="0"/>
          <wp:positionH relativeFrom="column">
            <wp:posOffset>4766487</wp:posOffset>
          </wp:positionH>
          <wp:positionV relativeFrom="paragraph">
            <wp:posOffset>477520</wp:posOffset>
          </wp:positionV>
          <wp:extent cx="1211580" cy="572770"/>
          <wp:effectExtent l="0" t="0" r="7620" b="0"/>
          <wp:wrapTight wrapText="bothSides">
            <wp:wrapPolygon edited="0">
              <wp:start x="0" y="0"/>
              <wp:lineTo x="0" y="20834"/>
              <wp:lineTo x="21396" y="20834"/>
              <wp:lineTo x="21396" y="0"/>
              <wp:lineTo x="0" y="0"/>
            </wp:wrapPolygon>
          </wp:wrapTight>
          <wp:docPr id="3" name="Picture 3"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CBA7E37" wp14:editId="64DCA632">
          <wp:simplePos x="0" y="0"/>
          <wp:positionH relativeFrom="page">
            <wp:posOffset>-30717</wp:posOffset>
          </wp:positionH>
          <wp:positionV relativeFrom="margin">
            <wp:posOffset>-171450</wp:posOffset>
          </wp:positionV>
          <wp:extent cx="5528310" cy="716280"/>
          <wp:effectExtent l="0" t="0" r="0" b="7620"/>
          <wp:wrapTight wrapText="bothSides">
            <wp:wrapPolygon edited="0">
              <wp:start x="0" y="0"/>
              <wp:lineTo x="0" y="21255"/>
              <wp:lineTo x="21511" y="21255"/>
              <wp:lineTo x="21511" y="0"/>
              <wp:lineTo x="0" y="0"/>
            </wp:wrapPolygon>
          </wp:wrapTight>
          <wp:docPr id="2" name="Picture 2"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 Zealand Government logo"/>
                  <pic:cNvPicPr/>
                </pic:nvPicPr>
                <pic:blipFill rotWithShape="1">
                  <a:blip r:embed="rId2">
                    <a:extLst>
                      <a:ext uri="{28A0092B-C50C-407E-A947-70E740481C1C}">
                        <a14:useLocalDpi xmlns:a14="http://schemas.microsoft.com/office/drawing/2010/main" val="0"/>
                      </a:ext>
                    </a:extLst>
                  </a:blip>
                  <a:srcRect r="26574"/>
                  <a:stretch/>
                </pic:blipFill>
                <pic:spPr bwMode="auto">
                  <a:xfrm>
                    <a:off x="0" y="0"/>
                    <a:ext cx="5528310"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15"/>
      <w:gridCol w:w="3115"/>
      <w:gridCol w:w="3115"/>
    </w:tblGrid>
    <w:tr w:rsidR="715AA54E" w:rsidTr="715AA54E" w14:paraId="556E9813">
      <w:tc>
        <w:tcPr>
          <w:tcW w:w="3115" w:type="dxa"/>
          <w:tcMar/>
        </w:tcPr>
        <w:p w:rsidR="715AA54E" w:rsidP="715AA54E" w:rsidRDefault="715AA54E" w14:paraId="6D42E520" w14:textId="172C9D5E">
          <w:pPr>
            <w:pStyle w:val="Header"/>
            <w:bidi w:val="0"/>
            <w:ind w:left="-115"/>
            <w:jc w:val="left"/>
          </w:pPr>
        </w:p>
      </w:tc>
      <w:tc>
        <w:tcPr>
          <w:tcW w:w="3115" w:type="dxa"/>
          <w:tcMar/>
        </w:tcPr>
        <w:p w:rsidR="715AA54E" w:rsidP="715AA54E" w:rsidRDefault="715AA54E" w14:paraId="3C18B34A" w14:textId="43B60219">
          <w:pPr>
            <w:pStyle w:val="Header"/>
            <w:bidi w:val="0"/>
            <w:jc w:val="center"/>
          </w:pPr>
        </w:p>
      </w:tc>
      <w:tc>
        <w:tcPr>
          <w:tcW w:w="3115" w:type="dxa"/>
          <w:tcMar/>
        </w:tcPr>
        <w:p w:rsidR="715AA54E" w:rsidP="715AA54E" w:rsidRDefault="715AA54E" w14:paraId="0EA1347C" w14:textId="3B289D8B">
          <w:pPr>
            <w:pStyle w:val="Header"/>
            <w:bidi w:val="0"/>
            <w:ind w:right="-115"/>
            <w:jc w:val="right"/>
          </w:pPr>
        </w:p>
      </w:tc>
    </w:tr>
  </w:tbl>
  <w:p w:rsidR="715AA54E" w:rsidP="715AA54E" w:rsidRDefault="715AA54E" w14:paraId="515EE8FA" w14:textId="3A3AA5FC">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15"/>
      <w:gridCol w:w="3115"/>
      <w:gridCol w:w="3115"/>
    </w:tblGrid>
    <w:tr w:rsidR="715AA54E" w:rsidTr="715AA54E" w14:paraId="41819B34">
      <w:tc>
        <w:tcPr>
          <w:tcW w:w="3115" w:type="dxa"/>
          <w:tcMar/>
        </w:tcPr>
        <w:p w:rsidR="715AA54E" w:rsidP="715AA54E" w:rsidRDefault="715AA54E" w14:paraId="06ECFEFA" w14:textId="4C3DB017">
          <w:pPr>
            <w:pStyle w:val="Header"/>
            <w:bidi w:val="0"/>
            <w:ind w:left="-115"/>
            <w:jc w:val="left"/>
          </w:pPr>
        </w:p>
      </w:tc>
      <w:tc>
        <w:tcPr>
          <w:tcW w:w="3115" w:type="dxa"/>
          <w:tcMar/>
        </w:tcPr>
        <w:p w:rsidR="715AA54E" w:rsidP="715AA54E" w:rsidRDefault="715AA54E" w14:paraId="646CFBB1" w14:textId="6B99EEFE">
          <w:pPr>
            <w:pStyle w:val="Header"/>
            <w:bidi w:val="0"/>
            <w:jc w:val="center"/>
          </w:pPr>
        </w:p>
      </w:tc>
      <w:tc>
        <w:tcPr>
          <w:tcW w:w="3115" w:type="dxa"/>
          <w:tcMar/>
        </w:tcPr>
        <w:p w:rsidR="715AA54E" w:rsidP="715AA54E" w:rsidRDefault="715AA54E" w14:paraId="05D649BF" w14:textId="61C47FAB">
          <w:pPr>
            <w:pStyle w:val="Header"/>
            <w:bidi w:val="0"/>
            <w:ind w:right="-115"/>
            <w:jc w:val="right"/>
          </w:pPr>
        </w:p>
      </w:tc>
    </w:tr>
  </w:tbl>
  <w:p w:rsidR="715AA54E" w:rsidP="715AA54E" w:rsidRDefault="715AA54E" w14:paraId="34AD9FA0" w14:textId="74129AB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4EE8"/>
    <w:multiLevelType w:val="hybridMultilevel"/>
    <w:tmpl w:val="B11ABA08"/>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1" w15:restartNumberingAfterBreak="0">
    <w:nsid w:val="439B6562"/>
    <w:multiLevelType w:val="hybridMultilevel"/>
    <w:tmpl w:val="3816223E"/>
    <w:lvl w:ilvl="0" w:tplc="72CEA2C0">
      <w:start w:val="1"/>
      <w:numFmt w:val="bullet"/>
      <w:pStyle w:val="TableBullet"/>
      <w:lvlText w:val=""/>
      <w:lvlJc w:val="left"/>
      <w:pPr>
        <w:ind w:left="360" w:hanging="360"/>
      </w:pPr>
      <w:rPr>
        <w:rFonts w:hint="default" w:ascii="Symbol" w:hAnsi="Symbol"/>
        <w:color w:val="auto"/>
        <w:sz w:val="16"/>
        <w:szCs w:val="18"/>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5A4254E8"/>
    <w:multiLevelType w:val="hybridMultilevel"/>
    <w:tmpl w:val="5BE6F5E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5AFC3AC9"/>
    <w:multiLevelType w:val="hybridMultilevel"/>
    <w:tmpl w:val="E83017AE"/>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4" w15:restartNumberingAfterBreak="0">
    <w:nsid w:val="5E1220AA"/>
    <w:multiLevelType w:val="multilevel"/>
    <w:tmpl w:val="38F6B0C2"/>
    <w:lvl w:ilvl="0">
      <w:start w:val="1"/>
      <w:numFmt w:val="decimal"/>
      <w:pStyle w:val="Heading1"/>
      <w:lvlText w:val="%1"/>
      <w:lvlJc w:val="left"/>
      <w:pPr>
        <w:ind w:left="567" w:hanging="567"/>
      </w:pPr>
      <w:rPr>
        <w:rFonts w:hint="default"/>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648A425F"/>
    <w:multiLevelType w:val="hybridMultilevel"/>
    <w:tmpl w:val="4D7ABEAE"/>
    <w:lvl w:ilvl="0" w:tplc="890AC848">
      <w:start w:val="1"/>
      <w:numFmt w:val="bullet"/>
      <w:pStyle w:val="Dash"/>
      <w:lvlText w:val="–"/>
      <w:lvlJc w:val="left"/>
      <w:pPr>
        <w:ind w:left="1080" w:hanging="360"/>
      </w:pPr>
      <w:rPr>
        <w:rFonts w:hint="default" w:ascii="Courier New" w:hAnsi="Courier New"/>
      </w:rPr>
    </w:lvl>
    <w:lvl w:ilvl="1" w:tplc="14090003">
      <w:start w:val="1"/>
      <w:numFmt w:val="bullet"/>
      <w:lvlText w:val="o"/>
      <w:lvlJc w:val="left"/>
      <w:pPr>
        <w:ind w:left="1800" w:hanging="360"/>
      </w:pPr>
      <w:rPr>
        <w:rFonts w:hint="default" w:ascii="Courier New" w:hAnsi="Courier New" w:cs="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cs="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cs="Courier New"/>
      </w:rPr>
    </w:lvl>
    <w:lvl w:ilvl="8" w:tplc="14090005" w:tentative="1">
      <w:start w:val="1"/>
      <w:numFmt w:val="bullet"/>
      <w:lvlText w:val=""/>
      <w:lvlJc w:val="left"/>
      <w:pPr>
        <w:ind w:left="6840" w:hanging="360"/>
      </w:pPr>
      <w:rPr>
        <w:rFonts w:hint="default" w:ascii="Wingdings" w:hAnsi="Wingdings"/>
      </w:rPr>
    </w:lvl>
  </w:abstractNum>
  <w:abstractNum w:abstractNumId="7" w15:restartNumberingAfterBreak="0">
    <w:nsid w:val="66BC78ED"/>
    <w:multiLevelType w:val="hybridMultilevel"/>
    <w:tmpl w:val="62F0F42E"/>
    <w:lvl w:ilvl="0" w:tplc="E042FD7A">
      <w:start w:val="1"/>
      <w:numFmt w:val="bullet"/>
      <w:pStyle w:val="Bullet"/>
      <w:lvlText w:val=""/>
      <w:lvlJc w:val="left"/>
      <w:pPr>
        <w:tabs>
          <w:tab w:val="num" w:pos="284"/>
        </w:tabs>
        <w:ind w:left="284" w:hanging="284"/>
      </w:pPr>
      <w:rPr>
        <w:rFonts w:hint="default" w:ascii="Symbol" w:hAnsi="Symbol" w:cs="Times New Roman"/>
        <w:bCs w:val="0"/>
        <w:iCs w:val="0"/>
        <w:color w:val="auto"/>
        <w:sz w:val="20"/>
        <w:szCs w:val="24"/>
      </w:rPr>
    </w:lvl>
    <w:lvl w:ilvl="1" w:tplc="50C27FC0">
      <w:start w:val="1"/>
      <w:numFmt w:val="bullet"/>
      <w:lvlText w:val=""/>
      <w:lvlJc w:val="left"/>
      <w:pPr>
        <w:ind w:left="1440" w:hanging="360"/>
      </w:pPr>
      <w:rPr>
        <w:rFonts w:hint="default" w:ascii="Symbol" w:hAnsi="Symbol"/>
        <w:sz w:val="20"/>
        <w:szCs w:val="20"/>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674769E3"/>
    <w:multiLevelType w:val="hybridMultilevel"/>
    <w:tmpl w:val="DF1483D8"/>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9"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hint="default" w:ascii="Symbol" w:hAnsi="Symbol"/>
        <w:sz w:val="18"/>
      </w:rPr>
    </w:lvl>
  </w:abstractNum>
  <w:abstractNum w:abstractNumId="10" w15:restartNumberingAfterBreak="0">
    <w:nsid w:val="6C3B70FC"/>
    <w:multiLevelType w:val="hybridMultilevel"/>
    <w:tmpl w:val="DEA63678"/>
    <w:lvl w:ilvl="0" w:tplc="FF0AE670">
      <w:start w:val="1"/>
      <w:numFmt w:val="decimal"/>
      <w:pStyle w:val="Numberedpar"/>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1" w15:restartNumberingAfterBreak="0">
    <w:nsid w:val="7B1D54C2"/>
    <w:multiLevelType w:val="hybridMultilevel"/>
    <w:tmpl w:val="8CFE858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1"/>
  </w:num>
  <w:num w:numId="5">
    <w:abstractNumId w:val="4"/>
  </w:num>
  <w:num w:numId="6">
    <w:abstractNumId w:val="5"/>
  </w:num>
  <w:num w:numId="7">
    <w:abstractNumId w:val="0"/>
  </w:num>
  <w:num w:numId="8">
    <w:abstractNumId w:val="3"/>
  </w:num>
  <w:num w:numId="9">
    <w:abstractNumId w:val="8"/>
  </w:num>
  <w:num w:numId="10">
    <w:abstractNumId w:val="11"/>
  </w:num>
  <w:num w:numId="11">
    <w:abstractNumId w:val="4"/>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val="false"/>
  <w:defaultTabStop w:val="567"/>
  <w:evenAndOddHeaders/>
  <w:noPunctuationKerning/>
  <w:characterSpacingControl w:val="doNotCompress"/>
  <w:hdrShapeDefaults>
    <o:shapedefaults v:ext="edit" spidmax="2050">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23DF"/>
    <w:rsid w:val="00016C2D"/>
    <w:rsid w:val="00020081"/>
    <w:rsid w:val="00034792"/>
    <w:rsid w:val="00075ED0"/>
    <w:rsid w:val="00095852"/>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5DB9"/>
    <w:rsid w:val="00106390"/>
    <w:rsid w:val="00113C1B"/>
    <w:rsid w:val="001158C2"/>
    <w:rsid w:val="001175B4"/>
    <w:rsid w:val="0012142B"/>
    <w:rsid w:val="001227B0"/>
    <w:rsid w:val="00123376"/>
    <w:rsid w:val="00130CE3"/>
    <w:rsid w:val="001336C6"/>
    <w:rsid w:val="00137BE7"/>
    <w:rsid w:val="001424D0"/>
    <w:rsid w:val="00142C45"/>
    <w:rsid w:val="00145424"/>
    <w:rsid w:val="00145D5F"/>
    <w:rsid w:val="001705DC"/>
    <w:rsid w:val="001740AC"/>
    <w:rsid w:val="00181075"/>
    <w:rsid w:val="0018777F"/>
    <w:rsid w:val="001925EF"/>
    <w:rsid w:val="001A3A19"/>
    <w:rsid w:val="001A7FBC"/>
    <w:rsid w:val="001B546D"/>
    <w:rsid w:val="001E1749"/>
    <w:rsid w:val="001F5811"/>
    <w:rsid w:val="00201E1B"/>
    <w:rsid w:val="00206DC0"/>
    <w:rsid w:val="00220F6E"/>
    <w:rsid w:val="002222BC"/>
    <w:rsid w:val="002233D8"/>
    <w:rsid w:val="00240554"/>
    <w:rsid w:val="00242284"/>
    <w:rsid w:val="00246193"/>
    <w:rsid w:val="00251EEF"/>
    <w:rsid w:val="002542A3"/>
    <w:rsid w:val="00254ED0"/>
    <w:rsid w:val="00255D89"/>
    <w:rsid w:val="0026708A"/>
    <w:rsid w:val="00271166"/>
    <w:rsid w:val="00272F4E"/>
    <w:rsid w:val="00277BBB"/>
    <w:rsid w:val="00281EAA"/>
    <w:rsid w:val="00285375"/>
    <w:rsid w:val="0028738D"/>
    <w:rsid w:val="00296F98"/>
    <w:rsid w:val="002A1A6C"/>
    <w:rsid w:val="002A35E8"/>
    <w:rsid w:val="002A38BC"/>
    <w:rsid w:val="002B1E47"/>
    <w:rsid w:val="002B34DC"/>
    <w:rsid w:val="002C1F8F"/>
    <w:rsid w:val="002C3EA2"/>
    <w:rsid w:val="003005BD"/>
    <w:rsid w:val="003030F4"/>
    <w:rsid w:val="003046F0"/>
    <w:rsid w:val="00306307"/>
    <w:rsid w:val="00307CE5"/>
    <w:rsid w:val="0031520E"/>
    <w:rsid w:val="003156B0"/>
    <w:rsid w:val="00324371"/>
    <w:rsid w:val="00334085"/>
    <w:rsid w:val="00343CC9"/>
    <w:rsid w:val="00351AC8"/>
    <w:rsid w:val="00356A45"/>
    <w:rsid w:val="003579BD"/>
    <w:rsid w:val="00363CA9"/>
    <w:rsid w:val="00367836"/>
    <w:rsid w:val="00370161"/>
    <w:rsid w:val="0037123E"/>
    <w:rsid w:val="003717C9"/>
    <w:rsid w:val="003731B9"/>
    <w:rsid w:val="00373F1D"/>
    <w:rsid w:val="0037452C"/>
    <w:rsid w:val="003754B1"/>
    <w:rsid w:val="00377C88"/>
    <w:rsid w:val="00377F02"/>
    <w:rsid w:val="0038143C"/>
    <w:rsid w:val="003A0523"/>
    <w:rsid w:val="003A128B"/>
    <w:rsid w:val="003A21EA"/>
    <w:rsid w:val="003A779C"/>
    <w:rsid w:val="003B145F"/>
    <w:rsid w:val="003B7FA2"/>
    <w:rsid w:val="003D0AEB"/>
    <w:rsid w:val="003E6828"/>
    <w:rsid w:val="003F0969"/>
    <w:rsid w:val="003F471C"/>
    <w:rsid w:val="004004E0"/>
    <w:rsid w:val="004014CB"/>
    <w:rsid w:val="0041467A"/>
    <w:rsid w:val="00423830"/>
    <w:rsid w:val="00433D3E"/>
    <w:rsid w:val="004378E8"/>
    <w:rsid w:val="00440BC8"/>
    <w:rsid w:val="00443649"/>
    <w:rsid w:val="0044399D"/>
    <w:rsid w:val="004440A2"/>
    <w:rsid w:val="00446F05"/>
    <w:rsid w:val="004518F6"/>
    <w:rsid w:val="004535A4"/>
    <w:rsid w:val="00463129"/>
    <w:rsid w:val="00477783"/>
    <w:rsid w:val="004845E0"/>
    <w:rsid w:val="0048760A"/>
    <w:rsid w:val="00492913"/>
    <w:rsid w:val="00494E03"/>
    <w:rsid w:val="004A6CC1"/>
    <w:rsid w:val="004B28B7"/>
    <w:rsid w:val="004B368D"/>
    <w:rsid w:val="004B57F3"/>
    <w:rsid w:val="004D17ED"/>
    <w:rsid w:val="004E420D"/>
    <w:rsid w:val="005132E5"/>
    <w:rsid w:val="005243E3"/>
    <w:rsid w:val="00525F48"/>
    <w:rsid w:val="00525FFB"/>
    <w:rsid w:val="00527FCE"/>
    <w:rsid w:val="005363DD"/>
    <w:rsid w:val="00545BA3"/>
    <w:rsid w:val="00546D2C"/>
    <w:rsid w:val="00554E9C"/>
    <w:rsid w:val="00555074"/>
    <w:rsid w:val="005559D9"/>
    <w:rsid w:val="00560222"/>
    <w:rsid w:val="00563001"/>
    <w:rsid w:val="0056434C"/>
    <w:rsid w:val="00577711"/>
    <w:rsid w:val="00582EA7"/>
    <w:rsid w:val="0058606E"/>
    <w:rsid w:val="00587DF4"/>
    <w:rsid w:val="00590D07"/>
    <w:rsid w:val="005950A6"/>
    <w:rsid w:val="005958F2"/>
    <w:rsid w:val="00597F47"/>
    <w:rsid w:val="005B2223"/>
    <w:rsid w:val="005B6C81"/>
    <w:rsid w:val="005D3D35"/>
    <w:rsid w:val="005E2D49"/>
    <w:rsid w:val="005E44CE"/>
    <w:rsid w:val="005F139D"/>
    <w:rsid w:val="006128AE"/>
    <w:rsid w:val="006140C0"/>
    <w:rsid w:val="00620375"/>
    <w:rsid w:val="00622810"/>
    <w:rsid w:val="0062291E"/>
    <w:rsid w:val="006306C9"/>
    <w:rsid w:val="0063296E"/>
    <w:rsid w:val="006339A0"/>
    <w:rsid w:val="00634A2D"/>
    <w:rsid w:val="00640014"/>
    <w:rsid w:val="00644953"/>
    <w:rsid w:val="00660619"/>
    <w:rsid w:val="00660E5F"/>
    <w:rsid w:val="00672B8B"/>
    <w:rsid w:val="00673303"/>
    <w:rsid w:val="006744E6"/>
    <w:rsid w:val="00676929"/>
    <w:rsid w:val="00680D2D"/>
    <w:rsid w:val="006819B0"/>
    <w:rsid w:val="00686753"/>
    <w:rsid w:val="006A2250"/>
    <w:rsid w:val="006C1FB8"/>
    <w:rsid w:val="006C407C"/>
    <w:rsid w:val="006C583E"/>
    <w:rsid w:val="006D1FA2"/>
    <w:rsid w:val="006D2458"/>
    <w:rsid w:val="006F544C"/>
    <w:rsid w:val="00737F49"/>
    <w:rsid w:val="00740786"/>
    <w:rsid w:val="0074188F"/>
    <w:rsid w:val="00760E80"/>
    <w:rsid w:val="00761961"/>
    <w:rsid w:val="00766D1F"/>
    <w:rsid w:val="00771B0E"/>
    <w:rsid w:val="00782BB8"/>
    <w:rsid w:val="00783974"/>
    <w:rsid w:val="00783D9C"/>
    <w:rsid w:val="00790152"/>
    <w:rsid w:val="00790BE7"/>
    <w:rsid w:val="007A21D3"/>
    <w:rsid w:val="007B45B9"/>
    <w:rsid w:val="007C32E2"/>
    <w:rsid w:val="007C3953"/>
    <w:rsid w:val="007D28E6"/>
    <w:rsid w:val="007D54FF"/>
    <w:rsid w:val="007E44CF"/>
    <w:rsid w:val="007E53A8"/>
    <w:rsid w:val="007E5F4D"/>
    <w:rsid w:val="007F366E"/>
    <w:rsid w:val="007F4CBC"/>
    <w:rsid w:val="00801FF3"/>
    <w:rsid w:val="0080616C"/>
    <w:rsid w:val="008067DF"/>
    <w:rsid w:val="0080749B"/>
    <w:rsid w:val="0081034D"/>
    <w:rsid w:val="00813CF6"/>
    <w:rsid w:val="008140E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5992"/>
    <w:rsid w:val="008C6C9F"/>
    <w:rsid w:val="008C7877"/>
    <w:rsid w:val="008D2C1F"/>
    <w:rsid w:val="008E18DB"/>
    <w:rsid w:val="008E21FE"/>
    <w:rsid w:val="008F2E4A"/>
    <w:rsid w:val="008F7A81"/>
    <w:rsid w:val="0090028B"/>
    <w:rsid w:val="00902F19"/>
    <w:rsid w:val="009126F6"/>
    <w:rsid w:val="00914BAC"/>
    <w:rsid w:val="00920A63"/>
    <w:rsid w:val="00923D37"/>
    <w:rsid w:val="00925481"/>
    <w:rsid w:val="0092659B"/>
    <w:rsid w:val="009401CC"/>
    <w:rsid w:val="0094065C"/>
    <w:rsid w:val="00942757"/>
    <w:rsid w:val="009439F5"/>
    <w:rsid w:val="00946F08"/>
    <w:rsid w:val="00947E2E"/>
    <w:rsid w:val="0095076C"/>
    <w:rsid w:val="00952AF0"/>
    <w:rsid w:val="009602C6"/>
    <w:rsid w:val="00973036"/>
    <w:rsid w:val="009842E4"/>
    <w:rsid w:val="009874FB"/>
    <w:rsid w:val="00993F56"/>
    <w:rsid w:val="009948F8"/>
    <w:rsid w:val="009A3D52"/>
    <w:rsid w:val="009A7FAF"/>
    <w:rsid w:val="009B5859"/>
    <w:rsid w:val="009C39E2"/>
    <w:rsid w:val="009C5D77"/>
    <w:rsid w:val="009E07A9"/>
    <w:rsid w:val="009F1222"/>
    <w:rsid w:val="009F1BFF"/>
    <w:rsid w:val="009F4949"/>
    <w:rsid w:val="009F4CBC"/>
    <w:rsid w:val="00A0032E"/>
    <w:rsid w:val="00A00DBD"/>
    <w:rsid w:val="00A05C6B"/>
    <w:rsid w:val="00A14C1E"/>
    <w:rsid w:val="00A2337F"/>
    <w:rsid w:val="00A27B28"/>
    <w:rsid w:val="00A31F67"/>
    <w:rsid w:val="00A35D73"/>
    <w:rsid w:val="00A3619A"/>
    <w:rsid w:val="00A401D7"/>
    <w:rsid w:val="00A41A77"/>
    <w:rsid w:val="00A655A6"/>
    <w:rsid w:val="00A7037D"/>
    <w:rsid w:val="00A71902"/>
    <w:rsid w:val="00A821D8"/>
    <w:rsid w:val="00A8585C"/>
    <w:rsid w:val="00A92321"/>
    <w:rsid w:val="00A93162"/>
    <w:rsid w:val="00A969B1"/>
    <w:rsid w:val="00AA7466"/>
    <w:rsid w:val="00AB0789"/>
    <w:rsid w:val="00AB1FC9"/>
    <w:rsid w:val="00AE227E"/>
    <w:rsid w:val="00AE57D5"/>
    <w:rsid w:val="00AE710D"/>
    <w:rsid w:val="00AF78CC"/>
    <w:rsid w:val="00B0778F"/>
    <w:rsid w:val="00B102DF"/>
    <w:rsid w:val="00B21131"/>
    <w:rsid w:val="00B220C1"/>
    <w:rsid w:val="00B242C0"/>
    <w:rsid w:val="00B30B70"/>
    <w:rsid w:val="00B341F9"/>
    <w:rsid w:val="00B52D24"/>
    <w:rsid w:val="00B530A4"/>
    <w:rsid w:val="00B57C49"/>
    <w:rsid w:val="00B61631"/>
    <w:rsid w:val="00B64DFB"/>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3F35"/>
    <w:rsid w:val="00C34608"/>
    <w:rsid w:val="00C37086"/>
    <w:rsid w:val="00C44CE3"/>
    <w:rsid w:val="00C5449C"/>
    <w:rsid w:val="00C60C5C"/>
    <w:rsid w:val="00C63124"/>
    <w:rsid w:val="00C8457A"/>
    <w:rsid w:val="00C86589"/>
    <w:rsid w:val="00C903AA"/>
    <w:rsid w:val="00CA2A9E"/>
    <w:rsid w:val="00CB6E4F"/>
    <w:rsid w:val="00CC140B"/>
    <w:rsid w:val="00CC3C38"/>
    <w:rsid w:val="00CD373C"/>
    <w:rsid w:val="00CD6D75"/>
    <w:rsid w:val="00CE636E"/>
    <w:rsid w:val="00CE689C"/>
    <w:rsid w:val="00CE689F"/>
    <w:rsid w:val="00CF580E"/>
    <w:rsid w:val="00CF7EBD"/>
    <w:rsid w:val="00D0569E"/>
    <w:rsid w:val="00D1061D"/>
    <w:rsid w:val="00D20C0C"/>
    <w:rsid w:val="00D24A2A"/>
    <w:rsid w:val="00D3063B"/>
    <w:rsid w:val="00D307BA"/>
    <w:rsid w:val="00D30984"/>
    <w:rsid w:val="00D36191"/>
    <w:rsid w:val="00D37487"/>
    <w:rsid w:val="00D40578"/>
    <w:rsid w:val="00D518A4"/>
    <w:rsid w:val="00D52304"/>
    <w:rsid w:val="00D532EE"/>
    <w:rsid w:val="00D56D8D"/>
    <w:rsid w:val="00D61B28"/>
    <w:rsid w:val="00D64E5D"/>
    <w:rsid w:val="00D67409"/>
    <w:rsid w:val="00D67D08"/>
    <w:rsid w:val="00D723A2"/>
    <w:rsid w:val="00D738F0"/>
    <w:rsid w:val="00D76A3D"/>
    <w:rsid w:val="00D77A3F"/>
    <w:rsid w:val="00D81249"/>
    <w:rsid w:val="00D84835"/>
    <w:rsid w:val="00D96F46"/>
    <w:rsid w:val="00DA050F"/>
    <w:rsid w:val="00DA12D6"/>
    <w:rsid w:val="00DA1DDB"/>
    <w:rsid w:val="00DA28EE"/>
    <w:rsid w:val="00DA30E7"/>
    <w:rsid w:val="00DA5318"/>
    <w:rsid w:val="00DA56D5"/>
    <w:rsid w:val="00DD2C28"/>
    <w:rsid w:val="00DD748F"/>
    <w:rsid w:val="00DE5ADA"/>
    <w:rsid w:val="00DF0496"/>
    <w:rsid w:val="00DF2727"/>
    <w:rsid w:val="00E062F3"/>
    <w:rsid w:val="00E158A8"/>
    <w:rsid w:val="00E2207D"/>
    <w:rsid w:val="00E2772A"/>
    <w:rsid w:val="00E27894"/>
    <w:rsid w:val="00E27F17"/>
    <w:rsid w:val="00E362D1"/>
    <w:rsid w:val="00E40493"/>
    <w:rsid w:val="00E43A89"/>
    <w:rsid w:val="00E44733"/>
    <w:rsid w:val="00E45340"/>
    <w:rsid w:val="00E5476D"/>
    <w:rsid w:val="00E54AB1"/>
    <w:rsid w:val="00E6374A"/>
    <w:rsid w:val="00E6667B"/>
    <w:rsid w:val="00E81103"/>
    <w:rsid w:val="00E92CBA"/>
    <w:rsid w:val="00E93AE4"/>
    <w:rsid w:val="00E960C8"/>
    <w:rsid w:val="00EA5579"/>
    <w:rsid w:val="00EB1603"/>
    <w:rsid w:val="00EB1B10"/>
    <w:rsid w:val="00EB461E"/>
    <w:rsid w:val="00ED15B8"/>
    <w:rsid w:val="00ED414F"/>
    <w:rsid w:val="00EE1FAA"/>
    <w:rsid w:val="00EE6CE2"/>
    <w:rsid w:val="00EF1CA8"/>
    <w:rsid w:val="00EF20E5"/>
    <w:rsid w:val="00EF3820"/>
    <w:rsid w:val="00F014E3"/>
    <w:rsid w:val="00F02958"/>
    <w:rsid w:val="00F06432"/>
    <w:rsid w:val="00F11884"/>
    <w:rsid w:val="00F27050"/>
    <w:rsid w:val="00F309AE"/>
    <w:rsid w:val="00F41F04"/>
    <w:rsid w:val="00F44338"/>
    <w:rsid w:val="00F45052"/>
    <w:rsid w:val="00F57118"/>
    <w:rsid w:val="00F612A9"/>
    <w:rsid w:val="00F6682D"/>
    <w:rsid w:val="00F72455"/>
    <w:rsid w:val="00F74042"/>
    <w:rsid w:val="00F75AA1"/>
    <w:rsid w:val="00F824C7"/>
    <w:rsid w:val="00F9005E"/>
    <w:rsid w:val="00FA5B0D"/>
    <w:rsid w:val="00FA6AD2"/>
    <w:rsid w:val="00FC0E59"/>
    <w:rsid w:val="00FC3B66"/>
    <w:rsid w:val="00FC4D37"/>
    <w:rsid w:val="00FE363D"/>
    <w:rsid w:val="00FE54F2"/>
    <w:rsid w:val="00FF2719"/>
    <w:rsid w:val="00FF379D"/>
    <w:rsid w:val="715AA5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77DB76D3"/>
  <w15:docId w15:val="{8A54EDF4-5209-4A08-8154-30964DE7A5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0081"/>
    <w:pPr>
      <w:spacing w:before="120" w:after="120" w:line="264" w:lineRule="auto"/>
    </w:pPr>
    <w:rPr>
      <w:rFonts w:ascii="Segoe UI" w:hAnsi="Segoe UI"/>
      <w:sz w:val="22"/>
      <w:szCs w:val="24"/>
      <w:lang w:eastAsia="en-US"/>
    </w:rPr>
  </w:style>
  <w:style w:type="paragraph" w:styleId="Heading1">
    <w:name w:val="heading 1"/>
    <w:basedOn w:val="Normal"/>
    <w:next w:val="Normal"/>
    <w:link w:val="Heading1Char"/>
    <w:uiPriority w:val="9"/>
    <w:qFormat/>
    <w:rsid w:val="009439F5"/>
    <w:pPr>
      <w:numPr>
        <w:numId w:val="11"/>
      </w:numPr>
      <w:spacing w:before="360"/>
      <w:outlineLvl w:val="0"/>
    </w:pPr>
    <w:rPr>
      <w:rFonts w:cs="Arial"/>
      <w:b/>
      <w:bCs/>
      <w:sz w:val="32"/>
      <w:szCs w:val="48"/>
    </w:rPr>
  </w:style>
  <w:style w:type="paragraph" w:styleId="Heading2">
    <w:name w:val="heading 2"/>
    <w:basedOn w:val="Normal"/>
    <w:next w:val="Normal"/>
    <w:link w:val="Heading2Char"/>
    <w:uiPriority w:val="9"/>
    <w:qFormat/>
    <w:rsid w:val="00433D3E"/>
    <w:pPr>
      <w:keepNext/>
      <w:spacing w:before="360"/>
      <w:outlineLvl w:val="1"/>
    </w:pPr>
    <w:rPr>
      <w:rFonts w:cs="Arial"/>
      <w:b/>
      <w:bCs/>
      <w:iCs/>
      <w:sz w:val="24"/>
      <w:szCs w:val="28"/>
    </w:rPr>
  </w:style>
  <w:style w:type="paragraph" w:styleId="Heading3">
    <w:name w:val="heading 3"/>
    <w:basedOn w:val="Normal"/>
    <w:next w:val="Normal"/>
    <w:qFormat/>
    <w:rsid w:val="0090028B"/>
    <w:pPr>
      <w:keepNext/>
      <w:spacing w:before="360"/>
      <w:outlineLvl w:val="2"/>
    </w:pPr>
    <w:rPr>
      <w:rFonts w:cs="Arial"/>
      <w:b/>
      <w:bCs/>
      <w:sz w:val="28"/>
      <w:szCs w:val="26"/>
    </w:rPr>
  </w:style>
  <w:style w:type="paragraph" w:styleId="Heading4">
    <w:name w:val="heading 4"/>
    <w:basedOn w:val="Normal"/>
    <w:next w:val="Normal"/>
    <w:link w:val="Heading4Char"/>
    <w:unhideWhenUsed/>
    <w:qFormat/>
    <w:rsid w:val="00EE6CE2"/>
    <w:pPr>
      <w:keepNext/>
      <w:outlineLvl w:val="3"/>
    </w:pPr>
    <w:rPr>
      <w:rFonts w:eastAsiaTheme="majorEastAsia" w:cstheme="majorBidi"/>
      <w:b/>
      <w:bCs/>
      <w:iCs/>
      <w:sz w:val="24"/>
    </w:rPr>
  </w:style>
  <w:style w:type="paragraph" w:styleId="Heading5">
    <w:name w:val="heading 5"/>
    <w:basedOn w:val="Normal"/>
    <w:next w:val="Normal"/>
    <w:link w:val="Heading5Char"/>
    <w:uiPriority w:val="9"/>
    <w:semiHidden/>
    <w:unhideWhenUsed/>
    <w:qFormat/>
    <w:rsid w:val="00020081"/>
    <w:pPr>
      <w:keepNext/>
      <w:keepLines/>
      <w:spacing w:before="40"/>
      <w:outlineLvl w:val="4"/>
    </w:pPr>
    <w:rPr>
      <w:rFonts w:asciiTheme="majorHAnsi" w:hAnsiTheme="majorHAnsi" w:eastAsiaTheme="majorEastAsia" w:cstheme="majorBidi"/>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uiPriority w:val="99"/>
    <w:qFormat/>
    <w:rsid w:val="0092659B"/>
    <w:pPr>
      <w:tabs>
        <w:tab w:val="right" w:pos="8647"/>
        <w:tab w:val="right" w:pos="9356"/>
      </w:tabs>
    </w:pPr>
    <w:rPr>
      <w:sz w:val="20"/>
    </w:rPr>
  </w:style>
  <w:style w:type="table" w:styleId="TableGrid">
    <w:name w:val="Table Grid"/>
    <w:basedOn w:val="TableNormal"/>
    <w:rsid w:val="0057771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igure" w:customStyle="1">
    <w:name w:val="Figure"/>
    <w:basedOn w:val="Normal"/>
    <w:next w:val="Normal"/>
    <w:rsid w:val="00C63124"/>
    <w:pPr>
      <w:keepNext/>
    </w:pPr>
    <w:rPr>
      <w:b/>
    </w:rPr>
  </w:style>
  <w:style w:type="paragraph" w:styleId="Note" w:customStyle="1">
    <w:name w:val="Note"/>
    <w:basedOn w:val="Normal"/>
    <w:link w:val="NoteChar"/>
    <w:qFormat/>
    <w:rsid w:val="00D76A3D"/>
    <w:pPr>
      <w:pBdr>
        <w:bottom w:val="single" w:color="808080" w:sz="18" w:space="6"/>
      </w:pBdr>
      <w:spacing w:before="60"/>
      <w:ind w:left="284" w:hanging="284"/>
    </w:pPr>
    <w:rPr>
      <w:rFonts w:ascii="Arial" w:hAnsi="Arial"/>
      <w:sz w:val="18"/>
      <w:szCs w:val="22"/>
      <w:lang w:eastAsia="en-GB"/>
    </w:rPr>
  </w:style>
  <w:style w:type="paragraph" w:styleId="Bullet" w:customStyle="1">
    <w:name w:val="Bullet"/>
    <w:basedOn w:val="Normal"/>
    <w:link w:val="BulletChar"/>
    <w:qFormat/>
    <w:rsid w:val="00527FCE"/>
    <w:pPr>
      <w:numPr>
        <w:numId w:val="1"/>
      </w:numPr>
      <w:spacing w:before="90"/>
    </w:pPr>
  </w:style>
  <w:style w:type="character" w:styleId="PageNumber">
    <w:name w:val="page number"/>
    <w:rsid w:val="00525FFB"/>
    <w:rPr>
      <w:rFonts w:ascii="Segoe UI" w:hAnsi="Segoe UI"/>
      <w:b/>
      <w:color w:val="auto"/>
      <w:sz w:val="20"/>
    </w:rPr>
  </w:style>
  <w:style w:type="paragraph" w:styleId="TableText" w:customStyle="1">
    <w:name w:val="TableText"/>
    <w:basedOn w:val="Normal"/>
    <w:rsid w:val="00952AF0"/>
    <w:pPr>
      <w:spacing w:before="80" w:after="80"/>
    </w:pPr>
    <w:rPr>
      <w:sz w:val="18"/>
    </w:rPr>
  </w:style>
  <w:style w:type="paragraph" w:styleId="Source" w:customStyle="1">
    <w:name w:val="Source"/>
    <w:basedOn w:val="Normal"/>
    <w:next w:val="Normal"/>
    <w:rsid w:val="002222BC"/>
    <w:pPr>
      <w:pBdr>
        <w:bottom w:val="single" w:color="808080" w:sz="18" w:space="6"/>
      </w:pBdr>
    </w:pPr>
    <w:rPr>
      <w:rFonts w:ascii="Arial" w:hAnsi="Arial"/>
      <w:sz w:val="18"/>
    </w:rPr>
  </w:style>
  <w:style w:type="paragraph" w:styleId="References" w:customStyle="1">
    <w:name w:val="References"/>
    <w:basedOn w:val="Normal"/>
    <w:rsid w:val="000D0170"/>
    <w:rPr>
      <w:sz w:val="18"/>
    </w:rPr>
  </w:style>
  <w:style w:type="paragraph" w:styleId="Number" w:customStyle="1">
    <w:name w:val="Number"/>
    <w:basedOn w:val="Normal"/>
    <w:qFormat/>
    <w:rsid w:val="00D37487"/>
    <w:pPr>
      <w:numPr>
        <w:ilvl w:val="1"/>
        <w:numId w:val="11"/>
      </w:numPr>
      <w:spacing w:before="240"/>
    </w:pPr>
    <w:rPr>
      <w:b/>
      <w:sz w:val="24"/>
    </w:rPr>
  </w:style>
  <w:style w:type="paragraph" w:styleId="Letter" w:customStyle="1">
    <w:name w:val="Letter"/>
    <w:basedOn w:val="Normal"/>
    <w:qFormat/>
    <w:rsid w:val="00A401D7"/>
    <w:pPr>
      <w:numPr>
        <w:ilvl w:val="2"/>
        <w:numId w:val="11"/>
      </w:numPr>
      <w:spacing w:before="90"/>
    </w:pPr>
  </w:style>
  <w:style w:type="paragraph" w:styleId="BoxHeading" w:customStyle="1">
    <w:name w:val="BoxHeading"/>
    <w:basedOn w:val="Normal"/>
    <w:qFormat/>
    <w:rsid w:val="0092659B"/>
    <w:pPr>
      <w:pBdr>
        <w:top w:val="single" w:color="auto" w:sz="4" w:space="12"/>
        <w:left w:val="single" w:color="auto" w:sz="4" w:space="12"/>
        <w:bottom w:val="single" w:color="auto" w:sz="4" w:space="12"/>
        <w:right w:val="single" w:color="auto" w:sz="4" w:space="12"/>
      </w:pBdr>
      <w:ind w:left="284" w:right="284"/>
    </w:pPr>
    <w:rPr>
      <w:b/>
      <w:sz w:val="28"/>
      <w:szCs w:val="20"/>
      <w:lang w:eastAsia="en-GB"/>
    </w:rPr>
  </w:style>
  <w:style w:type="paragraph" w:styleId="BoxBullet" w:customStyle="1">
    <w:name w:val="BoxBullet"/>
    <w:basedOn w:val="Normal"/>
    <w:qFormat/>
    <w:rsid w:val="0092659B"/>
    <w:pPr>
      <w:numPr>
        <w:numId w:val="2"/>
      </w:numPr>
      <w:pBdr>
        <w:top w:val="single" w:color="auto" w:sz="4" w:space="12"/>
        <w:left w:val="single" w:color="auto" w:sz="4" w:space="12"/>
        <w:bottom w:val="single" w:color="auto" w:sz="4" w:space="12"/>
        <w:right w:val="single" w:color="auto" w:sz="4" w:space="12"/>
      </w:pBdr>
      <w:tabs>
        <w:tab w:val="clear" w:pos="360"/>
        <w:tab w:val="num" w:pos="567"/>
      </w:tabs>
      <w:ind w:left="567" w:right="284" w:hanging="283"/>
    </w:pPr>
    <w:rPr>
      <w:szCs w:val="20"/>
      <w:lang w:eastAsia="en-GB"/>
    </w:rPr>
  </w:style>
  <w:style w:type="character" w:styleId="BulletChar" w:customStyle="1">
    <w:name w:val="Bullet Char"/>
    <w:link w:val="Bullet"/>
    <w:locked/>
    <w:rsid w:val="00527FCE"/>
    <w:rPr>
      <w:rFonts w:ascii="Segoe UI" w:hAnsi="Segoe UI"/>
      <w:sz w:val="22"/>
      <w:szCs w:val="24"/>
      <w:lang w:eastAsia="en-US"/>
    </w:rPr>
  </w:style>
  <w:style w:type="character" w:styleId="Heading4Char" w:customStyle="1">
    <w:name w:val="Heading 4 Char"/>
    <w:basedOn w:val="DefaultParagraphFont"/>
    <w:link w:val="Heading4"/>
    <w:rsid w:val="00EE6CE2"/>
    <w:rPr>
      <w:rFonts w:ascii="Georgia" w:hAnsi="Georgia" w:eastAsiaTheme="majorEastAsia" w:cstheme="majorBidi"/>
      <w:b/>
      <w:bCs/>
      <w:iCs/>
      <w:sz w:val="24"/>
      <w:szCs w:val="24"/>
      <w:lang w:eastAsia="en-US"/>
    </w:rPr>
  </w:style>
  <w:style w:type="character" w:styleId="FootnoteTextChar" w:customStyle="1">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Cs w:val="22"/>
      <w:lang w:eastAsia="en-AU"/>
    </w:rPr>
  </w:style>
  <w:style w:type="paragraph" w:styleId="TOC2">
    <w:name w:val="toc 2"/>
    <w:basedOn w:val="Normal"/>
    <w:next w:val="Normal"/>
    <w:uiPriority w:val="39"/>
    <w:unhideWhenUsed/>
    <w:qFormat/>
    <w:rsid w:val="008911F1"/>
    <w:pPr>
      <w:tabs>
        <w:tab w:val="left" w:pos="1134"/>
        <w:tab w:val="right" w:pos="9356"/>
      </w:tabs>
      <w:ind w:left="1134" w:right="567" w:hanging="567"/>
    </w:pPr>
    <w:rPr>
      <w:szCs w:val="22"/>
      <w:lang w:eastAsia="en-AU"/>
    </w:rPr>
  </w:style>
  <w:style w:type="paragraph" w:styleId="Dash" w:customStyle="1">
    <w:name w:val="Dash"/>
    <w:basedOn w:val="Normal"/>
    <w:link w:val="DashChar"/>
    <w:qFormat/>
    <w:rsid w:val="00EE6CE2"/>
    <w:pPr>
      <w:numPr>
        <w:numId w:val="3"/>
      </w:numPr>
      <w:spacing w:before="60"/>
      <w:ind w:left="568" w:hanging="284"/>
    </w:pPr>
    <w:rPr>
      <w:rFonts w:eastAsia="Calibri" w:cs="Arial Mäori"/>
      <w:szCs w:val="22"/>
      <w:lang w:eastAsia="en-NZ"/>
    </w:rPr>
  </w:style>
  <w:style w:type="character" w:styleId="DashChar" w:customStyle="1">
    <w:name w:val="Dash Char"/>
    <w:link w:val="Dash"/>
    <w:rsid w:val="00EE6CE2"/>
    <w:rPr>
      <w:rFonts w:ascii="Segoe UI" w:hAnsi="Segoe UI" w:eastAsia="Calibri" w:cs="Arial Mäori"/>
      <w:sz w:val="21"/>
      <w:szCs w:val="22"/>
    </w:rPr>
  </w:style>
  <w:style w:type="paragraph" w:styleId="Box" w:customStyle="1">
    <w:name w:val="Box"/>
    <w:basedOn w:val="BoxHeading"/>
    <w:link w:val="BoxChar"/>
    <w:qFormat/>
    <w:rsid w:val="00EB461E"/>
    <w:pPr>
      <w:spacing w:line="276" w:lineRule="auto"/>
    </w:pPr>
    <w:rPr>
      <w:rFonts w:eastAsia="Calibri"/>
      <w:b w:val="0"/>
      <w:sz w:val="22"/>
      <w:szCs w:val="22"/>
      <w:lang w:eastAsia="en-NZ"/>
    </w:rPr>
  </w:style>
  <w:style w:type="character" w:styleId="BoxChar" w:customStyle="1">
    <w:name w:val="Box Char"/>
    <w:link w:val="Box"/>
    <w:rsid w:val="00EB461E"/>
    <w:rPr>
      <w:rFonts w:ascii="Georgia" w:hAnsi="Georgia" w:eastAsia="Calibri"/>
      <w:sz w:val="22"/>
      <w:szCs w:val="22"/>
    </w:rPr>
  </w:style>
  <w:style w:type="character" w:styleId="NoteChar" w:customStyle="1">
    <w:name w:val="Note Char"/>
    <w:link w:val="Note"/>
    <w:rsid w:val="00EB461E"/>
    <w:rPr>
      <w:rFonts w:ascii="Arial" w:hAnsi="Arial"/>
      <w:sz w:val="18"/>
      <w:szCs w:val="22"/>
      <w:lang w:eastAsia="en-GB"/>
    </w:rPr>
  </w:style>
  <w:style w:type="paragraph" w:styleId="Table" w:customStyle="1">
    <w:name w:val="Table"/>
    <w:basedOn w:val="Normal"/>
    <w:qFormat/>
    <w:rsid w:val="00E062F3"/>
    <w:pPr>
      <w:keepNext/>
    </w:pPr>
    <w:rPr>
      <w:b/>
    </w:rPr>
  </w:style>
  <w:style w:type="paragraph" w:styleId="TableBullet" w:customStyle="1">
    <w:name w:val="TableBullet"/>
    <w:basedOn w:val="TableText"/>
    <w:qFormat/>
    <w:rsid w:val="00E6374A"/>
    <w:pPr>
      <w:numPr>
        <w:numId w:val="4"/>
      </w:numPr>
      <w:spacing w:before="0"/>
      <w:ind w:left="284" w:hanging="284"/>
    </w:pPr>
    <w:rPr>
      <w:sz w:val="20"/>
      <w:szCs w:val="20"/>
    </w:rPr>
  </w:style>
  <w:style w:type="paragraph" w:styleId="Title">
    <w:name w:val="Title"/>
    <w:basedOn w:val="Normal"/>
    <w:next w:val="Normal"/>
    <w:link w:val="TitleChar"/>
    <w:uiPriority w:val="10"/>
    <w:qFormat/>
    <w:rsid w:val="00D37487"/>
    <w:pPr>
      <w:spacing w:after="80" w:line="240" w:lineRule="auto"/>
    </w:pPr>
    <w:rPr>
      <w:rFonts w:eastAsiaTheme="majorEastAsia" w:cstheme="majorBidi"/>
      <w:b/>
      <w:color w:val="23305D"/>
      <w:sz w:val="44"/>
      <w:szCs w:val="52"/>
    </w:rPr>
  </w:style>
  <w:style w:type="character" w:styleId="TitleChar" w:customStyle="1">
    <w:name w:val="Title Char"/>
    <w:basedOn w:val="DefaultParagraphFont"/>
    <w:link w:val="Title"/>
    <w:uiPriority w:val="10"/>
    <w:rsid w:val="00D37487"/>
    <w:rPr>
      <w:rFonts w:ascii="Segoe UI" w:hAnsi="Segoe UI" w:eastAsiaTheme="majorEastAsia" w:cstheme="majorBidi"/>
      <w:b/>
      <w:color w:val="23305D"/>
      <w:sz w:val="44"/>
      <w:szCs w:val="52"/>
      <w:lang w:eastAsia="en-US"/>
    </w:rPr>
  </w:style>
  <w:style w:type="paragraph" w:styleId="RectoFooter" w:customStyle="1">
    <w:name w:val="Recto Footer"/>
    <w:basedOn w:val="Footer"/>
    <w:rsid w:val="00525FFB"/>
    <w:pPr>
      <w:tabs>
        <w:tab w:val="clear" w:pos="8647"/>
        <w:tab w:val="clear" w:pos="9356"/>
      </w:tabs>
      <w:spacing w:line="240" w:lineRule="auto"/>
      <w:jc w:val="right"/>
    </w:pPr>
    <w:rPr>
      <w:caps/>
      <w:sz w:val="15"/>
      <w:szCs w:val="20"/>
      <w:lang w:eastAsia="en-GB"/>
    </w:rPr>
  </w:style>
  <w:style w:type="character" w:styleId="Heading2Char" w:customStyle="1">
    <w:name w:val="Heading 2 Char"/>
    <w:basedOn w:val="DefaultParagraphFont"/>
    <w:link w:val="Heading2"/>
    <w:uiPriority w:val="9"/>
    <w:rsid w:val="00433D3E"/>
    <w:rPr>
      <w:rFonts w:ascii="Segoe UI" w:hAnsi="Segoe UI" w:cs="Arial"/>
      <w:b/>
      <w:bCs/>
      <w:iCs/>
      <w:sz w:val="24"/>
      <w:szCs w:val="28"/>
      <w:lang w:eastAsia="en-US"/>
    </w:rPr>
  </w:style>
  <w:style w:type="character" w:styleId="FooterChar" w:customStyle="1">
    <w:name w:val="Footer Char"/>
    <w:basedOn w:val="DefaultParagraphFont"/>
    <w:link w:val="Footer"/>
    <w:uiPriority w:val="99"/>
    <w:rsid w:val="00242284"/>
    <w:rPr>
      <w:rFonts w:ascii="Segoe UI" w:hAnsi="Segoe UI"/>
      <w:szCs w:val="24"/>
      <w:lang w:eastAsia="en-US"/>
    </w:rPr>
  </w:style>
  <w:style w:type="character" w:styleId="HeaderChar" w:customStyle="1">
    <w:name w:val="Header Char"/>
    <w:basedOn w:val="DefaultParagraphFont"/>
    <w:link w:val="Header"/>
    <w:uiPriority w:val="99"/>
    <w:rsid w:val="00242284"/>
    <w:rPr>
      <w:rFonts w:ascii="Segoe UI" w:hAnsi="Segoe UI"/>
      <w:sz w:val="21"/>
      <w:szCs w:val="24"/>
      <w:lang w:eastAsia="en-US"/>
    </w:rPr>
  </w:style>
  <w:style w:type="character" w:styleId="Heading1Char" w:customStyle="1">
    <w:name w:val="Heading 1 Char"/>
    <w:basedOn w:val="DefaultParagraphFont"/>
    <w:link w:val="Heading1"/>
    <w:uiPriority w:val="9"/>
    <w:rsid w:val="009439F5"/>
    <w:rPr>
      <w:rFonts w:ascii="Segoe UI" w:hAnsi="Segoe UI" w:cs="Arial"/>
      <w:b/>
      <w:bCs/>
      <w:sz w:val="32"/>
      <w:szCs w:val="48"/>
      <w:lang w:eastAsia="en-US"/>
    </w:rPr>
  </w:style>
  <w:style w:type="paragraph" w:styleId="Revision">
    <w:name w:val="Revision"/>
    <w:hidden/>
    <w:uiPriority w:val="99"/>
    <w:semiHidden/>
    <w:rsid w:val="00242284"/>
    <w:rPr>
      <w:rFonts w:ascii="Calibri" w:hAnsi="Calibri" w:eastAsia="Calibri"/>
      <w:sz w:val="22"/>
      <w:szCs w:val="22"/>
      <w:lang w:eastAsia="en-US"/>
    </w:rPr>
  </w:style>
  <w:style w:type="paragraph" w:styleId="BulletText1" w:customStyle="1">
    <w:name w:val="Bullet Text 1"/>
    <w:basedOn w:val="Normal"/>
    <w:qFormat/>
    <w:rsid w:val="00FC0E59"/>
    <w:pPr>
      <w:numPr>
        <w:numId w:val="6"/>
      </w:numPr>
      <w:spacing w:line="240" w:lineRule="auto"/>
    </w:pPr>
    <w:rPr>
      <w:rFonts w:ascii="Times New Roman" w:hAnsi="Times New Roman"/>
      <w:color w:val="000000"/>
      <w:sz w:val="24"/>
      <w:szCs w:val="20"/>
      <w:lang w:val="en-US"/>
    </w:rPr>
  </w:style>
  <w:style w:type="paragraph" w:styleId="EmbeddedText" w:customStyle="1">
    <w:name w:val="Embedded Text"/>
    <w:basedOn w:val="Normal"/>
    <w:rsid w:val="00FC0E59"/>
    <w:pPr>
      <w:spacing w:line="240" w:lineRule="auto"/>
    </w:pPr>
    <w:rPr>
      <w:rFonts w:ascii="Times New Roman" w:hAnsi="Times New Roman"/>
      <w:color w:val="000000"/>
      <w:sz w:val="24"/>
      <w:szCs w:val="20"/>
      <w:lang w:val="en-US"/>
    </w:rPr>
  </w:style>
  <w:style w:type="paragraph" w:styleId="TableHeaderText" w:customStyle="1">
    <w:name w:val="Table Header Text"/>
    <w:basedOn w:val="Normal"/>
    <w:rsid w:val="00FC0E59"/>
    <w:pPr>
      <w:spacing w:line="240" w:lineRule="auto"/>
      <w:jc w:val="center"/>
    </w:pPr>
    <w:rPr>
      <w:rFonts w:ascii="Times New Roman" w:hAnsi="Times New Roman"/>
      <w:b/>
      <w:color w:val="000000"/>
      <w:sz w:val="24"/>
      <w:szCs w:val="20"/>
      <w:lang w:val="en-US"/>
    </w:rPr>
  </w:style>
  <w:style w:type="paragraph" w:styleId="TableText0" w:customStyle="1">
    <w:name w:val="Table Text"/>
    <w:basedOn w:val="Normal"/>
    <w:qFormat/>
    <w:rsid w:val="00E6374A"/>
    <w:pPr>
      <w:spacing w:line="240" w:lineRule="auto"/>
    </w:pPr>
    <w:rPr>
      <w:rFonts w:ascii="Times New Roman" w:hAnsi="Times New Roman"/>
      <w:color w:val="000000"/>
      <w:sz w:val="24"/>
      <w:szCs w:val="20"/>
      <w:lang w:val="en-US"/>
    </w:rPr>
  </w:style>
  <w:style w:type="character" w:styleId="UnresolvedMention">
    <w:name w:val="Unresolved Mention"/>
    <w:basedOn w:val="DefaultParagraphFont"/>
    <w:uiPriority w:val="99"/>
    <w:semiHidden/>
    <w:unhideWhenUsed/>
    <w:rsid w:val="00E6374A"/>
    <w:rPr>
      <w:color w:val="605E5C"/>
      <w:shd w:val="clear" w:color="auto" w:fill="E1DFDD"/>
    </w:rPr>
  </w:style>
  <w:style w:type="character" w:styleId="Heading5Char" w:customStyle="1">
    <w:name w:val="Heading 5 Char"/>
    <w:basedOn w:val="DefaultParagraphFont"/>
    <w:link w:val="Heading5"/>
    <w:uiPriority w:val="9"/>
    <w:semiHidden/>
    <w:rsid w:val="00020081"/>
    <w:rPr>
      <w:rFonts w:asciiTheme="majorHAnsi" w:hAnsiTheme="majorHAnsi" w:eastAsiaTheme="majorEastAsia" w:cstheme="majorBidi"/>
      <w:color w:val="365F91" w:themeColor="accent1" w:themeShade="BF"/>
      <w:sz w:val="21"/>
      <w:szCs w:val="24"/>
      <w:lang w:eastAsia="en-US"/>
    </w:rPr>
  </w:style>
  <w:style w:type="paragraph" w:styleId="ListParagraph">
    <w:name w:val="List Paragraph"/>
    <w:basedOn w:val="Normal"/>
    <w:link w:val="ListParagraphChar"/>
    <w:uiPriority w:val="34"/>
    <w:qFormat/>
    <w:rsid w:val="00020081"/>
    <w:pPr>
      <w:ind w:left="720"/>
      <w:contextualSpacing/>
    </w:pPr>
  </w:style>
  <w:style w:type="paragraph" w:styleId="Numberedpar" w:customStyle="1">
    <w:name w:val="Numbered par"/>
    <w:basedOn w:val="ListParagraph"/>
    <w:link w:val="NumberedparChar"/>
    <w:qFormat/>
    <w:rsid w:val="00020081"/>
    <w:pPr>
      <w:numPr>
        <w:numId w:val="13"/>
      </w:numPr>
      <w:ind w:hanging="720"/>
    </w:pPr>
  </w:style>
  <w:style w:type="paragraph" w:styleId="Indentedpar" w:customStyle="1">
    <w:name w:val="Indented par"/>
    <w:basedOn w:val="Normal"/>
    <w:link w:val="IndentedparChar"/>
    <w:qFormat/>
    <w:rsid w:val="00020081"/>
    <w:pPr>
      <w:ind w:left="720" w:hanging="11"/>
    </w:pPr>
  </w:style>
  <w:style w:type="character" w:styleId="ListParagraphChar" w:customStyle="1">
    <w:name w:val="List Paragraph Char"/>
    <w:basedOn w:val="DefaultParagraphFont"/>
    <w:link w:val="ListParagraph"/>
    <w:uiPriority w:val="34"/>
    <w:rsid w:val="00020081"/>
    <w:rPr>
      <w:rFonts w:ascii="Segoe UI" w:hAnsi="Segoe UI"/>
      <w:sz w:val="22"/>
      <w:szCs w:val="24"/>
      <w:lang w:eastAsia="en-US"/>
    </w:rPr>
  </w:style>
  <w:style w:type="character" w:styleId="NumberedparChar" w:customStyle="1">
    <w:name w:val="Numbered par Char"/>
    <w:basedOn w:val="ListParagraphChar"/>
    <w:link w:val="Numberedpar"/>
    <w:rsid w:val="00020081"/>
    <w:rPr>
      <w:rFonts w:ascii="Segoe UI" w:hAnsi="Segoe UI"/>
      <w:sz w:val="22"/>
      <w:szCs w:val="24"/>
      <w:lang w:eastAsia="en-US"/>
    </w:rPr>
  </w:style>
  <w:style w:type="paragraph" w:styleId="NumberedHeadingBold" w:customStyle="1">
    <w:name w:val="Numbered Heading Bold"/>
    <w:basedOn w:val="Numberedpar"/>
    <w:link w:val="NumberedHeadingBoldChar"/>
    <w:qFormat/>
    <w:rsid w:val="00527FCE"/>
    <w:pPr>
      <w:spacing w:before="360" w:after="240"/>
      <w:contextualSpacing w:val="0"/>
    </w:pPr>
    <w:rPr>
      <w:b/>
      <w:sz w:val="36"/>
      <w:szCs w:val="36"/>
    </w:rPr>
  </w:style>
  <w:style w:type="character" w:styleId="IndentedparChar" w:customStyle="1">
    <w:name w:val="Indented par Char"/>
    <w:basedOn w:val="DefaultParagraphFont"/>
    <w:link w:val="Indentedpar"/>
    <w:rsid w:val="00020081"/>
    <w:rPr>
      <w:rFonts w:ascii="Segoe UI" w:hAnsi="Segoe UI"/>
      <w:sz w:val="22"/>
      <w:szCs w:val="24"/>
      <w:lang w:eastAsia="en-US"/>
    </w:rPr>
  </w:style>
  <w:style w:type="character" w:styleId="NumberedHeadingBoldChar" w:customStyle="1">
    <w:name w:val="Numbered Heading Bold Char"/>
    <w:basedOn w:val="NumberedparChar"/>
    <w:link w:val="NumberedHeadingBold"/>
    <w:rsid w:val="00527FCE"/>
    <w:rPr>
      <w:rFonts w:ascii="Segoe UI" w:hAnsi="Segoe UI"/>
      <w:b/>
      <w:sz w:val="36"/>
      <w:szCs w:val="36"/>
      <w:lang w:eastAsia="en-US"/>
    </w:rPr>
  </w:style>
  <w:style w:type="paragraph" w:styleId="Letteredlistabcindented" w:customStyle="1">
    <w:name w:val="Lettered list abc indented"/>
    <w:basedOn w:val="Normal"/>
    <w:link w:val="LetteredlistabcindentedChar"/>
    <w:qFormat/>
    <w:rsid w:val="00F72455"/>
    <w:pPr>
      <w:ind w:left="993" w:hanging="567"/>
    </w:pPr>
  </w:style>
  <w:style w:type="paragraph" w:styleId="Numberedlistindentedbrackets" w:customStyle="1">
    <w:name w:val="Numbered list indented brackets"/>
    <w:basedOn w:val="Normal"/>
    <w:link w:val="NumberedlistindentedbracketsChar"/>
    <w:qFormat/>
    <w:rsid w:val="00433D3E"/>
    <w:pPr>
      <w:tabs>
        <w:tab w:val="left" w:pos="426"/>
      </w:tabs>
      <w:ind w:left="426" w:hanging="426"/>
    </w:pPr>
  </w:style>
  <w:style w:type="character" w:styleId="LetteredlistabcindentedChar" w:customStyle="1">
    <w:name w:val="Lettered list abc indented Char"/>
    <w:basedOn w:val="DefaultParagraphFont"/>
    <w:link w:val="Letteredlistabcindented"/>
    <w:rsid w:val="00F72455"/>
    <w:rPr>
      <w:rFonts w:ascii="Segoe UI" w:hAnsi="Segoe UI"/>
      <w:sz w:val="22"/>
      <w:szCs w:val="24"/>
      <w:lang w:eastAsia="en-US"/>
    </w:rPr>
  </w:style>
  <w:style w:type="paragraph" w:styleId="Legislationtitle" w:customStyle="1">
    <w:name w:val="Legislation title"/>
    <w:basedOn w:val="Heading2"/>
    <w:link w:val="LegislationtitleChar"/>
    <w:qFormat/>
    <w:rsid w:val="00F72455"/>
    <w:pPr>
      <w:spacing w:after="240"/>
    </w:pPr>
    <w:rPr>
      <w:sz w:val="28"/>
    </w:rPr>
  </w:style>
  <w:style w:type="character" w:styleId="NumberedlistindentedbracketsChar" w:customStyle="1">
    <w:name w:val="Numbered list indented brackets Char"/>
    <w:basedOn w:val="DefaultParagraphFont"/>
    <w:link w:val="Numberedlistindentedbrackets"/>
    <w:rsid w:val="00433D3E"/>
    <w:rPr>
      <w:rFonts w:ascii="Segoe UI" w:hAnsi="Segoe UI"/>
      <w:sz w:val="22"/>
      <w:szCs w:val="24"/>
      <w:lang w:eastAsia="en-US"/>
    </w:rPr>
  </w:style>
  <w:style w:type="paragraph" w:styleId="BlockText">
    <w:name w:val="Block Text"/>
    <w:basedOn w:val="Normal"/>
    <w:qFormat/>
    <w:rsid w:val="00F72455"/>
    <w:pPr>
      <w:spacing w:before="0" w:after="0" w:line="240" w:lineRule="auto"/>
    </w:pPr>
    <w:rPr>
      <w:rFonts w:ascii="Times New Roman" w:hAnsi="Times New Roman"/>
      <w:color w:val="000000"/>
      <w:sz w:val="24"/>
      <w:lang w:val="en-US"/>
    </w:rPr>
  </w:style>
  <w:style w:type="character" w:styleId="LegislationtitleChar" w:customStyle="1">
    <w:name w:val="Legislation title Char"/>
    <w:basedOn w:val="Heading2Char"/>
    <w:link w:val="Legislationtitle"/>
    <w:rsid w:val="00F72455"/>
    <w:rPr>
      <w:rFonts w:ascii="Segoe UI" w:hAnsi="Segoe UI" w:cs="Arial"/>
      <w:b/>
      <w:bCs/>
      <w:iCs/>
      <w:sz w:val="28"/>
      <w:szCs w:val="28"/>
      <w:lang w:eastAsia="en-US"/>
    </w:rPr>
  </w:style>
  <w:style w:type="character" w:styleId="CommentReference">
    <w:name w:val="annotation reference"/>
    <w:basedOn w:val="DefaultParagraphFont"/>
    <w:uiPriority w:val="99"/>
    <w:semiHidden/>
    <w:unhideWhenUsed/>
    <w:rsid w:val="00D61B28"/>
    <w:rPr>
      <w:sz w:val="16"/>
      <w:szCs w:val="16"/>
    </w:rPr>
  </w:style>
  <w:style w:type="paragraph" w:styleId="CommentText">
    <w:name w:val="annotation text"/>
    <w:basedOn w:val="Normal"/>
    <w:link w:val="CommentTextChar"/>
    <w:uiPriority w:val="99"/>
    <w:unhideWhenUsed/>
    <w:rsid w:val="00D61B28"/>
    <w:pPr>
      <w:spacing w:line="240" w:lineRule="auto"/>
    </w:pPr>
    <w:rPr>
      <w:sz w:val="20"/>
      <w:szCs w:val="20"/>
    </w:rPr>
  </w:style>
  <w:style w:type="character" w:styleId="CommentTextChar" w:customStyle="1">
    <w:name w:val="Comment Text Char"/>
    <w:basedOn w:val="DefaultParagraphFont"/>
    <w:link w:val="CommentText"/>
    <w:uiPriority w:val="99"/>
    <w:rsid w:val="00D61B28"/>
    <w:rPr>
      <w:rFonts w:ascii="Segoe UI" w:hAnsi="Segoe UI"/>
      <w:lang w:eastAsia="en-US"/>
    </w:rPr>
  </w:style>
  <w:style w:type="paragraph" w:styleId="CommentSubject">
    <w:name w:val="annotation subject"/>
    <w:basedOn w:val="CommentText"/>
    <w:next w:val="CommentText"/>
    <w:link w:val="CommentSubjectChar"/>
    <w:uiPriority w:val="99"/>
    <w:semiHidden/>
    <w:unhideWhenUsed/>
    <w:rsid w:val="00D61B28"/>
    <w:rPr>
      <w:b/>
      <w:bCs/>
    </w:rPr>
  </w:style>
  <w:style w:type="character" w:styleId="CommentSubjectChar" w:customStyle="1">
    <w:name w:val="Comment Subject Char"/>
    <w:basedOn w:val="CommentTextChar"/>
    <w:link w:val="CommentSubject"/>
    <w:uiPriority w:val="99"/>
    <w:semiHidden/>
    <w:rsid w:val="00D61B28"/>
    <w:rPr>
      <w:rFonts w:ascii="Segoe UI" w:hAnsi="Segoe U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jpe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drugcheckingadmin@health.govt.nz"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aacd449217514cb2" /><Relationship Type="http://schemas.openxmlformats.org/officeDocument/2006/relationships/header" Target="header2.xml" Id="R2c9697dcb107402c" /><Relationship Type="http://schemas.openxmlformats.org/officeDocument/2006/relationships/header" Target="header3.xml" Id="R0f481fed888e4b32" /></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f71e3ef-acd1-4046-99bb-4b09aadfaf61}"/>
      </w:docPartPr>
      <w:docPartBody>
        <w:p w14:paraId="064C27C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TaxCatchAll xmlns="ddbcb19b-9574-4b2f-8698-1926aad31d8a"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Drug and Substance Checking Services</Activity>
    <AggregationStatus xmlns="4f9c820c-e7e2-444d-97ee-45f2b3485c1d">Normal</AggregationStatus>
    <OverrideLabel xmlns="d0b61010-d6f3-4072-b934-7bbb13e97771" xsi:nil="true"/>
    <_Flow_SignoffStatus xmlns="d25c032a-5541-45df-991a-ebc9dfcd9605" xsi:nil="true"/>
    <CategoryValue xmlns="4f9c820c-e7e2-444d-97ee-45f2b3485c1d">Review of Decisions Policy, SOP &amp; Form</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Drug and Substance Checking Services</Team>
    <Project xmlns="4f9c820c-e7e2-444d-97ee-45f2b3485c1d">NA</Project>
    <HasNHI xmlns="184c05c4-c568-455d-94a4-7e009b164348">false</HasNHI>
    <FunctionGroup xmlns="4f9c820c-e7e2-444d-97ee-45f2b3485c1d">Implement and Enforce Legislation</FunctionGroup>
    <Function xmlns="4f9c820c-e7e2-444d-97ee-45f2b3485c1d">Regulatory Functions</Function>
    <SetLabel xmlns="d0b61010-d6f3-4072-b934-7bbb13e97771">Retain</SetLabel>
    <lcf76f155ced4ddcb4097134ff3c332f xmlns="d25c032a-5541-45df-991a-ebc9dfcd9605">
      <Terms xmlns="http://schemas.microsoft.com/office/infopath/2007/PartnerControls"/>
    </lcf76f155ced4ddcb4097134ff3c332f>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Policies, SOPs and Forms</CategoryName>
    <PRADateTrigger xmlns="4f9c820c-e7e2-444d-97ee-45f2b3485c1d" xsi:nil="true"/>
    <PRAText2 xmlns="4f9c820c-e7e2-444d-97ee-45f2b3485c1d" xsi:nil="true"/>
    <zLegacyID xmlns="184c05c4-c568-455d-94a4-7e009b164348" xsi:nil="true"/>
    <_dlc_DocId xmlns="ddbcb19b-9574-4b2f-8698-1926aad31d8a">MOHECM-563404676-638</_dlc_DocId>
    <_dlc_DocIdUrl xmlns="ddbcb19b-9574-4b2f-8698-1926aad31d8a">
      <Url>https://mohgovtnz.sharepoint.com/sites/moh-ecm-DSCService/_layouts/15/DocIdRedir.aspx?ID=MOHECM-563404676-638</Url>
      <Description>MOHECM-563404676-638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ct:contentTypeSchema xmlns:ct="http://schemas.microsoft.com/office/2006/metadata/contentType" xmlns:ma="http://schemas.microsoft.com/office/2006/metadata/properties/metaAttributes" ct:_="" ma:_="" ma:contentTypeName="eDocument" ma:contentTypeID="0x01010035BDB2E636E52C4A97F6EA784072A674" ma:contentTypeVersion="143" ma:contentTypeDescription="Create a new document." ma:contentTypeScope="" ma:versionID="5599e840d6fee0ca596d047e10e0fd44">
  <xsd:schema xmlns:xsd="http://www.w3.org/2001/XMLSchema" xmlns:xs="http://www.w3.org/2001/XMLSchema" xmlns:p="http://schemas.microsoft.com/office/2006/metadata/properties" xmlns:ns2="ddbcb19b-9574-4b2f-8698-1926aad31d8a" xmlns:ns3="4f9c820c-e7e2-444d-97ee-45f2b3485c1d" xmlns:ns4="15ffb055-6eb4-45a1-bc20-bf2ac0d420da" xmlns:ns5="725c79e5-42ce-4aa0-ac78-b6418001f0d2" xmlns:ns6="c91a514c-9034-4fa3-897a-8352025b26ed" xmlns:ns7="d0b61010-d6f3-4072-b934-7bbb13e97771" xmlns:ns8="184c05c4-c568-455d-94a4-7e009b164348" xmlns:ns9="d25c032a-5541-45df-991a-ebc9dfcd9605" targetNamespace="http://schemas.microsoft.com/office/2006/metadata/properties" ma:root="true" ma:fieldsID="65ae48ae9ae99a1358d8bd64414d8889" ns2:_="" ns3:_="" ns4:_="" ns5:_="" ns6:_="" ns7:_="" ns8:_="" ns9:_="">
    <xsd:import namespace="ddbcb19b-9574-4b2f-8698-1926aad31d8a"/>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d25c032a-5541-45df-991a-ebc9dfcd9605"/>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lcf76f155ced4ddcb4097134ff3c332f" minOccurs="0"/>
                <xsd:element ref="ns2:TaxCatchAll" minOccurs="0"/>
                <xsd:element ref="ns9:MediaServiceOCR" minOccurs="0"/>
                <xsd:element ref="ns9:MediaServiceGenerationTime" minOccurs="0"/>
                <xsd:element ref="ns9:MediaServiceEventHashCode" minOccurs="0"/>
                <xsd:element ref="ns9:MediaServiceDateTaken" minOccurs="0"/>
                <xsd:element ref="ns2:SharedWithUsers" minOccurs="0"/>
                <xsd:element ref="ns2:SharedWithDetails" minOccurs="0"/>
                <xsd:element ref="ns9: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b19b-9574-4b2f-8698-1926aad31d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5" nillable="true" ma:displayName="Taxonomy Catch All Column" ma:hidden="true" ma:list="{96d264d4-7a3f-4bf8-8e0a-1a59b551dc01}" ma:internalName="TaxCatchAll" ma:showField="CatchAllData" ma:web="ddbcb19b-9574-4b2f-8698-1926aad31d8a">
      <xsd:complexType>
        <xsd:complexContent>
          <xsd:extension base="dms:MultiChoiceLookup">
            <xsd:sequence>
              <xsd:element name="Value" type="dms:Lookup" maxOccurs="unbounded" minOccurs="0" nillable="true"/>
            </xsd:sequence>
          </xsd:extension>
        </xsd:complexContent>
      </xsd:complexType>
    </xsd:element>
    <xsd:element name="SharedWithUsers" ma:index="6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Regulatory Functions"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Drug and Substance Checking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Drug and Substance Checking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d25c032a-5541-45df-991a-ebc9dfcd9605"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56" nillable="true" ma:displayName="Extracted Text" ma:internalName="MediaServiceOCR" ma:readOnly="true">
      <xsd:simpleType>
        <xsd:restriction base="dms:Note">
          <xsd:maxLength value="255"/>
        </xsd:restriction>
      </xsd:simpleType>
    </xsd:element>
    <xsd:element name="MediaServiceGenerationTime" ma:index="57" nillable="true" ma:displayName="MediaServiceGenerationTime" ma:hidden="true" ma:internalName="MediaServiceGenerationTime" ma:readOnly="true">
      <xsd:simpleType>
        <xsd:restriction base="dms:Text"/>
      </xsd:simpleType>
    </xsd:element>
    <xsd:element name="MediaServiceEventHashCode" ma:index="58" nillable="true" ma:displayName="MediaServiceEventHashCode" ma:hidden="true" ma:internalName="MediaServiceEventHashCode" ma:readOnly="true">
      <xsd:simpleType>
        <xsd:restriction base="dms:Text"/>
      </xsd:simpleType>
    </xsd:element>
    <xsd:element name="MediaServiceDateTaken" ma:index="59" nillable="true" ma:displayName="MediaServiceDateTaken" ma:hidden="true" ma:indexed="true" ma:internalName="MediaServiceDateTaken" ma:readOnly="true">
      <xsd:simpleType>
        <xsd:restriction base="dms:Text"/>
      </xsd:simpleType>
    </xsd:element>
    <xsd:element name="_Flow_SignoffStatus" ma:index="62"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4CB951-6F69-4E40-AD3A-CFD37072A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D45161-7393-4571-B48A-57B5B4955EEB}">
  <ds:schemaRefs>
    <ds:schemaRef ds:uri="http://schemas.openxmlformats.org/officeDocument/2006/bibliography"/>
  </ds:schemaRefs>
</ds:datastoreItem>
</file>

<file path=customXml/itemProps3.xml><?xml version="1.0" encoding="utf-8"?>
<ds:datastoreItem xmlns:ds="http://schemas.openxmlformats.org/officeDocument/2006/customXml" ds:itemID="{E9FBF9EB-E358-421E-AF13-1477053BA963}"/>
</file>

<file path=customXml/itemProps4.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5.xml><?xml version="1.0" encoding="utf-8"?>
<ds:datastoreItem xmlns:ds="http://schemas.openxmlformats.org/officeDocument/2006/customXml" ds:itemID="{E854CE21-126B-412F-A983-183F978AAA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Factsheet template</ap:Template>
  <ap:Application>Microsoft Word for the web</ap:Application>
  <ap:DocSecurity>0</ap:DocSecurity>
  <ap:ScaleCrop>false</ap:ScaleCrop>
  <ap:Company>Ministry of Health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Drug Checking Review of Licensing Decisions Policy</dc:title>
  <dc:creator>Ministry of Health</dc:creator>
  <lastModifiedBy>Jessica Marett</lastModifiedBy>
  <revision>12</revision>
  <lastPrinted>2014-10-20T03:59:00.0000000Z</lastPrinted>
  <dcterms:created xsi:type="dcterms:W3CDTF">2022-11-21T21:38:00.0000000Z</dcterms:created>
  <dcterms:modified xsi:type="dcterms:W3CDTF">2022-12-01T02:53:48.1156267Z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0x01010035BDB2E636E52C4A97F6EA784072A674</vt:lpwstr>
  </property>
  <property fmtid="{D5CDD505-2E9C-101B-9397-08002B2CF9AE}" pid="3" name="_dlc_DocIdItemGuid">
    <vt:lpwstr>c1e02578-5717-4945-81bc-35f6b0e4161f</vt:lpwstr>
  </property>
  <property fmtid="{D5CDD505-2E9C-101B-9397-08002B2CF9AE}" pid="4" name="MediaServiceImageTags">
    <vt:lpwstr/>
  </property>
</Properties>
</file>