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071BCB1D" w:rsidR="00C86248" w:rsidRPr="00655936" w:rsidRDefault="00993BBE" w:rsidP="00926083">
      <w:pPr>
        <w:pStyle w:val="Title"/>
        <w:rPr>
          <w:sz w:val="60"/>
          <w:szCs w:val="60"/>
        </w:rPr>
      </w:pPr>
      <w:r w:rsidRPr="00993BBE">
        <w:rPr>
          <w:sz w:val="60"/>
          <w:szCs w:val="60"/>
        </w:rPr>
        <w:t>Equity-focused Commissioning in Three Regions –Lakes</w:t>
      </w:r>
      <w:r w:rsidR="00024572">
        <w:rPr>
          <w:sz w:val="60"/>
          <w:szCs w:val="60"/>
        </w:rPr>
        <w:t>,</w:t>
      </w:r>
      <w:r w:rsidRPr="00993BBE">
        <w:rPr>
          <w:sz w:val="60"/>
          <w:szCs w:val="60"/>
        </w:rPr>
        <w:t xml:space="preserve"> Tairāwhiti</w:t>
      </w:r>
      <w:r w:rsidR="00024572">
        <w:rPr>
          <w:sz w:val="60"/>
          <w:szCs w:val="60"/>
        </w:rPr>
        <w:t xml:space="preserve"> and Hawke's Bay</w:t>
      </w:r>
      <w:r w:rsidRPr="00993BBE">
        <w:rPr>
          <w:sz w:val="60"/>
          <w:szCs w:val="60"/>
        </w:rPr>
        <w:t>: Commissioning for Pae Ora | Healthy Futures case study</w:t>
      </w:r>
      <w:r w:rsidR="00655936" w:rsidRPr="00655936">
        <w:rPr>
          <w:sz w:val="60"/>
          <w:szCs w:val="60"/>
        </w:rPr>
        <w:t xml:space="preserve"> </w:t>
      </w:r>
    </w:p>
    <w:p w14:paraId="2A961E80" w14:textId="1A2DAB13" w:rsidR="00531E12" w:rsidRPr="00531E12" w:rsidRDefault="00655936" w:rsidP="00531E12">
      <w:pPr>
        <w:pStyle w:val="Year"/>
      </w:pPr>
      <w:r>
        <w:t>202</w:t>
      </w:r>
      <w:r w:rsidR="000D48EB">
        <w:t>3</w:t>
      </w:r>
    </w:p>
    <w:p w14:paraId="5C1CCC9F" w14:textId="77777777" w:rsidR="00C05132" w:rsidRDefault="00C05132" w:rsidP="00A06BE4"/>
    <w:p w14:paraId="57E2CB79" w14:textId="77777777" w:rsidR="00142954" w:rsidRPr="00142954" w:rsidRDefault="00142954" w:rsidP="00142954">
      <w:pPr>
        <w:sectPr w:rsidR="00142954" w:rsidRPr="00142954" w:rsidSect="005A79E5">
          <w:footerReference w:type="default" r:id="rId11"/>
          <w:pgSz w:w="11907" w:h="16834" w:code="9"/>
          <w:pgMar w:top="5670" w:right="1134" w:bottom="1134" w:left="1134" w:header="567" w:footer="851" w:gutter="0"/>
          <w:pgNumType w:start="1"/>
          <w:cols w:space="720"/>
        </w:sectPr>
      </w:pPr>
    </w:p>
    <w:p w14:paraId="30959465" w14:textId="77777777" w:rsidR="00655936" w:rsidRPr="00A63DFF" w:rsidRDefault="00655936" w:rsidP="00655936">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01AACA48" w14:textId="77777777" w:rsidR="00993BBE" w:rsidRPr="00993BBE" w:rsidRDefault="00993BBE" w:rsidP="00993BBE">
      <w:pPr>
        <w:spacing w:before="120"/>
        <w:rPr>
          <w:rFonts w:cs="Segoe UI"/>
          <w:sz w:val="20"/>
        </w:rPr>
      </w:pPr>
      <w:r w:rsidRPr="00993BBE">
        <w:rPr>
          <w:rFonts w:cs="Segoe UI"/>
          <w:sz w:val="20"/>
        </w:rPr>
        <w:t>This is one of a series of case studies funded by Manatū Hauora – the Ministry of Health looking at commissioning as a tool to improve health equity.</w:t>
      </w:r>
    </w:p>
    <w:p w14:paraId="1AF03883" w14:textId="0DC08126" w:rsidR="00655936" w:rsidRPr="00C05132" w:rsidRDefault="00993BBE" w:rsidP="00993BBE">
      <w:pPr>
        <w:spacing w:before="120"/>
        <w:rPr>
          <w:rFonts w:cs="Segoe UI"/>
          <w:sz w:val="20"/>
        </w:rPr>
      </w:pPr>
      <w:r w:rsidRPr="00993BBE">
        <w:rPr>
          <w:rFonts w:cs="Segoe UI"/>
          <w:sz w:val="20"/>
        </w:rPr>
        <w:t xml:space="preserve">Thanks to Ihi Consulting and Jo </w:t>
      </w:r>
      <w:proofErr w:type="spellStart"/>
      <w:r w:rsidRPr="00993BBE">
        <w:rPr>
          <w:rFonts w:cs="Segoe UI"/>
          <w:sz w:val="20"/>
        </w:rPr>
        <w:t>Maraki</w:t>
      </w:r>
      <w:proofErr w:type="spellEnd"/>
      <w:r w:rsidRPr="00993BBE">
        <w:rPr>
          <w:rFonts w:cs="Segoe UI"/>
          <w:sz w:val="20"/>
        </w:rPr>
        <w:t xml:space="preserve"> for undertaking the interviews and data collection for these case studies.</w:t>
      </w:r>
    </w:p>
    <w:p w14:paraId="0CB4C040" w14:textId="3543A11E" w:rsidR="00655936" w:rsidRPr="00C05132" w:rsidRDefault="00655936" w:rsidP="00655936">
      <w:pPr>
        <w:pStyle w:val="Imprint"/>
        <w:spacing w:before="1200"/>
        <w:rPr>
          <w:rFonts w:cs="Segoe UI"/>
        </w:rPr>
      </w:pPr>
      <w:r w:rsidRPr="00C05132">
        <w:rPr>
          <w:rFonts w:cs="Segoe UI"/>
        </w:rPr>
        <w:t xml:space="preserve">Citation: </w:t>
      </w:r>
      <w:proofErr w:type="spellStart"/>
      <w:r w:rsidR="00993BBE" w:rsidRPr="00993BBE">
        <w:rPr>
          <w:rFonts w:cs="Segoe UI"/>
        </w:rPr>
        <w:t>Ihi</w:t>
      </w:r>
      <w:proofErr w:type="spellEnd"/>
      <w:r w:rsidR="00993BBE" w:rsidRPr="00993BBE">
        <w:rPr>
          <w:rFonts w:cs="Segoe UI"/>
        </w:rPr>
        <w:t xml:space="preserve"> Consulting, </w:t>
      </w:r>
      <w:proofErr w:type="spellStart"/>
      <w:r w:rsidR="00993BBE" w:rsidRPr="00993BBE">
        <w:rPr>
          <w:rFonts w:cs="Segoe UI"/>
        </w:rPr>
        <w:t>Maraki</w:t>
      </w:r>
      <w:proofErr w:type="spellEnd"/>
      <w:r w:rsidR="00993BBE" w:rsidRPr="00993BBE">
        <w:rPr>
          <w:rFonts w:cs="Segoe UI"/>
        </w:rPr>
        <w:t xml:space="preserve"> J; Ministry of Health (ed). 202</w:t>
      </w:r>
      <w:r w:rsidR="000D48EB">
        <w:rPr>
          <w:rFonts w:cs="Segoe UI"/>
        </w:rPr>
        <w:t>3</w:t>
      </w:r>
      <w:r w:rsidR="00993BBE" w:rsidRPr="00993BBE">
        <w:rPr>
          <w:rFonts w:cs="Segoe UI"/>
        </w:rPr>
        <w:t xml:space="preserve">. </w:t>
      </w:r>
      <w:r w:rsidR="00993BBE" w:rsidRPr="00993BBE">
        <w:rPr>
          <w:rFonts w:cs="Segoe UI"/>
          <w:i/>
          <w:iCs/>
        </w:rPr>
        <w:t>Equity-focused Commissioning in Three Regions –Lakes</w:t>
      </w:r>
      <w:r w:rsidR="00813A7D">
        <w:rPr>
          <w:rFonts w:cs="Segoe UI"/>
          <w:i/>
          <w:iCs/>
        </w:rPr>
        <w:t xml:space="preserve">, </w:t>
      </w:r>
      <w:r w:rsidR="00993BBE" w:rsidRPr="00993BBE">
        <w:rPr>
          <w:rFonts w:cs="Segoe UI"/>
          <w:i/>
          <w:iCs/>
        </w:rPr>
        <w:t>Tairāwhiti</w:t>
      </w:r>
      <w:r w:rsidR="00813A7D">
        <w:rPr>
          <w:rFonts w:cs="Segoe UI"/>
          <w:i/>
          <w:iCs/>
        </w:rPr>
        <w:t xml:space="preserve"> and </w:t>
      </w:r>
      <w:r w:rsidR="00813A7D" w:rsidRPr="00993BBE">
        <w:rPr>
          <w:rFonts w:cs="Segoe UI"/>
          <w:i/>
          <w:iCs/>
        </w:rPr>
        <w:t>Hawke’s Bay</w:t>
      </w:r>
      <w:r w:rsidR="00993BBE" w:rsidRPr="00993BBE">
        <w:rPr>
          <w:rFonts w:cs="Segoe UI"/>
          <w:i/>
          <w:iCs/>
        </w:rPr>
        <w:t>: Commissioning for Pae Ora | Healthy Futures case study</w:t>
      </w:r>
      <w:r w:rsidR="00993BBE" w:rsidRPr="00993BBE">
        <w:rPr>
          <w:rFonts w:cs="Segoe UI"/>
        </w:rPr>
        <w:t>.</w:t>
      </w:r>
      <w:r w:rsidR="00993BBE">
        <w:rPr>
          <w:rFonts w:cs="Segoe UI"/>
        </w:rPr>
        <w:t xml:space="preserve"> Wellington:</w:t>
      </w:r>
      <w:r w:rsidRPr="00C05132">
        <w:rPr>
          <w:rFonts w:cs="Segoe UI"/>
        </w:rPr>
        <w:t xml:space="preserve"> Ministry of Health.</w:t>
      </w:r>
    </w:p>
    <w:p w14:paraId="0D4015BE" w14:textId="2BA56D3F" w:rsidR="00655936" w:rsidRPr="000D48EB" w:rsidRDefault="00655936" w:rsidP="00655936">
      <w:pPr>
        <w:pStyle w:val="Imprint"/>
      </w:pPr>
      <w:r w:rsidRPr="000D48EB">
        <w:t xml:space="preserve">Published in </w:t>
      </w:r>
      <w:r w:rsidR="00311440">
        <w:t>January 2023</w:t>
      </w:r>
      <w:r w:rsidRPr="000D48EB">
        <w:t xml:space="preserve"> by the Ministry of Health</w:t>
      </w:r>
      <w:r w:rsidRPr="000D48EB">
        <w:br/>
        <w:t>PO Box 5013, Wellington 6140, New Zealand</w:t>
      </w:r>
    </w:p>
    <w:p w14:paraId="6E8EE03B" w14:textId="69032C7E" w:rsidR="00655936" w:rsidRPr="009C0F2D" w:rsidRDefault="00655936" w:rsidP="00655936">
      <w:pPr>
        <w:pStyle w:val="Imprint"/>
      </w:pPr>
      <w:r w:rsidRPr="000D48EB">
        <w:t xml:space="preserve">HP </w:t>
      </w:r>
      <w:r w:rsidR="00D06D01">
        <w:t>8653</w:t>
      </w:r>
    </w:p>
    <w:p w14:paraId="48DBDA36" w14:textId="77777777" w:rsidR="00C86248" w:rsidRDefault="008C64C4" w:rsidP="00A63DFF">
      <w:r>
        <w:rPr>
          <w:noProof/>
          <w:lang w:eastAsia="en-NZ"/>
        </w:rPr>
        <w:drawing>
          <wp:inline distT="0" distB="0" distL="0" distR="0" wp14:anchorId="6EF4539D" wp14:editId="09BAF45F">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4"/>
          <w:footerReference w:type="default" r:id="rId15"/>
          <w:pgSz w:w="11907" w:h="16834" w:code="9"/>
          <w:pgMar w:top="1701" w:right="2268" w:bottom="1134" w:left="2268" w:header="0" w:footer="0" w:gutter="0"/>
          <w:cols w:space="720"/>
          <w:vAlign w:val="bottom"/>
        </w:sectPr>
      </w:pPr>
    </w:p>
    <w:p w14:paraId="648D4F84" w14:textId="77777777" w:rsidR="00C86248" w:rsidRDefault="00C86248" w:rsidP="00025A6F">
      <w:pPr>
        <w:pStyle w:val="IntroHead"/>
      </w:pPr>
      <w:bookmarkStart w:id="0" w:name="_Toc405792991"/>
      <w:bookmarkStart w:id="1" w:name="_Toc405793224"/>
      <w:r>
        <w:lastRenderedPageBreak/>
        <w:t>Contents</w:t>
      </w:r>
      <w:bookmarkEnd w:id="0"/>
      <w:bookmarkEnd w:id="1"/>
    </w:p>
    <w:p w14:paraId="7D2ADC44" w14:textId="1E3687C4" w:rsidR="00D90361" w:rsidRDefault="00D9036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124845524" w:history="1">
        <w:r w:rsidRPr="00981824">
          <w:rPr>
            <w:rStyle w:val="Hyperlink"/>
            <w:noProof/>
          </w:rPr>
          <w:t>Introduction</w:t>
        </w:r>
        <w:r>
          <w:rPr>
            <w:noProof/>
            <w:webHidden/>
          </w:rPr>
          <w:tab/>
        </w:r>
        <w:r>
          <w:rPr>
            <w:noProof/>
            <w:webHidden/>
          </w:rPr>
          <w:fldChar w:fldCharType="begin"/>
        </w:r>
        <w:r>
          <w:rPr>
            <w:noProof/>
            <w:webHidden/>
          </w:rPr>
          <w:instrText xml:space="preserve"> PAGEREF _Toc124845524 \h </w:instrText>
        </w:r>
        <w:r>
          <w:rPr>
            <w:noProof/>
            <w:webHidden/>
          </w:rPr>
        </w:r>
        <w:r>
          <w:rPr>
            <w:noProof/>
            <w:webHidden/>
          </w:rPr>
          <w:fldChar w:fldCharType="separate"/>
        </w:r>
        <w:r>
          <w:rPr>
            <w:noProof/>
            <w:webHidden/>
          </w:rPr>
          <w:t>1</w:t>
        </w:r>
        <w:r>
          <w:rPr>
            <w:noProof/>
            <w:webHidden/>
          </w:rPr>
          <w:fldChar w:fldCharType="end"/>
        </w:r>
      </w:hyperlink>
    </w:p>
    <w:p w14:paraId="70511842" w14:textId="68A94D4B" w:rsidR="00D90361" w:rsidRDefault="00D90361">
      <w:pPr>
        <w:pStyle w:val="TOC1"/>
        <w:rPr>
          <w:rFonts w:asciiTheme="minorHAnsi" w:eastAsiaTheme="minorEastAsia" w:hAnsiTheme="minorHAnsi" w:cstheme="minorBidi"/>
          <w:noProof/>
          <w:sz w:val="22"/>
          <w:szCs w:val="22"/>
          <w:lang w:eastAsia="en-NZ"/>
        </w:rPr>
      </w:pPr>
      <w:hyperlink w:anchor="_Toc124845525" w:history="1">
        <w:r w:rsidRPr="00981824">
          <w:rPr>
            <w:rStyle w:val="Hyperlink"/>
            <w:noProof/>
          </w:rPr>
          <w:t>Method and contributions</w:t>
        </w:r>
        <w:r>
          <w:rPr>
            <w:noProof/>
            <w:webHidden/>
          </w:rPr>
          <w:tab/>
        </w:r>
        <w:r>
          <w:rPr>
            <w:noProof/>
            <w:webHidden/>
          </w:rPr>
          <w:fldChar w:fldCharType="begin"/>
        </w:r>
        <w:r>
          <w:rPr>
            <w:noProof/>
            <w:webHidden/>
          </w:rPr>
          <w:instrText xml:space="preserve"> PAGEREF _Toc124845525 \h </w:instrText>
        </w:r>
        <w:r>
          <w:rPr>
            <w:noProof/>
            <w:webHidden/>
          </w:rPr>
        </w:r>
        <w:r>
          <w:rPr>
            <w:noProof/>
            <w:webHidden/>
          </w:rPr>
          <w:fldChar w:fldCharType="separate"/>
        </w:r>
        <w:r>
          <w:rPr>
            <w:noProof/>
            <w:webHidden/>
          </w:rPr>
          <w:t>2</w:t>
        </w:r>
        <w:r>
          <w:rPr>
            <w:noProof/>
            <w:webHidden/>
          </w:rPr>
          <w:fldChar w:fldCharType="end"/>
        </w:r>
      </w:hyperlink>
    </w:p>
    <w:p w14:paraId="721C8A0B" w14:textId="5410FAE1" w:rsidR="00D90361" w:rsidRDefault="00D90361">
      <w:pPr>
        <w:pStyle w:val="TOC1"/>
        <w:tabs>
          <w:tab w:val="left" w:pos="1276"/>
        </w:tabs>
        <w:rPr>
          <w:rFonts w:asciiTheme="minorHAnsi" w:eastAsiaTheme="minorEastAsia" w:hAnsiTheme="minorHAnsi" w:cstheme="minorBidi"/>
          <w:noProof/>
          <w:sz w:val="22"/>
          <w:szCs w:val="22"/>
          <w:lang w:eastAsia="en-NZ"/>
        </w:rPr>
      </w:pPr>
      <w:hyperlink w:anchor="_Toc124845526" w:history="1">
        <w:r w:rsidRPr="00981824">
          <w:rPr>
            <w:rStyle w:val="Hyperlink"/>
            <w:noProof/>
          </w:rPr>
          <w:t>1.</w:t>
        </w:r>
        <w:r>
          <w:rPr>
            <w:rFonts w:asciiTheme="minorHAnsi" w:eastAsiaTheme="minorEastAsia" w:hAnsiTheme="minorHAnsi" w:cstheme="minorBidi"/>
            <w:noProof/>
            <w:sz w:val="22"/>
            <w:szCs w:val="22"/>
            <w:lang w:eastAsia="en-NZ"/>
          </w:rPr>
          <w:tab/>
        </w:r>
        <w:r w:rsidRPr="00981824">
          <w:rPr>
            <w:rStyle w:val="Hyperlink"/>
            <w:noProof/>
          </w:rPr>
          <w:t>Lakes region</w:t>
        </w:r>
        <w:r>
          <w:rPr>
            <w:noProof/>
            <w:webHidden/>
          </w:rPr>
          <w:tab/>
        </w:r>
        <w:r>
          <w:rPr>
            <w:noProof/>
            <w:webHidden/>
          </w:rPr>
          <w:fldChar w:fldCharType="begin"/>
        </w:r>
        <w:r>
          <w:rPr>
            <w:noProof/>
            <w:webHidden/>
          </w:rPr>
          <w:instrText xml:space="preserve"> PAGEREF _Toc124845526 \h </w:instrText>
        </w:r>
        <w:r>
          <w:rPr>
            <w:noProof/>
            <w:webHidden/>
          </w:rPr>
        </w:r>
        <w:r>
          <w:rPr>
            <w:noProof/>
            <w:webHidden/>
          </w:rPr>
          <w:fldChar w:fldCharType="separate"/>
        </w:r>
        <w:r>
          <w:rPr>
            <w:noProof/>
            <w:webHidden/>
          </w:rPr>
          <w:t>3</w:t>
        </w:r>
        <w:r>
          <w:rPr>
            <w:noProof/>
            <w:webHidden/>
          </w:rPr>
          <w:fldChar w:fldCharType="end"/>
        </w:r>
      </w:hyperlink>
    </w:p>
    <w:p w14:paraId="4BE8C1C1" w14:textId="71B8EA39" w:rsidR="00D90361" w:rsidRDefault="00D90361">
      <w:pPr>
        <w:pStyle w:val="TOC2"/>
        <w:rPr>
          <w:rFonts w:asciiTheme="minorHAnsi" w:eastAsiaTheme="minorEastAsia" w:hAnsiTheme="minorHAnsi" w:cstheme="minorBidi"/>
          <w:noProof/>
          <w:szCs w:val="22"/>
          <w:lang w:eastAsia="en-NZ"/>
        </w:rPr>
      </w:pPr>
      <w:hyperlink w:anchor="_Toc124845527" w:history="1">
        <w:r w:rsidRPr="00981824">
          <w:rPr>
            <w:rStyle w:val="Hyperlink"/>
            <w:noProof/>
          </w:rPr>
          <w:t>Background</w:t>
        </w:r>
        <w:r>
          <w:rPr>
            <w:noProof/>
            <w:webHidden/>
          </w:rPr>
          <w:tab/>
        </w:r>
        <w:r>
          <w:rPr>
            <w:noProof/>
            <w:webHidden/>
          </w:rPr>
          <w:fldChar w:fldCharType="begin"/>
        </w:r>
        <w:r>
          <w:rPr>
            <w:noProof/>
            <w:webHidden/>
          </w:rPr>
          <w:instrText xml:space="preserve"> PAGEREF _Toc124845527 \h </w:instrText>
        </w:r>
        <w:r>
          <w:rPr>
            <w:noProof/>
            <w:webHidden/>
          </w:rPr>
        </w:r>
        <w:r>
          <w:rPr>
            <w:noProof/>
            <w:webHidden/>
          </w:rPr>
          <w:fldChar w:fldCharType="separate"/>
        </w:r>
        <w:r>
          <w:rPr>
            <w:noProof/>
            <w:webHidden/>
          </w:rPr>
          <w:t>3</w:t>
        </w:r>
        <w:r>
          <w:rPr>
            <w:noProof/>
            <w:webHidden/>
          </w:rPr>
          <w:fldChar w:fldCharType="end"/>
        </w:r>
      </w:hyperlink>
    </w:p>
    <w:p w14:paraId="3B5DE966" w14:textId="5366CD94" w:rsidR="00D90361" w:rsidRDefault="00D90361">
      <w:pPr>
        <w:pStyle w:val="TOC2"/>
        <w:rPr>
          <w:rFonts w:asciiTheme="minorHAnsi" w:eastAsiaTheme="minorEastAsia" w:hAnsiTheme="minorHAnsi" w:cstheme="minorBidi"/>
          <w:noProof/>
          <w:szCs w:val="22"/>
          <w:lang w:eastAsia="en-NZ"/>
        </w:rPr>
      </w:pPr>
      <w:hyperlink w:anchor="_Toc124845528" w:history="1">
        <w:r w:rsidRPr="00981824">
          <w:rPr>
            <w:rStyle w:val="Hyperlink"/>
            <w:noProof/>
          </w:rPr>
          <w:t>Intended benefits and service-level outcomes</w:t>
        </w:r>
        <w:r>
          <w:rPr>
            <w:noProof/>
            <w:webHidden/>
          </w:rPr>
          <w:tab/>
        </w:r>
        <w:r>
          <w:rPr>
            <w:noProof/>
            <w:webHidden/>
          </w:rPr>
          <w:fldChar w:fldCharType="begin"/>
        </w:r>
        <w:r>
          <w:rPr>
            <w:noProof/>
            <w:webHidden/>
          </w:rPr>
          <w:instrText xml:space="preserve"> PAGEREF _Toc124845528 \h </w:instrText>
        </w:r>
        <w:r>
          <w:rPr>
            <w:noProof/>
            <w:webHidden/>
          </w:rPr>
        </w:r>
        <w:r>
          <w:rPr>
            <w:noProof/>
            <w:webHidden/>
          </w:rPr>
          <w:fldChar w:fldCharType="separate"/>
        </w:r>
        <w:r>
          <w:rPr>
            <w:noProof/>
            <w:webHidden/>
          </w:rPr>
          <w:t>6</w:t>
        </w:r>
        <w:r>
          <w:rPr>
            <w:noProof/>
            <w:webHidden/>
          </w:rPr>
          <w:fldChar w:fldCharType="end"/>
        </w:r>
      </w:hyperlink>
    </w:p>
    <w:p w14:paraId="1CCFB131" w14:textId="2A0517F4" w:rsidR="00D90361" w:rsidRDefault="00D90361">
      <w:pPr>
        <w:pStyle w:val="TOC1"/>
        <w:tabs>
          <w:tab w:val="left" w:pos="1276"/>
        </w:tabs>
        <w:rPr>
          <w:rFonts w:asciiTheme="minorHAnsi" w:eastAsiaTheme="minorEastAsia" w:hAnsiTheme="minorHAnsi" w:cstheme="minorBidi"/>
          <w:noProof/>
          <w:sz w:val="22"/>
          <w:szCs w:val="22"/>
          <w:lang w:eastAsia="en-NZ"/>
        </w:rPr>
      </w:pPr>
      <w:hyperlink w:anchor="_Toc124845529" w:history="1">
        <w:r w:rsidRPr="00981824">
          <w:rPr>
            <w:rStyle w:val="Hyperlink"/>
            <w:noProof/>
          </w:rPr>
          <w:t>2.</w:t>
        </w:r>
        <w:r>
          <w:rPr>
            <w:rFonts w:asciiTheme="minorHAnsi" w:eastAsiaTheme="minorEastAsia" w:hAnsiTheme="minorHAnsi" w:cstheme="minorBidi"/>
            <w:noProof/>
            <w:sz w:val="22"/>
            <w:szCs w:val="22"/>
            <w:lang w:eastAsia="en-NZ"/>
          </w:rPr>
          <w:tab/>
        </w:r>
        <w:r w:rsidRPr="00981824">
          <w:rPr>
            <w:rStyle w:val="Hyperlink"/>
            <w:noProof/>
          </w:rPr>
          <w:t>Tairāwhiti region</w:t>
        </w:r>
        <w:r>
          <w:rPr>
            <w:noProof/>
            <w:webHidden/>
          </w:rPr>
          <w:tab/>
        </w:r>
        <w:r>
          <w:rPr>
            <w:noProof/>
            <w:webHidden/>
          </w:rPr>
          <w:fldChar w:fldCharType="begin"/>
        </w:r>
        <w:r>
          <w:rPr>
            <w:noProof/>
            <w:webHidden/>
          </w:rPr>
          <w:instrText xml:space="preserve"> PAGEREF _Toc124845529 \h </w:instrText>
        </w:r>
        <w:r>
          <w:rPr>
            <w:noProof/>
            <w:webHidden/>
          </w:rPr>
        </w:r>
        <w:r>
          <w:rPr>
            <w:noProof/>
            <w:webHidden/>
          </w:rPr>
          <w:fldChar w:fldCharType="separate"/>
        </w:r>
        <w:r>
          <w:rPr>
            <w:noProof/>
            <w:webHidden/>
          </w:rPr>
          <w:t>8</w:t>
        </w:r>
        <w:r>
          <w:rPr>
            <w:noProof/>
            <w:webHidden/>
          </w:rPr>
          <w:fldChar w:fldCharType="end"/>
        </w:r>
      </w:hyperlink>
    </w:p>
    <w:p w14:paraId="66CD750C" w14:textId="0857A1ED" w:rsidR="00D90361" w:rsidRDefault="00D90361">
      <w:pPr>
        <w:pStyle w:val="TOC2"/>
        <w:rPr>
          <w:rFonts w:asciiTheme="minorHAnsi" w:eastAsiaTheme="minorEastAsia" w:hAnsiTheme="minorHAnsi" w:cstheme="minorBidi"/>
          <w:noProof/>
          <w:szCs w:val="22"/>
          <w:lang w:eastAsia="en-NZ"/>
        </w:rPr>
      </w:pPr>
      <w:hyperlink w:anchor="_Toc124845530" w:history="1">
        <w:r w:rsidRPr="00981824">
          <w:rPr>
            <w:rStyle w:val="Hyperlink"/>
            <w:noProof/>
          </w:rPr>
          <w:t>Background</w:t>
        </w:r>
        <w:r>
          <w:rPr>
            <w:noProof/>
            <w:webHidden/>
          </w:rPr>
          <w:tab/>
        </w:r>
        <w:r>
          <w:rPr>
            <w:noProof/>
            <w:webHidden/>
          </w:rPr>
          <w:fldChar w:fldCharType="begin"/>
        </w:r>
        <w:r>
          <w:rPr>
            <w:noProof/>
            <w:webHidden/>
          </w:rPr>
          <w:instrText xml:space="preserve"> PAGEREF _Toc124845530 \h </w:instrText>
        </w:r>
        <w:r>
          <w:rPr>
            <w:noProof/>
            <w:webHidden/>
          </w:rPr>
        </w:r>
        <w:r>
          <w:rPr>
            <w:noProof/>
            <w:webHidden/>
          </w:rPr>
          <w:fldChar w:fldCharType="separate"/>
        </w:r>
        <w:r>
          <w:rPr>
            <w:noProof/>
            <w:webHidden/>
          </w:rPr>
          <w:t>8</w:t>
        </w:r>
        <w:r>
          <w:rPr>
            <w:noProof/>
            <w:webHidden/>
          </w:rPr>
          <w:fldChar w:fldCharType="end"/>
        </w:r>
      </w:hyperlink>
    </w:p>
    <w:p w14:paraId="73103BCD" w14:textId="2C2A8736" w:rsidR="00D90361" w:rsidRDefault="00D90361">
      <w:pPr>
        <w:pStyle w:val="TOC2"/>
        <w:rPr>
          <w:rFonts w:asciiTheme="minorHAnsi" w:eastAsiaTheme="minorEastAsia" w:hAnsiTheme="minorHAnsi" w:cstheme="minorBidi"/>
          <w:noProof/>
          <w:szCs w:val="22"/>
          <w:lang w:eastAsia="en-NZ"/>
        </w:rPr>
      </w:pPr>
      <w:hyperlink w:anchor="_Toc124845531" w:history="1">
        <w:r w:rsidRPr="00981824">
          <w:rPr>
            <w:rStyle w:val="Hyperlink"/>
            <w:noProof/>
          </w:rPr>
          <w:t>Whakapapa: A paradigm shift</w:t>
        </w:r>
        <w:r>
          <w:rPr>
            <w:noProof/>
            <w:webHidden/>
          </w:rPr>
          <w:tab/>
        </w:r>
        <w:r>
          <w:rPr>
            <w:noProof/>
            <w:webHidden/>
          </w:rPr>
          <w:fldChar w:fldCharType="begin"/>
        </w:r>
        <w:r>
          <w:rPr>
            <w:noProof/>
            <w:webHidden/>
          </w:rPr>
          <w:instrText xml:space="preserve"> PAGEREF _Toc124845531 \h </w:instrText>
        </w:r>
        <w:r>
          <w:rPr>
            <w:noProof/>
            <w:webHidden/>
          </w:rPr>
        </w:r>
        <w:r>
          <w:rPr>
            <w:noProof/>
            <w:webHidden/>
          </w:rPr>
          <w:fldChar w:fldCharType="separate"/>
        </w:r>
        <w:r>
          <w:rPr>
            <w:noProof/>
            <w:webHidden/>
          </w:rPr>
          <w:t>8</w:t>
        </w:r>
        <w:r>
          <w:rPr>
            <w:noProof/>
            <w:webHidden/>
          </w:rPr>
          <w:fldChar w:fldCharType="end"/>
        </w:r>
      </w:hyperlink>
    </w:p>
    <w:p w14:paraId="50D31DA2" w14:textId="0428851C" w:rsidR="00D90361" w:rsidRDefault="00D90361">
      <w:pPr>
        <w:pStyle w:val="TOC2"/>
        <w:rPr>
          <w:rFonts w:asciiTheme="minorHAnsi" w:eastAsiaTheme="minorEastAsia" w:hAnsiTheme="minorHAnsi" w:cstheme="minorBidi"/>
          <w:noProof/>
          <w:szCs w:val="22"/>
          <w:lang w:eastAsia="en-NZ"/>
        </w:rPr>
      </w:pPr>
      <w:hyperlink w:anchor="_Toc124845532" w:history="1">
        <w:r w:rsidRPr="00981824">
          <w:rPr>
            <w:rStyle w:val="Hyperlink"/>
            <w:noProof/>
          </w:rPr>
          <w:t>Whāriki: Ways of working</w:t>
        </w:r>
        <w:r>
          <w:rPr>
            <w:noProof/>
            <w:webHidden/>
          </w:rPr>
          <w:tab/>
        </w:r>
        <w:r>
          <w:rPr>
            <w:noProof/>
            <w:webHidden/>
          </w:rPr>
          <w:fldChar w:fldCharType="begin"/>
        </w:r>
        <w:r>
          <w:rPr>
            <w:noProof/>
            <w:webHidden/>
          </w:rPr>
          <w:instrText xml:space="preserve"> PAGEREF _Toc124845532 \h </w:instrText>
        </w:r>
        <w:r>
          <w:rPr>
            <w:noProof/>
            <w:webHidden/>
          </w:rPr>
        </w:r>
        <w:r>
          <w:rPr>
            <w:noProof/>
            <w:webHidden/>
          </w:rPr>
          <w:fldChar w:fldCharType="separate"/>
        </w:r>
        <w:r>
          <w:rPr>
            <w:noProof/>
            <w:webHidden/>
          </w:rPr>
          <w:t>12</w:t>
        </w:r>
        <w:r>
          <w:rPr>
            <w:noProof/>
            <w:webHidden/>
          </w:rPr>
          <w:fldChar w:fldCharType="end"/>
        </w:r>
      </w:hyperlink>
    </w:p>
    <w:p w14:paraId="4E24BAEC" w14:textId="4F37742D" w:rsidR="00D90361" w:rsidRDefault="00D90361">
      <w:pPr>
        <w:pStyle w:val="TOC2"/>
        <w:rPr>
          <w:rFonts w:asciiTheme="minorHAnsi" w:eastAsiaTheme="minorEastAsia" w:hAnsiTheme="minorHAnsi" w:cstheme="minorBidi"/>
          <w:noProof/>
          <w:szCs w:val="22"/>
          <w:lang w:eastAsia="en-NZ"/>
        </w:rPr>
      </w:pPr>
      <w:hyperlink w:anchor="_Toc124845533" w:history="1">
        <w:r w:rsidRPr="00981824">
          <w:rPr>
            <w:rStyle w:val="Hyperlink"/>
            <w:noProof/>
          </w:rPr>
          <w:t>He Huarahi ki Mua: A way forward</w:t>
        </w:r>
        <w:r>
          <w:rPr>
            <w:noProof/>
            <w:webHidden/>
          </w:rPr>
          <w:tab/>
        </w:r>
        <w:r>
          <w:rPr>
            <w:noProof/>
            <w:webHidden/>
          </w:rPr>
          <w:fldChar w:fldCharType="begin"/>
        </w:r>
        <w:r>
          <w:rPr>
            <w:noProof/>
            <w:webHidden/>
          </w:rPr>
          <w:instrText xml:space="preserve"> PAGEREF _Toc124845533 \h </w:instrText>
        </w:r>
        <w:r>
          <w:rPr>
            <w:noProof/>
            <w:webHidden/>
          </w:rPr>
        </w:r>
        <w:r>
          <w:rPr>
            <w:noProof/>
            <w:webHidden/>
          </w:rPr>
          <w:fldChar w:fldCharType="separate"/>
        </w:r>
        <w:r>
          <w:rPr>
            <w:noProof/>
            <w:webHidden/>
          </w:rPr>
          <w:t>12</w:t>
        </w:r>
        <w:r>
          <w:rPr>
            <w:noProof/>
            <w:webHidden/>
          </w:rPr>
          <w:fldChar w:fldCharType="end"/>
        </w:r>
      </w:hyperlink>
    </w:p>
    <w:p w14:paraId="7223DF3A" w14:textId="4A6982B2" w:rsidR="00D90361" w:rsidRDefault="00D90361">
      <w:pPr>
        <w:pStyle w:val="TOC1"/>
        <w:tabs>
          <w:tab w:val="left" w:pos="1276"/>
        </w:tabs>
        <w:rPr>
          <w:rFonts w:asciiTheme="minorHAnsi" w:eastAsiaTheme="minorEastAsia" w:hAnsiTheme="minorHAnsi" w:cstheme="minorBidi"/>
          <w:noProof/>
          <w:sz w:val="22"/>
          <w:szCs w:val="22"/>
          <w:lang w:eastAsia="en-NZ"/>
        </w:rPr>
      </w:pPr>
      <w:hyperlink w:anchor="_Toc124845534" w:history="1">
        <w:r w:rsidRPr="00981824">
          <w:rPr>
            <w:rStyle w:val="Hyperlink"/>
            <w:noProof/>
          </w:rPr>
          <w:t>3.</w:t>
        </w:r>
        <w:r>
          <w:rPr>
            <w:rFonts w:asciiTheme="minorHAnsi" w:eastAsiaTheme="minorEastAsia" w:hAnsiTheme="minorHAnsi" w:cstheme="minorBidi"/>
            <w:noProof/>
            <w:sz w:val="22"/>
            <w:szCs w:val="22"/>
            <w:lang w:eastAsia="en-NZ"/>
          </w:rPr>
          <w:tab/>
        </w:r>
        <w:r w:rsidRPr="00981824">
          <w:rPr>
            <w:rStyle w:val="Hyperlink"/>
            <w:noProof/>
          </w:rPr>
          <w:t>Hawke’s Bay region</w:t>
        </w:r>
        <w:r>
          <w:rPr>
            <w:noProof/>
            <w:webHidden/>
          </w:rPr>
          <w:tab/>
        </w:r>
        <w:r>
          <w:rPr>
            <w:noProof/>
            <w:webHidden/>
          </w:rPr>
          <w:fldChar w:fldCharType="begin"/>
        </w:r>
        <w:r>
          <w:rPr>
            <w:noProof/>
            <w:webHidden/>
          </w:rPr>
          <w:instrText xml:space="preserve"> PAGEREF _Toc124845534 \h </w:instrText>
        </w:r>
        <w:r>
          <w:rPr>
            <w:noProof/>
            <w:webHidden/>
          </w:rPr>
        </w:r>
        <w:r>
          <w:rPr>
            <w:noProof/>
            <w:webHidden/>
          </w:rPr>
          <w:fldChar w:fldCharType="separate"/>
        </w:r>
        <w:r>
          <w:rPr>
            <w:noProof/>
            <w:webHidden/>
          </w:rPr>
          <w:t>14</w:t>
        </w:r>
        <w:r>
          <w:rPr>
            <w:noProof/>
            <w:webHidden/>
          </w:rPr>
          <w:fldChar w:fldCharType="end"/>
        </w:r>
      </w:hyperlink>
    </w:p>
    <w:p w14:paraId="653798B2" w14:textId="1F512F65" w:rsidR="00D90361" w:rsidRDefault="00D90361">
      <w:pPr>
        <w:pStyle w:val="TOC2"/>
        <w:rPr>
          <w:rFonts w:asciiTheme="minorHAnsi" w:eastAsiaTheme="minorEastAsia" w:hAnsiTheme="minorHAnsi" w:cstheme="minorBidi"/>
          <w:noProof/>
          <w:szCs w:val="22"/>
          <w:lang w:eastAsia="en-NZ"/>
        </w:rPr>
      </w:pPr>
      <w:hyperlink w:anchor="_Toc124845535" w:history="1">
        <w:r w:rsidRPr="00981824">
          <w:rPr>
            <w:rStyle w:val="Hyperlink"/>
            <w:noProof/>
          </w:rPr>
          <w:t>Background</w:t>
        </w:r>
        <w:r>
          <w:rPr>
            <w:noProof/>
            <w:webHidden/>
          </w:rPr>
          <w:tab/>
        </w:r>
        <w:r>
          <w:rPr>
            <w:noProof/>
            <w:webHidden/>
          </w:rPr>
          <w:fldChar w:fldCharType="begin"/>
        </w:r>
        <w:r>
          <w:rPr>
            <w:noProof/>
            <w:webHidden/>
          </w:rPr>
          <w:instrText xml:space="preserve"> PAGEREF _Toc124845535 \h </w:instrText>
        </w:r>
        <w:r>
          <w:rPr>
            <w:noProof/>
            <w:webHidden/>
          </w:rPr>
        </w:r>
        <w:r>
          <w:rPr>
            <w:noProof/>
            <w:webHidden/>
          </w:rPr>
          <w:fldChar w:fldCharType="separate"/>
        </w:r>
        <w:r>
          <w:rPr>
            <w:noProof/>
            <w:webHidden/>
          </w:rPr>
          <w:t>14</w:t>
        </w:r>
        <w:r>
          <w:rPr>
            <w:noProof/>
            <w:webHidden/>
          </w:rPr>
          <w:fldChar w:fldCharType="end"/>
        </w:r>
      </w:hyperlink>
    </w:p>
    <w:p w14:paraId="20E9E2C5" w14:textId="68185A02" w:rsidR="00D90361" w:rsidRDefault="00D90361">
      <w:pPr>
        <w:pStyle w:val="TOC2"/>
        <w:rPr>
          <w:rFonts w:asciiTheme="minorHAnsi" w:eastAsiaTheme="minorEastAsia" w:hAnsiTheme="minorHAnsi" w:cstheme="minorBidi"/>
          <w:noProof/>
          <w:szCs w:val="22"/>
          <w:lang w:eastAsia="en-NZ"/>
        </w:rPr>
      </w:pPr>
      <w:hyperlink w:anchor="_Toc124845536" w:history="1">
        <w:r w:rsidRPr="00981824">
          <w:rPr>
            <w:rStyle w:val="Hyperlink"/>
            <w:rFonts w:eastAsiaTheme="majorEastAsia"/>
            <w:noProof/>
            <w:lang w:val="en-GB"/>
          </w:rPr>
          <w:t>Systems barriers</w:t>
        </w:r>
        <w:r>
          <w:rPr>
            <w:noProof/>
            <w:webHidden/>
          </w:rPr>
          <w:tab/>
        </w:r>
        <w:r>
          <w:rPr>
            <w:noProof/>
            <w:webHidden/>
          </w:rPr>
          <w:fldChar w:fldCharType="begin"/>
        </w:r>
        <w:r>
          <w:rPr>
            <w:noProof/>
            <w:webHidden/>
          </w:rPr>
          <w:instrText xml:space="preserve"> PAGEREF _Toc124845536 \h </w:instrText>
        </w:r>
        <w:r>
          <w:rPr>
            <w:noProof/>
            <w:webHidden/>
          </w:rPr>
        </w:r>
        <w:r>
          <w:rPr>
            <w:noProof/>
            <w:webHidden/>
          </w:rPr>
          <w:fldChar w:fldCharType="separate"/>
        </w:r>
        <w:r>
          <w:rPr>
            <w:noProof/>
            <w:webHidden/>
          </w:rPr>
          <w:t>14</w:t>
        </w:r>
        <w:r>
          <w:rPr>
            <w:noProof/>
            <w:webHidden/>
          </w:rPr>
          <w:fldChar w:fldCharType="end"/>
        </w:r>
      </w:hyperlink>
    </w:p>
    <w:p w14:paraId="47AD6DF1" w14:textId="0EE788C4" w:rsidR="00D90361" w:rsidRDefault="00D90361">
      <w:pPr>
        <w:pStyle w:val="TOC2"/>
        <w:rPr>
          <w:rFonts w:asciiTheme="minorHAnsi" w:eastAsiaTheme="minorEastAsia" w:hAnsiTheme="minorHAnsi" w:cstheme="minorBidi"/>
          <w:noProof/>
          <w:szCs w:val="22"/>
          <w:lang w:eastAsia="en-NZ"/>
        </w:rPr>
      </w:pPr>
      <w:hyperlink w:anchor="_Toc124845537" w:history="1">
        <w:r w:rsidRPr="00981824">
          <w:rPr>
            <w:rStyle w:val="Hyperlink"/>
            <w:noProof/>
          </w:rPr>
          <w:t>A transformative change programme</w:t>
        </w:r>
        <w:r>
          <w:rPr>
            <w:noProof/>
            <w:webHidden/>
          </w:rPr>
          <w:tab/>
        </w:r>
        <w:r>
          <w:rPr>
            <w:noProof/>
            <w:webHidden/>
          </w:rPr>
          <w:fldChar w:fldCharType="begin"/>
        </w:r>
        <w:r>
          <w:rPr>
            <w:noProof/>
            <w:webHidden/>
          </w:rPr>
          <w:instrText xml:space="preserve"> PAGEREF _Toc124845537 \h </w:instrText>
        </w:r>
        <w:r>
          <w:rPr>
            <w:noProof/>
            <w:webHidden/>
          </w:rPr>
        </w:r>
        <w:r>
          <w:rPr>
            <w:noProof/>
            <w:webHidden/>
          </w:rPr>
          <w:fldChar w:fldCharType="separate"/>
        </w:r>
        <w:r>
          <w:rPr>
            <w:noProof/>
            <w:webHidden/>
          </w:rPr>
          <w:t>14</w:t>
        </w:r>
        <w:r>
          <w:rPr>
            <w:noProof/>
            <w:webHidden/>
          </w:rPr>
          <w:fldChar w:fldCharType="end"/>
        </w:r>
      </w:hyperlink>
    </w:p>
    <w:p w14:paraId="635F903D" w14:textId="012C17B0" w:rsidR="00D90361" w:rsidRDefault="00D90361">
      <w:pPr>
        <w:pStyle w:val="TOC2"/>
        <w:rPr>
          <w:rFonts w:asciiTheme="minorHAnsi" w:eastAsiaTheme="minorEastAsia" w:hAnsiTheme="minorHAnsi" w:cstheme="minorBidi"/>
          <w:noProof/>
          <w:szCs w:val="22"/>
          <w:lang w:eastAsia="en-NZ"/>
        </w:rPr>
      </w:pPr>
      <w:hyperlink w:anchor="_Toc124845538" w:history="1">
        <w:r w:rsidRPr="00981824">
          <w:rPr>
            <w:rStyle w:val="Hyperlink"/>
            <w:noProof/>
          </w:rPr>
          <w:t>Forerunners</w:t>
        </w:r>
        <w:r>
          <w:rPr>
            <w:noProof/>
            <w:webHidden/>
          </w:rPr>
          <w:tab/>
        </w:r>
        <w:r>
          <w:rPr>
            <w:noProof/>
            <w:webHidden/>
          </w:rPr>
          <w:fldChar w:fldCharType="begin"/>
        </w:r>
        <w:r>
          <w:rPr>
            <w:noProof/>
            <w:webHidden/>
          </w:rPr>
          <w:instrText xml:space="preserve"> PAGEREF _Toc124845538 \h </w:instrText>
        </w:r>
        <w:r>
          <w:rPr>
            <w:noProof/>
            <w:webHidden/>
          </w:rPr>
        </w:r>
        <w:r>
          <w:rPr>
            <w:noProof/>
            <w:webHidden/>
          </w:rPr>
          <w:fldChar w:fldCharType="separate"/>
        </w:r>
        <w:r>
          <w:rPr>
            <w:noProof/>
            <w:webHidden/>
          </w:rPr>
          <w:t>15</w:t>
        </w:r>
        <w:r>
          <w:rPr>
            <w:noProof/>
            <w:webHidden/>
          </w:rPr>
          <w:fldChar w:fldCharType="end"/>
        </w:r>
      </w:hyperlink>
    </w:p>
    <w:p w14:paraId="642D5E42" w14:textId="3AC56CD0" w:rsidR="00D90361" w:rsidRDefault="00D90361">
      <w:pPr>
        <w:pStyle w:val="TOC2"/>
        <w:rPr>
          <w:rFonts w:asciiTheme="minorHAnsi" w:eastAsiaTheme="minorEastAsia" w:hAnsiTheme="minorHAnsi" w:cstheme="minorBidi"/>
          <w:noProof/>
          <w:szCs w:val="22"/>
          <w:lang w:eastAsia="en-NZ"/>
        </w:rPr>
      </w:pPr>
      <w:hyperlink w:anchor="_Toc124845539" w:history="1">
        <w:r w:rsidRPr="00981824">
          <w:rPr>
            <w:rStyle w:val="Hyperlink"/>
            <w:noProof/>
          </w:rPr>
          <w:t>Equity principles in planned care</w:t>
        </w:r>
        <w:r>
          <w:rPr>
            <w:noProof/>
            <w:webHidden/>
          </w:rPr>
          <w:tab/>
        </w:r>
        <w:r>
          <w:rPr>
            <w:noProof/>
            <w:webHidden/>
          </w:rPr>
          <w:fldChar w:fldCharType="begin"/>
        </w:r>
        <w:r>
          <w:rPr>
            <w:noProof/>
            <w:webHidden/>
          </w:rPr>
          <w:instrText xml:space="preserve"> PAGEREF _Toc124845539 \h </w:instrText>
        </w:r>
        <w:r>
          <w:rPr>
            <w:noProof/>
            <w:webHidden/>
          </w:rPr>
        </w:r>
        <w:r>
          <w:rPr>
            <w:noProof/>
            <w:webHidden/>
          </w:rPr>
          <w:fldChar w:fldCharType="separate"/>
        </w:r>
        <w:r>
          <w:rPr>
            <w:noProof/>
            <w:webHidden/>
          </w:rPr>
          <w:t>17</w:t>
        </w:r>
        <w:r>
          <w:rPr>
            <w:noProof/>
            <w:webHidden/>
          </w:rPr>
          <w:fldChar w:fldCharType="end"/>
        </w:r>
      </w:hyperlink>
    </w:p>
    <w:p w14:paraId="3389D3DD" w14:textId="3B85EB9C" w:rsidR="009B76BD" w:rsidRDefault="00D90361" w:rsidP="009B76BD">
      <w:pPr>
        <w:pStyle w:val="TOC2"/>
        <w:rPr>
          <w:rFonts w:asciiTheme="minorHAnsi" w:eastAsiaTheme="minorEastAsia" w:hAnsiTheme="minorHAnsi" w:cstheme="minorBidi"/>
          <w:noProof/>
          <w:szCs w:val="22"/>
          <w:lang w:val="en-AU" w:eastAsia="en-AU"/>
        </w:rPr>
      </w:pPr>
      <w:r>
        <w:rPr>
          <w:rFonts w:ascii="Segoe UI Semibold" w:hAnsi="Segoe UI Semibold"/>
          <w:b/>
          <w:sz w:val="24"/>
        </w:rPr>
        <w:fldChar w:fldCharType="end"/>
      </w:r>
      <w:r w:rsidR="00BD3747">
        <w:rPr>
          <w:rFonts w:asciiTheme="minorHAnsi" w:eastAsiaTheme="minorEastAsia" w:hAnsiTheme="minorHAnsi" w:cstheme="minorBidi"/>
          <w:noProof/>
          <w:szCs w:val="22"/>
          <w:lang w:val="en-AU" w:eastAsia="en-AU"/>
        </w:rPr>
        <w:t xml:space="preserve"> </w:t>
      </w:r>
    </w:p>
    <w:p w14:paraId="0D248541" w14:textId="77777777" w:rsidR="002B76A7" w:rsidRDefault="002B76A7" w:rsidP="002B76A7">
      <w:pPr>
        <w:pStyle w:val="TOC1"/>
        <w:keepNext/>
      </w:pPr>
      <w:r>
        <w:t>List of Tables</w:t>
      </w:r>
    </w:p>
    <w:bookmarkStart w:id="2" w:name="_Toc122356148"/>
    <w:p w14:paraId="36804E73" w14:textId="3B219228" w:rsidR="00112CA9" w:rsidRDefault="00655936">
      <w:pPr>
        <w:pStyle w:val="TableofFigures"/>
        <w:rPr>
          <w:rFonts w:asciiTheme="minorHAnsi" w:eastAsiaTheme="minorEastAsia" w:hAnsiTheme="minorHAnsi" w:cstheme="minorBidi"/>
          <w:noProof/>
          <w:sz w:val="22"/>
          <w:szCs w:val="22"/>
          <w:lang w:val="en-AU" w:eastAsia="en-AU"/>
        </w:rPr>
      </w:pPr>
      <w:r>
        <w:fldChar w:fldCharType="begin"/>
      </w:r>
      <w:r>
        <w:instrText xml:space="preserve"> TOC \h \z \c "Table" </w:instrText>
      </w:r>
      <w:r>
        <w:fldChar w:fldCharType="separate"/>
      </w:r>
      <w:hyperlink w:anchor="_Toc124833602" w:history="1">
        <w:r w:rsidR="00112CA9" w:rsidRPr="00773CD5">
          <w:rPr>
            <w:rStyle w:val="Hyperlink"/>
            <w:noProof/>
          </w:rPr>
          <w:t xml:space="preserve">Table 1: </w:t>
        </w:r>
        <w:r w:rsidR="00112CA9" w:rsidRPr="00773CD5">
          <w:rPr>
            <w:rStyle w:val="Hyperlink"/>
            <w:noProof/>
            <w:lang w:val="en-GB"/>
          </w:rPr>
          <w:t>Intended benefits and service-level outcomes</w:t>
        </w:r>
        <w:r w:rsidR="00112CA9">
          <w:rPr>
            <w:noProof/>
            <w:webHidden/>
          </w:rPr>
          <w:tab/>
        </w:r>
        <w:r w:rsidR="00112CA9">
          <w:rPr>
            <w:noProof/>
            <w:webHidden/>
          </w:rPr>
          <w:fldChar w:fldCharType="begin"/>
        </w:r>
        <w:r w:rsidR="00112CA9">
          <w:rPr>
            <w:noProof/>
            <w:webHidden/>
          </w:rPr>
          <w:instrText xml:space="preserve"> PAGEREF _Toc124833602 \h </w:instrText>
        </w:r>
        <w:r w:rsidR="00112CA9">
          <w:rPr>
            <w:noProof/>
            <w:webHidden/>
          </w:rPr>
        </w:r>
        <w:r w:rsidR="00112CA9">
          <w:rPr>
            <w:noProof/>
            <w:webHidden/>
          </w:rPr>
          <w:fldChar w:fldCharType="separate"/>
        </w:r>
        <w:r w:rsidR="00112CA9">
          <w:rPr>
            <w:noProof/>
            <w:webHidden/>
          </w:rPr>
          <w:t>6</w:t>
        </w:r>
        <w:r w:rsidR="00112CA9">
          <w:rPr>
            <w:noProof/>
            <w:webHidden/>
          </w:rPr>
          <w:fldChar w:fldCharType="end"/>
        </w:r>
      </w:hyperlink>
    </w:p>
    <w:p w14:paraId="734E65B2" w14:textId="78BF8CAB" w:rsidR="00112CA9" w:rsidRDefault="000E75F5">
      <w:pPr>
        <w:pStyle w:val="TableofFigures"/>
        <w:rPr>
          <w:rFonts w:asciiTheme="minorHAnsi" w:eastAsiaTheme="minorEastAsia" w:hAnsiTheme="minorHAnsi" w:cstheme="minorBidi"/>
          <w:noProof/>
          <w:sz w:val="22"/>
          <w:szCs w:val="22"/>
          <w:lang w:val="en-AU" w:eastAsia="en-AU"/>
        </w:rPr>
      </w:pPr>
      <w:hyperlink w:anchor="_Toc124833603" w:history="1">
        <w:r w:rsidR="00112CA9" w:rsidRPr="00773CD5">
          <w:rPr>
            <w:rStyle w:val="Hyperlink"/>
            <w:noProof/>
          </w:rPr>
          <w:t>Table 2:  Innovative initiatives 2017–2020</w:t>
        </w:r>
        <w:r w:rsidR="00112CA9">
          <w:rPr>
            <w:noProof/>
            <w:webHidden/>
          </w:rPr>
          <w:tab/>
        </w:r>
        <w:r w:rsidR="00112CA9">
          <w:rPr>
            <w:noProof/>
            <w:webHidden/>
          </w:rPr>
          <w:fldChar w:fldCharType="begin"/>
        </w:r>
        <w:r w:rsidR="00112CA9">
          <w:rPr>
            <w:noProof/>
            <w:webHidden/>
          </w:rPr>
          <w:instrText xml:space="preserve"> PAGEREF _Toc124833603 \h </w:instrText>
        </w:r>
        <w:r w:rsidR="00112CA9">
          <w:rPr>
            <w:noProof/>
            <w:webHidden/>
          </w:rPr>
        </w:r>
        <w:r w:rsidR="00112CA9">
          <w:rPr>
            <w:noProof/>
            <w:webHidden/>
          </w:rPr>
          <w:fldChar w:fldCharType="separate"/>
        </w:r>
        <w:r w:rsidR="00112CA9">
          <w:rPr>
            <w:noProof/>
            <w:webHidden/>
          </w:rPr>
          <w:t>8</w:t>
        </w:r>
        <w:r w:rsidR="00112CA9">
          <w:rPr>
            <w:noProof/>
            <w:webHidden/>
          </w:rPr>
          <w:fldChar w:fldCharType="end"/>
        </w:r>
      </w:hyperlink>
    </w:p>
    <w:p w14:paraId="21A0484A" w14:textId="47F2CABA" w:rsidR="00112CA9" w:rsidRDefault="000E75F5">
      <w:pPr>
        <w:pStyle w:val="TableofFigures"/>
        <w:rPr>
          <w:rFonts w:asciiTheme="minorHAnsi" w:eastAsiaTheme="minorEastAsia" w:hAnsiTheme="minorHAnsi" w:cstheme="minorBidi"/>
          <w:noProof/>
          <w:sz w:val="22"/>
          <w:szCs w:val="22"/>
          <w:lang w:val="en-AU" w:eastAsia="en-AU"/>
        </w:rPr>
      </w:pPr>
      <w:hyperlink w:anchor="_Toc124833604" w:history="1">
        <w:r w:rsidR="00112CA9" w:rsidRPr="00773CD5">
          <w:rPr>
            <w:rStyle w:val="Hyperlink"/>
            <w:noProof/>
          </w:rPr>
          <w:t>Table 3: Learning and early outcomes achieved at whānau and systems levels</w:t>
        </w:r>
        <w:r w:rsidR="00112CA9">
          <w:rPr>
            <w:noProof/>
            <w:webHidden/>
          </w:rPr>
          <w:tab/>
        </w:r>
        <w:r w:rsidR="00112CA9">
          <w:rPr>
            <w:noProof/>
            <w:webHidden/>
          </w:rPr>
          <w:fldChar w:fldCharType="begin"/>
        </w:r>
        <w:r w:rsidR="00112CA9">
          <w:rPr>
            <w:noProof/>
            <w:webHidden/>
          </w:rPr>
          <w:instrText xml:space="preserve"> PAGEREF _Toc124833604 \h </w:instrText>
        </w:r>
        <w:r w:rsidR="00112CA9">
          <w:rPr>
            <w:noProof/>
            <w:webHidden/>
          </w:rPr>
        </w:r>
        <w:r w:rsidR="00112CA9">
          <w:rPr>
            <w:noProof/>
            <w:webHidden/>
          </w:rPr>
          <w:fldChar w:fldCharType="separate"/>
        </w:r>
        <w:r w:rsidR="00112CA9">
          <w:rPr>
            <w:noProof/>
            <w:webHidden/>
          </w:rPr>
          <w:t>10</w:t>
        </w:r>
        <w:r w:rsidR="00112CA9">
          <w:rPr>
            <w:noProof/>
            <w:webHidden/>
          </w:rPr>
          <w:fldChar w:fldCharType="end"/>
        </w:r>
      </w:hyperlink>
    </w:p>
    <w:p w14:paraId="1D0204A5" w14:textId="20C2DFD6" w:rsidR="00112CA9" w:rsidRDefault="000E75F5">
      <w:pPr>
        <w:pStyle w:val="TableofFigures"/>
        <w:rPr>
          <w:rFonts w:asciiTheme="minorHAnsi" w:eastAsiaTheme="minorEastAsia" w:hAnsiTheme="minorHAnsi" w:cstheme="minorBidi"/>
          <w:noProof/>
          <w:sz w:val="22"/>
          <w:szCs w:val="22"/>
          <w:lang w:val="en-AU" w:eastAsia="en-AU"/>
        </w:rPr>
      </w:pPr>
      <w:hyperlink w:anchor="_Toc124833605" w:history="1">
        <w:r w:rsidR="00112CA9" w:rsidRPr="00773CD5">
          <w:rPr>
            <w:rStyle w:val="Hyperlink"/>
            <w:noProof/>
          </w:rPr>
          <w:t>Table 4: Methods</w:t>
        </w:r>
        <w:r w:rsidR="00112CA9">
          <w:rPr>
            <w:noProof/>
            <w:webHidden/>
          </w:rPr>
          <w:tab/>
        </w:r>
        <w:r w:rsidR="00112CA9">
          <w:rPr>
            <w:noProof/>
            <w:webHidden/>
          </w:rPr>
          <w:fldChar w:fldCharType="begin"/>
        </w:r>
        <w:r w:rsidR="00112CA9">
          <w:rPr>
            <w:noProof/>
            <w:webHidden/>
          </w:rPr>
          <w:instrText xml:space="preserve"> PAGEREF _Toc124833605 \h </w:instrText>
        </w:r>
        <w:r w:rsidR="00112CA9">
          <w:rPr>
            <w:noProof/>
            <w:webHidden/>
          </w:rPr>
        </w:r>
        <w:r w:rsidR="00112CA9">
          <w:rPr>
            <w:noProof/>
            <w:webHidden/>
          </w:rPr>
          <w:fldChar w:fldCharType="separate"/>
        </w:r>
        <w:r w:rsidR="00112CA9">
          <w:rPr>
            <w:noProof/>
            <w:webHidden/>
          </w:rPr>
          <w:t>11</w:t>
        </w:r>
        <w:r w:rsidR="00112CA9">
          <w:rPr>
            <w:noProof/>
            <w:webHidden/>
          </w:rPr>
          <w:fldChar w:fldCharType="end"/>
        </w:r>
      </w:hyperlink>
    </w:p>
    <w:p w14:paraId="7178E589" w14:textId="71645D50" w:rsidR="00112CA9" w:rsidRDefault="000E75F5">
      <w:pPr>
        <w:pStyle w:val="TableofFigures"/>
        <w:rPr>
          <w:rFonts w:asciiTheme="minorHAnsi" w:eastAsiaTheme="minorEastAsia" w:hAnsiTheme="minorHAnsi" w:cstheme="minorBidi"/>
          <w:noProof/>
          <w:sz w:val="22"/>
          <w:szCs w:val="22"/>
          <w:lang w:val="en-AU" w:eastAsia="en-AU"/>
        </w:rPr>
      </w:pPr>
      <w:hyperlink w:anchor="_Toc124833606" w:history="1">
        <w:r w:rsidR="00112CA9" w:rsidRPr="00773CD5">
          <w:rPr>
            <w:rStyle w:val="Hyperlink"/>
            <w:noProof/>
          </w:rPr>
          <w:t>Table 5: Key enablers, methods and early outcomes of whānau-centred initiatives</w:t>
        </w:r>
        <w:r w:rsidR="00112CA9">
          <w:rPr>
            <w:noProof/>
            <w:webHidden/>
          </w:rPr>
          <w:tab/>
        </w:r>
        <w:r w:rsidR="00112CA9">
          <w:rPr>
            <w:noProof/>
            <w:webHidden/>
          </w:rPr>
          <w:fldChar w:fldCharType="begin"/>
        </w:r>
        <w:r w:rsidR="00112CA9">
          <w:rPr>
            <w:noProof/>
            <w:webHidden/>
          </w:rPr>
          <w:instrText xml:space="preserve"> PAGEREF _Toc124833606 \h </w:instrText>
        </w:r>
        <w:r w:rsidR="00112CA9">
          <w:rPr>
            <w:noProof/>
            <w:webHidden/>
          </w:rPr>
        </w:r>
        <w:r w:rsidR="00112CA9">
          <w:rPr>
            <w:noProof/>
            <w:webHidden/>
          </w:rPr>
          <w:fldChar w:fldCharType="separate"/>
        </w:r>
        <w:r w:rsidR="00112CA9">
          <w:rPr>
            <w:noProof/>
            <w:webHidden/>
          </w:rPr>
          <w:t>16</w:t>
        </w:r>
        <w:r w:rsidR="00112CA9">
          <w:rPr>
            <w:noProof/>
            <w:webHidden/>
          </w:rPr>
          <w:fldChar w:fldCharType="end"/>
        </w:r>
      </w:hyperlink>
    </w:p>
    <w:p w14:paraId="460AB06E" w14:textId="742DEA51" w:rsidR="00112CA9" w:rsidRDefault="000E75F5">
      <w:pPr>
        <w:pStyle w:val="TableofFigures"/>
        <w:rPr>
          <w:rFonts w:asciiTheme="minorHAnsi" w:eastAsiaTheme="minorEastAsia" w:hAnsiTheme="minorHAnsi" w:cstheme="minorBidi"/>
          <w:noProof/>
          <w:sz w:val="22"/>
          <w:szCs w:val="22"/>
          <w:lang w:val="en-AU" w:eastAsia="en-AU"/>
        </w:rPr>
      </w:pPr>
      <w:hyperlink w:anchor="_Toc124833607" w:history="1">
        <w:r w:rsidR="00112CA9" w:rsidRPr="00773CD5">
          <w:rPr>
            <w:rStyle w:val="Hyperlink"/>
            <w:noProof/>
          </w:rPr>
          <w:t>Table 6: Equity principles in planned care</w:t>
        </w:r>
        <w:r w:rsidR="00112CA9">
          <w:rPr>
            <w:noProof/>
            <w:webHidden/>
          </w:rPr>
          <w:tab/>
        </w:r>
        <w:r w:rsidR="00112CA9">
          <w:rPr>
            <w:noProof/>
            <w:webHidden/>
          </w:rPr>
          <w:fldChar w:fldCharType="begin"/>
        </w:r>
        <w:r w:rsidR="00112CA9">
          <w:rPr>
            <w:noProof/>
            <w:webHidden/>
          </w:rPr>
          <w:instrText xml:space="preserve"> PAGEREF _Toc124833607 \h </w:instrText>
        </w:r>
        <w:r w:rsidR="00112CA9">
          <w:rPr>
            <w:noProof/>
            <w:webHidden/>
          </w:rPr>
        </w:r>
        <w:r w:rsidR="00112CA9">
          <w:rPr>
            <w:noProof/>
            <w:webHidden/>
          </w:rPr>
          <w:fldChar w:fldCharType="separate"/>
        </w:r>
        <w:r w:rsidR="00112CA9">
          <w:rPr>
            <w:noProof/>
            <w:webHidden/>
          </w:rPr>
          <w:t>18</w:t>
        </w:r>
        <w:r w:rsidR="00112CA9">
          <w:rPr>
            <w:noProof/>
            <w:webHidden/>
          </w:rPr>
          <w:fldChar w:fldCharType="end"/>
        </w:r>
      </w:hyperlink>
    </w:p>
    <w:p w14:paraId="22B05CF8" w14:textId="231F48F3" w:rsidR="00655936" w:rsidRPr="00655936" w:rsidRDefault="00655936" w:rsidP="00655936">
      <w:pPr>
        <w:pStyle w:val="TableofFigures"/>
        <w:sectPr w:rsidR="00655936" w:rsidRPr="00655936" w:rsidSect="00A27D16">
          <w:headerReference w:type="even" r:id="rId16"/>
          <w:headerReference w:type="default" r:id="rId17"/>
          <w:footerReference w:type="even" r:id="rId18"/>
          <w:footerReference w:type="default" r:id="rId19"/>
          <w:pgSz w:w="11901" w:h="16817"/>
          <w:pgMar w:top="1418" w:right="1701" w:bottom="1134" w:left="1843" w:header="709" w:footer="425" w:gutter="0"/>
          <w:pgNumType w:fmt="lowerRoman" w:start="3"/>
          <w:cols w:space="708"/>
          <w:docGrid w:linePitch="360"/>
        </w:sectPr>
      </w:pPr>
      <w:r>
        <w:fldChar w:fldCharType="end"/>
      </w:r>
    </w:p>
    <w:p w14:paraId="4EA5813F" w14:textId="191EC224" w:rsidR="00655936" w:rsidRPr="002733B4" w:rsidRDefault="00993BBE" w:rsidP="00655936">
      <w:pPr>
        <w:pStyle w:val="Heading1"/>
        <w:spacing w:before="0"/>
      </w:pPr>
      <w:bookmarkStart w:id="3" w:name="_Toc124845524"/>
      <w:bookmarkEnd w:id="2"/>
      <w:r w:rsidRPr="00993BBE">
        <w:lastRenderedPageBreak/>
        <w:t>Introduction</w:t>
      </w:r>
      <w:bookmarkEnd w:id="3"/>
    </w:p>
    <w:p w14:paraId="6C3BD106" w14:textId="1EC20CEA" w:rsidR="00993BBE" w:rsidRDefault="00993BBE" w:rsidP="00993BBE">
      <w:pPr>
        <w:autoSpaceDE w:val="0"/>
        <w:autoSpaceDN w:val="0"/>
        <w:adjustRightInd w:val="0"/>
        <w:rPr>
          <w:rFonts w:eastAsiaTheme="minorHAnsi" w:cstheme="minorHAnsi"/>
          <w:color w:val="333333"/>
          <w:lang w:val="en-GB" w:eastAsia="en-US"/>
        </w:rPr>
      </w:pPr>
      <w:r w:rsidRPr="00993BBE">
        <w:rPr>
          <w:rFonts w:eastAsiaTheme="minorHAnsi" w:cstheme="minorHAnsi"/>
          <w:color w:val="333333"/>
          <w:lang w:val="en-GB" w:eastAsia="en-US"/>
        </w:rPr>
        <w:t>These case studies highlight different approaches to equity-focused commissioning of services and practices across three regions of Aotearoa New Zealand: Lakes</w:t>
      </w:r>
      <w:r w:rsidR="00F7445B">
        <w:rPr>
          <w:rFonts w:eastAsiaTheme="minorHAnsi" w:cstheme="minorHAnsi"/>
          <w:color w:val="333333"/>
          <w:lang w:val="en-GB" w:eastAsia="en-US"/>
        </w:rPr>
        <w:t xml:space="preserve">, </w:t>
      </w:r>
      <w:r w:rsidRPr="00993BBE">
        <w:rPr>
          <w:rFonts w:eastAsiaTheme="minorHAnsi" w:cstheme="minorHAnsi"/>
          <w:color w:val="333333"/>
          <w:lang w:val="en-GB" w:eastAsia="en-US"/>
        </w:rPr>
        <w:t>Tairāwhiti</w:t>
      </w:r>
      <w:r w:rsidR="00F7445B">
        <w:rPr>
          <w:rFonts w:eastAsiaTheme="minorHAnsi" w:cstheme="minorHAnsi"/>
          <w:color w:val="333333"/>
          <w:lang w:val="en-GB" w:eastAsia="en-US"/>
        </w:rPr>
        <w:t xml:space="preserve"> and </w:t>
      </w:r>
      <w:r w:rsidR="00F7445B" w:rsidRPr="00993BBE">
        <w:rPr>
          <w:rFonts w:eastAsiaTheme="minorHAnsi" w:cstheme="minorHAnsi"/>
          <w:color w:val="333333"/>
          <w:lang w:val="en-GB" w:eastAsia="en-US"/>
        </w:rPr>
        <w:t>Hawke’s Bay</w:t>
      </w:r>
      <w:r w:rsidR="00F7445B">
        <w:rPr>
          <w:rFonts w:eastAsiaTheme="minorHAnsi" w:cstheme="minorHAnsi"/>
          <w:color w:val="333333"/>
          <w:lang w:val="en-GB" w:eastAsia="en-US"/>
        </w:rPr>
        <w:t xml:space="preserve">. </w:t>
      </w:r>
      <w:r w:rsidRPr="00993BBE">
        <w:rPr>
          <w:rFonts w:eastAsiaTheme="minorHAnsi" w:cstheme="minorHAnsi"/>
          <w:color w:val="333333"/>
          <w:lang w:val="en-GB" w:eastAsia="en-US"/>
        </w:rPr>
        <w:t>Each region has a high proportion of Māori and a high proportion of communities with greater levels of entrenched disadvantage and inequity compared with the national population.</w:t>
      </w:r>
    </w:p>
    <w:p w14:paraId="600061B9" w14:textId="77777777" w:rsidR="00993BBE" w:rsidRPr="00993BBE" w:rsidRDefault="00993BBE" w:rsidP="00993BBE">
      <w:pPr>
        <w:autoSpaceDE w:val="0"/>
        <w:autoSpaceDN w:val="0"/>
        <w:adjustRightInd w:val="0"/>
        <w:rPr>
          <w:rFonts w:eastAsiaTheme="minorHAnsi" w:cstheme="minorHAnsi"/>
          <w:color w:val="333333"/>
          <w:lang w:val="en-GB" w:eastAsia="en-US"/>
        </w:rPr>
      </w:pPr>
    </w:p>
    <w:p w14:paraId="4DCECBBD" w14:textId="62E00C09" w:rsidR="00993BBE" w:rsidRDefault="00993BBE" w:rsidP="00993BBE">
      <w:pPr>
        <w:autoSpaceDE w:val="0"/>
        <w:autoSpaceDN w:val="0"/>
        <w:adjustRightInd w:val="0"/>
        <w:rPr>
          <w:rFonts w:eastAsiaTheme="minorHAnsi" w:cstheme="minorHAnsi"/>
          <w:color w:val="333333"/>
          <w:lang w:val="en-GB" w:eastAsia="en-US"/>
        </w:rPr>
      </w:pPr>
      <w:r w:rsidRPr="00993BBE">
        <w:rPr>
          <w:rFonts w:eastAsiaTheme="minorHAnsi" w:cstheme="minorHAnsi"/>
          <w:color w:val="333333"/>
          <w:lang w:val="en-GB" w:eastAsia="en-US"/>
        </w:rPr>
        <w:t xml:space="preserve">Actions taken to improve health equity in each region are described, highlighting the different </w:t>
      </w:r>
      <w:r w:rsidR="002244D1">
        <w:rPr>
          <w:rFonts w:eastAsiaTheme="minorHAnsi" w:cstheme="minorHAnsi"/>
          <w:color w:val="333333"/>
          <w:lang w:val="en-GB" w:eastAsia="en-US"/>
        </w:rPr>
        <w:t>approaches to commissioning including partnership with Māori</w:t>
      </w:r>
      <w:r w:rsidRPr="00993BBE">
        <w:rPr>
          <w:rFonts w:eastAsiaTheme="minorHAnsi" w:cstheme="minorHAnsi"/>
          <w:color w:val="333333"/>
          <w:lang w:val="en-GB" w:eastAsia="en-US"/>
        </w:rPr>
        <w:t xml:space="preserve">. System-level barriers to progressing community-led and whānau-centred approaches are identified and potential solutions explored. </w:t>
      </w:r>
    </w:p>
    <w:p w14:paraId="058FCDA6" w14:textId="77777777" w:rsidR="00993BBE" w:rsidRPr="00993BBE" w:rsidRDefault="00993BBE" w:rsidP="00993BBE">
      <w:pPr>
        <w:autoSpaceDE w:val="0"/>
        <w:autoSpaceDN w:val="0"/>
        <w:adjustRightInd w:val="0"/>
        <w:rPr>
          <w:rFonts w:eastAsiaTheme="minorHAnsi" w:cstheme="minorHAnsi"/>
          <w:color w:val="333333"/>
          <w:lang w:val="en-GB" w:eastAsia="en-US"/>
        </w:rPr>
      </w:pPr>
    </w:p>
    <w:p w14:paraId="3E5C2ACC" w14:textId="21C35D00" w:rsidR="00655936" w:rsidRDefault="00993BBE" w:rsidP="00993BBE">
      <w:pPr>
        <w:autoSpaceDE w:val="0"/>
        <w:autoSpaceDN w:val="0"/>
        <w:adjustRightInd w:val="0"/>
        <w:rPr>
          <w:rFonts w:eastAsiaTheme="minorHAnsi" w:cstheme="minorHAnsi"/>
          <w:color w:val="333333"/>
          <w:lang w:val="en-GB" w:eastAsia="en-US"/>
        </w:rPr>
      </w:pPr>
      <w:r w:rsidRPr="00993BBE">
        <w:rPr>
          <w:rFonts w:eastAsiaTheme="minorHAnsi" w:cstheme="minorHAnsi"/>
          <w:color w:val="333333"/>
          <w:lang w:val="en-GB" w:eastAsia="en-US"/>
        </w:rPr>
        <w:t xml:space="preserve">Lessons from these experiences contribute to an understanding of how the different entities in the health system can exercise their stewardship to better support communities and organisations </w:t>
      </w:r>
      <w:r w:rsidR="003913C5">
        <w:rPr>
          <w:rFonts w:eastAsiaTheme="minorHAnsi" w:cstheme="minorHAnsi"/>
          <w:color w:val="333333"/>
          <w:lang w:val="en-GB" w:eastAsia="en-US"/>
        </w:rPr>
        <w:t>in commissioning arrangements</w:t>
      </w:r>
      <w:r w:rsidRPr="00993BBE">
        <w:rPr>
          <w:rFonts w:eastAsiaTheme="minorHAnsi" w:cstheme="minorHAnsi"/>
          <w:color w:val="333333"/>
          <w:lang w:val="en-GB" w:eastAsia="en-US"/>
        </w:rPr>
        <w:t xml:space="preserve"> to achieve equity and wellbeing for whānau Māori.</w:t>
      </w:r>
    </w:p>
    <w:p w14:paraId="70E2B6F0" w14:textId="77777777" w:rsidR="00655936" w:rsidRDefault="00655936" w:rsidP="00655936">
      <w:pPr>
        <w:pStyle w:val="Heading1"/>
        <w:sectPr w:rsidR="00655936" w:rsidSect="00A27D16">
          <w:pgSz w:w="11901" w:h="16817"/>
          <w:pgMar w:top="1418" w:right="1701" w:bottom="1134" w:left="1843" w:header="709" w:footer="425" w:gutter="0"/>
          <w:pgNumType w:start="1"/>
          <w:cols w:space="708"/>
          <w:docGrid w:linePitch="360"/>
        </w:sectPr>
      </w:pPr>
    </w:p>
    <w:p w14:paraId="4491056E" w14:textId="00887C37" w:rsidR="00655936" w:rsidRPr="00BF3F47" w:rsidRDefault="00993BBE" w:rsidP="00655936">
      <w:pPr>
        <w:pStyle w:val="Heading1"/>
        <w:spacing w:before="0"/>
      </w:pPr>
      <w:bookmarkStart w:id="4" w:name="_Toc122356149"/>
      <w:bookmarkStart w:id="5" w:name="_Toc124845525"/>
      <w:r w:rsidRPr="00993BBE">
        <w:lastRenderedPageBreak/>
        <w:t>Method and contributions</w:t>
      </w:r>
      <w:bookmarkEnd w:id="5"/>
      <w:r w:rsidR="00655936" w:rsidRPr="00BF3F47">
        <w:t xml:space="preserve"> </w:t>
      </w:r>
      <w:bookmarkEnd w:id="4"/>
    </w:p>
    <w:p w14:paraId="638D3247" w14:textId="6EDFB4BB" w:rsidR="00993BBE" w:rsidRDefault="00993BBE" w:rsidP="00993BBE">
      <w:r>
        <w:t>Key components of the commissioning cycle are illuminated through interviews with district health boards (DHBs), providers and community organisations. Key reports, programme evaluations, planning and policy documents are also incorporated and referenced throughout.</w:t>
      </w:r>
    </w:p>
    <w:p w14:paraId="1725577B" w14:textId="77777777" w:rsidR="00993BBE" w:rsidRDefault="00993BBE" w:rsidP="00993BBE"/>
    <w:p w14:paraId="21891632" w14:textId="27186B78" w:rsidR="00655936" w:rsidRPr="00A00F16" w:rsidRDefault="00993BBE" w:rsidP="00993BBE">
      <w:pPr>
        <w:rPr>
          <w:szCs w:val="22"/>
        </w:rPr>
      </w:pPr>
      <w:r>
        <w:t>While these case studies did not directly engage with whānau and communities, findings, feedback and perspectives from whānau informed many of the changes and the direction of the initiatives and approaches detailed in each study.</w:t>
      </w:r>
      <w:r w:rsidR="00655936" w:rsidRPr="00A00F16">
        <w:rPr>
          <w:szCs w:val="22"/>
        </w:rPr>
        <w:t xml:space="preserve"> </w:t>
      </w:r>
    </w:p>
    <w:p w14:paraId="5F3E9006" w14:textId="02F976C8" w:rsidR="00993BBE" w:rsidRDefault="00993BBE" w:rsidP="00993BBE">
      <w:pPr>
        <w:sectPr w:rsidR="00993BBE" w:rsidSect="00A27D16">
          <w:pgSz w:w="11901" w:h="16817"/>
          <w:pgMar w:top="1418" w:right="1701" w:bottom="1134" w:left="1843" w:header="709" w:footer="425" w:gutter="0"/>
          <w:cols w:space="708"/>
          <w:docGrid w:linePitch="360"/>
        </w:sectPr>
      </w:pPr>
    </w:p>
    <w:p w14:paraId="0B3AA2A6" w14:textId="7590FFC3" w:rsidR="00332318" w:rsidRPr="00332318" w:rsidRDefault="00332318" w:rsidP="00A27D16">
      <w:pPr>
        <w:pStyle w:val="Heading1"/>
        <w:numPr>
          <w:ilvl w:val="0"/>
          <w:numId w:val="46"/>
        </w:numPr>
        <w:spacing w:before="0"/>
        <w:ind w:left="851" w:hanging="851"/>
      </w:pPr>
      <w:bookmarkStart w:id="6" w:name="_Toc122360203"/>
      <w:bookmarkStart w:id="7" w:name="_Toc124845526"/>
      <w:r w:rsidRPr="00332318">
        <w:lastRenderedPageBreak/>
        <w:t>Lakes</w:t>
      </w:r>
      <w:r w:rsidRPr="00993BBE">
        <w:t xml:space="preserve"> region</w:t>
      </w:r>
      <w:bookmarkEnd w:id="6"/>
      <w:bookmarkEnd w:id="7"/>
    </w:p>
    <w:p w14:paraId="33D7D2E1" w14:textId="77777777" w:rsidR="00332318" w:rsidRPr="00D80A37" w:rsidRDefault="00332318" w:rsidP="00332318">
      <w:r w:rsidRPr="00D80A37">
        <w:t>Two initiatives from the Lakes</w:t>
      </w:r>
      <w:r w:rsidRPr="00F00E01">
        <w:rPr>
          <w:lang w:val="en-GB"/>
        </w:rPr>
        <w:t xml:space="preserve"> </w:t>
      </w:r>
      <w:r w:rsidRPr="00D80A37">
        <w:rPr>
          <w:lang w:val="en-GB"/>
        </w:rPr>
        <w:t>District Health Board (Lakes DHB)</w:t>
      </w:r>
      <w:r w:rsidRPr="00D80A37">
        <w:t xml:space="preserve"> Innovation Project highlight how system tools and levers can be applied to improve access for whānau Māori to </w:t>
      </w:r>
      <w:r>
        <w:t>high-</w:t>
      </w:r>
      <w:r w:rsidRPr="00D80A37">
        <w:t>quality health</w:t>
      </w:r>
      <w:r>
        <w:t xml:space="preserve"> </w:t>
      </w:r>
      <w:r w:rsidRPr="00D80A37">
        <w:t>care.</w:t>
      </w:r>
    </w:p>
    <w:p w14:paraId="79C1DB33" w14:textId="77777777" w:rsidR="00332318" w:rsidRPr="00D80A37" w:rsidRDefault="00332318" w:rsidP="00332318">
      <w:pPr>
        <w:pStyle w:val="Bullet"/>
      </w:pPr>
      <w:r w:rsidRPr="00D80A37">
        <w:t xml:space="preserve">Fit for Surgery focused on ensuring whānau </w:t>
      </w:r>
      <w:r>
        <w:t xml:space="preserve">were </w:t>
      </w:r>
      <w:r w:rsidRPr="00D80A37">
        <w:t>engaged early to prepare for their pre</w:t>
      </w:r>
      <w:r>
        <w:t>-</w:t>
      </w:r>
      <w:r w:rsidRPr="00D80A37">
        <w:t>operative journey. This was achieved through agreed data</w:t>
      </w:r>
      <w:r>
        <w:t>-</w:t>
      </w:r>
      <w:r w:rsidRPr="00D80A37">
        <w:t>sharing practices and mechanisms, the establishment of a continuous improvement process between key partners, and partnering arrangements to refine and agree workflow processes.</w:t>
      </w:r>
    </w:p>
    <w:p w14:paraId="1D032F16" w14:textId="77777777" w:rsidR="00332318" w:rsidRPr="00D80A37" w:rsidRDefault="00332318" w:rsidP="00332318">
      <w:pPr>
        <w:pStyle w:val="Bullet"/>
      </w:pPr>
      <w:r w:rsidRPr="00D80A37">
        <w:t xml:space="preserve">The Healthy Homes Initiative (HHI) was established </w:t>
      </w:r>
      <w:r w:rsidRPr="00D80A37">
        <w:rPr>
          <w:shd w:val="clear" w:color="auto" w:fill="FFFFFF"/>
        </w:rPr>
        <w:t xml:space="preserve">to respond to whānau and families experiencing poverty and housing stress. Through </w:t>
      </w:r>
      <w:r>
        <w:t>i</w:t>
      </w:r>
      <w:r w:rsidRPr="00D80A37">
        <w:t xml:space="preserve">wi leadership, dedicated resources in partnering arrangements, partnering within and across iwi boundaries, and adaptive and flexible commissioning, HHI </w:t>
      </w:r>
      <w:r>
        <w:t>continues</w:t>
      </w:r>
      <w:r w:rsidRPr="00D80A37">
        <w:t xml:space="preserve"> to deliver significant benefits to whānau Māori and communities.</w:t>
      </w:r>
    </w:p>
    <w:p w14:paraId="1E3226B3" w14:textId="7F7B5D93" w:rsidR="00332318" w:rsidRPr="00D80A37" w:rsidRDefault="00332318" w:rsidP="00332318">
      <w:pPr>
        <w:pStyle w:val="Heading2"/>
      </w:pPr>
      <w:bookmarkStart w:id="8" w:name="_Toc124845527"/>
      <w:r w:rsidRPr="00D80A37">
        <w:t>Background</w:t>
      </w:r>
      <w:bookmarkEnd w:id="8"/>
    </w:p>
    <w:p w14:paraId="0503745A" w14:textId="227572C6" w:rsidR="00332318" w:rsidRDefault="00332318" w:rsidP="00332318">
      <w:pPr>
        <w:rPr>
          <w:i/>
          <w:iCs/>
        </w:rPr>
      </w:pPr>
      <w:r w:rsidRPr="00D80A37">
        <w:rPr>
          <w:lang w:val="en-GB"/>
        </w:rPr>
        <w:t>Lakes DHB invested in a partnership approach to developing community-led and culturally defined innovations to increase whānau access to</w:t>
      </w:r>
      <w:r w:rsidRPr="00434BBB">
        <w:rPr>
          <w:i/>
          <w:iCs/>
          <w:lang w:val="en-GB"/>
        </w:rPr>
        <w:t xml:space="preserve"> </w:t>
      </w:r>
      <w:r w:rsidRPr="001C3FC3">
        <w:t>‘</w:t>
      </w:r>
      <w:r w:rsidRPr="001C3FC3">
        <w:rPr>
          <w:lang w:val="en-GB"/>
        </w:rPr>
        <w:t>consistent, safe and quality health care and</w:t>
      </w:r>
      <w:r w:rsidRPr="001C3FC3">
        <w:t xml:space="preserve"> support’</w:t>
      </w:r>
      <w:r w:rsidRPr="00D80A37">
        <w:rPr>
          <w:i/>
          <w:iCs/>
          <w:lang w:val="en-GB"/>
        </w:rPr>
        <w:t>.</w:t>
      </w:r>
      <w:r w:rsidRPr="00D80A37">
        <w:rPr>
          <w:i/>
          <w:iCs/>
        </w:rPr>
        <w:t xml:space="preserve"> </w:t>
      </w:r>
    </w:p>
    <w:p w14:paraId="0EC0C955" w14:textId="77777777" w:rsidR="00332318" w:rsidRPr="00D80A37" w:rsidRDefault="00332318" w:rsidP="00112CA9"/>
    <w:p w14:paraId="70935392" w14:textId="14F88C96" w:rsidR="00332318" w:rsidRDefault="00332318" w:rsidP="00332318">
      <w:r w:rsidRPr="00D80A37">
        <w:rPr>
          <w:lang w:val="en-GB"/>
        </w:rPr>
        <w:t xml:space="preserve">Lakes DHB committed to a three-year Planned Care Improvement Innovation </w:t>
      </w:r>
      <w:r>
        <w:rPr>
          <w:lang w:val="en-GB"/>
        </w:rPr>
        <w:t>P</w:t>
      </w:r>
      <w:r w:rsidRPr="00D80A37">
        <w:rPr>
          <w:lang w:val="en-GB"/>
        </w:rPr>
        <w:t xml:space="preserve">roject (Innovation Project) </w:t>
      </w:r>
      <w:r>
        <w:rPr>
          <w:lang w:val="en-GB"/>
        </w:rPr>
        <w:t>as a</w:t>
      </w:r>
      <w:r w:rsidRPr="00D80A37">
        <w:rPr>
          <w:lang w:val="en-GB"/>
        </w:rPr>
        <w:t xml:space="preserve"> contribution to </w:t>
      </w:r>
      <w:proofErr w:type="spellStart"/>
      <w:r w:rsidRPr="001C3FC3">
        <w:rPr>
          <w:i/>
          <w:iCs/>
          <w:lang w:val="en-GB"/>
        </w:rPr>
        <w:t>Te</w:t>
      </w:r>
      <w:proofErr w:type="spellEnd"/>
      <w:r w:rsidRPr="001C3FC3">
        <w:rPr>
          <w:i/>
          <w:iCs/>
          <w:lang w:val="en-GB"/>
        </w:rPr>
        <w:t xml:space="preserve"> Manawa </w:t>
      </w:r>
      <w:proofErr w:type="spellStart"/>
      <w:r w:rsidRPr="001C3FC3">
        <w:rPr>
          <w:i/>
          <w:iCs/>
          <w:lang w:val="en-GB"/>
        </w:rPr>
        <w:t>Rahi</w:t>
      </w:r>
      <w:proofErr w:type="spellEnd"/>
      <w:r w:rsidRPr="00D80A37">
        <w:rPr>
          <w:rStyle w:val="FootnoteReference"/>
          <w:rFonts w:cstheme="minorHAnsi"/>
          <w:lang w:val="en-GB"/>
        </w:rPr>
        <w:footnoteReference w:id="1"/>
      </w:r>
      <w:r w:rsidRPr="00D80A37">
        <w:rPr>
          <w:lang w:val="en-GB"/>
        </w:rPr>
        <w:t xml:space="preserve"> to address health inequities experienced by Māori and other marginalised communities. </w:t>
      </w:r>
      <w:r w:rsidRPr="00D80A37">
        <w:t xml:space="preserve">A fundamental factor </w:t>
      </w:r>
      <w:r>
        <w:t>in the</w:t>
      </w:r>
      <w:r w:rsidRPr="00D80A37">
        <w:t xml:space="preserve"> success of the project has been </w:t>
      </w:r>
      <w:r>
        <w:t>that it gives</w:t>
      </w:r>
      <w:r w:rsidRPr="00D80A37">
        <w:t xml:space="preserve"> </w:t>
      </w:r>
      <w:r w:rsidRPr="00D80A37">
        <w:rPr>
          <w:lang w:val="en-GB"/>
        </w:rPr>
        <w:t xml:space="preserve">validity and authority </w:t>
      </w:r>
      <w:r>
        <w:rPr>
          <w:lang w:val="en-GB"/>
        </w:rPr>
        <w:t>to</w:t>
      </w:r>
      <w:r w:rsidRPr="00D80A37">
        <w:rPr>
          <w:lang w:val="en-GB"/>
        </w:rPr>
        <w:t xml:space="preserve"> </w:t>
      </w:r>
      <w:r w:rsidRPr="00D80A37">
        <w:t>‘</w:t>
      </w:r>
      <w:r w:rsidRPr="00434BBB">
        <w:t>iwi, hapū, whānau and communities … to improve their [own] health and wellbeing within a health system that is inclusive and respectful of aspirations to deliver health outcomes based on mātauranga Māori and indigenous health principles</w:t>
      </w:r>
      <w:r w:rsidRPr="009B344C">
        <w:t>’</w:t>
      </w:r>
      <w:r w:rsidRPr="00D80A37">
        <w:t>.</w:t>
      </w:r>
      <w:r w:rsidRPr="00D80A37">
        <w:rPr>
          <w:rStyle w:val="FootnoteReference"/>
          <w:rFonts w:cstheme="minorHAnsi"/>
        </w:rPr>
        <w:footnoteReference w:id="2"/>
      </w:r>
    </w:p>
    <w:p w14:paraId="1E360DA4" w14:textId="77777777" w:rsidR="00332318" w:rsidRPr="00D80A37" w:rsidRDefault="00332318" w:rsidP="00332318">
      <w:pPr>
        <w:rPr>
          <w:lang w:val="en-GB"/>
        </w:rPr>
      </w:pPr>
    </w:p>
    <w:p w14:paraId="5EF9EEB0" w14:textId="77777777" w:rsidR="00332318" w:rsidRPr="00D80A37" w:rsidRDefault="00332318" w:rsidP="00332318">
      <w:pPr>
        <w:rPr>
          <w:lang w:val="en-GB"/>
        </w:rPr>
      </w:pPr>
      <w:bookmarkStart w:id="9" w:name="_Hlk77266595"/>
      <w:r w:rsidRPr="00D80A37">
        <w:rPr>
          <w:lang w:val="en-GB"/>
        </w:rPr>
        <w:t>To demonstrate initial successes,</w:t>
      </w:r>
      <w:r>
        <w:rPr>
          <w:lang w:val="en-GB"/>
        </w:rPr>
        <w:t xml:space="preserve"> this section highlights</w:t>
      </w:r>
      <w:r w:rsidRPr="00D80A37">
        <w:rPr>
          <w:lang w:val="en-GB"/>
        </w:rPr>
        <w:t xml:space="preserve"> two initiatives within the Innovation Project</w:t>
      </w:r>
      <w:r>
        <w:rPr>
          <w:lang w:val="en-GB"/>
        </w:rPr>
        <w:t>.</w:t>
      </w:r>
    </w:p>
    <w:p w14:paraId="3546D072" w14:textId="77777777" w:rsidR="00332318" w:rsidRPr="00332318" w:rsidRDefault="00332318" w:rsidP="00332318">
      <w:pPr>
        <w:pStyle w:val="ListNumber"/>
        <w:numPr>
          <w:ilvl w:val="0"/>
          <w:numId w:val="41"/>
        </w:numPr>
        <w:spacing w:before="90" w:after="0"/>
        <w:ind w:left="357" w:hanging="357"/>
        <w:contextualSpacing w:val="0"/>
        <w:rPr>
          <w:rFonts w:ascii="Segoe UI" w:hAnsi="Segoe UI" w:cs="Segoe UI"/>
          <w:sz w:val="21"/>
          <w:szCs w:val="21"/>
        </w:rPr>
      </w:pPr>
      <w:r w:rsidRPr="00332318">
        <w:rPr>
          <w:rFonts w:ascii="Segoe UI" w:hAnsi="Segoe UI" w:cs="Segoe UI"/>
          <w:sz w:val="21"/>
          <w:szCs w:val="21"/>
        </w:rPr>
        <w:t xml:space="preserve">Fit for Surgery is an alternative referral and health service pathway to surgery and aims to reduce the risk of perioperative complications. Korowai Aroha Health Trust is the lead provider.   </w:t>
      </w:r>
    </w:p>
    <w:p w14:paraId="78B77E93" w14:textId="77777777" w:rsidR="00332318" w:rsidRPr="00332318" w:rsidRDefault="00332318" w:rsidP="00332318">
      <w:pPr>
        <w:pStyle w:val="ListNumber"/>
        <w:numPr>
          <w:ilvl w:val="0"/>
          <w:numId w:val="41"/>
        </w:numPr>
        <w:spacing w:before="90" w:after="0"/>
        <w:ind w:left="357" w:hanging="357"/>
        <w:contextualSpacing w:val="0"/>
        <w:rPr>
          <w:rFonts w:ascii="Segoe UI" w:hAnsi="Segoe UI" w:cs="Segoe UI"/>
          <w:sz w:val="21"/>
          <w:szCs w:val="21"/>
        </w:rPr>
      </w:pPr>
      <w:proofErr w:type="spellStart"/>
      <w:r w:rsidRPr="00332318">
        <w:rPr>
          <w:rFonts w:ascii="Segoe UI" w:hAnsi="Segoe UI" w:cs="Segoe UI"/>
          <w:sz w:val="21"/>
          <w:szCs w:val="21"/>
        </w:rPr>
        <w:t>Tūrangi</w:t>
      </w:r>
      <w:proofErr w:type="spellEnd"/>
      <w:r w:rsidRPr="00332318">
        <w:rPr>
          <w:rFonts w:ascii="Segoe UI" w:hAnsi="Segoe UI" w:cs="Segoe UI"/>
          <w:sz w:val="21"/>
          <w:szCs w:val="21"/>
        </w:rPr>
        <w:t xml:space="preserve"> Healthy Homes Initiative is a cross-sector collaboration to support whānau living in cold, damp and substandard housing, and/or living in overcrowded conditions due to housing stress and prohibitive housing costs. </w:t>
      </w:r>
      <w:proofErr w:type="spellStart"/>
      <w:r w:rsidRPr="00332318">
        <w:rPr>
          <w:rFonts w:ascii="Segoe UI" w:hAnsi="Segoe UI" w:cs="Segoe UI"/>
          <w:sz w:val="21"/>
          <w:szCs w:val="21"/>
        </w:rPr>
        <w:t>Te</w:t>
      </w:r>
      <w:proofErr w:type="spellEnd"/>
      <w:r w:rsidRPr="00332318">
        <w:rPr>
          <w:rFonts w:ascii="Segoe UI" w:hAnsi="Segoe UI" w:cs="Segoe UI"/>
          <w:sz w:val="21"/>
          <w:szCs w:val="21"/>
        </w:rPr>
        <w:t xml:space="preserve"> </w:t>
      </w:r>
      <w:proofErr w:type="spellStart"/>
      <w:r w:rsidRPr="00332318">
        <w:rPr>
          <w:rFonts w:ascii="Segoe UI" w:hAnsi="Segoe UI" w:cs="Segoe UI"/>
          <w:sz w:val="21"/>
          <w:szCs w:val="21"/>
        </w:rPr>
        <w:t>Kapua</w:t>
      </w:r>
      <w:proofErr w:type="spellEnd"/>
      <w:r w:rsidRPr="00332318">
        <w:rPr>
          <w:rFonts w:ascii="Segoe UI" w:hAnsi="Segoe UI" w:cs="Segoe UI"/>
          <w:sz w:val="21"/>
          <w:szCs w:val="21"/>
        </w:rPr>
        <w:t xml:space="preserve"> </w:t>
      </w:r>
      <w:proofErr w:type="spellStart"/>
      <w:r w:rsidRPr="00332318">
        <w:rPr>
          <w:rFonts w:ascii="Segoe UI" w:hAnsi="Segoe UI" w:cs="Segoe UI"/>
          <w:sz w:val="21"/>
          <w:szCs w:val="21"/>
        </w:rPr>
        <w:t>Whakapīpī</w:t>
      </w:r>
      <w:proofErr w:type="spellEnd"/>
      <w:r w:rsidRPr="00332318">
        <w:rPr>
          <w:rFonts w:ascii="Segoe UI" w:hAnsi="Segoe UI" w:cs="Segoe UI"/>
          <w:sz w:val="21"/>
          <w:szCs w:val="21"/>
        </w:rPr>
        <w:t xml:space="preserve"> is the lead provider.  </w:t>
      </w:r>
    </w:p>
    <w:p w14:paraId="361B63FF" w14:textId="77777777" w:rsidR="00332318" w:rsidRDefault="00332318" w:rsidP="00332318">
      <w:pPr>
        <w:rPr>
          <w:lang w:val="en-GB"/>
        </w:rPr>
      </w:pPr>
      <w:bookmarkStart w:id="10" w:name="_Hlk121816300"/>
    </w:p>
    <w:p w14:paraId="327FD373" w14:textId="6DAA3761" w:rsidR="00332318" w:rsidRPr="00D80A37" w:rsidRDefault="00332318" w:rsidP="00332318">
      <w:pPr>
        <w:rPr>
          <w:lang w:val="en-GB"/>
        </w:rPr>
      </w:pPr>
      <w:r w:rsidRPr="00D80A37">
        <w:rPr>
          <w:lang w:val="en-GB"/>
        </w:rPr>
        <w:t xml:space="preserve">The initiatives demonstrate how </w:t>
      </w:r>
      <w:r w:rsidRPr="00434BBB">
        <w:t>‘whānau-centred primary health care [has] ... evolved out of Māori innovation within the health sector rather than direct funding of a whānau-</w:t>
      </w:r>
      <w:r w:rsidRPr="00434BBB">
        <w:lastRenderedPageBreak/>
        <w:t>centred model or approach’</w:t>
      </w:r>
      <w:r w:rsidRPr="00D80A37">
        <w:t>.</w:t>
      </w:r>
      <w:r w:rsidRPr="00D80A37">
        <w:rPr>
          <w:rStyle w:val="FootnoteReference"/>
          <w:rFonts w:cstheme="minorHAnsi"/>
        </w:rPr>
        <w:footnoteReference w:id="3"/>
      </w:r>
      <w:r w:rsidRPr="00D80A37">
        <w:t xml:space="preserve"> </w:t>
      </w:r>
      <w:r w:rsidRPr="00D80A37">
        <w:rPr>
          <w:lang w:val="en-GB"/>
        </w:rPr>
        <w:t xml:space="preserve">Both partners referenced examples demonstrating the ‘value’ of flexible and adaptive funding and commissioning relationships in Whānau Ora investment (via </w:t>
      </w:r>
      <w:r>
        <w:rPr>
          <w:lang w:val="en-GB"/>
        </w:rPr>
        <w:t xml:space="preserve">the </w:t>
      </w:r>
      <w:r w:rsidRPr="00A77804">
        <w:t>Whā</w:t>
      </w:r>
      <w:r w:rsidRPr="005D6651">
        <w:t>nau Ora Commissioning Agency</w:t>
      </w:r>
      <w:r w:rsidRPr="00D80A37">
        <w:rPr>
          <w:lang w:val="en-GB"/>
        </w:rPr>
        <w:t>)</w:t>
      </w:r>
      <w:r w:rsidRPr="00D80A37">
        <w:rPr>
          <w:rStyle w:val="FootnoteReference"/>
          <w:rFonts w:cstheme="minorHAnsi"/>
          <w:lang w:val="en-GB"/>
        </w:rPr>
        <w:footnoteReference w:id="4"/>
      </w:r>
      <w:r w:rsidRPr="00D80A37">
        <w:rPr>
          <w:lang w:val="en-GB"/>
        </w:rPr>
        <w:t xml:space="preserve"> to develop innovative solutions with whānau, beginning with their strengths, </w:t>
      </w:r>
      <w:r>
        <w:rPr>
          <w:lang w:val="en-GB"/>
        </w:rPr>
        <w:t>with the aim of</w:t>
      </w:r>
      <w:r w:rsidRPr="00D80A37">
        <w:rPr>
          <w:lang w:val="en-GB"/>
        </w:rPr>
        <w:t xml:space="preserve"> identify</w:t>
      </w:r>
      <w:r>
        <w:rPr>
          <w:lang w:val="en-GB"/>
        </w:rPr>
        <w:t>ing</w:t>
      </w:r>
      <w:r w:rsidRPr="00D80A37">
        <w:rPr>
          <w:lang w:val="en-GB"/>
        </w:rPr>
        <w:t xml:space="preserve"> and respond</w:t>
      </w:r>
      <w:r>
        <w:rPr>
          <w:lang w:val="en-GB"/>
        </w:rPr>
        <w:t>ing</w:t>
      </w:r>
      <w:r w:rsidRPr="00D80A37">
        <w:rPr>
          <w:lang w:val="en-GB"/>
        </w:rPr>
        <w:t xml:space="preserve"> to gaps and needs.</w:t>
      </w:r>
      <w:r w:rsidRPr="00D80A37">
        <w:rPr>
          <w:rStyle w:val="FootnoteReference"/>
          <w:rFonts w:cstheme="minorHAnsi"/>
          <w:lang w:val="en-GB"/>
        </w:rPr>
        <w:footnoteReference w:id="5"/>
      </w:r>
      <w:r w:rsidRPr="00D80A37">
        <w:rPr>
          <w:lang w:val="en-GB"/>
        </w:rPr>
        <w:t xml:space="preserve">   </w:t>
      </w:r>
      <w:bookmarkEnd w:id="9"/>
      <w:bookmarkEnd w:id="10"/>
    </w:p>
    <w:p w14:paraId="6CDFBAF7" w14:textId="77777777" w:rsidR="00332318" w:rsidRPr="00D80A37" w:rsidRDefault="00332318" w:rsidP="00332318">
      <w:pPr>
        <w:pStyle w:val="Heading3"/>
      </w:pPr>
      <w:r w:rsidRPr="00D80A37">
        <w:t>Fit for Surgery</w:t>
      </w:r>
    </w:p>
    <w:p w14:paraId="5E148DEA" w14:textId="78881EE7" w:rsidR="00332318" w:rsidRDefault="00332318" w:rsidP="00332318">
      <w:r w:rsidRPr="00D80A37">
        <w:t>Fit for Surgery is an alternative referral and treatment pathway to prepare whānau for surgical intervention by engaging with them early in their pre</w:t>
      </w:r>
      <w:r>
        <w:t>-</w:t>
      </w:r>
      <w:r w:rsidRPr="00D80A37">
        <w:t>operative journey. The aim is to deliver a service that is close to home and culturally accessible, to support lifestyle changes related to nutrition, physical activity, smoking and alcohol misuse.</w:t>
      </w:r>
      <w:r w:rsidRPr="009E5CC7">
        <w:t xml:space="preserve"> </w:t>
      </w:r>
      <w:r w:rsidRPr="00434BBB">
        <w:t>‘</w:t>
      </w:r>
      <w:r w:rsidRPr="001C3FC3">
        <w:t>We need to work with whānau</w:t>
      </w:r>
      <w:r w:rsidRPr="00434BBB">
        <w:t xml:space="preserve">, </w:t>
      </w:r>
      <w:r w:rsidRPr="001C3FC3">
        <w:t xml:space="preserve">remove </w:t>
      </w:r>
      <w:r>
        <w:t>“</w:t>
      </w:r>
      <w:r w:rsidRPr="001C3FC3">
        <w:t>us and them</w:t>
      </w:r>
      <w:r>
        <w:t>”</w:t>
      </w:r>
      <w:r w:rsidRPr="001C3FC3">
        <w:t xml:space="preserve"> walls </w:t>
      </w:r>
      <w:r w:rsidRPr="00434BBB">
        <w:t xml:space="preserve">… </w:t>
      </w:r>
      <w:r w:rsidRPr="001C3FC3">
        <w:t xml:space="preserve">we build relationships, whānau feel safe to call in and talk to us about things that may be bothering them – beyond the initial health issue </w:t>
      </w:r>
      <w:r w:rsidRPr="00434BBB">
        <w:t>–</w:t>
      </w:r>
      <w:r w:rsidRPr="001C3FC3">
        <w:t xml:space="preserve"> and they do.’</w:t>
      </w:r>
      <w:r w:rsidRPr="00D80A37">
        <w:rPr>
          <w:i/>
        </w:rPr>
        <w:t xml:space="preserve"> </w:t>
      </w:r>
      <w:r w:rsidRPr="00D80A37">
        <w:t>Fit for Surgery is a proactive example of</w:t>
      </w:r>
      <w:r>
        <w:t xml:space="preserve"> how</w:t>
      </w:r>
      <w:r w:rsidRPr="00D80A37">
        <w:t xml:space="preserve"> the Māori health and hospital sectors </w:t>
      </w:r>
      <w:r>
        <w:t xml:space="preserve">can </w:t>
      </w:r>
      <w:r w:rsidRPr="00D80A37">
        <w:t>reconfigur</w:t>
      </w:r>
      <w:r>
        <w:t>e</w:t>
      </w:r>
      <w:r w:rsidRPr="00D80A37">
        <w:t xml:space="preserve"> systems pathways to ensure whānau have access to </w:t>
      </w:r>
      <w:r>
        <w:t>high-</w:t>
      </w:r>
      <w:r w:rsidRPr="00D80A37">
        <w:t>quality health</w:t>
      </w:r>
      <w:r>
        <w:t xml:space="preserve"> </w:t>
      </w:r>
      <w:r w:rsidRPr="00D80A37">
        <w:t>care in the community.</w:t>
      </w:r>
    </w:p>
    <w:p w14:paraId="1916865F" w14:textId="77777777" w:rsidR="00332318" w:rsidRPr="00D80A37" w:rsidRDefault="00332318" w:rsidP="00112CA9"/>
    <w:p w14:paraId="55953155" w14:textId="6C13B8E9" w:rsidR="00332318" w:rsidRDefault="00332318" w:rsidP="00332318">
      <w:r w:rsidRPr="00D80A37">
        <w:t>Korowai Aroha also emphasise</w:t>
      </w:r>
      <w:r>
        <w:t>s</w:t>
      </w:r>
      <w:r w:rsidRPr="00D80A37">
        <w:t xml:space="preserve"> the context </w:t>
      </w:r>
      <w:r>
        <w:t>of</w:t>
      </w:r>
      <w:r w:rsidRPr="00D80A37">
        <w:t xml:space="preserve"> Fit for Surgery’s development</w:t>
      </w:r>
      <w:r>
        <w:t>:</w:t>
      </w:r>
      <w:r w:rsidRPr="00D80A37">
        <w:t xml:space="preserve"> </w:t>
      </w:r>
      <w:r w:rsidRPr="00434BBB">
        <w:t>‘</w:t>
      </w:r>
      <w:r w:rsidRPr="001C3FC3">
        <w:t>Long-standing relationships in health, in communities, and with whānau have been built up over time</w:t>
      </w:r>
      <w:r>
        <w:t>’</w:t>
      </w:r>
      <w:r w:rsidRPr="00D80A37">
        <w:rPr>
          <w:i/>
        </w:rPr>
        <w:t xml:space="preserve">, </w:t>
      </w:r>
      <w:r w:rsidRPr="00D80A37">
        <w:rPr>
          <w:iCs/>
        </w:rPr>
        <w:t xml:space="preserve">including through other community-led initiatives </w:t>
      </w:r>
      <w:r>
        <w:rPr>
          <w:iCs/>
        </w:rPr>
        <w:t>with</w:t>
      </w:r>
      <w:r w:rsidRPr="00D80A37">
        <w:rPr>
          <w:iCs/>
        </w:rPr>
        <w:t xml:space="preserve"> </w:t>
      </w:r>
      <w:proofErr w:type="spellStart"/>
      <w:r w:rsidRPr="00D80A37">
        <w:rPr>
          <w:iCs/>
        </w:rPr>
        <w:t>Te</w:t>
      </w:r>
      <w:proofErr w:type="spellEnd"/>
      <w:r w:rsidRPr="00D80A37">
        <w:rPr>
          <w:iCs/>
        </w:rPr>
        <w:t xml:space="preserve"> </w:t>
      </w:r>
      <w:proofErr w:type="spellStart"/>
      <w:r w:rsidRPr="00D80A37">
        <w:rPr>
          <w:iCs/>
        </w:rPr>
        <w:t>Arawa</w:t>
      </w:r>
      <w:proofErr w:type="spellEnd"/>
      <w:r w:rsidRPr="00D80A37">
        <w:rPr>
          <w:iCs/>
        </w:rPr>
        <w:t xml:space="preserve"> </w:t>
      </w:r>
      <w:proofErr w:type="spellStart"/>
      <w:r w:rsidRPr="00D80A37">
        <w:rPr>
          <w:iCs/>
        </w:rPr>
        <w:t>Whānau</w:t>
      </w:r>
      <w:proofErr w:type="spellEnd"/>
      <w:r w:rsidRPr="00D80A37">
        <w:rPr>
          <w:iCs/>
        </w:rPr>
        <w:t xml:space="preserve"> Ora Collective. This whakapapa illustrates the </w:t>
      </w:r>
      <w:r w:rsidRPr="00D80A37">
        <w:t xml:space="preserve">importance of continuous relationships with communities and across sectors </w:t>
      </w:r>
      <w:r>
        <w:t>–</w:t>
      </w:r>
      <w:r w:rsidRPr="00D80A37">
        <w:t xml:space="preserve"> working from shared strengths and assets with a deep understanding of the communities they serve.</w:t>
      </w:r>
    </w:p>
    <w:p w14:paraId="4BA9A121" w14:textId="77777777" w:rsidR="00332318" w:rsidRPr="00D80A37" w:rsidRDefault="00332318" w:rsidP="00332318">
      <w:pPr>
        <w:rPr>
          <w:iCs/>
        </w:rPr>
      </w:pPr>
    </w:p>
    <w:p w14:paraId="57927639" w14:textId="77777777" w:rsidR="00332318" w:rsidRPr="00332318" w:rsidRDefault="00332318" w:rsidP="00332318">
      <w:pPr>
        <w:pStyle w:val="Quote"/>
        <w:spacing w:before="0"/>
        <w:rPr>
          <w:i/>
          <w:iCs/>
        </w:rPr>
      </w:pPr>
      <w:r w:rsidRPr="00332318">
        <w:rPr>
          <w:i/>
          <w:iCs/>
        </w:rPr>
        <w:t>Assessments in the community gave a more personable approach [than in a hospital setting]. In their [community members’] words, ‘just more friendly from the first phone call’. They felt we really cared about their journey and wanted to not only support them but also their whānau. As things came up [during the assessment] we could refer them to appropriate services in the first instance. We recognised things [and responded] … such as marital concerns due to the impact of a disability.</w:t>
      </w:r>
    </w:p>
    <w:p w14:paraId="5BFBF5DB" w14:textId="77777777" w:rsidR="00332318" w:rsidRDefault="00332318" w:rsidP="00332318"/>
    <w:p w14:paraId="28CE5B93" w14:textId="64C1057A" w:rsidR="00332318" w:rsidRPr="00D80A37" w:rsidRDefault="00332318" w:rsidP="00332318">
      <w:r w:rsidRPr="00D80A37">
        <w:t xml:space="preserve">Key ‘systems’ features adapted or established include:  </w:t>
      </w:r>
    </w:p>
    <w:p w14:paraId="0F9BDB57" w14:textId="77777777" w:rsidR="00332318" w:rsidRPr="00D80A37" w:rsidRDefault="00332318" w:rsidP="00332318">
      <w:pPr>
        <w:pStyle w:val="Bullet"/>
        <w:rPr>
          <w:i/>
        </w:rPr>
      </w:pPr>
      <w:r>
        <w:t>a</w:t>
      </w:r>
      <w:r w:rsidRPr="00D80A37">
        <w:t>greed data</w:t>
      </w:r>
      <w:r>
        <w:t>-</w:t>
      </w:r>
      <w:r w:rsidRPr="00D80A37">
        <w:t>sharing practices and mechanisms to enable the Korowai Aroha ‘Fit for Surgery’ team to do pre-assessment clinics in the community. This reduces the risk of gaps in information, whānau having to repeat themselves to different professionals, and time better spent with whānau</w:t>
      </w:r>
    </w:p>
    <w:p w14:paraId="693A5046" w14:textId="77777777" w:rsidR="00332318" w:rsidRPr="00D80A37" w:rsidRDefault="00332318" w:rsidP="00332318">
      <w:pPr>
        <w:pStyle w:val="Bullet"/>
        <w:rPr>
          <w:i/>
        </w:rPr>
      </w:pPr>
      <w:r>
        <w:t>a</w:t>
      </w:r>
      <w:r w:rsidRPr="00D80A37">
        <w:t xml:space="preserve"> continuous improvement process between key partners, to enable an adaptive and flexible response</w:t>
      </w:r>
    </w:p>
    <w:p w14:paraId="7D268C0E" w14:textId="77777777" w:rsidR="00332318" w:rsidRPr="00D80A37" w:rsidRDefault="00332318" w:rsidP="00332318">
      <w:pPr>
        <w:pStyle w:val="Bullet"/>
        <w:rPr>
          <w:i/>
        </w:rPr>
      </w:pPr>
      <w:r>
        <w:t>p</w:t>
      </w:r>
      <w:r w:rsidRPr="00D80A37">
        <w:t>artnering arrangements to refine and clearly define</w:t>
      </w:r>
      <w:r>
        <w:t xml:space="preserve"> </w:t>
      </w:r>
      <w:r w:rsidRPr="00D80A37">
        <w:t>roles and responsibilities, and ensure secondary and tertiary services are accessible if needed.</w:t>
      </w:r>
    </w:p>
    <w:p w14:paraId="4AD7F43D" w14:textId="77777777" w:rsidR="00332318" w:rsidRPr="00D80A37" w:rsidRDefault="00332318" w:rsidP="00332318">
      <w:pPr>
        <w:pStyle w:val="Heading3"/>
      </w:pPr>
      <w:r w:rsidRPr="00D80A37">
        <w:lastRenderedPageBreak/>
        <w:t xml:space="preserve">Healthy Homes Initiative </w:t>
      </w:r>
    </w:p>
    <w:p w14:paraId="59C1AB70" w14:textId="77777777" w:rsidR="00332318" w:rsidRPr="00D80A37" w:rsidRDefault="00332318" w:rsidP="00332318">
      <w:pPr>
        <w:rPr>
          <w:shd w:val="clear" w:color="auto" w:fill="FFFFFF"/>
        </w:rPr>
      </w:pPr>
      <w:r w:rsidRPr="00D80A37">
        <w:rPr>
          <w:iCs/>
        </w:rPr>
        <w:t xml:space="preserve">The Healthy Homes Initiative (HHI) is a cross-sector and soon to be nationwide initiative designed </w:t>
      </w:r>
      <w:r w:rsidRPr="00D80A37">
        <w:rPr>
          <w:shd w:val="clear" w:color="auto" w:fill="FFFFFF"/>
        </w:rPr>
        <w:t xml:space="preserve">to respond to whānau and families </w:t>
      </w:r>
      <w:r>
        <w:rPr>
          <w:shd w:val="clear" w:color="auto" w:fill="FFFFFF"/>
        </w:rPr>
        <w:t xml:space="preserve">who are </w:t>
      </w:r>
      <w:r w:rsidRPr="00D80A37">
        <w:rPr>
          <w:shd w:val="clear" w:color="auto" w:fill="FFFFFF"/>
        </w:rPr>
        <w:t>experiencing poverty</w:t>
      </w:r>
      <w:r>
        <w:rPr>
          <w:shd w:val="clear" w:color="auto" w:fill="FFFFFF"/>
        </w:rPr>
        <w:t xml:space="preserve"> and</w:t>
      </w:r>
      <w:r w:rsidRPr="00D80A37">
        <w:rPr>
          <w:shd w:val="clear" w:color="auto" w:fill="FFFFFF"/>
        </w:rPr>
        <w:t xml:space="preserve"> housing stress and </w:t>
      </w:r>
      <w:r>
        <w:rPr>
          <w:shd w:val="clear" w:color="auto" w:fill="FFFFFF"/>
        </w:rPr>
        <w:t xml:space="preserve">are </w:t>
      </w:r>
      <w:r w:rsidRPr="00D80A37">
        <w:rPr>
          <w:shd w:val="clear" w:color="auto" w:fill="FFFFFF"/>
        </w:rPr>
        <w:t>at risk of ‘housing</w:t>
      </w:r>
      <w:r>
        <w:rPr>
          <w:shd w:val="clear" w:color="auto" w:fill="FFFFFF"/>
        </w:rPr>
        <w:t>-</w:t>
      </w:r>
      <w:r w:rsidRPr="00D80A37">
        <w:rPr>
          <w:shd w:val="clear" w:color="auto" w:fill="FFFFFF"/>
        </w:rPr>
        <w:t xml:space="preserve">related’ conditions. </w:t>
      </w:r>
    </w:p>
    <w:p w14:paraId="75DADB60" w14:textId="77777777" w:rsidR="00332318" w:rsidRDefault="00332318" w:rsidP="00332318">
      <w:r w:rsidRPr="00D80A37">
        <w:rPr>
          <w:shd w:val="clear" w:color="auto" w:fill="FFFFFF"/>
        </w:rPr>
        <w:t xml:space="preserve">HHI has been extended into </w:t>
      </w:r>
      <w:r w:rsidRPr="00D80A37">
        <w:t xml:space="preserve">the </w:t>
      </w:r>
      <w:proofErr w:type="spellStart"/>
      <w:r w:rsidRPr="00D80A37">
        <w:t>Tūrangi</w:t>
      </w:r>
      <w:proofErr w:type="spellEnd"/>
      <w:r w:rsidRPr="00D80A37">
        <w:t>/</w:t>
      </w:r>
      <w:proofErr w:type="spellStart"/>
      <w:r w:rsidRPr="00D80A37">
        <w:t>Taupō</w:t>
      </w:r>
      <w:proofErr w:type="spellEnd"/>
      <w:r w:rsidRPr="00D80A37">
        <w:t xml:space="preserve"> </w:t>
      </w:r>
      <w:proofErr w:type="spellStart"/>
      <w:r w:rsidRPr="00D80A37">
        <w:t>rohe</w:t>
      </w:r>
      <w:proofErr w:type="spellEnd"/>
      <w:r w:rsidRPr="00D80A37">
        <w:t xml:space="preserve"> in response to the lack of housing stock and </w:t>
      </w:r>
      <w:r>
        <w:t xml:space="preserve">the </w:t>
      </w:r>
      <w:r w:rsidRPr="00D80A37">
        <w:t>increasing numbers of whānau experiencing housing stress and lack of safe, affordable, warm and secure homes.</w:t>
      </w:r>
    </w:p>
    <w:p w14:paraId="7DC59541" w14:textId="77777777" w:rsidR="00332318" w:rsidRDefault="00332318" w:rsidP="00112CA9"/>
    <w:p w14:paraId="681EDD18" w14:textId="58C0F6B6" w:rsidR="00332318" w:rsidRPr="00332318" w:rsidRDefault="00332318" w:rsidP="00332318">
      <w:pPr>
        <w:pStyle w:val="Quote"/>
        <w:spacing w:before="0"/>
        <w:rPr>
          <w:i/>
          <w:iCs/>
        </w:rPr>
      </w:pPr>
      <w:r w:rsidRPr="00332318">
        <w:rPr>
          <w:i/>
          <w:iCs/>
        </w:rPr>
        <w:t>Whānau live rough on their whenua – running water and power [are] non-existent, many others in overcrowded conditions, … [in addition,] the aged housing stock means houses are not insulated and need damp-proofing.</w:t>
      </w:r>
    </w:p>
    <w:p w14:paraId="1E37F750" w14:textId="77777777" w:rsidR="00332318" w:rsidRDefault="00332318" w:rsidP="00332318"/>
    <w:p w14:paraId="0314DF3A" w14:textId="64176850" w:rsidR="00332318" w:rsidRDefault="00332318" w:rsidP="00332318">
      <w:proofErr w:type="spellStart"/>
      <w:r w:rsidRPr="00D80A37">
        <w:t>Te</w:t>
      </w:r>
      <w:proofErr w:type="spellEnd"/>
      <w:r w:rsidRPr="00D80A37">
        <w:t xml:space="preserve"> </w:t>
      </w:r>
      <w:proofErr w:type="spellStart"/>
      <w:r w:rsidRPr="00D80A37">
        <w:t>Kapua</w:t>
      </w:r>
      <w:proofErr w:type="spellEnd"/>
      <w:r w:rsidRPr="00D80A37">
        <w:t xml:space="preserve"> </w:t>
      </w:r>
      <w:proofErr w:type="spellStart"/>
      <w:r w:rsidRPr="00D80A37">
        <w:t>Whakapīpī</w:t>
      </w:r>
      <w:proofErr w:type="spellEnd"/>
      <w:r w:rsidRPr="00D80A37">
        <w:t>, Lakes</w:t>
      </w:r>
      <w:r>
        <w:t xml:space="preserve"> DHB</w:t>
      </w:r>
      <w:r w:rsidRPr="00D80A37">
        <w:t xml:space="preserve"> and Sustainability Options Ltd partnered to collaboratively address the risk and causal factors of ill</w:t>
      </w:r>
      <w:r>
        <w:t xml:space="preserve"> </w:t>
      </w:r>
      <w:r w:rsidRPr="00D80A37">
        <w:t>health, whil</w:t>
      </w:r>
      <w:r>
        <w:t>e</w:t>
      </w:r>
      <w:r w:rsidRPr="00D80A37">
        <w:t xml:space="preserve"> also investing in the protective factors for whānau wellbeing. </w:t>
      </w:r>
      <w:proofErr w:type="spellStart"/>
      <w:r w:rsidRPr="00D80A37">
        <w:t>Te</w:t>
      </w:r>
      <w:proofErr w:type="spellEnd"/>
      <w:r w:rsidRPr="00D80A37">
        <w:t xml:space="preserve"> </w:t>
      </w:r>
      <w:proofErr w:type="spellStart"/>
      <w:r w:rsidRPr="00D80A37">
        <w:t>Kapua</w:t>
      </w:r>
      <w:proofErr w:type="spellEnd"/>
      <w:r w:rsidRPr="00D80A37">
        <w:t xml:space="preserve"> </w:t>
      </w:r>
      <w:proofErr w:type="spellStart"/>
      <w:r w:rsidRPr="00D80A37">
        <w:t>Whakapīpī</w:t>
      </w:r>
      <w:proofErr w:type="spellEnd"/>
      <w:r w:rsidRPr="00D80A37">
        <w:t xml:space="preserve"> emphasise</w:t>
      </w:r>
      <w:r>
        <w:t>s</w:t>
      </w:r>
      <w:r w:rsidRPr="00D80A37">
        <w:t xml:space="preserve"> the need for different agencies to prioritise under</w:t>
      </w:r>
      <w:r>
        <w:t>-</w:t>
      </w:r>
      <w:r w:rsidRPr="00D80A37">
        <w:t>served communities across the delivery of multiple services (eg, health, housing, education, welfare).</w:t>
      </w:r>
      <w:r w:rsidRPr="00434BBB">
        <w:t xml:space="preserve"> ‘</w:t>
      </w:r>
      <w:r w:rsidRPr="001C3FC3">
        <w:t>In essence, transformational change through a programme of [social, educative and] health-related projects.’</w:t>
      </w:r>
    </w:p>
    <w:p w14:paraId="7109C45D" w14:textId="77777777" w:rsidR="00332318" w:rsidRPr="00D80A37" w:rsidRDefault="00332318" w:rsidP="00332318"/>
    <w:p w14:paraId="52C47110" w14:textId="77777777" w:rsidR="00332318" w:rsidRPr="00D80A37" w:rsidRDefault="00332318" w:rsidP="00332318">
      <w:proofErr w:type="spellStart"/>
      <w:r w:rsidRPr="00D80A37">
        <w:t>Te</w:t>
      </w:r>
      <w:proofErr w:type="spellEnd"/>
      <w:r w:rsidRPr="00D80A37">
        <w:t xml:space="preserve"> </w:t>
      </w:r>
      <w:proofErr w:type="spellStart"/>
      <w:r w:rsidRPr="00D80A37">
        <w:t>Kapua</w:t>
      </w:r>
      <w:proofErr w:type="spellEnd"/>
      <w:r w:rsidRPr="00D80A37">
        <w:t xml:space="preserve"> </w:t>
      </w:r>
      <w:proofErr w:type="spellStart"/>
      <w:r w:rsidRPr="00D80A37">
        <w:t>Whakapīpī</w:t>
      </w:r>
      <w:proofErr w:type="spellEnd"/>
      <w:r w:rsidRPr="00D80A37">
        <w:t xml:space="preserve"> highlight</w:t>
      </w:r>
      <w:r>
        <w:t>s</w:t>
      </w:r>
      <w:r w:rsidRPr="00D80A37">
        <w:t xml:space="preserve"> a range of partnering arrangements and initiatives, progressed over time, that have contributed to the development of innovative solutions to inequities. </w:t>
      </w:r>
      <w:r>
        <w:t>The following are some</w:t>
      </w:r>
      <w:r w:rsidRPr="00D80A37">
        <w:t xml:space="preserve"> example</w:t>
      </w:r>
      <w:r>
        <w:t>s.</w:t>
      </w:r>
    </w:p>
    <w:p w14:paraId="5532471C" w14:textId="77777777" w:rsidR="00332318" w:rsidRPr="00D80A37" w:rsidRDefault="00332318" w:rsidP="00332318">
      <w:pPr>
        <w:pStyle w:val="Bullet"/>
      </w:pPr>
      <w:r w:rsidRPr="00D80A37">
        <w:t xml:space="preserve">‘During </w:t>
      </w:r>
      <w:r>
        <w:t>COVID</w:t>
      </w:r>
      <w:r w:rsidRPr="00D80A37">
        <w:t xml:space="preserve">-19, </w:t>
      </w:r>
      <w:proofErr w:type="spellStart"/>
      <w:r w:rsidRPr="00D80A37">
        <w:t>Taupō</w:t>
      </w:r>
      <w:proofErr w:type="spellEnd"/>
      <w:r w:rsidRPr="00D80A37">
        <w:t xml:space="preserve"> District iwi and hapū authorities mustered to lead key activities for the facilitation, coordination, and communication of activities to provide ongoing health and social support to whānau/family and community within the </w:t>
      </w:r>
      <w:proofErr w:type="spellStart"/>
      <w:r w:rsidRPr="00D80A37">
        <w:t>Taupō</w:t>
      </w:r>
      <w:proofErr w:type="spellEnd"/>
      <w:r w:rsidRPr="00D80A37">
        <w:t xml:space="preserve"> District</w:t>
      </w:r>
      <w:r>
        <w:t>.</w:t>
      </w:r>
      <w:r w:rsidRPr="00D80A37">
        <w:t>’</w:t>
      </w:r>
      <w:r w:rsidRPr="00D80A37">
        <w:rPr>
          <w:rStyle w:val="FootnoteReference"/>
          <w:rFonts w:cstheme="minorHAnsi"/>
        </w:rPr>
        <w:footnoteReference w:id="6"/>
      </w:r>
    </w:p>
    <w:p w14:paraId="04DED4EB" w14:textId="77777777" w:rsidR="00332318" w:rsidRPr="00D80A37" w:rsidRDefault="00332318" w:rsidP="00332318">
      <w:pPr>
        <w:pStyle w:val="Bullet"/>
      </w:pPr>
      <w:r w:rsidRPr="00D80A37">
        <w:t>Whānau Ora Investment (</w:t>
      </w:r>
      <w:r>
        <w:t>COVID</w:t>
      </w:r>
      <w:r w:rsidRPr="00D80A37">
        <w:t>-19)</w:t>
      </w:r>
      <w:r>
        <w:t>:</w:t>
      </w:r>
      <w:r w:rsidRPr="00D80A37">
        <w:t xml:space="preserve"> </w:t>
      </w:r>
      <w:proofErr w:type="spellStart"/>
      <w:r w:rsidRPr="00D80A37">
        <w:t>Te</w:t>
      </w:r>
      <w:proofErr w:type="spellEnd"/>
      <w:r w:rsidRPr="00D80A37">
        <w:t xml:space="preserve"> </w:t>
      </w:r>
      <w:proofErr w:type="spellStart"/>
      <w:r w:rsidRPr="00D80A37">
        <w:t>Kapua</w:t>
      </w:r>
      <w:proofErr w:type="spellEnd"/>
      <w:r w:rsidRPr="00D80A37">
        <w:t xml:space="preserve"> </w:t>
      </w:r>
      <w:proofErr w:type="spellStart"/>
      <w:r w:rsidRPr="00D80A37">
        <w:t>Whakapīpī</w:t>
      </w:r>
      <w:proofErr w:type="spellEnd"/>
      <w:r w:rsidRPr="00D80A37">
        <w:t xml:space="preserve"> partnered with </w:t>
      </w:r>
      <w:proofErr w:type="spellStart"/>
      <w:r w:rsidRPr="00D80A37">
        <w:t>Tūwharetoa</w:t>
      </w:r>
      <w:proofErr w:type="spellEnd"/>
      <w:r w:rsidRPr="00D80A37">
        <w:t xml:space="preserve"> </w:t>
      </w:r>
      <w:proofErr w:type="spellStart"/>
      <w:r w:rsidRPr="00D80A37">
        <w:t>Whānau</w:t>
      </w:r>
      <w:proofErr w:type="spellEnd"/>
      <w:r w:rsidRPr="00D80A37">
        <w:t xml:space="preserve"> Ora Collective to support over 800 separate households. This included relocating 22 whānau from their whenua (</w:t>
      </w:r>
      <w:r>
        <w:t>where they had</w:t>
      </w:r>
      <w:r w:rsidRPr="00D80A37">
        <w:t xml:space="preserve"> no running water or power) into temporary accommodation, with ongoing support to explore and take</w:t>
      </w:r>
      <w:r>
        <w:t xml:space="preserve"> up</w:t>
      </w:r>
      <w:r w:rsidRPr="00D80A37">
        <w:t xml:space="preserve"> more permanent options.  </w:t>
      </w:r>
    </w:p>
    <w:p w14:paraId="739AE361" w14:textId="77777777" w:rsidR="00332318" w:rsidRPr="00D80A37" w:rsidRDefault="00332318" w:rsidP="00332318">
      <w:pPr>
        <w:pStyle w:val="Bullet"/>
      </w:pPr>
      <w:r w:rsidRPr="00D80A37">
        <w:t xml:space="preserve">Whānau Ora Investment: Collective Impact (via </w:t>
      </w:r>
      <w:proofErr w:type="spellStart"/>
      <w:r w:rsidRPr="00D80A37">
        <w:t>Te</w:t>
      </w:r>
      <w:proofErr w:type="spellEnd"/>
      <w:r w:rsidRPr="00D80A37">
        <w:t xml:space="preserve"> </w:t>
      </w:r>
      <w:proofErr w:type="spellStart"/>
      <w:r w:rsidRPr="00D80A37">
        <w:t>Arawa</w:t>
      </w:r>
      <w:proofErr w:type="spellEnd"/>
      <w:r w:rsidRPr="00D80A37">
        <w:t xml:space="preserve"> </w:t>
      </w:r>
      <w:proofErr w:type="spellStart"/>
      <w:r w:rsidRPr="00D80A37">
        <w:t>Whānau</w:t>
      </w:r>
      <w:proofErr w:type="spellEnd"/>
      <w:r w:rsidRPr="00D80A37">
        <w:t xml:space="preserve"> Ora Collective) identif</w:t>
      </w:r>
      <w:r>
        <w:t>ied</w:t>
      </w:r>
      <w:r w:rsidRPr="00D80A37">
        <w:t xml:space="preserve"> and support</w:t>
      </w:r>
      <w:r>
        <w:t>ed</w:t>
      </w:r>
      <w:r w:rsidRPr="00D80A37">
        <w:t xml:space="preserve"> 42 whānau experiencing entrenched deprivation. </w:t>
      </w:r>
      <w:r>
        <w:t>This</w:t>
      </w:r>
      <w:r w:rsidRPr="00D80A37">
        <w:t xml:space="preserve"> cross-sector </w:t>
      </w:r>
      <w:r>
        <w:t>work</w:t>
      </w:r>
      <w:r w:rsidRPr="00D80A37">
        <w:t xml:space="preserve"> address</w:t>
      </w:r>
      <w:r>
        <w:t>ed</w:t>
      </w:r>
      <w:r w:rsidRPr="00D80A37">
        <w:t xml:space="preserve"> immediate needs whil</w:t>
      </w:r>
      <w:r>
        <w:t>e</w:t>
      </w:r>
      <w:r w:rsidRPr="00D80A37">
        <w:t xml:space="preserve"> walking alongside whānau towards sustainable solutions.</w:t>
      </w:r>
      <w:r w:rsidRPr="00D80A37">
        <w:rPr>
          <w:rStyle w:val="FootnoteReference"/>
          <w:rFonts w:cstheme="minorHAnsi"/>
        </w:rPr>
        <w:footnoteReference w:id="7"/>
      </w:r>
      <w:r w:rsidRPr="00D80A37">
        <w:t xml:space="preserve">  </w:t>
      </w:r>
    </w:p>
    <w:p w14:paraId="1C69B73A" w14:textId="77777777" w:rsidR="00332318" w:rsidRDefault="00332318" w:rsidP="00332318">
      <w:pPr>
        <w:pStyle w:val="Quote"/>
        <w:spacing w:before="0"/>
        <w:rPr>
          <w:i/>
          <w:iCs/>
        </w:rPr>
      </w:pPr>
    </w:p>
    <w:p w14:paraId="1812004B" w14:textId="77D0B2D6" w:rsidR="00332318" w:rsidRPr="00332318" w:rsidRDefault="00332318" w:rsidP="00332318">
      <w:pPr>
        <w:pStyle w:val="Quote"/>
        <w:spacing w:before="0"/>
        <w:rPr>
          <w:i/>
          <w:iCs/>
        </w:rPr>
      </w:pPr>
      <w:r w:rsidRPr="00332318">
        <w:rPr>
          <w:i/>
          <w:iCs/>
        </w:rPr>
        <w:t xml:space="preserve">The primary objective is whānau mana motuhake in their own </w:t>
      </w:r>
      <w:proofErr w:type="spellStart"/>
      <w:r w:rsidRPr="00332318">
        <w:rPr>
          <w:i/>
          <w:iCs/>
        </w:rPr>
        <w:t>kāinga</w:t>
      </w:r>
      <w:proofErr w:type="spellEnd"/>
      <w:r w:rsidRPr="00332318">
        <w:rPr>
          <w:i/>
          <w:iCs/>
        </w:rPr>
        <w:t xml:space="preserve"> … removing barriers that hinder whānau from attaining a quality standard of living. How do we make it possible, practical and something people want to do?</w:t>
      </w:r>
    </w:p>
    <w:p w14:paraId="04D4B8C6" w14:textId="77777777" w:rsidR="00332318" w:rsidRDefault="00332318" w:rsidP="00332318"/>
    <w:p w14:paraId="05A2010F" w14:textId="1EA6ECBC" w:rsidR="00332318" w:rsidRDefault="00332318" w:rsidP="00332318">
      <w:r w:rsidRPr="00D80A37">
        <w:t xml:space="preserve">Participants emphasised fundamental factors for commissioning for innovative solutions within and across regional, remote and widely dispersed communities:  </w:t>
      </w:r>
    </w:p>
    <w:p w14:paraId="330F5EB0" w14:textId="77777777" w:rsidR="00332318" w:rsidRPr="00D80A37" w:rsidRDefault="00332318" w:rsidP="00332318">
      <w:pPr>
        <w:pStyle w:val="Bullet"/>
      </w:pPr>
      <w:r>
        <w:rPr>
          <w:b/>
          <w:bCs/>
        </w:rPr>
        <w:t>i</w:t>
      </w:r>
      <w:r w:rsidRPr="00D80A37">
        <w:rPr>
          <w:b/>
          <w:bCs/>
        </w:rPr>
        <w:t xml:space="preserve">wi leadership </w:t>
      </w:r>
      <w:r w:rsidRPr="00D80A37">
        <w:t>connected to networks across the public, health and social sectors</w:t>
      </w:r>
    </w:p>
    <w:p w14:paraId="6FB04F4A" w14:textId="77777777" w:rsidR="00332318" w:rsidRPr="00D80A37" w:rsidRDefault="00332318" w:rsidP="00332318">
      <w:pPr>
        <w:pStyle w:val="Bullet"/>
      </w:pPr>
      <w:r>
        <w:rPr>
          <w:b/>
          <w:bCs/>
        </w:rPr>
        <w:t>d</w:t>
      </w:r>
      <w:r w:rsidRPr="00D80A37">
        <w:rPr>
          <w:b/>
          <w:bCs/>
        </w:rPr>
        <w:t xml:space="preserve">edicated resource (and person/people) </w:t>
      </w:r>
      <w:r w:rsidRPr="00D80A37">
        <w:t>with the right mix of skills, competencies and attributes to facilitate collaboration</w:t>
      </w:r>
    </w:p>
    <w:p w14:paraId="59DEC36A" w14:textId="77777777" w:rsidR="00332318" w:rsidRPr="00D80A37" w:rsidRDefault="00332318" w:rsidP="00332318">
      <w:pPr>
        <w:pStyle w:val="Bullet"/>
      </w:pPr>
      <w:r>
        <w:rPr>
          <w:b/>
          <w:bCs/>
        </w:rPr>
        <w:lastRenderedPageBreak/>
        <w:t>p</w:t>
      </w:r>
      <w:r w:rsidRPr="00D80A37">
        <w:rPr>
          <w:b/>
          <w:bCs/>
        </w:rPr>
        <w:t xml:space="preserve">artnering </w:t>
      </w:r>
      <w:r w:rsidRPr="00D80A37">
        <w:t>within and across iwi boundaries</w:t>
      </w:r>
    </w:p>
    <w:p w14:paraId="51FBAB53" w14:textId="77777777" w:rsidR="00332318" w:rsidRPr="00D80A37" w:rsidRDefault="00332318" w:rsidP="00332318">
      <w:pPr>
        <w:pStyle w:val="Bullet"/>
      </w:pPr>
      <w:r>
        <w:rPr>
          <w:b/>
          <w:bCs/>
        </w:rPr>
        <w:t>a</w:t>
      </w:r>
      <w:r w:rsidRPr="00D80A37">
        <w:rPr>
          <w:b/>
          <w:bCs/>
        </w:rPr>
        <w:t xml:space="preserve">daptive and flexible commissioning </w:t>
      </w:r>
      <w:r w:rsidRPr="00D80A37">
        <w:t>to reorganise resource more effectively.</w:t>
      </w:r>
    </w:p>
    <w:p w14:paraId="530127D1" w14:textId="77777777" w:rsidR="00332318" w:rsidRDefault="00332318" w:rsidP="00332318">
      <w:pPr>
        <w:pStyle w:val="Quote"/>
        <w:spacing w:before="0"/>
        <w:rPr>
          <w:i/>
          <w:iCs/>
        </w:rPr>
      </w:pPr>
    </w:p>
    <w:p w14:paraId="3EE8659F" w14:textId="4F74E850" w:rsidR="00332318" w:rsidRPr="00332318" w:rsidRDefault="00332318" w:rsidP="00332318">
      <w:pPr>
        <w:pStyle w:val="Quote"/>
        <w:spacing w:before="0"/>
        <w:rPr>
          <w:i/>
          <w:iCs/>
        </w:rPr>
      </w:pPr>
      <w:r w:rsidRPr="00332318">
        <w:rPr>
          <w:i/>
          <w:iCs/>
        </w:rPr>
        <w:t>Beginning with where whānau are at, they are the number one priority, highlight their strengths, their stories.</w:t>
      </w:r>
    </w:p>
    <w:p w14:paraId="748F4FC3" w14:textId="55659C44" w:rsidR="00332318" w:rsidRPr="00D80A37" w:rsidRDefault="00332318" w:rsidP="00332318">
      <w:pPr>
        <w:pStyle w:val="Heading2"/>
      </w:pPr>
      <w:bookmarkStart w:id="11" w:name="_Toc124845528"/>
      <w:r w:rsidRPr="00D80A37">
        <w:t>Intended benefits and service</w:t>
      </w:r>
      <w:r>
        <w:t>-</w:t>
      </w:r>
      <w:r w:rsidRPr="00D80A37">
        <w:t>level outcomes</w:t>
      </w:r>
      <w:bookmarkEnd w:id="11"/>
    </w:p>
    <w:p w14:paraId="2B749C51" w14:textId="267A65FD" w:rsidR="00332318" w:rsidRDefault="00332318" w:rsidP="00332318">
      <w:pPr>
        <w:rPr>
          <w:lang w:val="en-GB"/>
        </w:rPr>
      </w:pPr>
      <w:r w:rsidRPr="00D80A37">
        <w:rPr>
          <w:lang w:val="en-GB"/>
        </w:rPr>
        <w:t>Participants identified the intended benefits and desired service</w:t>
      </w:r>
      <w:r>
        <w:rPr>
          <w:lang w:val="en-GB"/>
        </w:rPr>
        <w:t>-</w:t>
      </w:r>
      <w:r w:rsidRPr="00D80A37">
        <w:rPr>
          <w:lang w:val="en-GB"/>
        </w:rPr>
        <w:t xml:space="preserve">level </w:t>
      </w:r>
      <w:r>
        <w:rPr>
          <w:lang w:val="en-GB"/>
        </w:rPr>
        <w:t>outcomes</w:t>
      </w:r>
      <w:r w:rsidRPr="00D80A37">
        <w:rPr>
          <w:lang w:val="en-GB"/>
        </w:rPr>
        <w:t xml:space="preserve"> towards improved Mā</w:t>
      </w:r>
      <w:r>
        <w:rPr>
          <w:lang w:val="en-GB"/>
        </w:rPr>
        <w:t>o</w:t>
      </w:r>
      <w:r w:rsidRPr="00D80A37">
        <w:rPr>
          <w:lang w:val="en-GB"/>
        </w:rPr>
        <w:t>ri health status</w:t>
      </w:r>
      <w:r>
        <w:rPr>
          <w:lang w:val="en-GB"/>
        </w:rPr>
        <w:t xml:space="preserve"> (</w:t>
      </w:r>
      <w:r w:rsidR="00F32C1D">
        <w:rPr>
          <w:lang w:val="en-GB"/>
        </w:rPr>
        <w:fldChar w:fldCharType="begin"/>
      </w:r>
      <w:r w:rsidR="00F32C1D">
        <w:rPr>
          <w:lang w:val="en-GB"/>
        </w:rPr>
        <w:instrText xml:space="preserve"> REF _Ref122360445 \h </w:instrText>
      </w:r>
      <w:r w:rsidR="00F32C1D">
        <w:rPr>
          <w:lang w:val="en-GB"/>
        </w:rPr>
      </w:r>
      <w:r w:rsidR="00F32C1D">
        <w:rPr>
          <w:lang w:val="en-GB"/>
        </w:rPr>
        <w:fldChar w:fldCharType="separate"/>
      </w:r>
      <w:r w:rsidR="006849AB">
        <w:t xml:space="preserve">Table </w:t>
      </w:r>
      <w:r w:rsidR="006849AB">
        <w:rPr>
          <w:noProof/>
        </w:rPr>
        <w:t>1</w:t>
      </w:r>
      <w:r w:rsidR="00F32C1D">
        <w:rPr>
          <w:lang w:val="en-GB"/>
        </w:rPr>
        <w:fldChar w:fldCharType="end"/>
      </w:r>
      <w:r>
        <w:rPr>
          <w:lang w:val="en-GB"/>
        </w:rPr>
        <w:t>)</w:t>
      </w:r>
      <w:r w:rsidRPr="00D80A37">
        <w:rPr>
          <w:lang w:val="en-GB"/>
        </w:rPr>
        <w:t xml:space="preserve">. </w:t>
      </w:r>
    </w:p>
    <w:p w14:paraId="7FAD9F6F" w14:textId="0BD5841D" w:rsidR="00332318" w:rsidRPr="00D80A37" w:rsidRDefault="00332318" w:rsidP="00232490">
      <w:pPr>
        <w:pStyle w:val="Caption"/>
        <w:spacing w:before="240"/>
        <w:rPr>
          <w:lang w:val="en-GB"/>
        </w:rPr>
      </w:pPr>
      <w:bookmarkStart w:id="12" w:name="_Ref122360445"/>
      <w:bookmarkStart w:id="13" w:name="_Toc124833602"/>
      <w:r>
        <w:t xml:space="preserve">Table </w:t>
      </w:r>
      <w:fldSimple w:instr=" SEQ Table \* ARABIC ">
        <w:r w:rsidR="006849AB">
          <w:rPr>
            <w:noProof/>
          </w:rPr>
          <w:t>1</w:t>
        </w:r>
      </w:fldSimple>
      <w:bookmarkEnd w:id="12"/>
      <w:r>
        <w:t xml:space="preserve">: </w:t>
      </w:r>
      <w:r w:rsidRPr="00D80A37">
        <w:rPr>
          <w:lang w:val="en-GB"/>
        </w:rPr>
        <w:t>Intended benefits and service</w:t>
      </w:r>
      <w:r>
        <w:rPr>
          <w:lang w:val="en-GB"/>
        </w:rPr>
        <w:t>-</w:t>
      </w:r>
      <w:r w:rsidRPr="00D80A37">
        <w:rPr>
          <w:lang w:val="en-GB"/>
        </w:rPr>
        <w:t>level outcomes</w:t>
      </w:r>
      <w:bookmarkEnd w:id="13"/>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17"/>
        <w:gridCol w:w="5663"/>
      </w:tblGrid>
      <w:tr w:rsidR="00332318" w:rsidRPr="00332318" w14:paraId="7729A1D7" w14:textId="77777777" w:rsidTr="00F32C1D">
        <w:tc>
          <w:tcPr>
            <w:tcW w:w="2417" w:type="dxa"/>
            <w:tcBorders>
              <w:top w:val="nil"/>
              <w:bottom w:val="nil"/>
              <w:right w:val="nil"/>
            </w:tcBorders>
            <w:shd w:val="clear" w:color="auto" w:fill="D9D9D9" w:themeFill="background1" w:themeFillShade="D9"/>
          </w:tcPr>
          <w:p w14:paraId="42CA5C76" w14:textId="77777777" w:rsidR="00332318" w:rsidRPr="00332318" w:rsidRDefault="00332318" w:rsidP="00332318">
            <w:pPr>
              <w:pStyle w:val="TableText"/>
              <w:rPr>
                <w:b/>
                <w:bCs/>
                <w:lang w:val="en-GB"/>
              </w:rPr>
            </w:pPr>
            <w:r w:rsidRPr="00332318">
              <w:rPr>
                <w:b/>
                <w:bCs/>
                <w:lang w:val="en-GB"/>
              </w:rPr>
              <w:t>Innovation</w:t>
            </w:r>
          </w:p>
        </w:tc>
        <w:tc>
          <w:tcPr>
            <w:tcW w:w="5663" w:type="dxa"/>
            <w:tcBorders>
              <w:top w:val="nil"/>
              <w:left w:val="nil"/>
              <w:bottom w:val="nil"/>
            </w:tcBorders>
            <w:shd w:val="clear" w:color="auto" w:fill="D9D9D9" w:themeFill="background1" w:themeFillShade="D9"/>
          </w:tcPr>
          <w:p w14:paraId="6849ED83" w14:textId="77777777" w:rsidR="00332318" w:rsidRPr="00332318" w:rsidRDefault="00332318" w:rsidP="00332318">
            <w:pPr>
              <w:pStyle w:val="TableText"/>
              <w:rPr>
                <w:b/>
                <w:bCs/>
                <w:lang w:val="en-GB"/>
              </w:rPr>
            </w:pPr>
            <w:r w:rsidRPr="00332318">
              <w:rPr>
                <w:b/>
                <w:bCs/>
                <w:lang w:val="en-GB"/>
              </w:rPr>
              <w:t>Intended benefits and service-level outcome</w:t>
            </w:r>
          </w:p>
        </w:tc>
      </w:tr>
      <w:tr w:rsidR="00332318" w:rsidRPr="00D80A37" w14:paraId="72C7F9DF" w14:textId="77777777" w:rsidTr="00F32C1D">
        <w:tc>
          <w:tcPr>
            <w:tcW w:w="2417" w:type="dxa"/>
            <w:tcBorders>
              <w:top w:val="nil"/>
            </w:tcBorders>
          </w:tcPr>
          <w:p w14:paraId="13329A7D" w14:textId="77777777" w:rsidR="00332318" w:rsidRPr="00D80A37" w:rsidRDefault="00332318" w:rsidP="00332318">
            <w:pPr>
              <w:pStyle w:val="TableText"/>
              <w:rPr>
                <w:lang w:val="en-GB"/>
              </w:rPr>
            </w:pPr>
            <w:r w:rsidRPr="00D80A37">
              <w:rPr>
                <w:lang w:val="en-GB"/>
              </w:rPr>
              <w:t>Fit For Surgery</w:t>
            </w:r>
          </w:p>
        </w:tc>
        <w:tc>
          <w:tcPr>
            <w:tcW w:w="5663" w:type="dxa"/>
            <w:tcBorders>
              <w:top w:val="nil"/>
            </w:tcBorders>
          </w:tcPr>
          <w:p w14:paraId="175D57BF" w14:textId="77777777" w:rsidR="00332318" w:rsidRPr="00232490" w:rsidRDefault="00332318" w:rsidP="00232490">
            <w:pPr>
              <w:pStyle w:val="TableBullet"/>
              <w:spacing w:before="60"/>
            </w:pPr>
            <w:r w:rsidRPr="00232490">
              <w:t>Increased engagement with Māori earlier in their health journey, in a culturally appropriate and timely way.</w:t>
            </w:r>
          </w:p>
          <w:p w14:paraId="72FC05E9" w14:textId="77777777" w:rsidR="00332318" w:rsidRPr="00232490" w:rsidRDefault="00332318" w:rsidP="00232490">
            <w:pPr>
              <w:pStyle w:val="TableBullet"/>
              <w:spacing w:before="60"/>
            </w:pPr>
            <w:r w:rsidRPr="00232490">
              <w:t>Reduced patient numbers waiting for pre-surgical assessments and on surgical waitlist.</w:t>
            </w:r>
          </w:p>
          <w:p w14:paraId="497BBF71" w14:textId="77777777" w:rsidR="00332318" w:rsidRPr="00232490" w:rsidRDefault="00332318" w:rsidP="00232490">
            <w:pPr>
              <w:pStyle w:val="TableBullet"/>
              <w:spacing w:before="60"/>
            </w:pPr>
            <w:r w:rsidRPr="00232490">
              <w:t>More capacity to support patients with health and lifestyle aspirations and preparations to be fit for surgery.</w:t>
            </w:r>
          </w:p>
          <w:p w14:paraId="2B6C3F5F" w14:textId="77777777" w:rsidR="00332318" w:rsidRPr="00232490" w:rsidRDefault="00332318" w:rsidP="00232490">
            <w:pPr>
              <w:pStyle w:val="TableBullet"/>
              <w:spacing w:before="60"/>
            </w:pPr>
            <w:r w:rsidRPr="00232490">
              <w:t>Increased capacity to invest in and build a skilled Māori workforce.</w:t>
            </w:r>
          </w:p>
        </w:tc>
      </w:tr>
      <w:tr w:rsidR="00332318" w:rsidRPr="00D80A37" w14:paraId="5C81D1AC" w14:textId="77777777" w:rsidTr="00F32C1D">
        <w:tc>
          <w:tcPr>
            <w:tcW w:w="2417" w:type="dxa"/>
          </w:tcPr>
          <w:p w14:paraId="7CC9E275" w14:textId="77777777" w:rsidR="00332318" w:rsidRPr="00D80A37" w:rsidRDefault="00332318" w:rsidP="00332318">
            <w:pPr>
              <w:pStyle w:val="TableText"/>
              <w:rPr>
                <w:lang w:val="en-GB"/>
              </w:rPr>
            </w:pPr>
            <w:r w:rsidRPr="00D80A37">
              <w:rPr>
                <w:lang w:val="en-GB"/>
              </w:rPr>
              <w:t xml:space="preserve">Healthy Homes Initiative </w:t>
            </w:r>
            <w:r>
              <w:rPr>
                <w:lang w:val="en-GB"/>
              </w:rPr>
              <w:t>–</w:t>
            </w:r>
            <w:r w:rsidRPr="00D80A37">
              <w:rPr>
                <w:lang w:val="en-GB"/>
              </w:rPr>
              <w:t xml:space="preserve"> </w:t>
            </w:r>
            <w:proofErr w:type="spellStart"/>
            <w:r w:rsidRPr="00D80A37">
              <w:rPr>
                <w:lang w:val="en-GB"/>
              </w:rPr>
              <w:t>Tūrangi</w:t>
            </w:r>
            <w:proofErr w:type="spellEnd"/>
          </w:p>
        </w:tc>
        <w:tc>
          <w:tcPr>
            <w:tcW w:w="5663" w:type="dxa"/>
          </w:tcPr>
          <w:p w14:paraId="6801ABD8" w14:textId="77777777" w:rsidR="00332318" w:rsidRPr="00232490" w:rsidRDefault="00332318" w:rsidP="00232490">
            <w:pPr>
              <w:pStyle w:val="TableBullet"/>
              <w:spacing w:before="60"/>
            </w:pPr>
            <w:r w:rsidRPr="00232490">
              <w:t>Working with whānau in the context of their home and community to address the determinants of poor health and social outcomes.</w:t>
            </w:r>
          </w:p>
          <w:p w14:paraId="232A7BBA" w14:textId="77777777" w:rsidR="00332318" w:rsidRPr="00232490" w:rsidRDefault="00332318" w:rsidP="00232490">
            <w:pPr>
              <w:pStyle w:val="TableBullet"/>
              <w:spacing w:before="60"/>
            </w:pPr>
            <w:r w:rsidRPr="00232490">
              <w:t xml:space="preserve">Identifying and supporting actions to address cold and damp housing, substandard housing, overcrowding and housing ‘unaffordability’.  </w:t>
            </w:r>
          </w:p>
          <w:p w14:paraId="2FD94485" w14:textId="77777777" w:rsidR="00332318" w:rsidRPr="00232490" w:rsidRDefault="00332318" w:rsidP="00232490">
            <w:pPr>
              <w:pStyle w:val="TableBullet"/>
              <w:spacing w:before="60"/>
            </w:pPr>
            <w:r w:rsidRPr="00232490">
              <w:t xml:space="preserve">Strengthening cross-sector relationships and collaboration to improve the pathways, availability and delivery of whānau supports in the community. </w:t>
            </w:r>
          </w:p>
          <w:p w14:paraId="3D2673C4" w14:textId="77777777" w:rsidR="00332318" w:rsidRPr="00232490" w:rsidRDefault="00332318" w:rsidP="00232490">
            <w:pPr>
              <w:pStyle w:val="TableBullet"/>
              <w:spacing w:before="60"/>
            </w:pPr>
            <w:r w:rsidRPr="00232490">
              <w:t>Establishing appropriate referral pathways for whānau experiencing serious respiratory health conditions.</w:t>
            </w:r>
          </w:p>
          <w:p w14:paraId="0733EAB1" w14:textId="77777777" w:rsidR="00332318" w:rsidRPr="00232490" w:rsidRDefault="00332318" w:rsidP="00232490">
            <w:pPr>
              <w:pStyle w:val="TableBullet"/>
              <w:spacing w:before="60"/>
            </w:pPr>
            <w:r w:rsidRPr="00232490">
              <w:t>Strengths-based activities from the ground up to extend and invest in whānau capacity and capability.</w:t>
            </w:r>
          </w:p>
          <w:p w14:paraId="6DBF3C86" w14:textId="77777777" w:rsidR="00332318" w:rsidRPr="00232490" w:rsidRDefault="00332318" w:rsidP="00232490">
            <w:pPr>
              <w:pStyle w:val="TableBullet"/>
              <w:spacing w:before="60"/>
            </w:pPr>
            <w:r w:rsidRPr="00232490">
              <w:t xml:space="preserve">Supporting whānau to articulate and act with authority and mana motuhake to assert their right to safe, accessible and quality health care. </w:t>
            </w:r>
          </w:p>
        </w:tc>
      </w:tr>
    </w:tbl>
    <w:p w14:paraId="71141547" w14:textId="77777777" w:rsidR="00F32C1D" w:rsidRDefault="00F32C1D" w:rsidP="00332318">
      <w:pPr>
        <w:pStyle w:val="Heading3"/>
        <w:rPr>
          <w:rStyle w:val="Heading3Char"/>
        </w:rPr>
        <w:sectPr w:rsidR="00F32C1D" w:rsidSect="00A27D16">
          <w:pgSz w:w="11901" w:h="16817"/>
          <w:pgMar w:top="1418" w:right="1701" w:bottom="1134" w:left="1843" w:header="709" w:footer="425" w:gutter="0"/>
          <w:cols w:space="708"/>
          <w:docGrid w:linePitch="360"/>
        </w:sectPr>
      </w:pPr>
    </w:p>
    <w:p w14:paraId="7B558A06" w14:textId="5F66428D" w:rsidR="00332318" w:rsidRPr="00332318" w:rsidRDefault="00332318" w:rsidP="00F32C1D">
      <w:pPr>
        <w:pStyle w:val="Heading3"/>
        <w:spacing w:before="0"/>
        <w:rPr>
          <w:rStyle w:val="Heading3Char"/>
        </w:rPr>
      </w:pPr>
      <w:r w:rsidRPr="00332318">
        <w:rPr>
          <w:rStyle w:val="Heading3Char"/>
        </w:rPr>
        <w:lastRenderedPageBreak/>
        <w:t>Partnering for outcomes and key enablers</w:t>
      </w:r>
    </w:p>
    <w:p w14:paraId="1B9D0084" w14:textId="77777777" w:rsidR="00332318" w:rsidRDefault="00332318" w:rsidP="00332318">
      <w:r w:rsidRPr="00D80A37">
        <w:t xml:space="preserve">Lakes and </w:t>
      </w:r>
      <w:r>
        <w:t>its</w:t>
      </w:r>
      <w:r w:rsidRPr="00D80A37">
        <w:t xml:space="preserve"> partners </w:t>
      </w:r>
      <w:r>
        <w:t xml:space="preserve">have been able </w:t>
      </w:r>
      <w:r w:rsidRPr="00D80A37">
        <w:t xml:space="preserve">to establish the range of initiatives in the Innovation Project </w:t>
      </w:r>
      <w:r>
        <w:t>because of their</w:t>
      </w:r>
      <w:r w:rsidRPr="00D80A37">
        <w:t xml:space="preserve"> partnerships with shared aims, objectives and responsibilities. It takes a specific mix of skills and attributes to facilitate inclusive and mutually beneficial relationships, beginning with local leadership</w:t>
      </w:r>
      <w:r>
        <w:t xml:space="preserve"> –</w:t>
      </w:r>
      <w:r w:rsidRPr="00D80A37">
        <w:t xml:space="preserve"> more specifically, Māori leadership </w:t>
      </w:r>
      <w:r>
        <w:t xml:space="preserve">– </w:t>
      </w:r>
      <w:r w:rsidRPr="00D80A37">
        <w:t>that can draw on the strengths and expertise in communities.</w:t>
      </w:r>
    </w:p>
    <w:p w14:paraId="28679FF2" w14:textId="77777777" w:rsidR="00332318" w:rsidRDefault="00332318" w:rsidP="00332318">
      <w:pPr>
        <w:pStyle w:val="Quote"/>
        <w:spacing w:before="0"/>
        <w:rPr>
          <w:i/>
          <w:iCs/>
        </w:rPr>
      </w:pPr>
    </w:p>
    <w:p w14:paraId="71299700" w14:textId="11A2AA30" w:rsidR="00332318" w:rsidRPr="00332318" w:rsidRDefault="00332318" w:rsidP="00332318">
      <w:pPr>
        <w:pStyle w:val="Quote"/>
        <w:spacing w:before="0"/>
        <w:rPr>
          <w:i/>
          <w:iCs/>
        </w:rPr>
      </w:pPr>
      <w:r w:rsidRPr="00332318">
        <w:rPr>
          <w:i/>
          <w:iCs/>
        </w:rPr>
        <w:t>Agencies and their staff, governments and their priorities come and go, but iwi is invested and will remain.</w:t>
      </w:r>
    </w:p>
    <w:p w14:paraId="2072E4C5" w14:textId="77777777" w:rsidR="00332318" w:rsidRDefault="00332318" w:rsidP="00332318">
      <w:pPr>
        <w:rPr>
          <w:lang w:val="en-GB"/>
        </w:rPr>
      </w:pPr>
    </w:p>
    <w:p w14:paraId="6392CD0A" w14:textId="2A6FDCB5" w:rsidR="00332318" w:rsidRPr="00D80A37" w:rsidRDefault="00332318" w:rsidP="00332318">
      <w:pPr>
        <w:rPr>
          <w:lang w:val="en-GB"/>
        </w:rPr>
      </w:pPr>
      <w:r w:rsidRPr="00D80A37">
        <w:rPr>
          <w:lang w:val="en-GB"/>
        </w:rPr>
        <w:t xml:space="preserve">For example, to </w:t>
      </w:r>
      <w:r w:rsidRPr="00D80A37">
        <w:t>‘give the [Innovation Project] the best chance of success …</w:t>
      </w:r>
      <w:r>
        <w:t xml:space="preserve"> </w:t>
      </w:r>
      <w:r w:rsidRPr="00D80A37">
        <w:t>a dedicated Equity Project Manager oversees [its] implementation and evaluation</w:t>
      </w:r>
      <w:r>
        <w:t xml:space="preserve"> </w:t>
      </w:r>
      <w:r w:rsidRPr="00D80A37">
        <w:t xml:space="preserve">… The role is to build key relationships with </w:t>
      </w:r>
      <w:r>
        <w:t>i</w:t>
      </w:r>
      <w:r w:rsidRPr="00D80A37">
        <w:t>wi partners, providers, and consumer representatives, as well as review and report on activities, monitor funding and build sustainability into Planned Care Pathways.</w:t>
      </w:r>
      <w:r w:rsidRPr="009B344C">
        <w:t>’</w:t>
      </w:r>
      <w:r w:rsidRPr="00D80A37">
        <w:rPr>
          <w:rStyle w:val="FootnoteReference"/>
          <w:rFonts w:cstheme="minorHAnsi"/>
        </w:rPr>
        <w:footnoteReference w:id="8"/>
      </w:r>
    </w:p>
    <w:p w14:paraId="0D36F1A1" w14:textId="77777777" w:rsidR="00332318" w:rsidRDefault="00332318" w:rsidP="00332318">
      <w:pPr>
        <w:pStyle w:val="Quote"/>
        <w:spacing w:before="0"/>
        <w:rPr>
          <w:i/>
          <w:iCs/>
        </w:rPr>
      </w:pPr>
    </w:p>
    <w:p w14:paraId="11D0E428" w14:textId="0838FC62" w:rsidR="00332318" w:rsidRPr="00332318" w:rsidRDefault="00332318" w:rsidP="00332318">
      <w:pPr>
        <w:pStyle w:val="Quote"/>
        <w:spacing w:before="0"/>
        <w:rPr>
          <w:i/>
          <w:iCs/>
        </w:rPr>
      </w:pPr>
      <w:r w:rsidRPr="00332318">
        <w:rPr>
          <w:i/>
          <w:iCs/>
        </w:rPr>
        <w:t>[A dedicated role] has made a real difference to our relationships with [the] DHB and across the sector, especially in seeing and knowing how to translate systems issues from our perspective. We [encourage the] DHB to ensure that [this person] is properly supported …</w:t>
      </w:r>
    </w:p>
    <w:p w14:paraId="2A336B28" w14:textId="77777777" w:rsidR="00332318" w:rsidRDefault="00332318" w:rsidP="00332318"/>
    <w:p w14:paraId="15CD9F1C" w14:textId="72BF2B4F" w:rsidR="00332318" w:rsidRDefault="00332318" w:rsidP="00332318">
      <w:r>
        <w:t>For</w:t>
      </w:r>
      <w:r w:rsidRPr="00D80A37">
        <w:t xml:space="preserve"> effective commissioning in this project, the key enablers identified were time and relationship investment. Agencies rarely</w:t>
      </w:r>
      <w:r w:rsidRPr="00F61F56">
        <w:t xml:space="preserve"> </w:t>
      </w:r>
      <w:r w:rsidRPr="009B344C">
        <w:rPr>
          <w:i/>
          <w:iCs/>
        </w:rPr>
        <w:t>‘</w:t>
      </w:r>
      <w:r w:rsidRPr="001C3FC3">
        <w:t>front</w:t>
      </w:r>
      <w:r>
        <w:t>-</w:t>
      </w:r>
      <w:r w:rsidRPr="001C3FC3">
        <w:t>load investment in whānau, in communities, in relationships – look at the connectors and work together to co-create</w:t>
      </w:r>
      <w:r>
        <w:t>’</w:t>
      </w:r>
      <w:r w:rsidRPr="001C3FC3">
        <w:t xml:space="preserve">. </w:t>
      </w:r>
      <w:r w:rsidRPr="00D80A37">
        <w:t>Participants assert the value of flexible funding options and high</w:t>
      </w:r>
      <w:r>
        <w:t>-</w:t>
      </w:r>
      <w:r w:rsidRPr="00D80A37">
        <w:t>trust agreements to help communities reorganise and adapt existing services and resources to their needs and characteristics.</w:t>
      </w:r>
      <w:r w:rsidRPr="00D80A37">
        <w:rPr>
          <w:i/>
          <w:iCs/>
        </w:rPr>
        <w:t xml:space="preserve"> </w:t>
      </w:r>
      <w:r w:rsidRPr="00D80A37">
        <w:t>Participants encourage agencies to revisit their procurement and contracting mechanisms</w:t>
      </w:r>
      <w:r>
        <w:t>.</w:t>
      </w:r>
      <w:r w:rsidRPr="00D80A37">
        <w:t xml:space="preserve"> </w:t>
      </w:r>
      <w:r w:rsidRPr="00F61F56">
        <w:t>‘</w:t>
      </w:r>
      <w:r w:rsidRPr="001C3FC3">
        <w:t>Procurement is a part of enablement; it is not commissioning.’</w:t>
      </w:r>
      <w:r w:rsidRPr="00D80A37">
        <w:rPr>
          <w:i/>
          <w:iCs/>
        </w:rPr>
        <w:t xml:space="preserve"> </w:t>
      </w:r>
      <w:r w:rsidRPr="00D80A37">
        <w:t xml:space="preserve">Commissioning is a combination of factors that extends beyond procurement and contracting activities; it includes </w:t>
      </w:r>
      <w:r w:rsidRPr="00611773">
        <w:t>‘</w:t>
      </w:r>
      <w:r w:rsidRPr="001C3FC3">
        <w:t>ground-up, community</w:t>
      </w:r>
      <w:r>
        <w:t>-</w:t>
      </w:r>
      <w:r w:rsidRPr="001C3FC3">
        <w:t>led planning and decision-making – innovation begins here!’</w:t>
      </w:r>
    </w:p>
    <w:p w14:paraId="4E9E6679" w14:textId="77777777" w:rsidR="00332318" w:rsidRDefault="00332318" w:rsidP="00332318">
      <w:pPr>
        <w:rPr>
          <w:color w:val="E36C0A" w:themeColor="accent6" w:themeShade="BF"/>
          <w:lang w:val="en-US"/>
        </w:rPr>
        <w:sectPr w:rsidR="00332318" w:rsidSect="00A27D16">
          <w:pgSz w:w="11901" w:h="16817"/>
          <w:pgMar w:top="1418" w:right="1701" w:bottom="1134" w:left="1843" w:header="709" w:footer="425" w:gutter="0"/>
          <w:cols w:space="708"/>
          <w:docGrid w:linePitch="360"/>
        </w:sectPr>
      </w:pPr>
    </w:p>
    <w:p w14:paraId="2AED7C6C" w14:textId="426FD2B4" w:rsidR="00332318" w:rsidRDefault="00332318" w:rsidP="00A27D16">
      <w:pPr>
        <w:pStyle w:val="Heading1"/>
        <w:numPr>
          <w:ilvl w:val="0"/>
          <w:numId w:val="46"/>
        </w:numPr>
        <w:spacing w:before="0"/>
        <w:ind w:left="851" w:hanging="851"/>
      </w:pPr>
      <w:bookmarkStart w:id="14" w:name="_Toc124845529"/>
      <w:r w:rsidRPr="00332318">
        <w:lastRenderedPageBreak/>
        <w:t>Tairāwhiti region</w:t>
      </w:r>
      <w:bookmarkEnd w:id="14"/>
    </w:p>
    <w:p w14:paraId="7F5A8B5E" w14:textId="6216470C" w:rsidR="00232490" w:rsidRPr="00D80A37" w:rsidRDefault="00232490" w:rsidP="00232490">
      <w:pPr>
        <w:pStyle w:val="Heading2"/>
      </w:pPr>
      <w:bookmarkStart w:id="15" w:name="_Toc122360208"/>
      <w:bookmarkStart w:id="16" w:name="_Toc124845530"/>
      <w:r w:rsidRPr="00D80A37">
        <w:t>Background</w:t>
      </w:r>
      <w:bookmarkEnd w:id="15"/>
      <w:bookmarkEnd w:id="16"/>
    </w:p>
    <w:p w14:paraId="4FA18B29" w14:textId="38A5188E" w:rsidR="00232490" w:rsidRDefault="00232490" w:rsidP="00232490">
      <w:pPr>
        <w:rPr>
          <w:lang w:val="en-GB"/>
        </w:rPr>
      </w:pPr>
      <w:r w:rsidRPr="00D80A37">
        <w:t xml:space="preserve">Hauora Tairāwhiti has undertaken a substantial programme of work in </w:t>
      </w:r>
      <w:r>
        <w:t>m</w:t>
      </w:r>
      <w:r w:rsidRPr="00D80A37">
        <w:t xml:space="preserve">ental </w:t>
      </w:r>
      <w:r>
        <w:t>h</w:t>
      </w:r>
      <w:r w:rsidRPr="00D80A37">
        <w:t xml:space="preserve">ealth and </w:t>
      </w:r>
      <w:r>
        <w:t>a</w:t>
      </w:r>
      <w:r w:rsidRPr="00D80A37">
        <w:t xml:space="preserve">ddictions (MH&amp;A) over 2016–2021 to respond more effectively to increasing levels of whānau need and distress. Partnering with the MH&amp;A sector to develop new ways of working together has culminated in </w:t>
      </w:r>
      <w:proofErr w:type="spellStart"/>
      <w:r w:rsidRPr="00D80A37">
        <w:t>Whāriki</w:t>
      </w:r>
      <w:proofErr w:type="spellEnd"/>
      <w:r w:rsidRPr="00D80A37">
        <w:t>, a ‘</w:t>
      </w:r>
      <w:r>
        <w:t>o</w:t>
      </w:r>
      <w:r w:rsidRPr="00D80A37">
        <w:t xml:space="preserve">ne </w:t>
      </w:r>
      <w:r>
        <w:t>s</w:t>
      </w:r>
      <w:r w:rsidRPr="00D80A37">
        <w:t>ervice</w:t>
      </w:r>
      <w:r>
        <w:t>,</w:t>
      </w:r>
      <w:r w:rsidRPr="00D80A37">
        <w:t xml:space="preserve"> </w:t>
      </w:r>
      <w:r>
        <w:t>m</w:t>
      </w:r>
      <w:r w:rsidRPr="00D80A37">
        <w:t xml:space="preserve">any </w:t>
      </w:r>
      <w:r>
        <w:t>p</w:t>
      </w:r>
      <w:r w:rsidRPr="00D80A37">
        <w:t>roviders’ response to ill</w:t>
      </w:r>
      <w:r>
        <w:t xml:space="preserve"> </w:t>
      </w:r>
      <w:r w:rsidRPr="00D80A37">
        <w:t xml:space="preserve">health. </w:t>
      </w:r>
      <w:proofErr w:type="spellStart"/>
      <w:r w:rsidRPr="00D80A37">
        <w:t>Whāriki</w:t>
      </w:r>
      <w:proofErr w:type="spellEnd"/>
      <w:r w:rsidRPr="00D80A37">
        <w:t xml:space="preserve"> is a </w:t>
      </w:r>
      <w:r w:rsidRPr="00D80A37">
        <w:rPr>
          <w:lang w:val="en-GB"/>
        </w:rPr>
        <w:t xml:space="preserve">shared framework that places whānau wellbeing at the heart of health service provision, </w:t>
      </w:r>
      <w:r>
        <w:rPr>
          <w:lang w:val="en-GB"/>
        </w:rPr>
        <w:t xml:space="preserve">ranging </w:t>
      </w:r>
      <w:r w:rsidRPr="00D80A37">
        <w:rPr>
          <w:lang w:val="en-GB"/>
        </w:rPr>
        <w:t>from policy, to planning</w:t>
      </w:r>
      <w:r>
        <w:rPr>
          <w:lang w:val="en-GB"/>
        </w:rPr>
        <w:t xml:space="preserve"> and</w:t>
      </w:r>
      <w:r w:rsidRPr="00D80A37">
        <w:rPr>
          <w:lang w:val="en-GB"/>
        </w:rPr>
        <w:t xml:space="preserve"> delivery, </w:t>
      </w:r>
      <w:r>
        <w:rPr>
          <w:lang w:val="en-GB"/>
        </w:rPr>
        <w:t xml:space="preserve">to </w:t>
      </w:r>
      <w:r w:rsidRPr="00D80A37">
        <w:rPr>
          <w:lang w:val="en-GB"/>
        </w:rPr>
        <w:t xml:space="preserve">monitoring and measuring progress. </w:t>
      </w:r>
    </w:p>
    <w:p w14:paraId="30ABDB4D" w14:textId="77777777" w:rsidR="00232490" w:rsidRPr="00D80A37" w:rsidRDefault="00232490" w:rsidP="00232490">
      <w:pPr>
        <w:rPr>
          <w:lang w:val="en-GB"/>
        </w:rPr>
      </w:pPr>
    </w:p>
    <w:p w14:paraId="03648109" w14:textId="2A8140E0" w:rsidR="00232490" w:rsidRDefault="00232490" w:rsidP="00232490">
      <w:r w:rsidRPr="00D80A37">
        <w:t xml:space="preserve">The framework </w:t>
      </w:r>
      <w:r w:rsidRPr="00D80A37">
        <w:rPr>
          <w:lang w:val="en-GB"/>
        </w:rPr>
        <w:t>sets out the values and principles needed to embed consistent ‘</w:t>
      </w:r>
      <w:r>
        <w:rPr>
          <w:lang w:val="en-GB"/>
        </w:rPr>
        <w:t>s</w:t>
      </w:r>
      <w:r w:rsidRPr="00D80A37">
        <w:rPr>
          <w:lang w:val="en-GB"/>
        </w:rPr>
        <w:t xml:space="preserve">tandards of </w:t>
      </w:r>
      <w:r>
        <w:rPr>
          <w:lang w:val="en-GB"/>
        </w:rPr>
        <w:t>b</w:t>
      </w:r>
      <w:r w:rsidRPr="00D80A37">
        <w:rPr>
          <w:lang w:val="en-GB"/>
        </w:rPr>
        <w:t xml:space="preserve">ehaviour’, and provides </w:t>
      </w:r>
      <w:r w:rsidRPr="00D80A37">
        <w:t>the parameters for engagement and decision-making to realise a ‘</w:t>
      </w:r>
      <w:r>
        <w:t>w</w:t>
      </w:r>
      <w:r w:rsidRPr="00D80A37">
        <w:t xml:space="preserve">hānau </w:t>
      </w:r>
      <w:r>
        <w:t>f</w:t>
      </w:r>
      <w:r w:rsidRPr="00D80A37">
        <w:t>irst’ vision in MH&amp;A.</w:t>
      </w:r>
      <w:r w:rsidRPr="00D80A37">
        <w:rPr>
          <w:vertAlign w:val="superscript"/>
        </w:rPr>
        <w:footnoteReference w:id="9"/>
      </w:r>
      <w:r w:rsidRPr="00D80A37">
        <w:t xml:space="preserve"> </w:t>
      </w:r>
    </w:p>
    <w:p w14:paraId="3BA2A36C" w14:textId="77777777" w:rsidR="00F32C1D" w:rsidRPr="00D80A37" w:rsidRDefault="00F32C1D" w:rsidP="00232490"/>
    <w:p w14:paraId="41B6E147" w14:textId="77777777" w:rsidR="00232490" w:rsidRPr="00D80A37" w:rsidRDefault="00232490" w:rsidP="00232490">
      <w:pPr>
        <w:spacing w:before="120" w:after="120"/>
        <w:jc w:val="center"/>
        <w:rPr>
          <w:rFonts w:cstheme="minorHAnsi"/>
          <w:i/>
          <w:iCs/>
          <w:lang w:val="en-GB"/>
        </w:rPr>
      </w:pPr>
      <w:proofErr w:type="spellStart"/>
      <w:r w:rsidRPr="00D80A37">
        <w:rPr>
          <w:rFonts w:cstheme="minorHAnsi"/>
          <w:i/>
          <w:iCs/>
          <w:lang w:val="en-GB"/>
        </w:rPr>
        <w:t>Whāriki</w:t>
      </w:r>
      <w:proofErr w:type="spellEnd"/>
    </w:p>
    <w:p w14:paraId="1FED44AD" w14:textId="77777777" w:rsidR="00232490" w:rsidRPr="00D80A37" w:rsidRDefault="00232490" w:rsidP="00232490">
      <w:pPr>
        <w:spacing w:before="120" w:after="120"/>
        <w:jc w:val="center"/>
        <w:rPr>
          <w:rFonts w:cstheme="minorHAnsi"/>
          <w:i/>
          <w:iCs/>
          <w:lang w:val="en-GB"/>
        </w:rPr>
      </w:pPr>
      <w:r w:rsidRPr="00D80A37">
        <w:rPr>
          <w:rFonts w:cstheme="minorHAnsi"/>
          <w:i/>
          <w:iCs/>
          <w:lang w:val="en-GB"/>
        </w:rPr>
        <w:t>Vision: ‘Whānau First 2040’</w:t>
      </w:r>
    </w:p>
    <w:p w14:paraId="6C705931" w14:textId="77777777" w:rsidR="00232490" w:rsidRPr="00232490" w:rsidRDefault="00232490" w:rsidP="00232490">
      <w:pPr>
        <w:pStyle w:val="Quote"/>
        <w:spacing w:before="0"/>
        <w:jc w:val="center"/>
        <w:rPr>
          <w:i/>
          <w:iCs/>
        </w:rPr>
      </w:pPr>
      <w:r w:rsidRPr="00232490">
        <w:rPr>
          <w:i/>
          <w:iCs/>
        </w:rPr>
        <w:t>Vision Statement: Health and Happiness is ‘a meaningful life where everyone feels connected and worthy, where everyone has a purpose to get up in the morning’</w:t>
      </w:r>
      <w:r w:rsidRPr="00A27D16">
        <w:rPr>
          <w:i/>
          <w:iCs/>
          <w:vertAlign w:val="superscript"/>
        </w:rPr>
        <w:footnoteReference w:id="10"/>
      </w:r>
    </w:p>
    <w:p w14:paraId="7115EC02" w14:textId="2D6C3F6D" w:rsidR="00232490" w:rsidRPr="00D80A37" w:rsidRDefault="00232490" w:rsidP="00232490">
      <w:pPr>
        <w:pStyle w:val="Heading2"/>
      </w:pPr>
      <w:bookmarkStart w:id="17" w:name="_Toc122360209"/>
      <w:bookmarkStart w:id="18" w:name="_Toc124845531"/>
      <w:r w:rsidRPr="00D80A37">
        <w:t xml:space="preserve">Whakapapa: A </w:t>
      </w:r>
      <w:r>
        <w:t>p</w:t>
      </w:r>
      <w:r w:rsidRPr="00D80A37">
        <w:t xml:space="preserve">aradigm </w:t>
      </w:r>
      <w:r>
        <w:t>s</w:t>
      </w:r>
      <w:r w:rsidRPr="00D80A37">
        <w:t>hift</w:t>
      </w:r>
      <w:bookmarkEnd w:id="17"/>
      <w:bookmarkEnd w:id="18"/>
      <w:r w:rsidRPr="00D80A37">
        <w:t xml:space="preserve"> </w:t>
      </w:r>
    </w:p>
    <w:p w14:paraId="710BF645" w14:textId="5BFE858C" w:rsidR="00232490" w:rsidRDefault="00232490" w:rsidP="00232490">
      <w:pPr>
        <w:rPr>
          <w:lang w:val="en-GB"/>
        </w:rPr>
      </w:pPr>
      <w:r w:rsidRPr="00D80A37">
        <w:rPr>
          <w:lang w:val="en-GB"/>
        </w:rPr>
        <w:t xml:space="preserve">Six initiatives informed the development of </w:t>
      </w:r>
      <w:proofErr w:type="spellStart"/>
      <w:r w:rsidRPr="00D80A37">
        <w:rPr>
          <w:lang w:val="en-GB"/>
        </w:rPr>
        <w:t>Whāriki</w:t>
      </w:r>
      <w:proofErr w:type="spellEnd"/>
      <w:r>
        <w:rPr>
          <w:lang w:val="en-GB"/>
        </w:rPr>
        <w:t xml:space="preserve"> (</w:t>
      </w:r>
      <w:r w:rsidR="00F32C1D">
        <w:rPr>
          <w:lang w:val="en-GB"/>
        </w:rPr>
        <w:fldChar w:fldCharType="begin"/>
      </w:r>
      <w:r w:rsidR="00F32C1D">
        <w:rPr>
          <w:lang w:val="en-GB"/>
        </w:rPr>
        <w:instrText xml:space="preserve"> REF _Ref122360464 \h </w:instrText>
      </w:r>
      <w:r w:rsidR="00F32C1D">
        <w:rPr>
          <w:lang w:val="en-GB"/>
        </w:rPr>
      </w:r>
      <w:r w:rsidR="00F32C1D">
        <w:rPr>
          <w:lang w:val="en-GB"/>
        </w:rPr>
        <w:fldChar w:fldCharType="separate"/>
      </w:r>
      <w:r w:rsidR="006849AB" w:rsidRPr="00232490">
        <w:t xml:space="preserve">Table </w:t>
      </w:r>
      <w:r w:rsidR="006849AB">
        <w:rPr>
          <w:noProof/>
        </w:rPr>
        <w:t>2</w:t>
      </w:r>
      <w:r w:rsidR="00F32C1D">
        <w:rPr>
          <w:lang w:val="en-GB"/>
        </w:rPr>
        <w:fldChar w:fldCharType="end"/>
      </w:r>
      <w:r>
        <w:rPr>
          <w:lang w:val="en-GB"/>
        </w:rPr>
        <w:t>)</w:t>
      </w:r>
      <w:r w:rsidRPr="00D80A37">
        <w:rPr>
          <w:lang w:val="en-GB"/>
        </w:rPr>
        <w:t>. Underpinning these activities is a drive towards whānau-centred health care</w:t>
      </w:r>
      <w:r>
        <w:rPr>
          <w:lang w:val="en-GB"/>
        </w:rPr>
        <w:t xml:space="preserve"> and</w:t>
      </w:r>
      <w:r w:rsidRPr="00D80A37">
        <w:rPr>
          <w:lang w:val="en-GB"/>
        </w:rPr>
        <w:t xml:space="preserve"> away from individualistic and clinically</w:t>
      </w:r>
      <w:r>
        <w:rPr>
          <w:lang w:val="en-GB"/>
        </w:rPr>
        <w:t xml:space="preserve"> </w:t>
      </w:r>
      <w:r w:rsidRPr="00D80A37">
        <w:rPr>
          <w:lang w:val="en-GB"/>
        </w:rPr>
        <w:t xml:space="preserve">led health care. </w:t>
      </w:r>
    </w:p>
    <w:p w14:paraId="4186F0CC" w14:textId="77777777" w:rsidR="00232490" w:rsidRDefault="00232490" w:rsidP="00232490">
      <w:pPr>
        <w:rPr>
          <w:lang w:val="en-GB"/>
        </w:rPr>
      </w:pPr>
    </w:p>
    <w:p w14:paraId="72F3A47B" w14:textId="77777777" w:rsidR="00232490" w:rsidRPr="00232490" w:rsidRDefault="00232490" w:rsidP="00232490">
      <w:pPr>
        <w:pStyle w:val="Quote"/>
        <w:spacing w:before="0"/>
        <w:rPr>
          <w:i/>
          <w:iCs/>
        </w:rPr>
      </w:pPr>
      <w:r w:rsidRPr="00232490">
        <w:rPr>
          <w:i/>
          <w:iCs/>
        </w:rPr>
        <w:t>Whānau don’t have a place of privilege to be heard, to make themselves heard – our job is to facilitate this – to walk alongside whānau.</w:t>
      </w:r>
    </w:p>
    <w:p w14:paraId="1048D071" w14:textId="77777777" w:rsidR="00232490" w:rsidRDefault="00232490" w:rsidP="00232490">
      <w:pPr>
        <w:rPr>
          <w:lang w:val="en-GB"/>
        </w:rPr>
      </w:pPr>
    </w:p>
    <w:p w14:paraId="07FA06C9" w14:textId="70D0AB4E" w:rsidR="00232490" w:rsidRPr="00D80A37" w:rsidRDefault="00232490" w:rsidP="00232490">
      <w:pPr>
        <w:rPr>
          <w:i/>
          <w:iCs/>
          <w:lang w:val="en-GB"/>
        </w:rPr>
      </w:pPr>
      <w:r w:rsidRPr="00D80A37">
        <w:rPr>
          <w:lang w:val="en-GB"/>
        </w:rPr>
        <w:t xml:space="preserve">The initiatives informing </w:t>
      </w:r>
      <w:proofErr w:type="spellStart"/>
      <w:r w:rsidRPr="00D80A37">
        <w:rPr>
          <w:lang w:val="en-GB"/>
        </w:rPr>
        <w:t>Whāriki</w:t>
      </w:r>
      <w:proofErr w:type="spellEnd"/>
      <w:r w:rsidRPr="00D80A37">
        <w:rPr>
          <w:lang w:val="en-GB"/>
        </w:rPr>
        <w:t xml:space="preserve"> were implemented concurrently, enabling a substantial shift to the way MH&amp;A services are being designed and delivered in the region.</w:t>
      </w:r>
    </w:p>
    <w:p w14:paraId="1DE3097D" w14:textId="6A96EA78" w:rsidR="00232490" w:rsidRPr="00232490" w:rsidRDefault="00232490" w:rsidP="00F32C1D">
      <w:pPr>
        <w:pStyle w:val="Caption"/>
        <w:spacing w:before="240"/>
      </w:pPr>
      <w:bookmarkStart w:id="19" w:name="_Ref122360464"/>
      <w:bookmarkStart w:id="20" w:name="_Toc124833603"/>
      <w:r w:rsidRPr="00232490">
        <w:t xml:space="preserve">Table </w:t>
      </w:r>
      <w:fldSimple w:instr=" SEQ Table \* ARABIC ">
        <w:r w:rsidR="006849AB">
          <w:rPr>
            <w:noProof/>
          </w:rPr>
          <w:t>2</w:t>
        </w:r>
      </w:fldSimple>
      <w:bookmarkEnd w:id="19"/>
      <w:r w:rsidRPr="00232490">
        <w:t>:  Innovative initiatives 2017–2020</w:t>
      </w:r>
      <w:bookmarkEnd w:id="20"/>
    </w:p>
    <w:tbl>
      <w:tblPr>
        <w:tblStyle w:val="TableGrid"/>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9"/>
        <w:gridCol w:w="5245"/>
      </w:tblGrid>
      <w:tr w:rsidR="00232490" w:rsidRPr="00232490" w14:paraId="2C720E6A" w14:textId="77777777" w:rsidTr="00F32C1D">
        <w:trPr>
          <w:tblHeader/>
        </w:trPr>
        <w:tc>
          <w:tcPr>
            <w:tcW w:w="3119" w:type="dxa"/>
            <w:tcBorders>
              <w:top w:val="nil"/>
              <w:bottom w:val="nil"/>
              <w:right w:val="nil"/>
            </w:tcBorders>
            <w:shd w:val="clear" w:color="auto" w:fill="D9D9D9" w:themeFill="background1" w:themeFillShade="D9"/>
          </w:tcPr>
          <w:p w14:paraId="29EFCA4B" w14:textId="77777777" w:rsidR="00232490" w:rsidRPr="00232490" w:rsidRDefault="00232490" w:rsidP="00232490">
            <w:pPr>
              <w:pStyle w:val="TableText"/>
              <w:rPr>
                <w:b/>
                <w:bCs/>
                <w:lang w:val="en-GB"/>
              </w:rPr>
            </w:pPr>
            <w:r w:rsidRPr="00232490">
              <w:rPr>
                <w:b/>
                <w:bCs/>
                <w:lang w:val="en-GB"/>
              </w:rPr>
              <w:t xml:space="preserve">Initiative </w:t>
            </w:r>
          </w:p>
        </w:tc>
        <w:tc>
          <w:tcPr>
            <w:tcW w:w="5245" w:type="dxa"/>
            <w:tcBorders>
              <w:top w:val="nil"/>
              <w:left w:val="nil"/>
              <w:bottom w:val="nil"/>
            </w:tcBorders>
            <w:shd w:val="clear" w:color="auto" w:fill="D9D9D9" w:themeFill="background1" w:themeFillShade="D9"/>
          </w:tcPr>
          <w:p w14:paraId="6F305677" w14:textId="77777777" w:rsidR="00232490" w:rsidRPr="00232490" w:rsidRDefault="00232490" w:rsidP="00232490">
            <w:pPr>
              <w:pStyle w:val="TableText"/>
              <w:rPr>
                <w:b/>
                <w:bCs/>
                <w:lang w:val="en-GB"/>
              </w:rPr>
            </w:pPr>
            <w:r w:rsidRPr="00232490">
              <w:rPr>
                <w:b/>
                <w:bCs/>
                <w:lang w:val="en-GB"/>
              </w:rPr>
              <w:t>Barriers identified</w:t>
            </w:r>
          </w:p>
        </w:tc>
      </w:tr>
      <w:tr w:rsidR="00232490" w:rsidRPr="00D80A37" w14:paraId="5ADA3605" w14:textId="77777777" w:rsidTr="00F32C1D">
        <w:tc>
          <w:tcPr>
            <w:tcW w:w="3119" w:type="dxa"/>
            <w:tcBorders>
              <w:top w:val="nil"/>
            </w:tcBorders>
          </w:tcPr>
          <w:p w14:paraId="2E9FC3AA" w14:textId="77777777" w:rsidR="00232490" w:rsidRPr="00D80A37" w:rsidRDefault="00232490" w:rsidP="00232490">
            <w:pPr>
              <w:pStyle w:val="TableText"/>
              <w:rPr>
                <w:lang w:val="en-GB"/>
              </w:rPr>
            </w:pPr>
            <w:proofErr w:type="spellStart"/>
            <w:r w:rsidRPr="00D80A37">
              <w:rPr>
                <w:lang w:val="en-GB"/>
              </w:rPr>
              <w:t>Te</w:t>
            </w:r>
            <w:proofErr w:type="spellEnd"/>
            <w:r w:rsidRPr="00D80A37">
              <w:rPr>
                <w:lang w:val="en-GB"/>
              </w:rPr>
              <w:t xml:space="preserve"> </w:t>
            </w:r>
            <w:proofErr w:type="spellStart"/>
            <w:r w:rsidRPr="00D80A37">
              <w:rPr>
                <w:lang w:val="en-GB"/>
              </w:rPr>
              <w:t>Kūwatawata</w:t>
            </w:r>
            <w:proofErr w:type="spellEnd"/>
            <w:r w:rsidRPr="00D80A37">
              <w:rPr>
                <w:lang w:val="en-GB"/>
              </w:rPr>
              <w:t xml:space="preserve"> (pilot): a community-based and ‘clinically </w:t>
            </w:r>
            <w:r w:rsidRPr="00D80A37">
              <w:rPr>
                <w:lang w:val="en-GB"/>
              </w:rPr>
              <w:lastRenderedPageBreak/>
              <w:t>partnered’ point of entry to address unmet need in MH&amp;A</w:t>
            </w:r>
          </w:p>
        </w:tc>
        <w:tc>
          <w:tcPr>
            <w:tcW w:w="5245" w:type="dxa"/>
            <w:tcBorders>
              <w:top w:val="nil"/>
            </w:tcBorders>
          </w:tcPr>
          <w:p w14:paraId="42220B5A" w14:textId="77777777" w:rsidR="00232490" w:rsidRPr="00232490" w:rsidRDefault="00232490" w:rsidP="00232490">
            <w:pPr>
              <w:pStyle w:val="TableBullet"/>
            </w:pPr>
            <w:r w:rsidRPr="00232490">
              <w:lastRenderedPageBreak/>
              <w:t>Disconnect between primary mental health,</w:t>
            </w:r>
            <w:r w:rsidRPr="00A27D16">
              <w:rPr>
                <w:vertAlign w:val="superscript"/>
              </w:rPr>
              <w:footnoteReference w:id="11"/>
            </w:r>
            <w:r w:rsidRPr="00232490">
              <w:t xml:space="preserve"> secondary clinical services and community</w:t>
            </w:r>
          </w:p>
          <w:p w14:paraId="2F1A572F" w14:textId="77777777" w:rsidR="00232490" w:rsidRPr="00232490" w:rsidRDefault="00232490" w:rsidP="00232490">
            <w:pPr>
              <w:pStyle w:val="TableBullet"/>
            </w:pPr>
            <w:r w:rsidRPr="00232490">
              <w:lastRenderedPageBreak/>
              <w:t>Waitlists and unmet need</w:t>
            </w:r>
          </w:p>
          <w:p w14:paraId="208F7799" w14:textId="77777777" w:rsidR="00232490" w:rsidRPr="00232490" w:rsidRDefault="00232490" w:rsidP="00232490">
            <w:pPr>
              <w:pStyle w:val="TableBullet"/>
            </w:pPr>
            <w:r w:rsidRPr="00232490">
              <w:t xml:space="preserve">Whānau not knowing where to go or who to talk to </w:t>
            </w:r>
          </w:p>
          <w:p w14:paraId="3AEBF409" w14:textId="77777777" w:rsidR="00232490" w:rsidRPr="00232490" w:rsidRDefault="00232490" w:rsidP="00232490">
            <w:pPr>
              <w:pStyle w:val="TableBullet"/>
            </w:pPr>
            <w:r w:rsidRPr="00232490">
              <w:t>Stigma associated with MH&amp;A and formal clinical services</w:t>
            </w:r>
          </w:p>
          <w:p w14:paraId="08FDD3BE" w14:textId="77777777" w:rsidR="00232490" w:rsidRPr="00232490" w:rsidRDefault="00232490" w:rsidP="00232490">
            <w:pPr>
              <w:pStyle w:val="Tabletext0"/>
              <w:tabs>
                <w:tab w:val="clear" w:pos="0"/>
                <w:tab w:val="left" w:pos="326"/>
              </w:tabs>
              <w:spacing w:line="264" w:lineRule="auto"/>
              <w:ind w:left="326"/>
              <w:rPr>
                <w:rFonts w:ascii="Segoe UI" w:hAnsi="Segoe UI" w:cs="Segoe UI"/>
                <w:i/>
                <w:iCs/>
                <w:sz w:val="18"/>
                <w:szCs w:val="16"/>
              </w:rPr>
            </w:pPr>
            <w:proofErr w:type="spellStart"/>
            <w:r w:rsidRPr="00232490">
              <w:rPr>
                <w:rFonts w:ascii="Segoe UI" w:hAnsi="Segoe UI" w:cs="Segoe UI"/>
                <w:i/>
                <w:iCs/>
                <w:sz w:val="18"/>
                <w:szCs w:val="16"/>
              </w:rPr>
              <w:t>Whānau</w:t>
            </w:r>
            <w:proofErr w:type="spellEnd"/>
            <w:r w:rsidRPr="00232490">
              <w:rPr>
                <w:rFonts w:ascii="Segoe UI" w:hAnsi="Segoe UI" w:cs="Segoe UI"/>
                <w:i/>
                <w:iCs/>
                <w:sz w:val="18"/>
                <w:szCs w:val="16"/>
              </w:rPr>
              <w:t xml:space="preserve"> feel </w:t>
            </w:r>
            <w:proofErr w:type="spellStart"/>
            <w:r w:rsidRPr="00232490">
              <w:rPr>
                <w:rFonts w:ascii="Segoe UI" w:hAnsi="Segoe UI" w:cs="Segoe UI"/>
                <w:i/>
                <w:iCs/>
                <w:sz w:val="18"/>
                <w:szCs w:val="16"/>
              </w:rPr>
              <w:t>whakamā</w:t>
            </w:r>
            <w:proofErr w:type="spellEnd"/>
            <w:r w:rsidRPr="00232490">
              <w:rPr>
                <w:rFonts w:ascii="Segoe UI" w:hAnsi="Segoe UI" w:cs="Segoe UI"/>
                <w:i/>
                <w:iCs/>
                <w:sz w:val="18"/>
                <w:szCs w:val="16"/>
              </w:rPr>
              <w:t>, fearful, it represents a loss of control, loss of mana.</w:t>
            </w:r>
          </w:p>
          <w:p w14:paraId="0CB0C4AB" w14:textId="77777777" w:rsidR="00232490" w:rsidRPr="00232490" w:rsidRDefault="00232490" w:rsidP="00232490">
            <w:pPr>
              <w:pStyle w:val="Tabletext0"/>
              <w:tabs>
                <w:tab w:val="clear" w:pos="0"/>
                <w:tab w:val="left" w:pos="326"/>
              </w:tabs>
              <w:spacing w:line="264" w:lineRule="auto"/>
              <w:ind w:left="326"/>
              <w:rPr>
                <w:rFonts w:ascii="Segoe UI" w:hAnsi="Segoe UI" w:cs="Segoe UI"/>
                <w:i/>
                <w:iCs/>
                <w:sz w:val="18"/>
                <w:szCs w:val="16"/>
              </w:rPr>
            </w:pPr>
            <w:r w:rsidRPr="00232490">
              <w:rPr>
                <w:rFonts w:ascii="Segoe UI" w:hAnsi="Segoe UI" w:cs="Segoe UI"/>
                <w:i/>
                <w:iCs/>
                <w:sz w:val="18"/>
                <w:szCs w:val="16"/>
              </w:rPr>
              <w:t>If the service was flipped the other way and located in [DHB] clinical services … whānau wouldn’t come, it would be more of what we already have with an add-on cultural component – we’d do what we always do.</w:t>
            </w:r>
          </w:p>
          <w:p w14:paraId="747580C7" w14:textId="77777777" w:rsidR="00232490" w:rsidRPr="00D80A37" w:rsidRDefault="00232490" w:rsidP="00232490">
            <w:pPr>
              <w:pStyle w:val="Tabletext0"/>
              <w:tabs>
                <w:tab w:val="clear" w:pos="0"/>
                <w:tab w:val="left" w:pos="326"/>
              </w:tabs>
              <w:spacing w:line="264" w:lineRule="auto"/>
              <w:ind w:left="326"/>
              <w:rPr>
                <w:lang w:val="en-GB"/>
              </w:rPr>
            </w:pPr>
            <w:r w:rsidRPr="00232490">
              <w:rPr>
                <w:rFonts w:ascii="Segoe UI" w:hAnsi="Segoe UI" w:cs="Segoe UI"/>
                <w:i/>
                <w:iCs/>
                <w:sz w:val="18"/>
                <w:szCs w:val="16"/>
              </w:rPr>
              <w:t xml:space="preserve">I knew there was unmet need but was overwhelmed by the sheer numbers of whānau walking through the door at </w:t>
            </w:r>
            <w:proofErr w:type="spellStart"/>
            <w:r w:rsidRPr="00232490">
              <w:rPr>
                <w:rFonts w:ascii="Segoe UI" w:hAnsi="Segoe UI" w:cs="Segoe UI"/>
                <w:i/>
                <w:iCs/>
                <w:sz w:val="18"/>
                <w:szCs w:val="16"/>
              </w:rPr>
              <w:t>Te</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Kūwatawata</w:t>
            </w:r>
            <w:proofErr w:type="spellEnd"/>
            <w:r w:rsidRPr="00232490">
              <w:rPr>
                <w:rFonts w:ascii="Segoe UI" w:hAnsi="Segoe UI" w:cs="Segoe UI"/>
                <w:i/>
                <w:iCs/>
                <w:sz w:val="18"/>
                <w:szCs w:val="16"/>
              </w:rPr>
              <w:t>.</w:t>
            </w:r>
          </w:p>
        </w:tc>
      </w:tr>
      <w:tr w:rsidR="00232490" w:rsidRPr="00D80A37" w14:paraId="4CDA5B21" w14:textId="77777777" w:rsidTr="00F32C1D">
        <w:tc>
          <w:tcPr>
            <w:tcW w:w="3119" w:type="dxa"/>
          </w:tcPr>
          <w:p w14:paraId="00575508" w14:textId="77777777" w:rsidR="00232490" w:rsidRPr="00D80A37" w:rsidRDefault="00232490" w:rsidP="00232490">
            <w:pPr>
              <w:pStyle w:val="TableText"/>
              <w:rPr>
                <w:lang w:val="en-GB"/>
              </w:rPr>
            </w:pPr>
            <w:proofErr w:type="spellStart"/>
            <w:r w:rsidRPr="00D80A37">
              <w:rPr>
                <w:lang w:val="en-GB"/>
              </w:rPr>
              <w:lastRenderedPageBreak/>
              <w:t>Te</w:t>
            </w:r>
            <w:proofErr w:type="spellEnd"/>
            <w:r w:rsidRPr="00D80A37">
              <w:rPr>
                <w:lang w:val="en-GB"/>
              </w:rPr>
              <w:t xml:space="preserve"> </w:t>
            </w:r>
            <w:proofErr w:type="spellStart"/>
            <w:r w:rsidRPr="00D80A37">
              <w:rPr>
                <w:lang w:val="en-GB"/>
              </w:rPr>
              <w:t>Hiringa</w:t>
            </w:r>
            <w:proofErr w:type="spellEnd"/>
            <w:r w:rsidRPr="00D80A37">
              <w:rPr>
                <w:lang w:val="en-GB"/>
              </w:rPr>
              <w:t xml:space="preserve"> Matua: A Kaupapa Māori Pregnancy and Parenting Service</w:t>
            </w:r>
            <w:r>
              <w:rPr>
                <w:lang w:val="en-GB"/>
              </w:rPr>
              <w:t xml:space="preserve"> (PPS</w:t>
            </w:r>
            <w:r w:rsidRPr="00D80A37">
              <w:rPr>
                <w:lang w:val="en-GB"/>
              </w:rPr>
              <w:t>)</w:t>
            </w:r>
          </w:p>
          <w:p w14:paraId="3165C702" w14:textId="77777777" w:rsidR="00232490" w:rsidRPr="00D80A37" w:rsidRDefault="00232490" w:rsidP="00232490">
            <w:pPr>
              <w:pStyle w:val="TableText"/>
              <w:rPr>
                <w:lang w:val="en-GB"/>
              </w:rPr>
            </w:pPr>
          </w:p>
          <w:p w14:paraId="28906CEC" w14:textId="77777777" w:rsidR="00232490" w:rsidRPr="00D80A37" w:rsidRDefault="00232490" w:rsidP="00232490">
            <w:pPr>
              <w:pStyle w:val="TableText"/>
              <w:rPr>
                <w:lang w:val="en-GB"/>
              </w:rPr>
            </w:pPr>
          </w:p>
        </w:tc>
        <w:tc>
          <w:tcPr>
            <w:tcW w:w="5245" w:type="dxa"/>
          </w:tcPr>
          <w:p w14:paraId="47AF6FC0" w14:textId="77777777" w:rsidR="00232490" w:rsidRPr="00232490" w:rsidRDefault="00232490" w:rsidP="00232490">
            <w:pPr>
              <w:pStyle w:val="Tabletext0"/>
              <w:spacing w:line="264" w:lineRule="auto"/>
              <w:rPr>
                <w:rFonts w:ascii="Segoe UI" w:hAnsi="Segoe UI" w:cs="Segoe UI"/>
                <w:sz w:val="18"/>
                <w:szCs w:val="16"/>
              </w:rPr>
            </w:pPr>
            <w:proofErr w:type="spellStart"/>
            <w:r w:rsidRPr="00232490">
              <w:rPr>
                <w:rFonts w:ascii="Segoe UI" w:hAnsi="Segoe UI" w:cs="Segoe UI"/>
                <w:sz w:val="18"/>
                <w:szCs w:val="16"/>
              </w:rPr>
              <w:t>Whakamā</w:t>
            </w:r>
            <w:proofErr w:type="spellEnd"/>
            <w:r w:rsidRPr="00232490">
              <w:rPr>
                <w:rFonts w:ascii="Segoe UI" w:hAnsi="Segoe UI" w:cs="Segoe UI"/>
                <w:sz w:val="18"/>
                <w:szCs w:val="16"/>
              </w:rPr>
              <w:t xml:space="preserve"> – stigma; judgement, inconsistent messaging and misinformation, alongside entrenched deprivation, are significant barriers excluding whānau uptake of pregnancy and parenting support services. </w:t>
            </w:r>
          </w:p>
          <w:p w14:paraId="305F06AC" w14:textId="77777777" w:rsidR="00232490" w:rsidRPr="00232490" w:rsidRDefault="00232490" w:rsidP="00232490">
            <w:pPr>
              <w:pStyle w:val="Tabletext0"/>
              <w:tabs>
                <w:tab w:val="clear" w:pos="0"/>
                <w:tab w:val="left" w:pos="326"/>
              </w:tabs>
              <w:spacing w:line="264" w:lineRule="auto"/>
              <w:ind w:left="326"/>
              <w:rPr>
                <w:rFonts w:ascii="Segoe UI" w:hAnsi="Segoe UI" w:cs="Segoe UI"/>
                <w:i/>
                <w:iCs/>
                <w:sz w:val="18"/>
                <w:szCs w:val="16"/>
              </w:rPr>
            </w:pPr>
            <w:r w:rsidRPr="00232490">
              <w:rPr>
                <w:rFonts w:ascii="Segoe UI" w:hAnsi="Segoe UI" w:cs="Segoe UI"/>
                <w:i/>
                <w:iCs/>
                <w:sz w:val="18"/>
                <w:szCs w:val="16"/>
              </w:rPr>
              <w:t>PPS [are] funded on the premise that they had the potential to reach children most at risk of adverse outcomes due to exposure to risk factors including parental addiction and poor parenting.</w:t>
            </w:r>
            <w:r w:rsidRPr="00232490">
              <w:rPr>
                <w:rFonts w:ascii="Segoe UI" w:hAnsi="Segoe UI" w:cs="Segoe UI"/>
                <w:i/>
                <w:iCs/>
                <w:sz w:val="18"/>
                <w:szCs w:val="16"/>
                <w:vertAlign w:val="superscript"/>
              </w:rPr>
              <w:footnoteReference w:id="12"/>
            </w:r>
          </w:p>
          <w:p w14:paraId="488FB9DE" w14:textId="77777777" w:rsidR="00232490" w:rsidRPr="00232490" w:rsidRDefault="00232490" w:rsidP="00232490">
            <w:pPr>
              <w:pStyle w:val="Tabletext0"/>
              <w:tabs>
                <w:tab w:val="clear" w:pos="0"/>
                <w:tab w:val="left" w:pos="326"/>
              </w:tabs>
              <w:spacing w:line="264" w:lineRule="auto"/>
              <w:ind w:left="326"/>
              <w:rPr>
                <w:rFonts w:ascii="Segoe UI" w:hAnsi="Segoe UI" w:cs="Segoe UI"/>
                <w:sz w:val="18"/>
                <w:szCs w:val="16"/>
              </w:rPr>
            </w:pPr>
            <w:proofErr w:type="spellStart"/>
            <w:r w:rsidRPr="00232490">
              <w:rPr>
                <w:rFonts w:ascii="Segoe UI" w:hAnsi="Segoe UI" w:cs="Segoe UI"/>
                <w:i/>
                <w:iCs/>
                <w:sz w:val="18"/>
                <w:szCs w:val="16"/>
              </w:rPr>
              <w:t>Te</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Hiringa</w:t>
            </w:r>
            <w:proofErr w:type="spellEnd"/>
            <w:r w:rsidRPr="00232490">
              <w:rPr>
                <w:rFonts w:ascii="Segoe UI" w:hAnsi="Segoe UI" w:cs="Segoe UI"/>
                <w:i/>
                <w:iCs/>
                <w:sz w:val="18"/>
                <w:szCs w:val="16"/>
              </w:rPr>
              <w:t xml:space="preserve"> Matua team members were named </w:t>
            </w:r>
            <w:proofErr w:type="spellStart"/>
            <w:r w:rsidRPr="00232490">
              <w:rPr>
                <w:rFonts w:ascii="Segoe UI" w:hAnsi="Segoe UI" w:cs="Segoe UI"/>
                <w:i/>
                <w:iCs/>
                <w:sz w:val="18"/>
                <w:szCs w:val="16"/>
              </w:rPr>
              <w:t>Mataora</w:t>
            </w:r>
            <w:proofErr w:type="spellEnd"/>
            <w:r w:rsidRPr="00232490">
              <w:rPr>
                <w:rFonts w:ascii="Segoe UI" w:hAnsi="Segoe UI" w:cs="Segoe UI"/>
                <w:i/>
                <w:iCs/>
                <w:sz w:val="18"/>
                <w:szCs w:val="16"/>
              </w:rPr>
              <w:t xml:space="preserve"> by </w:t>
            </w:r>
            <w:proofErr w:type="spellStart"/>
            <w:r w:rsidRPr="00232490">
              <w:rPr>
                <w:rFonts w:ascii="Segoe UI" w:hAnsi="Segoe UI" w:cs="Segoe UI"/>
                <w:i/>
                <w:iCs/>
                <w:sz w:val="18"/>
                <w:szCs w:val="16"/>
              </w:rPr>
              <w:t>Te</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Kurahuna</w:t>
            </w:r>
            <w:proofErr w:type="spellEnd"/>
            <w:r w:rsidRPr="00232490">
              <w:rPr>
                <w:rFonts w:ascii="Segoe UI" w:hAnsi="Segoe UI" w:cs="Segoe UI"/>
                <w:i/>
                <w:iCs/>
                <w:sz w:val="18"/>
                <w:szCs w:val="16"/>
              </w:rPr>
              <w:t>. They were change makers and included artists with mātauranga Māori and expertise as well as clinician backgrounds.</w:t>
            </w:r>
            <w:r w:rsidRPr="00232490">
              <w:rPr>
                <w:rFonts w:ascii="Segoe UI" w:hAnsi="Segoe UI" w:cs="Segoe UI"/>
                <w:i/>
                <w:iCs/>
                <w:sz w:val="18"/>
                <w:szCs w:val="16"/>
                <w:vertAlign w:val="superscript"/>
              </w:rPr>
              <w:footnoteReference w:id="13"/>
            </w:r>
          </w:p>
        </w:tc>
      </w:tr>
      <w:tr w:rsidR="00232490" w:rsidRPr="00D80A37" w14:paraId="1BC61E14" w14:textId="77777777" w:rsidTr="00F32C1D">
        <w:tc>
          <w:tcPr>
            <w:tcW w:w="3119" w:type="dxa"/>
          </w:tcPr>
          <w:p w14:paraId="6FE6E6E3" w14:textId="77777777" w:rsidR="00232490" w:rsidRPr="00D80A37" w:rsidRDefault="00232490" w:rsidP="00232490">
            <w:pPr>
              <w:pStyle w:val="TableText"/>
              <w:rPr>
                <w:lang w:val="en-GB"/>
              </w:rPr>
            </w:pPr>
            <w:r w:rsidRPr="00D80A37">
              <w:rPr>
                <w:lang w:val="en-GB"/>
              </w:rPr>
              <w:t xml:space="preserve">Mahi </w:t>
            </w:r>
            <w:proofErr w:type="spellStart"/>
            <w:r w:rsidRPr="00D80A37">
              <w:rPr>
                <w:lang w:val="en-GB"/>
              </w:rPr>
              <w:t>Tahi</w:t>
            </w:r>
            <w:proofErr w:type="spellEnd"/>
            <w:r w:rsidRPr="00D80A37">
              <w:rPr>
                <w:lang w:val="en-GB"/>
              </w:rPr>
              <w:t xml:space="preserve">: a sector-wide advisory forum established to provide oversight and support for Kia </w:t>
            </w:r>
            <w:proofErr w:type="spellStart"/>
            <w:r w:rsidRPr="00D80A37">
              <w:rPr>
                <w:lang w:val="en-GB"/>
              </w:rPr>
              <w:t>Tōtika</w:t>
            </w:r>
            <w:proofErr w:type="spellEnd"/>
            <w:r w:rsidRPr="00D80A37">
              <w:rPr>
                <w:lang w:val="en-GB"/>
              </w:rPr>
              <w:t xml:space="preserve"> </w:t>
            </w:r>
            <w:proofErr w:type="spellStart"/>
            <w:r w:rsidRPr="00D80A37">
              <w:rPr>
                <w:lang w:val="en-GB"/>
              </w:rPr>
              <w:t>Te</w:t>
            </w:r>
            <w:proofErr w:type="spellEnd"/>
            <w:r w:rsidRPr="00D80A37">
              <w:rPr>
                <w:lang w:val="en-GB"/>
              </w:rPr>
              <w:t xml:space="preserve"> </w:t>
            </w:r>
            <w:proofErr w:type="spellStart"/>
            <w:r w:rsidRPr="00D80A37">
              <w:rPr>
                <w:lang w:val="en-GB"/>
              </w:rPr>
              <w:t>Tū</w:t>
            </w:r>
            <w:proofErr w:type="spellEnd"/>
            <w:r w:rsidRPr="00D80A37">
              <w:rPr>
                <w:lang w:val="en-GB"/>
              </w:rPr>
              <w:t xml:space="preserve">, and the development and implementation of </w:t>
            </w:r>
            <w:proofErr w:type="spellStart"/>
            <w:r w:rsidRPr="00D80A37">
              <w:rPr>
                <w:lang w:val="en-GB"/>
              </w:rPr>
              <w:t>Whāriki</w:t>
            </w:r>
            <w:proofErr w:type="spellEnd"/>
          </w:p>
        </w:tc>
        <w:tc>
          <w:tcPr>
            <w:tcW w:w="5245" w:type="dxa"/>
          </w:tcPr>
          <w:p w14:paraId="083493DF" w14:textId="77777777" w:rsidR="00232490" w:rsidRPr="00D80A37" w:rsidRDefault="00232490" w:rsidP="00232490">
            <w:pPr>
              <w:pStyle w:val="TableBullet"/>
              <w:rPr>
                <w:lang w:val="en-GB"/>
              </w:rPr>
            </w:pPr>
            <w:r w:rsidRPr="00D80A37">
              <w:rPr>
                <w:lang w:val="en-GB"/>
              </w:rPr>
              <w:t xml:space="preserve">Unequal power relationships embedded in the competitive contracting environment </w:t>
            </w:r>
          </w:p>
          <w:p w14:paraId="641979CC" w14:textId="77777777" w:rsidR="00232490" w:rsidRPr="00D80A37" w:rsidRDefault="00232490" w:rsidP="00232490">
            <w:pPr>
              <w:pStyle w:val="TableBullet"/>
              <w:rPr>
                <w:lang w:val="en-GB"/>
              </w:rPr>
            </w:pPr>
            <w:r w:rsidRPr="00D80A37">
              <w:rPr>
                <w:lang w:val="en-GB"/>
              </w:rPr>
              <w:t>No line of sight across the health continuum</w:t>
            </w:r>
          </w:p>
          <w:p w14:paraId="40627242" w14:textId="77777777" w:rsidR="00232490" w:rsidRPr="00D80A37" w:rsidRDefault="00232490" w:rsidP="00232490">
            <w:pPr>
              <w:pStyle w:val="TableBullet"/>
              <w:rPr>
                <w:lang w:val="en-GB"/>
              </w:rPr>
            </w:pPr>
            <w:r w:rsidRPr="00D80A37">
              <w:rPr>
                <w:lang w:val="en-GB"/>
              </w:rPr>
              <w:t>Fragmentation and limited resource</w:t>
            </w:r>
          </w:p>
        </w:tc>
      </w:tr>
      <w:tr w:rsidR="00232490" w:rsidRPr="00D80A37" w14:paraId="762C53A7" w14:textId="77777777" w:rsidTr="00F32C1D">
        <w:tc>
          <w:tcPr>
            <w:tcW w:w="3119" w:type="dxa"/>
          </w:tcPr>
          <w:p w14:paraId="1A7C9F6A" w14:textId="77777777" w:rsidR="00232490" w:rsidRPr="00D80A37" w:rsidRDefault="00232490" w:rsidP="00232490">
            <w:pPr>
              <w:pStyle w:val="TableText"/>
              <w:rPr>
                <w:lang w:val="en-GB"/>
              </w:rPr>
            </w:pPr>
            <w:r w:rsidRPr="00D80A37">
              <w:rPr>
                <w:lang w:val="en-GB"/>
              </w:rPr>
              <w:t xml:space="preserve">Kia </w:t>
            </w:r>
            <w:proofErr w:type="spellStart"/>
            <w:r w:rsidRPr="00D80A37">
              <w:rPr>
                <w:lang w:val="en-GB"/>
              </w:rPr>
              <w:t>Tōtika</w:t>
            </w:r>
            <w:proofErr w:type="spellEnd"/>
            <w:r w:rsidRPr="00D80A37">
              <w:rPr>
                <w:lang w:val="en-GB"/>
              </w:rPr>
              <w:t xml:space="preserve"> </w:t>
            </w:r>
            <w:proofErr w:type="spellStart"/>
            <w:r w:rsidRPr="00D80A37">
              <w:rPr>
                <w:lang w:val="en-GB"/>
              </w:rPr>
              <w:t>Te</w:t>
            </w:r>
            <w:proofErr w:type="spellEnd"/>
            <w:r w:rsidRPr="00D80A37">
              <w:rPr>
                <w:lang w:val="en-GB"/>
              </w:rPr>
              <w:t xml:space="preserve"> </w:t>
            </w:r>
            <w:proofErr w:type="spellStart"/>
            <w:r w:rsidRPr="00D80A37">
              <w:rPr>
                <w:lang w:val="en-GB"/>
              </w:rPr>
              <w:t>Tū</w:t>
            </w:r>
            <w:proofErr w:type="spellEnd"/>
            <w:r w:rsidRPr="00D80A37">
              <w:rPr>
                <w:lang w:val="en-GB"/>
              </w:rPr>
              <w:t>: a local review of MH&amp;A from the perspective of whānau, consumers and community</w:t>
            </w:r>
          </w:p>
        </w:tc>
        <w:tc>
          <w:tcPr>
            <w:tcW w:w="5245" w:type="dxa"/>
          </w:tcPr>
          <w:p w14:paraId="39FC5730" w14:textId="77777777" w:rsidR="00232490" w:rsidRPr="00232490" w:rsidRDefault="00232490" w:rsidP="00232490">
            <w:pPr>
              <w:pStyle w:val="TableBullet"/>
            </w:pPr>
            <w:r w:rsidRPr="00232490">
              <w:t>Increasing burden of need and distress presenting in community</w:t>
            </w:r>
          </w:p>
          <w:p w14:paraId="20A99053" w14:textId="77777777" w:rsidR="00232490" w:rsidRPr="00232490" w:rsidRDefault="00232490" w:rsidP="00232490">
            <w:pPr>
              <w:pStyle w:val="TableBullet"/>
            </w:pPr>
            <w:r w:rsidRPr="00232490">
              <w:t xml:space="preserve">An inconsistent understanding of the causes and risk factors of MH&amp;A, and what was and wasn’t working </w:t>
            </w:r>
          </w:p>
          <w:p w14:paraId="2412895C" w14:textId="77777777" w:rsidR="00232490" w:rsidRPr="00D60077" w:rsidRDefault="00232490" w:rsidP="00232490">
            <w:pPr>
              <w:pStyle w:val="Tabletext0"/>
              <w:tabs>
                <w:tab w:val="clear" w:pos="0"/>
                <w:tab w:val="left" w:pos="326"/>
              </w:tabs>
              <w:spacing w:line="264" w:lineRule="auto"/>
              <w:ind w:left="326"/>
              <w:rPr>
                <w:lang w:val="en-GB"/>
              </w:rPr>
            </w:pPr>
            <w:r w:rsidRPr="00232490">
              <w:rPr>
                <w:rFonts w:ascii="Segoe UI" w:hAnsi="Segoe UI" w:cs="Segoe UI"/>
                <w:i/>
                <w:iCs/>
                <w:sz w:val="18"/>
                <w:szCs w:val="16"/>
              </w:rPr>
              <w:t>‘There was no real understanding of inequity … who that hurts and how – I still think we have a long way to go, are not there yet.’</w:t>
            </w:r>
            <w:r w:rsidRPr="001C3FC3">
              <w:rPr>
                <w:lang w:val="en-GB"/>
              </w:rPr>
              <w:t xml:space="preserve">  </w:t>
            </w:r>
          </w:p>
        </w:tc>
      </w:tr>
      <w:tr w:rsidR="00232490" w:rsidRPr="00D80A37" w14:paraId="7F061FF6" w14:textId="77777777" w:rsidTr="00F32C1D">
        <w:tc>
          <w:tcPr>
            <w:tcW w:w="3119" w:type="dxa"/>
          </w:tcPr>
          <w:p w14:paraId="1D922794" w14:textId="77777777" w:rsidR="00232490" w:rsidRPr="00D80A37" w:rsidRDefault="00232490" w:rsidP="00232490">
            <w:pPr>
              <w:pStyle w:val="TableText"/>
              <w:rPr>
                <w:lang w:val="en-GB"/>
              </w:rPr>
            </w:pPr>
            <w:r w:rsidRPr="00D80A37">
              <w:rPr>
                <w:lang w:val="en-GB"/>
              </w:rPr>
              <w:t>Mahi-a-Atua</w:t>
            </w:r>
            <w:r>
              <w:rPr>
                <w:lang w:val="en-GB"/>
              </w:rPr>
              <w:t>:</w:t>
            </w:r>
            <w:r w:rsidRPr="00D80A37">
              <w:rPr>
                <w:lang w:val="en-GB"/>
              </w:rPr>
              <w:t xml:space="preserve"> a uniquely mātauranga Māori way of understanding and responding to whānau in distress –workforce development ‘</w:t>
            </w:r>
            <w:proofErr w:type="spellStart"/>
            <w:r w:rsidRPr="00D80A37">
              <w:rPr>
                <w:lang w:val="en-GB"/>
              </w:rPr>
              <w:t>Mataora</w:t>
            </w:r>
            <w:proofErr w:type="spellEnd"/>
            <w:r w:rsidRPr="00D80A37">
              <w:rPr>
                <w:lang w:val="en-GB"/>
              </w:rPr>
              <w:t xml:space="preserve">’   </w:t>
            </w:r>
          </w:p>
        </w:tc>
        <w:tc>
          <w:tcPr>
            <w:tcW w:w="5245" w:type="dxa"/>
          </w:tcPr>
          <w:p w14:paraId="0B0520A0" w14:textId="77777777" w:rsidR="00232490" w:rsidRPr="00D80A37" w:rsidRDefault="00232490" w:rsidP="00232490">
            <w:pPr>
              <w:pStyle w:val="TableBullet"/>
              <w:rPr>
                <w:i/>
                <w:iCs/>
                <w:lang w:val="en-GB"/>
              </w:rPr>
            </w:pPr>
            <w:r w:rsidRPr="00D80A37">
              <w:rPr>
                <w:lang w:val="en-GB"/>
              </w:rPr>
              <w:t xml:space="preserve">An over-reliance on </w:t>
            </w:r>
            <w:r>
              <w:rPr>
                <w:lang w:val="en-GB"/>
              </w:rPr>
              <w:t>w</w:t>
            </w:r>
            <w:r w:rsidRPr="00D80A37">
              <w:rPr>
                <w:lang w:val="en-GB"/>
              </w:rPr>
              <w:t>esternised frameworks that do not work for whānau Māori</w:t>
            </w:r>
          </w:p>
          <w:p w14:paraId="5EC15504" w14:textId="77777777" w:rsidR="00232490" w:rsidRPr="009254BE" w:rsidRDefault="00232490" w:rsidP="00232490">
            <w:pPr>
              <w:pStyle w:val="TableBullet"/>
              <w:rPr>
                <w:lang w:val="en-GB"/>
              </w:rPr>
            </w:pPr>
            <w:r>
              <w:rPr>
                <w:lang w:val="en-GB"/>
              </w:rPr>
              <w:t>‘</w:t>
            </w:r>
            <w:r w:rsidRPr="009254BE">
              <w:rPr>
                <w:lang w:val="en-GB"/>
              </w:rPr>
              <w:t xml:space="preserve">A tendency for the system to </w:t>
            </w:r>
            <w:proofErr w:type="spellStart"/>
            <w:r w:rsidRPr="009254BE">
              <w:rPr>
                <w:lang w:val="en-GB"/>
              </w:rPr>
              <w:t>pathologise</w:t>
            </w:r>
            <w:proofErr w:type="spellEnd"/>
            <w:r w:rsidRPr="009254BE">
              <w:rPr>
                <w:lang w:val="en-GB"/>
              </w:rPr>
              <w:t xml:space="preserve"> and medicalise </w:t>
            </w:r>
            <w:proofErr w:type="spellStart"/>
            <w:r w:rsidRPr="009254BE">
              <w:rPr>
                <w:lang w:val="en-GB"/>
              </w:rPr>
              <w:t>whānau</w:t>
            </w:r>
            <w:proofErr w:type="spellEnd"/>
            <w:r w:rsidRPr="009254BE">
              <w:rPr>
                <w:lang w:val="en-GB"/>
              </w:rPr>
              <w:t xml:space="preserve"> in distress. They fear they will be medicated, institutionalised, locked up –they won’t present until they are in crisis.</w:t>
            </w:r>
            <w:r>
              <w:rPr>
                <w:lang w:val="en-GB"/>
              </w:rPr>
              <w:t>’</w:t>
            </w:r>
            <w:r w:rsidRPr="009254BE">
              <w:rPr>
                <w:lang w:val="en-GB"/>
              </w:rPr>
              <w:t xml:space="preserve">  </w:t>
            </w:r>
          </w:p>
          <w:p w14:paraId="39E771D1" w14:textId="77777777" w:rsidR="00232490" w:rsidRPr="00D80A37" w:rsidRDefault="00232490" w:rsidP="00232490">
            <w:pPr>
              <w:pStyle w:val="TableBullet"/>
              <w:rPr>
                <w:lang w:val="en-GB"/>
              </w:rPr>
            </w:pPr>
            <w:r w:rsidRPr="00D80A37">
              <w:rPr>
                <w:lang w:val="en-GB"/>
              </w:rPr>
              <w:lastRenderedPageBreak/>
              <w:t xml:space="preserve">A workforce lacking dual competencies to apply ‘good practice’ from within a culturally constructed paradigm.  </w:t>
            </w:r>
          </w:p>
        </w:tc>
      </w:tr>
      <w:tr w:rsidR="00232490" w:rsidRPr="00D80A37" w14:paraId="6388A42E" w14:textId="77777777" w:rsidTr="00F32C1D">
        <w:tc>
          <w:tcPr>
            <w:tcW w:w="3119" w:type="dxa"/>
          </w:tcPr>
          <w:p w14:paraId="290513AF" w14:textId="77777777" w:rsidR="00232490" w:rsidRPr="00D80A37" w:rsidRDefault="00232490" w:rsidP="00232490">
            <w:pPr>
              <w:pStyle w:val="TableText"/>
              <w:rPr>
                <w:rFonts w:cstheme="minorHAnsi"/>
                <w:lang w:val="en-GB"/>
              </w:rPr>
            </w:pPr>
            <w:proofErr w:type="spellStart"/>
            <w:r w:rsidRPr="00D80A37">
              <w:rPr>
                <w:rFonts w:cstheme="minorHAnsi"/>
                <w:lang w:val="en-GB"/>
              </w:rPr>
              <w:lastRenderedPageBreak/>
              <w:t>Te</w:t>
            </w:r>
            <w:proofErr w:type="spellEnd"/>
            <w:r w:rsidRPr="00D80A37">
              <w:rPr>
                <w:rFonts w:cstheme="minorHAnsi"/>
                <w:lang w:val="en-GB"/>
              </w:rPr>
              <w:t xml:space="preserve"> </w:t>
            </w:r>
            <w:proofErr w:type="spellStart"/>
            <w:r w:rsidRPr="00D80A37">
              <w:rPr>
                <w:rFonts w:cstheme="minorHAnsi"/>
                <w:lang w:val="en-GB"/>
              </w:rPr>
              <w:t>Rōpū</w:t>
            </w:r>
            <w:proofErr w:type="spellEnd"/>
            <w:r w:rsidRPr="00D80A37">
              <w:rPr>
                <w:rFonts w:cstheme="minorHAnsi"/>
                <w:lang w:val="en-GB"/>
              </w:rPr>
              <w:t xml:space="preserve"> Matua</w:t>
            </w:r>
            <w:r>
              <w:rPr>
                <w:rFonts w:cstheme="minorHAnsi"/>
                <w:lang w:val="en-GB"/>
              </w:rPr>
              <w:t>:</w:t>
            </w:r>
            <w:r w:rsidRPr="00D80A37">
              <w:rPr>
                <w:rFonts w:cstheme="minorHAnsi"/>
                <w:lang w:val="en-GB"/>
              </w:rPr>
              <w:t xml:space="preserve"> a Māori leadership advisory group in the health policy, planning and resourcing system/cycle</w:t>
            </w:r>
          </w:p>
        </w:tc>
        <w:tc>
          <w:tcPr>
            <w:tcW w:w="5245" w:type="dxa"/>
          </w:tcPr>
          <w:p w14:paraId="42D0E908" w14:textId="77777777" w:rsidR="00232490" w:rsidRPr="00D80A37" w:rsidRDefault="00232490" w:rsidP="00232490">
            <w:pPr>
              <w:pStyle w:val="TableBullet"/>
              <w:rPr>
                <w:lang w:val="en-GB"/>
              </w:rPr>
            </w:pPr>
            <w:r w:rsidRPr="00D80A37">
              <w:rPr>
                <w:lang w:val="en-GB"/>
              </w:rPr>
              <w:t>Inequity in decision-making and transparency regarding the types of services that are delivered in Te Tairāwhiti</w:t>
            </w:r>
          </w:p>
        </w:tc>
      </w:tr>
    </w:tbl>
    <w:p w14:paraId="322E37A2" w14:textId="77777777" w:rsidR="00232490" w:rsidRPr="00D80A37" w:rsidRDefault="00232490" w:rsidP="00232490">
      <w:pPr>
        <w:pStyle w:val="Heading3"/>
      </w:pPr>
      <w:r w:rsidRPr="00D80A37">
        <w:t>Early learnings and outcomes achieved</w:t>
      </w:r>
    </w:p>
    <w:p w14:paraId="3218FED8" w14:textId="1F3A3819" w:rsidR="00232490" w:rsidRPr="00D80A37" w:rsidRDefault="00F32C1D" w:rsidP="00232490">
      <w:r>
        <w:fldChar w:fldCharType="begin"/>
      </w:r>
      <w:r>
        <w:instrText xml:space="preserve"> REF _Ref122360479 \h </w:instrText>
      </w:r>
      <w:r>
        <w:fldChar w:fldCharType="separate"/>
      </w:r>
      <w:r w:rsidR="006849AB">
        <w:t xml:space="preserve">Table </w:t>
      </w:r>
      <w:r w:rsidR="006849AB">
        <w:rPr>
          <w:noProof/>
        </w:rPr>
        <w:t>3</w:t>
      </w:r>
      <w:r>
        <w:fldChar w:fldCharType="end"/>
      </w:r>
      <w:r w:rsidR="00232490" w:rsidRPr="00D80A37">
        <w:t xml:space="preserve"> provides examples of whānau</w:t>
      </w:r>
      <w:r w:rsidR="00232490">
        <w:t>-</w:t>
      </w:r>
      <w:r w:rsidR="00232490" w:rsidRPr="00D80A37">
        <w:t xml:space="preserve"> and system</w:t>
      </w:r>
      <w:r w:rsidR="00232490">
        <w:t>-</w:t>
      </w:r>
      <w:r w:rsidR="00232490" w:rsidRPr="00D80A37">
        <w:t>level learnings and early outcomes achieved across the six initiatives.</w:t>
      </w:r>
      <w:r>
        <w:t xml:space="preserve"> </w:t>
      </w:r>
      <w:r>
        <w:fldChar w:fldCharType="begin"/>
      </w:r>
      <w:r>
        <w:instrText xml:space="preserve"> REF _Ref122360486 \h </w:instrText>
      </w:r>
      <w:r>
        <w:fldChar w:fldCharType="separate"/>
      </w:r>
      <w:r w:rsidR="006849AB">
        <w:t xml:space="preserve">Table </w:t>
      </w:r>
      <w:r w:rsidR="006849AB">
        <w:rPr>
          <w:noProof/>
        </w:rPr>
        <w:t>4</w:t>
      </w:r>
      <w:r>
        <w:fldChar w:fldCharType="end"/>
      </w:r>
      <w:r>
        <w:t xml:space="preserve"> </w:t>
      </w:r>
      <w:r w:rsidR="00232490" w:rsidRPr="00D80A37">
        <w:t xml:space="preserve">outlines the range of methods employed.  </w:t>
      </w:r>
    </w:p>
    <w:p w14:paraId="03F578C4" w14:textId="4FDA5B22" w:rsidR="00232490" w:rsidRPr="00D80A37" w:rsidRDefault="00232490" w:rsidP="00232490">
      <w:pPr>
        <w:pStyle w:val="Caption"/>
        <w:spacing w:before="240"/>
      </w:pPr>
      <w:bookmarkStart w:id="21" w:name="_Ref122360479"/>
      <w:bookmarkStart w:id="22" w:name="_Toc124833604"/>
      <w:r>
        <w:t xml:space="preserve">Table </w:t>
      </w:r>
      <w:fldSimple w:instr=" SEQ Table \* ARABIC ">
        <w:r w:rsidR="006849AB">
          <w:rPr>
            <w:noProof/>
          </w:rPr>
          <w:t>3</w:t>
        </w:r>
      </w:fldSimple>
      <w:bookmarkEnd w:id="21"/>
      <w:r w:rsidRPr="00D80A37">
        <w:t>: Learning and early outcomes achieved</w:t>
      </w:r>
      <w:r>
        <w:t xml:space="preserve"> at whānau and systems levels</w:t>
      </w:r>
      <w:bookmarkEnd w:id="22"/>
    </w:p>
    <w:tbl>
      <w:tblPr>
        <w:tblStyle w:val="TableGrid"/>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82"/>
        <w:gridCol w:w="4182"/>
      </w:tblGrid>
      <w:tr w:rsidR="00232490" w:rsidRPr="00232490" w14:paraId="0FB43C37" w14:textId="77777777" w:rsidTr="00F32C1D">
        <w:trPr>
          <w:tblHeader/>
        </w:trPr>
        <w:tc>
          <w:tcPr>
            <w:tcW w:w="4182" w:type="dxa"/>
            <w:tcBorders>
              <w:top w:val="nil"/>
              <w:bottom w:val="nil"/>
              <w:right w:val="nil"/>
            </w:tcBorders>
            <w:shd w:val="clear" w:color="auto" w:fill="D9D9D9" w:themeFill="background1" w:themeFillShade="D9"/>
          </w:tcPr>
          <w:p w14:paraId="7B26B7F0" w14:textId="77777777" w:rsidR="00232490" w:rsidRPr="00232490" w:rsidRDefault="00232490" w:rsidP="00232490">
            <w:pPr>
              <w:pStyle w:val="TableText"/>
              <w:rPr>
                <w:b/>
                <w:bCs/>
              </w:rPr>
            </w:pPr>
            <w:r w:rsidRPr="00232490">
              <w:rPr>
                <w:b/>
                <w:bCs/>
              </w:rPr>
              <w:t xml:space="preserve">Whānau level </w:t>
            </w:r>
          </w:p>
        </w:tc>
        <w:tc>
          <w:tcPr>
            <w:tcW w:w="4182" w:type="dxa"/>
            <w:tcBorders>
              <w:top w:val="nil"/>
              <w:left w:val="nil"/>
              <w:bottom w:val="nil"/>
            </w:tcBorders>
            <w:shd w:val="clear" w:color="auto" w:fill="D9D9D9" w:themeFill="background1" w:themeFillShade="D9"/>
          </w:tcPr>
          <w:p w14:paraId="176B6FFF" w14:textId="77777777" w:rsidR="00232490" w:rsidRPr="00232490" w:rsidRDefault="00232490" w:rsidP="00232490">
            <w:pPr>
              <w:pStyle w:val="TableText"/>
              <w:rPr>
                <w:b/>
                <w:bCs/>
              </w:rPr>
            </w:pPr>
            <w:r w:rsidRPr="00232490">
              <w:rPr>
                <w:b/>
                <w:bCs/>
              </w:rPr>
              <w:t>System level</w:t>
            </w:r>
          </w:p>
        </w:tc>
      </w:tr>
      <w:tr w:rsidR="00232490" w:rsidRPr="00D80A37" w14:paraId="1F32E19B" w14:textId="77777777" w:rsidTr="00F32C1D">
        <w:tc>
          <w:tcPr>
            <w:tcW w:w="4182" w:type="dxa"/>
            <w:tcBorders>
              <w:top w:val="nil"/>
            </w:tcBorders>
          </w:tcPr>
          <w:p w14:paraId="1076D4C3" w14:textId="77777777" w:rsidR="00232490" w:rsidRPr="00D80A37" w:rsidRDefault="00232490" w:rsidP="00232490">
            <w:pPr>
              <w:pStyle w:val="TableText"/>
            </w:pPr>
            <w:r w:rsidRPr="00D80A37">
              <w:t xml:space="preserve">122 whānau accessed support from </w:t>
            </w:r>
            <w:proofErr w:type="spellStart"/>
            <w:r w:rsidRPr="00D80A37">
              <w:t>Te</w:t>
            </w:r>
            <w:proofErr w:type="spellEnd"/>
            <w:r w:rsidRPr="00D80A37">
              <w:t xml:space="preserve"> </w:t>
            </w:r>
            <w:proofErr w:type="spellStart"/>
            <w:r w:rsidRPr="00D80A37">
              <w:t>Hiringa</w:t>
            </w:r>
            <w:proofErr w:type="spellEnd"/>
            <w:r w:rsidRPr="00D80A37">
              <w:t xml:space="preserve"> Matua in 2019/20. Examples of outcomes achieved</w:t>
            </w:r>
            <w:r>
              <w:t xml:space="preserve"> are</w:t>
            </w:r>
            <w:r w:rsidRPr="00D80A37">
              <w:t xml:space="preserve">: </w:t>
            </w:r>
          </w:p>
          <w:p w14:paraId="39CCFAF5" w14:textId="77777777" w:rsidR="00232490" w:rsidRPr="00D80A37" w:rsidRDefault="00232490" w:rsidP="00232490">
            <w:pPr>
              <w:pStyle w:val="TableBullet"/>
            </w:pPr>
            <w:r>
              <w:t>d</w:t>
            </w:r>
            <w:r w:rsidRPr="00D80A37">
              <w:t>ecreased alcohol and drug use and/or recovery from misuse</w:t>
            </w:r>
          </w:p>
          <w:p w14:paraId="07C452BD" w14:textId="77777777" w:rsidR="00232490" w:rsidRPr="00D80A37" w:rsidRDefault="00232490" w:rsidP="00232490">
            <w:pPr>
              <w:pStyle w:val="TableBullet"/>
            </w:pPr>
            <w:r>
              <w:t>i</w:t>
            </w:r>
            <w:r w:rsidRPr="00D80A37">
              <w:t>mproved whānau relationships</w:t>
            </w:r>
          </w:p>
          <w:p w14:paraId="11A6C5F3" w14:textId="77777777" w:rsidR="00232490" w:rsidRPr="00D80A37" w:rsidRDefault="00232490" w:rsidP="00232490">
            <w:pPr>
              <w:pStyle w:val="TableBullet"/>
            </w:pPr>
            <w:r>
              <w:t>i</w:t>
            </w:r>
            <w:r w:rsidRPr="00D80A37">
              <w:t xml:space="preserve">mproved </w:t>
            </w:r>
            <w:r>
              <w:t>m</w:t>
            </w:r>
            <w:r w:rsidRPr="00D80A37">
              <w:t>other</w:t>
            </w:r>
            <w:r>
              <w:t>–c</w:t>
            </w:r>
            <w:r w:rsidRPr="00D80A37">
              <w:t>hild attachment</w:t>
            </w:r>
          </w:p>
          <w:p w14:paraId="4604B1FA" w14:textId="77777777" w:rsidR="00232490" w:rsidRPr="00D80A37" w:rsidRDefault="00232490" w:rsidP="00232490">
            <w:pPr>
              <w:pStyle w:val="TableBullet"/>
            </w:pPr>
            <w:r>
              <w:t>i</w:t>
            </w:r>
            <w:r w:rsidRPr="00D80A37">
              <w:t>mproved living situations (housing, necessities, safety)</w:t>
            </w:r>
          </w:p>
          <w:p w14:paraId="3D2C8E39" w14:textId="77777777" w:rsidR="00232490" w:rsidRPr="00D80A37" w:rsidRDefault="00232490" w:rsidP="00232490">
            <w:pPr>
              <w:pStyle w:val="TableBullet"/>
            </w:pPr>
            <w:r>
              <w:t>p</w:t>
            </w:r>
            <w:r w:rsidRPr="00D80A37">
              <w:t xml:space="preserve">ositive and supported access to tamariki (in state care) and a pathway </w:t>
            </w:r>
            <w:r>
              <w:t>for</w:t>
            </w:r>
            <w:r w:rsidRPr="00D80A37">
              <w:t xml:space="preserve"> their return to whānau</w:t>
            </w:r>
          </w:p>
          <w:p w14:paraId="715908B4" w14:textId="77777777" w:rsidR="00232490" w:rsidRPr="00D80A37" w:rsidRDefault="00232490" w:rsidP="00232490">
            <w:pPr>
              <w:pStyle w:val="TableBullet"/>
            </w:pPr>
            <w:r>
              <w:t>i</w:t>
            </w:r>
            <w:r w:rsidRPr="00D80A37">
              <w:t>ncreased confidence around parenting strategies</w:t>
            </w:r>
          </w:p>
          <w:p w14:paraId="7FAFE616" w14:textId="77777777" w:rsidR="00232490" w:rsidRPr="00D80A37" w:rsidRDefault="00232490" w:rsidP="00232490">
            <w:pPr>
              <w:pStyle w:val="TableBullet"/>
            </w:pPr>
            <w:r>
              <w:t>i</w:t>
            </w:r>
            <w:r w:rsidRPr="00D80A37">
              <w:t>mproved tamariki health.</w:t>
            </w:r>
          </w:p>
          <w:p w14:paraId="1A1ACE35" w14:textId="77777777" w:rsidR="00232490" w:rsidRPr="00232490" w:rsidRDefault="00232490" w:rsidP="00232490">
            <w:pPr>
              <w:pStyle w:val="Tabletext0"/>
              <w:tabs>
                <w:tab w:val="clear" w:pos="0"/>
                <w:tab w:val="left" w:pos="326"/>
              </w:tabs>
              <w:spacing w:line="264" w:lineRule="auto"/>
              <w:ind w:left="326"/>
              <w:rPr>
                <w:rFonts w:ascii="Segoe UI" w:hAnsi="Segoe UI" w:cs="Segoe UI"/>
                <w:i/>
                <w:iCs/>
                <w:sz w:val="18"/>
                <w:szCs w:val="16"/>
              </w:rPr>
            </w:pPr>
            <w:r w:rsidRPr="00232490">
              <w:rPr>
                <w:rFonts w:ascii="Segoe UI" w:hAnsi="Segoe UI" w:cs="Segoe UI"/>
                <w:i/>
                <w:iCs/>
                <w:sz w:val="18"/>
                <w:szCs w:val="16"/>
              </w:rPr>
              <w:t>‘The wānanga helped me with understanding about who I am. Those fairy tales about princesses [that you hear growing up], they are not ours.’</w:t>
            </w:r>
            <w:r w:rsidRPr="00232490">
              <w:rPr>
                <w:rFonts w:ascii="Segoe UI" w:hAnsi="Segoe UI" w:cs="Segoe UI"/>
                <w:i/>
                <w:iCs/>
                <w:sz w:val="18"/>
                <w:szCs w:val="16"/>
                <w:vertAlign w:val="superscript"/>
              </w:rPr>
              <w:footnoteReference w:id="14"/>
            </w:r>
            <w:r w:rsidRPr="00232490">
              <w:rPr>
                <w:rFonts w:ascii="Segoe UI" w:hAnsi="Segoe UI" w:cs="Segoe UI"/>
                <w:i/>
                <w:iCs/>
                <w:sz w:val="18"/>
                <w:szCs w:val="16"/>
                <w:vertAlign w:val="superscript"/>
              </w:rPr>
              <w:t xml:space="preserve"> </w:t>
            </w:r>
          </w:p>
          <w:p w14:paraId="1165969B" w14:textId="77777777" w:rsidR="00232490" w:rsidRPr="00D80A37" w:rsidRDefault="00232490" w:rsidP="00232490">
            <w:pPr>
              <w:pStyle w:val="TableText"/>
            </w:pPr>
            <w:proofErr w:type="spellStart"/>
            <w:r w:rsidRPr="00D80A37">
              <w:t>Te</w:t>
            </w:r>
            <w:proofErr w:type="spellEnd"/>
            <w:r w:rsidRPr="00D80A37">
              <w:t xml:space="preserve"> </w:t>
            </w:r>
            <w:proofErr w:type="spellStart"/>
            <w:r w:rsidRPr="00D80A37">
              <w:t>Kūwatawata</w:t>
            </w:r>
            <w:proofErr w:type="spellEnd"/>
            <w:r w:rsidRPr="00D80A37">
              <w:t xml:space="preserve"> is engaging with an average of 160 whānau each month: whānau access support ‘in time’</w:t>
            </w:r>
            <w:r>
              <w:t>,</w:t>
            </w:r>
            <w:r w:rsidRPr="00D80A37">
              <w:t xml:space="preserve"> including supported referrals to appropriate services if required. Outcomes include:</w:t>
            </w:r>
          </w:p>
          <w:p w14:paraId="014F7980" w14:textId="77777777" w:rsidR="00232490" w:rsidRPr="00D80A37" w:rsidRDefault="00232490" w:rsidP="00232490">
            <w:pPr>
              <w:pStyle w:val="TableBullet"/>
            </w:pPr>
            <w:r>
              <w:t>r</w:t>
            </w:r>
            <w:r w:rsidRPr="00D80A37">
              <w:t>educing risk of escalation and sustained ill</w:t>
            </w:r>
            <w:r>
              <w:t xml:space="preserve"> </w:t>
            </w:r>
            <w:r w:rsidRPr="00D80A37">
              <w:t>health</w:t>
            </w:r>
          </w:p>
          <w:p w14:paraId="60F4D806" w14:textId="77777777" w:rsidR="00232490" w:rsidRPr="00D80A37" w:rsidRDefault="00232490" w:rsidP="00232490">
            <w:pPr>
              <w:pStyle w:val="TableBullet"/>
            </w:pPr>
            <w:r>
              <w:t>r</w:t>
            </w:r>
            <w:r w:rsidRPr="00D80A37">
              <w:t>educing wrong door experiences and having to ‘repeatedly tell their story’</w:t>
            </w:r>
          </w:p>
          <w:p w14:paraId="2C1044AF" w14:textId="77777777" w:rsidR="00232490" w:rsidRPr="00D80A37" w:rsidRDefault="00232490" w:rsidP="00232490">
            <w:pPr>
              <w:pStyle w:val="TableBullet"/>
            </w:pPr>
            <w:r>
              <w:t xml:space="preserve">fewer </w:t>
            </w:r>
            <w:r w:rsidRPr="00D80A37">
              <w:t xml:space="preserve">bottlenecks and </w:t>
            </w:r>
            <w:r>
              <w:t xml:space="preserve">reduced </w:t>
            </w:r>
            <w:r w:rsidRPr="00D80A37">
              <w:t>waitlists</w:t>
            </w:r>
            <w:r>
              <w:t>.</w:t>
            </w:r>
          </w:p>
          <w:p w14:paraId="0727BF1A" w14:textId="77777777" w:rsidR="00232490" w:rsidRPr="00D80A37" w:rsidRDefault="00232490" w:rsidP="00232490">
            <w:pPr>
              <w:pStyle w:val="Tabletext0"/>
              <w:tabs>
                <w:tab w:val="clear" w:pos="0"/>
                <w:tab w:val="left" w:pos="326"/>
              </w:tabs>
              <w:spacing w:line="264" w:lineRule="auto"/>
              <w:ind w:left="326"/>
            </w:pPr>
            <w:r w:rsidRPr="00232490">
              <w:rPr>
                <w:rFonts w:ascii="Segoe UI" w:hAnsi="Segoe UI" w:cs="Segoe UI"/>
                <w:i/>
                <w:iCs/>
                <w:sz w:val="18"/>
                <w:szCs w:val="16"/>
              </w:rPr>
              <w:lastRenderedPageBreak/>
              <w:t xml:space="preserve">The [support] was fitted to me and what I needed … I took my mum to </w:t>
            </w:r>
            <w:proofErr w:type="spellStart"/>
            <w:r w:rsidRPr="00232490">
              <w:rPr>
                <w:rFonts w:ascii="Segoe UI" w:hAnsi="Segoe UI" w:cs="Segoe UI"/>
                <w:i/>
                <w:iCs/>
                <w:sz w:val="18"/>
                <w:szCs w:val="16"/>
              </w:rPr>
              <w:t>Te</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Kūwatawata</w:t>
            </w:r>
            <w:proofErr w:type="spellEnd"/>
            <w:r w:rsidRPr="00232490">
              <w:rPr>
                <w:rFonts w:ascii="Segoe UI" w:hAnsi="Segoe UI" w:cs="Segoe UI"/>
                <w:i/>
                <w:iCs/>
                <w:sz w:val="18"/>
                <w:szCs w:val="16"/>
              </w:rPr>
              <w:t xml:space="preserve"> … I like how easy it was … specialist Māori staff who understood manaaki, … genuine care from </w:t>
            </w:r>
            <w:proofErr w:type="spellStart"/>
            <w:r w:rsidRPr="00232490">
              <w:rPr>
                <w:rFonts w:ascii="Segoe UI" w:hAnsi="Segoe UI" w:cs="Segoe UI"/>
                <w:i/>
                <w:iCs/>
                <w:sz w:val="18"/>
                <w:szCs w:val="16"/>
              </w:rPr>
              <w:t>Mataora</w:t>
            </w:r>
            <w:proofErr w:type="spellEnd"/>
            <w:r w:rsidRPr="00232490">
              <w:rPr>
                <w:rFonts w:ascii="Segoe UI" w:hAnsi="Segoe UI" w:cs="Segoe UI"/>
                <w:i/>
                <w:iCs/>
                <w:sz w:val="18"/>
                <w:szCs w:val="16"/>
              </w:rPr>
              <w:t>. (</w:t>
            </w:r>
            <w:proofErr w:type="spellStart"/>
            <w:r w:rsidRPr="00232490">
              <w:rPr>
                <w:rFonts w:ascii="Segoe UI" w:hAnsi="Segoe UI" w:cs="Segoe UI"/>
                <w:i/>
                <w:iCs/>
                <w:sz w:val="18"/>
                <w:szCs w:val="16"/>
              </w:rPr>
              <w:t>Whānau</w:t>
            </w:r>
            <w:proofErr w:type="spellEnd"/>
            <w:r w:rsidRPr="00232490">
              <w:rPr>
                <w:rFonts w:ascii="Segoe UI" w:hAnsi="Segoe UI" w:cs="Segoe UI"/>
                <w:i/>
                <w:iCs/>
                <w:sz w:val="18"/>
                <w:szCs w:val="16"/>
              </w:rPr>
              <w:t xml:space="preserve"> feedback, Kia </w:t>
            </w:r>
            <w:proofErr w:type="spellStart"/>
            <w:r w:rsidRPr="00232490">
              <w:rPr>
                <w:rFonts w:ascii="Segoe UI" w:hAnsi="Segoe UI" w:cs="Segoe UI"/>
                <w:i/>
                <w:iCs/>
                <w:sz w:val="18"/>
                <w:szCs w:val="16"/>
              </w:rPr>
              <w:t>Tōtika</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Te</w:t>
            </w:r>
            <w:proofErr w:type="spellEnd"/>
            <w:r w:rsidRPr="00232490">
              <w:rPr>
                <w:rFonts w:ascii="Segoe UI" w:hAnsi="Segoe UI" w:cs="Segoe UI"/>
                <w:i/>
                <w:iCs/>
                <w:sz w:val="18"/>
                <w:szCs w:val="16"/>
              </w:rPr>
              <w:t xml:space="preserve"> </w:t>
            </w:r>
            <w:proofErr w:type="spellStart"/>
            <w:r w:rsidRPr="00232490">
              <w:rPr>
                <w:rFonts w:ascii="Segoe UI" w:hAnsi="Segoe UI" w:cs="Segoe UI"/>
                <w:i/>
                <w:iCs/>
                <w:sz w:val="18"/>
                <w:szCs w:val="16"/>
              </w:rPr>
              <w:t>Tū</w:t>
            </w:r>
            <w:proofErr w:type="spellEnd"/>
            <w:r w:rsidRPr="00232490">
              <w:rPr>
                <w:rFonts w:ascii="Segoe UI" w:hAnsi="Segoe UI" w:cs="Segoe UI"/>
                <w:i/>
                <w:iCs/>
                <w:sz w:val="18"/>
                <w:szCs w:val="16"/>
              </w:rPr>
              <w:t>, 2019)</w:t>
            </w:r>
          </w:p>
        </w:tc>
        <w:tc>
          <w:tcPr>
            <w:tcW w:w="4182" w:type="dxa"/>
            <w:tcBorders>
              <w:top w:val="nil"/>
            </w:tcBorders>
          </w:tcPr>
          <w:p w14:paraId="1ADAED8A" w14:textId="77777777" w:rsidR="00232490" w:rsidRPr="00D80A37" w:rsidRDefault="00232490" w:rsidP="00232490">
            <w:pPr>
              <w:pStyle w:val="TableBullet"/>
              <w:rPr>
                <w:lang w:val="en-GB"/>
              </w:rPr>
            </w:pPr>
            <w:r w:rsidRPr="00D80A37">
              <w:lastRenderedPageBreak/>
              <w:t>Equity: Developing a shared understanding of equity and inequity (for who, where, when, why and how), and how to apply an equity lens across systems and processes</w:t>
            </w:r>
            <w:r>
              <w:t>.</w:t>
            </w:r>
          </w:p>
          <w:p w14:paraId="5BD7773C" w14:textId="77777777" w:rsidR="00232490" w:rsidRPr="00D80A37" w:rsidRDefault="00232490" w:rsidP="00232490">
            <w:pPr>
              <w:pStyle w:val="TableBullet"/>
              <w:rPr>
                <w:lang w:val="en-GB"/>
              </w:rPr>
            </w:pPr>
            <w:r w:rsidRPr="00D80A37">
              <w:rPr>
                <w:lang w:val="en-GB"/>
              </w:rPr>
              <w:t>Community-led partnership/s: Enabling a shift towards collective ownership and shared accountability.</w:t>
            </w:r>
          </w:p>
          <w:p w14:paraId="74062A29" w14:textId="77777777" w:rsidR="00232490" w:rsidRPr="00D80A37" w:rsidRDefault="00232490" w:rsidP="00232490">
            <w:pPr>
              <w:pStyle w:val="TableBullet"/>
              <w:rPr>
                <w:lang w:val="en-GB"/>
              </w:rPr>
            </w:pPr>
            <w:r w:rsidRPr="00D80A37">
              <w:rPr>
                <w:lang w:val="en-GB"/>
              </w:rPr>
              <w:t>Accountability: Increasing resilience to tackle systems issues, including those associated with racism and discrimination.</w:t>
            </w:r>
          </w:p>
          <w:p w14:paraId="2B8C6048" w14:textId="77777777" w:rsidR="00232490" w:rsidRPr="00D80A37" w:rsidRDefault="00232490" w:rsidP="00232490">
            <w:pPr>
              <w:pStyle w:val="TableBullet"/>
              <w:rPr>
                <w:lang w:val="en-GB"/>
              </w:rPr>
            </w:pPr>
            <w:r w:rsidRPr="00D80A37">
              <w:rPr>
                <w:lang w:val="en-GB"/>
              </w:rPr>
              <w:t>Increased transparency and visibility of how and why health resourcing decisions are determined.</w:t>
            </w:r>
          </w:p>
          <w:p w14:paraId="43566786" w14:textId="77777777" w:rsidR="00232490" w:rsidRPr="00D80A37" w:rsidRDefault="00232490" w:rsidP="00232490">
            <w:pPr>
              <w:pStyle w:val="TableBullet"/>
              <w:rPr>
                <w:lang w:val="en-GB"/>
              </w:rPr>
            </w:pPr>
            <w:r w:rsidRPr="00D80A37">
              <w:rPr>
                <w:lang w:val="en-GB"/>
              </w:rPr>
              <w:t xml:space="preserve">Workforce capability: Investment in </w:t>
            </w:r>
            <w:proofErr w:type="spellStart"/>
            <w:r w:rsidRPr="00D80A37">
              <w:rPr>
                <w:lang w:val="en-GB"/>
              </w:rPr>
              <w:t>Mataora</w:t>
            </w:r>
            <w:proofErr w:type="spellEnd"/>
            <w:r w:rsidRPr="00D80A37">
              <w:rPr>
                <w:lang w:val="en-GB"/>
              </w:rPr>
              <w:t xml:space="preserve"> has increased the level of cultural skill and competencies across health disciplines and in communities.</w:t>
            </w:r>
          </w:p>
          <w:p w14:paraId="64CE5073" w14:textId="77777777" w:rsidR="00232490" w:rsidRPr="00D80A37" w:rsidRDefault="00232490" w:rsidP="00232490">
            <w:pPr>
              <w:pStyle w:val="TableBullet"/>
              <w:rPr>
                <w:lang w:val="en-GB"/>
              </w:rPr>
            </w:pPr>
            <w:r w:rsidRPr="00D80A37">
              <w:rPr>
                <w:lang w:val="en-GB"/>
              </w:rPr>
              <w:t>Increased clarity and line of sight: Roles and functions across different parts of the health and wellbeing continuum are better understood.</w:t>
            </w:r>
          </w:p>
          <w:p w14:paraId="59F144A3" w14:textId="77777777" w:rsidR="00232490" w:rsidRPr="00D80A37" w:rsidRDefault="00232490" w:rsidP="00232490">
            <w:pPr>
              <w:pStyle w:val="TableBullet"/>
              <w:rPr>
                <w:lang w:val="en-GB"/>
              </w:rPr>
            </w:pPr>
            <w:r w:rsidRPr="00D80A37">
              <w:rPr>
                <w:lang w:val="en-GB"/>
              </w:rPr>
              <w:t>A shift towards community-based health care with an ‘in reach’ to clinical services: Clinicians are being freed up to do their work whil</w:t>
            </w:r>
            <w:r>
              <w:rPr>
                <w:lang w:val="en-GB"/>
              </w:rPr>
              <w:t>e</w:t>
            </w:r>
            <w:r w:rsidRPr="00D80A37">
              <w:rPr>
                <w:lang w:val="en-GB"/>
              </w:rPr>
              <w:t xml:space="preserve"> community focuses on context and broader aspects of wellbeing.</w:t>
            </w:r>
          </w:p>
          <w:p w14:paraId="17E2FA88" w14:textId="77777777" w:rsidR="00232490" w:rsidRPr="00D80A37" w:rsidRDefault="00232490" w:rsidP="00232490">
            <w:pPr>
              <w:pStyle w:val="TableBullet"/>
            </w:pPr>
            <w:r w:rsidRPr="00D80A37">
              <w:rPr>
                <w:lang w:val="en-GB"/>
              </w:rPr>
              <w:t>Strength</w:t>
            </w:r>
            <w:r>
              <w:rPr>
                <w:lang w:val="en-GB"/>
              </w:rPr>
              <w:t>s</w:t>
            </w:r>
            <w:r w:rsidRPr="00D80A37">
              <w:rPr>
                <w:lang w:val="en-GB"/>
              </w:rPr>
              <w:t>-based: A shift towards strength</w:t>
            </w:r>
            <w:r>
              <w:rPr>
                <w:lang w:val="en-GB"/>
              </w:rPr>
              <w:t>s</w:t>
            </w:r>
            <w:r w:rsidRPr="00D80A37">
              <w:rPr>
                <w:lang w:val="en-GB"/>
              </w:rPr>
              <w:t>-based practice. For example, focusing on the conditions that contribute to ill</w:t>
            </w:r>
            <w:r>
              <w:rPr>
                <w:lang w:val="en-GB"/>
              </w:rPr>
              <w:t xml:space="preserve"> </w:t>
            </w:r>
            <w:r w:rsidRPr="00D80A37">
              <w:rPr>
                <w:lang w:val="en-GB"/>
              </w:rPr>
              <w:t>health rather than what have been perceived as ‘problem people’.</w:t>
            </w:r>
          </w:p>
          <w:p w14:paraId="79B1FAA9" w14:textId="77777777" w:rsidR="00232490" w:rsidRPr="00D80A37" w:rsidRDefault="00232490" w:rsidP="00232490">
            <w:pPr>
              <w:pStyle w:val="TableBullet"/>
              <w:rPr>
                <w:lang w:val="en-GB"/>
              </w:rPr>
            </w:pPr>
            <w:r w:rsidRPr="00D80A37">
              <w:rPr>
                <w:lang w:val="en-GB"/>
              </w:rPr>
              <w:lastRenderedPageBreak/>
              <w:t xml:space="preserve">Whānau-centred: </w:t>
            </w:r>
            <w:r>
              <w:rPr>
                <w:lang w:val="en-GB"/>
              </w:rPr>
              <w:t>S</w:t>
            </w:r>
            <w:r w:rsidRPr="00D80A37">
              <w:rPr>
                <w:lang w:val="en-GB"/>
              </w:rPr>
              <w:t>hifting from clinically</w:t>
            </w:r>
            <w:r>
              <w:rPr>
                <w:lang w:val="en-GB"/>
              </w:rPr>
              <w:t xml:space="preserve"> </w:t>
            </w:r>
            <w:r w:rsidRPr="00D80A37">
              <w:rPr>
                <w:lang w:val="en-GB"/>
              </w:rPr>
              <w:t>led ‘service</w:t>
            </w:r>
            <w:r>
              <w:rPr>
                <w:lang w:val="en-GB"/>
              </w:rPr>
              <w:t>-</w:t>
            </w:r>
            <w:r w:rsidRPr="00D80A37">
              <w:rPr>
                <w:lang w:val="en-GB"/>
              </w:rPr>
              <w:t>centric’ health towards whānau-centred health that is designed and delivered to the needs of whānau.</w:t>
            </w:r>
          </w:p>
          <w:p w14:paraId="3BEA1BA2" w14:textId="77777777" w:rsidR="00232490" w:rsidRPr="00D80A37" w:rsidRDefault="00232490" w:rsidP="00232490">
            <w:pPr>
              <w:spacing w:before="120" w:after="120"/>
              <w:rPr>
                <w:rFonts w:cstheme="minorHAnsi"/>
              </w:rPr>
            </w:pPr>
          </w:p>
        </w:tc>
      </w:tr>
    </w:tbl>
    <w:p w14:paraId="3E21A867" w14:textId="4256810D" w:rsidR="00232490" w:rsidRPr="00D80A37" w:rsidRDefault="00232490" w:rsidP="00F32C1D">
      <w:pPr>
        <w:pStyle w:val="Caption"/>
        <w:spacing w:before="240"/>
      </w:pPr>
      <w:bookmarkStart w:id="23" w:name="_Ref122360486"/>
      <w:bookmarkStart w:id="24" w:name="_Toc124833605"/>
      <w:r>
        <w:lastRenderedPageBreak/>
        <w:t xml:space="preserve">Table </w:t>
      </w:r>
      <w:fldSimple w:instr=" SEQ Table \* ARABIC ">
        <w:r w:rsidR="006849AB">
          <w:rPr>
            <w:noProof/>
          </w:rPr>
          <w:t>4</w:t>
        </w:r>
      </w:fldSimple>
      <w:bookmarkEnd w:id="23"/>
      <w:r w:rsidRPr="00D80A37">
        <w:t>: Methods</w:t>
      </w:r>
      <w:bookmarkEnd w:id="24"/>
    </w:p>
    <w:tbl>
      <w:tblPr>
        <w:tblStyle w:val="TableGrid"/>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64"/>
      </w:tblGrid>
      <w:tr w:rsidR="00232490" w:rsidRPr="00232490" w14:paraId="1FDEEBB4" w14:textId="77777777" w:rsidTr="00F32C1D">
        <w:tc>
          <w:tcPr>
            <w:tcW w:w="8364" w:type="dxa"/>
            <w:tcBorders>
              <w:top w:val="nil"/>
              <w:bottom w:val="nil"/>
            </w:tcBorders>
            <w:shd w:val="clear" w:color="auto" w:fill="D9D9D9" w:themeFill="background1" w:themeFillShade="D9"/>
          </w:tcPr>
          <w:p w14:paraId="2C464C03" w14:textId="77777777" w:rsidR="00232490" w:rsidRPr="00232490" w:rsidRDefault="00232490" w:rsidP="00232490">
            <w:pPr>
              <w:pStyle w:val="TableText"/>
              <w:rPr>
                <w:b/>
                <w:bCs/>
              </w:rPr>
            </w:pPr>
            <w:r w:rsidRPr="00232490">
              <w:rPr>
                <w:b/>
                <w:bCs/>
              </w:rPr>
              <w:t xml:space="preserve">Methods </w:t>
            </w:r>
          </w:p>
        </w:tc>
      </w:tr>
      <w:tr w:rsidR="00232490" w:rsidRPr="00D80A37" w14:paraId="5B7EED34" w14:textId="77777777" w:rsidTr="00F32C1D">
        <w:trPr>
          <w:trHeight w:val="2331"/>
        </w:trPr>
        <w:tc>
          <w:tcPr>
            <w:tcW w:w="8364" w:type="dxa"/>
            <w:tcBorders>
              <w:top w:val="nil"/>
            </w:tcBorders>
          </w:tcPr>
          <w:p w14:paraId="46051F59" w14:textId="77777777" w:rsidR="00232490" w:rsidRPr="00D80A37" w:rsidRDefault="00232490" w:rsidP="00232490">
            <w:pPr>
              <w:pStyle w:val="TableBullet"/>
            </w:pPr>
            <w:r w:rsidRPr="00D80A37">
              <w:t xml:space="preserve">Whānau and </w:t>
            </w:r>
            <w:r>
              <w:t>c</w:t>
            </w:r>
            <w:r w:rsidRPr="00D80A37">
              <w:t xml:space="preserve">onsumer </w:t>
            </w:r>
            <w:r>
              <w:t>v</w:t>
            </w:r>
            <w:r w:rsidRPr="00D80A37">
              <w:t xml:space="preserve">oice: </w:t>
            </w:r>
            <w:r>
              <w:t>M</w:t>
            </w:r>
            <w:r w:rsidRPr="00D80A37">
              <w:t>ultiple methods evident in planning, policy, implementation and monitoring of new services</w:t>
            </w:r>
            <w:r>
              <w:t>,</w:t>
            </w:r>
            <w:r w:rsidRPr="00D80A37">
              <w:rPr>
                <w:vertAlign w:val="superscript"/>
              </w:rPr>
              <w:footnoteReference w:id="15"/>
            </w:r>
            <w:r w:rsidRPr="00D80A37">
              <w:t xml:space="preserve"> and multiple platforms for engagement</w:t>
            </w:r>
            <w:r>
              <w:t>.</w:t>
            </w:r>
          </w:p>
          <w:p w14:paraId="4D9073B2" w14:textId="77777777" w:rsidR="00232490" w:rsidRPr="00D80A37" w:rsidRDefault="00232490" w:rsidP="00232490">
            <w:pPr>
              <w:pStyle w:val="TableBullet"/>
            </w:pPr>
            <w:r w:rsidRPr="00D80A37">
              <w:t xml:space="preserve">Mātauranga Māori </w:t>
            </w:r>
            <w:r>
              <w:t>m</w:t>
            </w:r>
            <w:r w:rsidRPr="00D80A37">
              <w:t xml:space="preserve">ethodologies: </w:t>
            </w:r>
            <w:r w:rsidRPr="00D80A37">
              <w:rPr>
                <w:lang w:val="en-GB"/>
              </w:rPr>
              <w:t>Hui</w:t>
            </w:r>
            <w:r>
              <w:rPr>
                <w:lang w:val="en-GB"/>
              </w:rPr>
              <w:t xml:space="preserve"> ā</w:t>
            </w:r>
            <w:r w:rsidRPr="00D80A37">
              <w:rPr>
                <w:lang w:val="en-GB"/>
              </w:rPr>
              <w:t>-</w:t>
            </w:r>
            <w:proofErr w:type="spellStart"/>
            <w:r w:rsidRPr="00D80A37">
              <w:rPr>
                <w:lang w:val="en-GB"/>
              </w:rPr>
              <w:t>whānau</w:t>
            </w:r>
            <w:proofErr w:type="spellEnd"/>
            <w:r w:rsidRPr="00D80A37">
              <w:rPr>
                <w:lang w:val="en-GB"/>
              </w:rPr>
              <w:t xml:space="preserve">, </w:t>
            </w:r>
            <w:r>
              <w:rPr>
                <w:lang w:val="en-GB"/>
              </w:rPr>
              <w:t>w</w:t>
            </w:r>
            <w:r w:rsidRPr="00D80A37">
              <w:rPr>
                <w:lang w:val="en-GB"/>
              </w:rPr>
              <w:t>ānanga</w:t>
            </w:r>
            <w:r>
              <w:rPr>
                <w:lang w:val="en-GB"/>
              </w:rPr>
              <w:t xml:space="preserve"> ā</w:t>
            </w:r>
            <w:r w:rsidRPr="00D80A37">
              <w:rPr>
                <w:lang w:val="en-GB"/>
              </w:rPr>
              <w:t>-</w:t>
            </w:r>
            <w:proofErr w:type="spellStart"/>
            <w:r w:rsidRPr="00D80A37">
              <w:rPr>
                <w:lang w:val="en-GB"/>
              </w:rPr>
              <w:t>whānau</w:t>
            </w:r>
            <w:proofErr w:type="spellEnd"/>
            <w:r w:rsidRPr="00D80A37">
              <w:rPr>
                <w:lang w:val="en-GB"/>
              </w:rPr>
              <w:t xml:space="preserve">, </w:t>
            </w:r>
            <w:r>
              <w:rPr>
                <w:lang w:val="en-GB"/>
              </w:rPr>
              <w:t>hui ā-</w:t>
            </w:r>
            <w:proofErr w:type="spellStart"/>
            <w:r>
              <w:rPr>
                <w:lang w:val="en-GB"/>
              </w:rPr>
              <w:t>ha</w:t>
            </w:r>
            <w:r w:rsidRPr="00D80A37">
              <w:rPr>
                <w:lang w:val="en-GB"/>
              </w:rPr>
              <w:t>pori</w:t>
            </w:r>
            <w:proofErr w:type="spellEnd"/>
            <w:r w:rsidRPr="00D80A37">
              <w:rPr>
                <w:lang w:val="en-GB"/>
              </w:rPr>
              <w:t xml:space="preserve">, </w:t>
            </w:r>
            <w:r>
              <w:rPr>
                <w:lang w:val="en-GB"/>
              </w:rPr>
              <w:t>w</w:t>
            </w:r>
            <w:r w:rsidRPr="00D80A37">
              <w:rPr>
                <w:lang w:val="en-GB"/>
              </w:rPr>
              <w:t>ānanga</w:t>
            </w:r>
            <w:r>
              <w:rPr>
                <w:lang w:val="en-GB"/>
              </w:rPr>
              <w:t xml:space="preserve"> </w:t>
            </w:r>
            <w:r w:rsidRPr="00D80A37">
              <w:rPr>
                <w:lang w:val="en-GB"/>
              </w:rPr>
              <w:t>a-</w:t>
            </w:r>
            <w:proofErr w:type="spellStart"/>
            <w:r w:rsidRPr="00D80A37">
              <w:rPr>
                <w:lang w:val="en-GB"/>
              </w:rPr>
              <w:t>h</w:t>
            </w:r>
            <w:r>
              <w:rPr>
                <w:lang w:val="en-GB"/>
              </w:rPr>
              <w:t>ap</w:t>
            </w:r>
            <w:r w:rsidRPr="00D80A37">
              <w:rPr>
                <w:lang w:val="en-GB"/>
              </w:rPr>
              <w:t>ori</w:t>
            </w:r>
            <w:proofErr w:type="spellEnd"/>
            <w:r w:rsidRPr="00D80A37">
              <w:rPr>
                <w:lang w:val="en-GB"/>
              </w:rPr>
              <w:t xml:space="preserve">; </w:t>
            </w:r>
            <w:proofErr w:type="spellStart"/>
            <w:r w:rsidRPr="00D80A37">
              <w:rPr>
                <w:lang w:val="en-GB"/>
              </w:rPr>
              <w:t>pūrākau</w:t>
            </w:r>
            <w:proofErr w:type="spellEnd"/>
            <w:r w:rsidRPr="00D80A37">
              <w:rPr>
                <w:lang w:val="en-GB"/>
              </w:rPr>
              <w:t xml:space="preserve">, </w:t>
            </w:r>
            <w:r>
              <w:rPr>
                <w:lang w:val="en-GB"/>
              </w:rPr>
              <w:t xml:space="preserve">mahi </w:t>
            </w:r>
            <w:proofErr w:type="spellStart"/>
            <w:r>
              <w:rPr>
                <w:lang w:val="en-GB"/>
              </w:rPr>
              <w:t>toi</w:t>
            </w:r>
            <w:proofErr w:type="spellEnd"/>
            <w:r w:rsidRPr="00D80A37">
              <w:rPr>
                <w:lang w:val="en-GB"/>
              </w:rPr>
              <w:t xml:space="preserve">, </w:t>
            </w:r>
            <w:proofErr w:type="spellStart"/>
            <w:r>
              <w:rPr>
                <w:lang w:val="en-GB"/>
              </w:rPr>
              <w:t>r</w:t>
            </w:r>
            <w:r w:rsidRPr="00D80A37">
              <w:rPr>
                <w:lang w:val="en-GB"/>
              </w:rPr>
              <w:t>ongoā</w:t>
            </w:r>
            <w:proofErr w:type="spellEnd"/>
            <w:r w:rsidRPr="00D80A37">
              <w:rPr>
                <w:lang w:val="en-GB"/>
              </w:rPr>
              <w:t xml:space="preserve"> Māori, </w:t>
            </w:r>
            <w:proofErr w:type="spellStart"/>
            <w:r>
              <w:rPr>
                <w:lang w:val="en-GB"/>
              </w:rPr>
              <w:t>r</w:t>
            </w:r>
            <w:r w:rsidRPr="00D80A37">
              <w:rPr>
                <w:lang w:val="en-GB"/>
              </w:rPr>
              <w:t>angahau</w:t>
            </w:r>
            <w:proofErr w:type="spellEnd"/>
            <w:r w:rsidRPr="00D80A37">
              <w:rPr>
                <w:lang w:val="en-GB"/>
              </w:rPr>
              <w:t xml:space="preserve"> Māori.</w:t>
            </w:r>
          </w:p>
          <w:p w14:paraId="39B34FC0" w14:textId="77777777" w:rsidR="00232490" w:rsidRPr="00D80A37" w:rsidRDefault="00232490" w:rsidP="00232490">
            <w:pPr>
              <w:pStyle w:val="TableBullet"/>
            </w:pPr>
            <w:r w:rsidRPr="00D80A37">
              <w:rPr>
                <w:lang w:val="en-GB"/>
              </w:rPr>
              <w:t xml:space="preserve">Whakapapa: </w:t>
            </w:r>
            <w:r>
              <w:rPr>
                <w:lang w:val="en-GB"/>
              </w:rPr>
              <w:t>U</w:t>
            </w:r>
            <w:r w:rsidRPr="00D80A37">
              <w:rPr>
                <w:lang w:val="en-GB"/>
              </w:rPr>
              <w:t>nderstanding each partner’s relationship with the kaupapa</w:t>
            </w:r>
            <w:r>
              <w:rPr>
                <w:lang w:val="en-GB"/>
              </w:rPr>
              <w:t>;</w:t>
            </w:r>
            <w:r w:rsidRPr="00D80A37">
              <w:rPr>
                <w:lang w:val="en-GB"/>
              </w:rPr>
              <w:t xml:space="preserve"> understand</w:t>
            </w:r>
            <w:r>
              <w:rPr>
                <w:lang w:val="en-GB"/>
              </w:rPr>
              <w:t>ing</w:t>
            </w:r>
            <w:r w:rsidRPr="00D80A37">
              <w:rPr>
                <w:lang w:val="en-GB"/>
              </w:rPr>
              <w:t xml:space="preserve"> the different contributions required and the types of working relationships needed.</w:t>
            </w:r>
          </w:p>
          <w:p w14:paraId="2F075BA8" w14:textId="77777777" w:rsidR="00232490" w:rsidRPr="00D80A37" w:rsidRDefault="00232490" w:rsidP="00232490">
            <w:pPr>
              <w:pStyle w:val="TableBullet"/>
            </w:pPr>
            <w:r w:rsidRPr="00D80A37">
              <w:rPr>
                <w:lang w:val="en-GB"/>
              </w:rPr>
              <w:t xml:space="preserve">Mahi </w:t>
            </w:r>
            <w:proofErr w:type="spellStart"/>
            <w:r w:rsidRPr="00D80A37">
              <w:rPr>
                <w:lang w:val="en-GB"/>
              </w:rPr>
              <w:t>Tahi</w:t>
            </w:r>
            <w:proofErr w:type="spellEnd"/>
            <w:r w:rsidRPr="00D80A37">
              <w:rPr>
                <w:lang w:val="en-GB"/>
              </w:rPr>
              <w:t xml:space="preserve">: </w:t>
            </w:r>
            <w:r>
              <w:rPr>
                <w:lang w:val="en-GB"/>
              </w:rPr>
              <w:t>C</w:t>
            </w:r>
            <w:r w:rsidRPr="00D80A37">
              <w:rPr>
                <w:lang w:val="en-GB"/>
              </w:rPr>
              <w:t>ollaborative design, time investment utilising a range of different skills and competencies across the policy, research and delivery continuum.</w:t>
            </w:r>
          </w:p>
          <w:p w14:paraId="48540CE1" w14:textId="77777777" w:rsidR="00232490" w:rsidRPr="00D80A37" w:rsidRDefault="00232490" w:rsidP="00232490">
            <w:pPr>
              <w:pStyle w:val="TableBullet"/>
            </w:pPr>
            <w:r w:rsidRPr="00D80A37">
              <w:rPr>
                <w:lang w:val="en-GB"/>
              </w:rPr>
              <w:t xml:space="preserve">Equity: </w:t>
            </w:r>
            <w:r>
              <w:rPr>
                <w:lang w:val="en-GB"/>
              </w:rPr>
              <w:t>T</w:t>
            </w:r>
            <w:r w:rsidRPr="00D80A37">
              <w:rPr>
                <w:lang w:val="en-GB"/>
              </w:rPr>
              <w:t>riangulating health data, health policy and research literature, to include systems barriers: underpinned by community and wh</w:t>
            </w:r>
            <w:r w:rsidRPr="00D80A37">
              <w:t>ānau insights.</w:t>
            </w:r>
          </w:p>
        </w:tc>
      </w:tr>
    </w:tbl>
    <w:p w14:paraId="2BF15ACB" w14:textId="77777777" w:rsidR="00F32C1D" w:rsidRDefault="00F32C1D" w:rsidP="00232490">
      <w:pPr>
        <w:pStyle w:val="Heading2"/>
      </w:pPr>
      <w:bookmarkStart w:id="25" w:name="_Toc122360210"/>
    </w:p>
    <w:p w14:paraId="3A561AD2" w14:textId="2BC4FE91" w:rsidR="00112CA9" w:rsidRDefault="00112CA9" w:rsidP="00112CA9">
      <w:r>
        <w:tab/>
      </w:r>
    </w:p>
    <w:p w14:paraId="78FF59D8" w14:textId="56739918" w:rsidR="00112CA9" w:rsidRPr="00112CA9" w:rsidRDefault="00112CA9" w:rsidP="00112CA9">
      <w:pPr>
        <w:tabs>
          <w:tab w:val="left" w:pos="1440"/>
        </w:tabs>
        <w:sectPr w:rsidR="00112CA9" w:rsidRPr="00112CA9" w:rsidSect="00A27D16">
          <w:footerReference w:type="default" r:id="rId20"/>
          <w:pgSz w:w="11907" w:h="16834" w:code="9"/>
          <w:pgMar w:top="1418" w:right="1701" w:bottom="1134" w:left="1843" w:header="284" w:footer="425" w:gutter="0"/>
          <w:cols w:space="720"/>
        </w:sectPr>
      </w:pPr>
      <w:r>
        <w:tab/>
      </w:r>
    </w:p>
    <w:p w14:paraId="5FEF489F" w14:textId="687493CE" w:rsidR="00232490" w:rsidRPr="00D80A37" w:rsidRDefault="00232490" w:rsidP="00F32C1D">
      <w:pPr>
        <w:pStyle w:val="Heading2"/>
        <w:spacing w:before="0"/>
      </w:pPr>
      <w:bookmarkStart w:id="26" w:name="_Toc124845532"/>
      <w:proofErr w:type="spellStart"/>
      <w:r w:rsidRPr="00D80A37">
        <w:lastRenderedPageBreak/>
        <w:t>Whāriki</w:t>
      </w:r>
      <w:proofErr w:type="spellEnd"/>
      <w:r w:rsidRPr="00D80A37">
        <w:t xml:space="preserve">: Ways of </w:t>
      </w:r>
      <w:r>
        <w:t>w</w:t>
      </w:r>
      <w:r w:rsidRPr="00D80A37">
        <w:t>orking</w:t>
      </w:r>
      <w:bookmarkEnd w:id="25"/>
      <w:bookmarkEnd w:id="26"/>
    </w:p>
    <w:p w14:paraId="79C1EE79" w14:textId="77777777" w:rsidR="00232490" w:rsidRPr="00D80A37" w:rsidRDefault="00232490" w:rsidP="00232490">
      <w:r w:rsidRPr="00D80A37">
        <w:t xml:space="preserve">From these lessons and achievements, </w:t>
      </w:r>
      <w:proofErr w:type="spellStart"/>
      <w:r w:rsidRPr="00D80A37">
        <w:t>Whāriki</w:t>
      </w:r>
      <w:proofErr w:type="spellEnd"/>
      <w:r w:rsidRPr="00D80A37">
        <w:t xml:space="preserve"> identifies five key features to inform how the sector will work together</w:t>
      </w:r>
      <w:r>
        <w:t>:</w:t>
      </w:r>
    </w:p>
    <w:p w14:paraId="1FE69BAF" w14:textId="77777777" w:rsidR="00232490" w:rsidRPr="00D80A37" w:rsidRDefault="00232490" w:rsidP="00232490">
      <w:pPr>
        <w:pStyle w:val="ListNumber"/>
        <w:numPr>
          <w:ilvl w:val="0"/>
          <w:numId w:val="40"/>
        </w:numPr>
        <w:spacing w:before="90" w:after="0" w:line="264" w:lineRule="auto"/>
        <w:ind w:left="357" w:hanging="357"/>
        <w:contextualSpacing w:val="0"/>
        <w:jc w:val="left"/>
      </w:pPr>
      <w:r>
        <w:rPr>
          <w:b/>
          <w:bCs/>
        </w:rPr>
        <w:t>p</w:t>
      </w:r>
      <w:r w:rsidRPr="00F03337">
        <w:rPr>
          <w:b/>
          <w:bCs/>
        </w:rPr>
        <w:t>artnering with communities</w:t>
      </w:r>
      <w:r>
        <w:rPr>
          <w:b/>
          <w:bCs/>
        </w:rPr>
        <w:t xml:space="preserve"> </w:t>
      </w:r>
      <w:r w:rsidRPr="001C3FC3">
        <w:t>–</w:t>
      </w:r>
      <w:r w:rsidRPr="00D80A37">
        <w:t xml:space="preserve"> </w:t>
      </w:r>
      <w:r>
        <w:t>t</w:t>
      </w:r>
      <w:r w:rsidRPr="00D80A37">
        <w:t>o ensure broader whānau needs are identified and addressed</w:t>
      </w:r>
    </w:p>
    <w:p w14:paraId="6CEF48A3" w14:textId="77777777" w:rsidR="00232490" w:rsidRPr="00D80A37" w:rsidRDefault="00232490" w:rsidP="00232490">
      <w:pPr>
        <w:pStyle w:val="ListNumber"/>
        <w:numPr>
          <w:ilvl w:val="0"/>
          <w:numId w:val="40"/>
        </w:numPr>
        <w:spacing w:before="90" w:after="0" w:line="264" w:lineRule="auto"/>
        <w:ind w:left="357" w:hanging="357"/>
        <w:contextualSpacing w:val="0"/>
        <w:jc w:val="left"/>
      </w:pPr>
      <w:r>
        <w:rPr>
          <w:b/>
          <w:bCs/>
        </w:rPr>
        <w:t>w</w:t>
      </w:r>
      <w:r w:rsidRPr="00F03337">
        <w:rPr>
          <w:b/>
          <w:bCs/>
        </w:rPr>
        <w:t>orkforce</w:t>
      </w:r>
      <w:r>
        <w:rPr>
          <w:b/>
          <w:bCs/>
        </w:rPr>
        <w:t xml:space="preserve"> </w:t>
      </w:r>
      <w:r w:rsidRPr="00EF1377">
        <w:t>–</w:t>
      </w:r>
      <w:r w:rsidRPr="00D80A37">
        <w:t xml:space="preserve"> </w:t>
      </w:r>
      <w:r>
        <w:t>s</w:t>
      </w:r>
      <w:r w:rsidRPr="00D80A37">
        <w:t>upporting a strong, supportive and skilled workforce equipped to effectively respond to whānau in need at every entry point into the system</w:t>
      </w:r>
    </w:p>
    <w:p w14:paraId="32C27AAB" w14:textId="77777777" w:rsidR="00232490" w:rsidRPr="00D80A37" w:rsidRDefault="00232490" w:rsidP="00232490">
      <w:pPr>
        <w:pStyle w:val="ListNumber"/>
        <w:numPr>
          <w:ilvl w:val="0"/>
          <w:numId w:val="40"/>
        </w:numPr>
        <w:spacing w:before="90" w:after="0" w:line="264" w:lineRule="auto"/>
        <w:ind w:left="357" w:hanging="357"/>
        <w:contextualSpacing w:val="0"/>
        <w:jc w:val="left"/>
      </w:pPr>
      <w:r>
        <w:rPr>
          <w:b/>
          <w:bCs/>
        </w:rPr>
        <w:t>l</w:t>
      </w:r>
      <w:r w:rsidRPr="00F03337">
        <w:rPr>
          <w:b/>
          <w:bCs/>
        </w:rPr>
        <w:t xml:space="preserve">ocal </w:t>
      </w:r>
      <w:r>
        <w:rPr>
          <w:b/>
          <w:bCs/>
        </w:rPr>
        <w:t>l</w:t>
      </w:r>
      <w:r w:rsidRPr="00F03337">
        <w:rPr>
          <w:b/>
          <w:bCs/>
        </w:rPr>
        <w:t xml:space="preserve">eadership and </w:t>
      </w:r>
      <w:r>
        <w:rPr>
          <w:b/>
          <w:bCs/>
        </w:rPr>
        <w:t>s</w:t>
      </w:r>
      <w:r w:rsidRPr="00F03337">
        <w:rPr>
          <w:b/>
          <w:bCs/>
        </w:rPr>
        <w:t>olutions</w:t>
      </w:r>
      <w:r w:rsidRPr="00F03337">
        <w:t xml:space="preserve"> </w:t>
      </w:r>
      <w:r w:rsidRPr="00EF1377">
        <w:t>–</w:t>
      </w:r>
      <w:r>
        <w:t xml:space="preserve"> </w:t>
      </w:r>
      <w:r w:rsidRPr="00D80A37">
        <w:t>found in Te Tairāwhiti, beginning with our strengths and what we have</w:t>
      </w:r>
    </w:p>
    <w:p w14:paraId="69E8C9DC" w14:textId="77777777" w:rsidR="00232490" w:rsidRPr="00D80A37" w:rsidRDefault="00232490" w:rsidP="00232490">
      <w:pPr>
        <w:pStyle w:val="ListNumber"/>
        <w:numPr>
          <w:ilvl w:val="0"/>
          <w:numId w:val="40"/>
        </w:numPr>
        <w:spacing w:before="90" w:after="0" w:line="264" w:lineRule="auto"/>
        <w:ind w:left="357" w:hanging="357"/>
        <w:contextualSpacing w:val="0"/>
        <w:jc w:val="left"/>
      </w:pPr>
      <w:r>
        <w:rPr>
          <w:b/>
          <w:bCs/>
        </w:rPr>
        <w:t>l</w:t>
      </w:r>
      <w:r w:rsidRPr="00F03337">
        <w:rPr>
          <w:b/>
          <w:bCs/>
        </w:rPr>
        <w:t xml:space="preserve">ived </w:t>
      </w:r>
      <w:r>
        <w:rPr>
          <w:b/>
          <w:bCs/>
        </w:rPr>
        <w:t>e</w:t>
      </w:r>
      <w:r w:rsidRPr="00F03337">
        <w:rPr>
          <w:b/>
          <w:bCs/>
        </w:rPr>
        <w:t>xperience</w:t>
      </w:r>
      <w:r>
        <w:rPr>
          <w:b/>
          <w:bCs/>
        </w:rPr>
        <w:t xml:space="preserve"> </w:t>
      </w:r>
      <w:r w:rsidRPr="00EF1377">
        <w:t>–</w:t>
      </w:r>
      <w:r w:rsidRPr="00D80A37">
        <w:t xml:space="preserve"> </w:t>
      </w:r>
      <w:r>
        <w:t>a</w:t>
      </w:r>
      <w:r w:rsidRPr="00D80A37">
        <w:t>cknowledging that whānau experiencing ill</w:t>
      </w:r>
      <w:r>
        <w:t xml:space="preserve"> </w:t>
      </w:r>
      <w:r w:rsidRPr="00D80A37">
        <w:t>health and/or distress ‘know best’ what works or doesn’t work for them</w:t>
      </w:r>
    </w:p>
    <w:p w14:paraId="2294F1AA" w14:textId="77777777" w:rsidR="00232490" w:rsidRPr="00D80A37" w:rsidRDefault="00232490" w:rsidP="00232490">
      <w:pPr>
        <w:pStyle w:val="ListNumber"/>
        <w:numPr>
          <w:ilvl w:val="0"/>
          <w:numId w:val="40"/>
        </w:numPr>
        <w:spacing w:before="90" w:after="0" w:line="264" w:lineRule="auto"/>
        <w:ind w:left="357" w:hanging="357"/>
        <w:contextualSpacing w:val="0"/>
        <w:jc w:val="left"/>
      </w:pPr>
      <w:r>
        <w:rPr>
          <w:b/>
          <w:bCs/>
        </w:rPr>
        <w:t>f</w:t>
      </w:r>
      <w:r w:rsidRPr="00F03337">
        <w:rPr>
          <w:b/>
          <w:bCs/>
        </w:rPr>
        <w:t>lexibility</w:t>
      </w:r>
      <w:r>
        <w:rPr>
          <w:b/>
          <w:bCs/>
        </w:rPr>
        <w:t xml:space="preserve"> </w:t>
      </w:r>
      <w:r w:rsidRPr="00EF1377">
        <w:t>–</w:t>
      </w:r>
      <w:r w:rsidRPr="00D80A37">
        <w:t xml:space="preserve"> </w:t>
      </w:r>
      <w:r>
        <w:t>e</w:t>
      </w:r>
      <w:r w:rsidRPr="00D80A37">
        <w:t xml:space="preserve">nsuring our services are agile and responsive to diversity. We are not all the same. We have different needs, resources and aspirations.  </w:t>
      </w:r>
    </w:p>
    <w:p w14:paraId="34FF12E2" w14:textId="77777777" w:rsidR="00232490" w:rsidRDefault="00232490" w:rsidP="00232490"/>
    <w:p w14:paraId="4707BA15" w14:textId="1CDBBD6F" w:rsidR="00232490" w:rsidRDefault="00232490" w:rsidP="00232490">
      <w:r w:rsidRPr="00D80A37">
        <w:t>In addition, Hauora Tairāwhiti acknowledge</w:t>
      </w:r>
      <w:r>
        <w:t>s</w:t>
      </w:r>
      <w:r w:rsidRPr="00D80A37">
        <w:t xml:space="preserve"> that ‘an authorising context’ is a fundamental requirement to support progress and sustain systemic change. </w:t>
      </w:r>
    </w:p>
    <w:p w14:paraId="2C4095A2" w14:textId="77777777" w:rsidR="00232490" w:rsidRDefault="00232490" w:rsidP="00112CA9"/>
    <w:p w14:paraId="0E7AA1BB" w14:textId="44B93241" w:rsidR="00232490" w:rsidRDefault="00232490" w:rsidP="00232490">
      <w:pPr>
        <w:pStyle w:val="Quote"/>
        <w:spacing w:before="0"/>
        <w:rPr>
          <w:i/>
          <w:iCs/>
        </w:rPr>
      </w:pPr>
      <w:r w:rsidRPr="00232490">
        <w:rPr>
          <w:i/>
          <w:iCs/>
        </w:rPr>
        <w:t>Champions for change are necessary at all levels of the system from governance to executive, policy, planning, and operationally.</w:t>
      </w:r>
    </w:p>
    <w:p w14:paraId="0FC9CF9E" w14:textId="77777777" w:rsidR="00232490" w:rsidRPr="00232490" w:rsidRDefault="00232490" w:rsidP="00232490"/>
    <w:p w14:paraId="119B3E34" w14:textId="77777777" w:rsidR="00232490" w:rsidRPr="00232490" w:rsidRDefault="00232490" w:rsidP="00232490">
      <w:pPr>
        <w:pStyle w:val="Quote"/>
        <w:spacing w:before="0"/>
        <w:rPr>
          <w:i/>
          <w:iCs/>
        </w:rPr>
      </w:pPr>
      <w:r w:rsidRPr="00232490">
        <w:rPr>
          <w:i/>
          <w:iCs/>
        </w:rPr>
        <w:t xml:space="preserve">I cannot emphasise enough … the courage of the Māori consulting psychiatrist, together with leadership in Māori Health and </w:t>
      </w:r>
      <w:proofErr w:type="spellStart"/>
      <w:r w:rsidRPr="00232490">
        <w:rPr>
          <w:i/>
          <w:iCs/>
        </w:rPr>
        <w:t>Te</w:t>
      </w:r>
      <w:proofErr w:type="spellEnd"/>
      <w:r w:rsidRPr="00232490">
        <w:rPr>
          <w:i/>
          <w:iCs/>
        </w:rPr>
        <w:t xml:space="preserve"> </w:t>
      </w:r>
      <w:proofErr w:type="spellStart"/>
      <w:r w:rsidRPr="00232490">
        <w:rPr>
          <w:i/>
          <w:iCs/>
        </w:rPr>
        <w:t>Kupenga</w:t>
      </w:r>
      <w:proofErr w:type="spellEnd"/>
      <w:r w:rsidRPr="00232490">
        <w:rPr>
          <w:i/>
          <w:iCs/>
        </w:rPr>
        <w:t xml:space="preserve"> Net Trust, in [socialising] a kaupapa Māori response through acute clinical services and in the way secondary services respond to Māori [reinforced by] … the support of [the Chief Executive and General Manager Planning and Funding]; … they held the line. </w:t>
      </w:r>
    </w:p>
    <w:p w14:paraId="0BAE1E5F" w14:textId="5DC07251" w:rsidR="00232490" w:rsidRPr="00D80A37" w:rsidRDefault="00232490" w:rsidP="00232490">
      <w:pPr>
        <w:pStyle w:val="Heading2"/>
      </w:pPr>
      <w:bookmarkStart w:id="27" w:name="_Toc122360211"/>
      <w:bookmarkStart w:id="28" w:name="_Toc124845533"/>
      <w:r w:rsidRPr="00D80A37">
        <w:t xml:space="preserve">He </w:t>
      </w:r>
      <w:proofErr w:type="spellStart"/>
      <w:r w:rsidRPr="00D80A37">
        <w:t>Huarahi</w:t>
      </w:r>
      <w:proofErr w:type="spellEnd"/>
      <w:r w:rsidRPr="00D80A37">
        <w:t xml:space="preserve"> ki Mua: A </w:t>
      </w:r>
      <w:r>
        <w:t>w</w:t>
      </w:r>
      <w:r w:rsidRPr="00D80A37">
        <w:t xml:space="preserve">ay </w:t>
      </w:r>
      <w:r>
        <w:t>f</w:t>
      </w:r>
      <w:r w:rsidRPr="00D80A37">
        <w:t>orward</w:t>
      </w:r>
      <w:bookmarkEnd w:id="27"/>
      <w:bookmarkEnd w:id="28"/>
    </w:p>
    <w:p w14:paraId="31CFCEF2" w14:textId="77777777" w:rsidR="00232490" w:rsidRPr="00D80A37" w:rsidRDefault="00232490" w:rsidP="00232490">
      <w:r w:rsidRPr="00D80A37">
        <w:t xml:space="preserve">In 2020, Hauora Tairāwhiti incorporated the lessons in a structured way to develop new initiatives and review existing initiatives. Whānau-centred principles have reinforced the design and development of these initiatives, with whānau and consumer perspectives at the centre of defining the problem and informing ongoing discussions. </w:t>
      </w:r>
    </w:p>
    <w:p w14:paraId="0C42E8BE" w14:textId="77777777" w:rsidR="00232490" w:rsidRPr="00D80A37" w:rsidRDefault="00232490" w:rsidP="00232490">
      <w:pPr>
        <w:pStyle w:val="Bullet"/>
      </w:pPr>
      <w:proofErr w:type="spellStart"/>
      <w:r w:rsidRPr="00D80A37">
        <w:rPr>
          <w:b/>
          <w:bCs/>
        </w:rPr>
        <w:t>Wā</w:t>
      </w:r>
      <w:proofErr w:type="spellEnd"/>
      <w:r w:rsidRPr="00D80A37">
        <w:rPr>
          <w:b/>
          <w:bCs/>
        </w:rPr>
        <w:t xml:space="preserve"> </w:t>
      </w:r>
      <w:proofErr w:type="spellStart"/>
      <w:r w:rsidRPr="00D80A37">
        <w:rPr>
          <w:b/>
          <w:bCs/>
        </w:rPr>
        <w:t>Haumaru</w:t>
      </w:r>
      <w:proofErr w:type="spellEnd"/>
      <w:r w:rsidRPr="00D80A37">
        <w:rPr>
          <w:b/>
          <w:bCs/>
        </w:rPr>
        <w:t>:</w:t>
      </w:r>
      <w:r w:rsidRPr="00D80A37">
        <w:t xml:space="preserve"> </w:t>
      </w:r>
      <w:r>
        <w:t>This p</w:t>
      </w:r>
      <w:r w:rsidRPr="00D80A37">
        <w:t xml:space="preserve">rimary </w:t>
      </w:r>
      <w:r>
        <w:t>m</w:t>
      </w:r>
      <w:r w:rsidRPr="00D80A37">
        <w:t xml:space="preserve">ental </w:t>
      </w:r>
      <w:r>
        <w:t>h</w:t>
      </w:r>
      <w:r w:rsidRPr="00D80A37">
        <w:t>ealth (early intervention) initiative utilis</w:t>
      </w:r>
      <w:r>
        <w:t>es</w:t>
      </w:r>
      <w:r w:rsidRPr="00D80A37">
        <w:t xml:space="preserve"> </w:t>
      </w:r>
      <w:r>
        <w:t>m</w:t>
      </w:r>
      <w:r w:rsidRPr="00D80A37">
        <w:t xml:space="preserve">ahi </w:t>
      </w:r>
      <w:proofErr w:type="spellStart"/>
      <w:r>
        <w:t>t</w:t>
      </w:r>
      <w:r w:rsidRPr="00D80A37">
        <w:t>oi</w:t>
      </w:r>
      <w:proofErr w:type="spellEnd"/>
      <w:r w:rsidRPr="00D80A37">
        <w:t xml:space="preserve"> (in its broadest sense) to reinforce and invest in local leadership capability and community capital in Western Rural and Northern Coastal </w:t>
      </w:r>
      <w:r>
        <w:t>r</w:t>
      </w:r>
      <w:r w:rsidRPr="00D80A37">
        <w:t xml:space="preserve">egions. </w:t>
      </w:r>
    </w:p>
    <w:p w14:paraId="7DE777CB" w14:textId="77777777" w:rsidR="00232490" w:rsidRPr="00D80A37" w:rsidRDefault="00232490" w:rsidP="00232490">
      <w:pPr>
        <w:pStyle w:val="Bullet"/>
      </w:pPr>
      <w:r w:rsidRPr="00D80A37">
        <w:rPr>
          <w:b/>
          <w:bCs/>
        </w:rPr>
        <w:t xml:space="preserve">Regional </w:t>
      </w:r>
      <w:r>
        <w:rPr>
          <w:b/>
          <w:bCs/>
        </w:rPr>
        <w:t>a</w:t>
      </w:r>
      <w:r w:rsidRPr="00D80A37">
        <w:rPr>
          <w:b/>
          <w:bCs/>
        </w:rPr>
        <w:t>ccess:</w:t>
      </w:r>
      <w:r w:rsidRPr="00D80A37">
        <w:t xml:space="preserve"> Packages of </w:t>
      </w:r>
      <w:r>
        <w:t>c</w:t>
      </w:r>
      <w:r w:rsidRPr="00D80A37">
        <w:t xml:space="preserve">are strengthen whānau access </w:t>
      </w:r>
      <w:r>
        <w:t xml:space="preserve">to </w:t>
      </w:r>
      <w:r w:rsidRPr="00D80A37">
        <w:t xml:space="preserve">and uptake of regional rehabilitation alcohol and drug facilities. The intent is to support the whole whānau </w:t>
      </w:r>
      <w:r>
        <w:t>before</w:t>
      </w:r>
      <w:r w:rsidRPr="00D80A37">
        <w:t>, during and post rehabilitation to address the impacts of addiction on all members of the whānau, identify and respond to risk factors, and invest in protective factors that are conducive to maintaining a recovery pathway.</w:t>
      </w:r>
    </w:p>
    <w:p w14:paraId="33EB9E7C" w14:textId="77777777" w:rsidR="00232490" w:rsidRPr="00D80A37" w:rsidRDefault="00232490" w:rsidP="00232490">
      <w:pPr>
        <w:pStyle w:val="Bullet"/>
        <w:rPr>
          <w:b/>
          <w:bCs/>
        </w:rPr>
      </w:pPr>
      <w:r w:rsidRPr="00D80A37">
        <w:rPr>
          <w:b/>
          <w:bCs/>
        </w:rPr>
        <w:t xml:space="preserve">Te Awa Outreach: </w:t>
      </w:r>
      <w:r>
        <w:t>This c</w:t>
      </w:r>
      <w:r w:rsidRPr="00D80A37">
        <w:t>ase coordination partnership proactively offer</w:t>
      </w:r>
      <w:r>
        <w:t>s</w:t>
      </w:r>
      <w:r w:rsidRPr="00D80A37">
        <w:t xml:space="preserve"> support to individuals (and their whānau) presenting in custody where alcohol and/or drug use is a contributing factor. </w:t>
      </w:r>
    </w:p>
    <w:p w14:paraId="712BB8B6" w14:textId="77777777" w:rsidR="00232490" w:rsidRPr="00D80A37" w:rsidRDefault="00232490" w:rsidP="00232490">
      <w:pPr>
        <w:pStyle w:val="Bullet"/>
      </w:pPr>
      <w:r w:rsidRPr="00D80A37">
        <w:rPr>
          <w:b/>
          <w:bCs/>
        </w:rPr>
        <w:lastRenderedPageBreak/>
        <w:t>Neurodevelopmental Assessment and Support Pilots (NASP):</w:t>
      </w:r>
      <w:r w:rsidRPr="00D80A37">
        <w:t xml:space="preserve"> </w:t>
      </w:r>
      <w:r>
        <w:t>NASP involves a c</w:t>
      </w:r>
      <w:r w:rsidRPr="00D80A37">
        <w:t xml:space="preserve">ollaborative design process to develop and establish enhanced early intervention, assessment and support for whānau with children who have </w:t>
      </w:r>
      <w:proofErr w:type="spellStart"/>
      <w:r>
        <w:t>fetal</w:t>
      </w:r>
      <w:proofErr w:type="spellEnd"/>
      <w:r>
        <w:t xml:space="preserve"> alcohol spectrum disorders</w:t>
      </w:r>
      <w:r w:rsidRPr="00D80A37">
        <w:t xml:space="preserve"> and/or other neurodevelopment needs.  </w:t>
      </w:r>
    </w:p>
    <w:p w14:paraId="355A0AC4" w14:textId="6FF7D037" w:rsidR="00232490" w:rsidRPr="00232490" w:rsidRDefault="00232490" w:rsidP="00232490">
      <w:pPr>
        <w:pStyle w:val="Bullet"/>
        <w:rPr>
          <w:lang w:val="en-GB"/>
        </w:rPr>
      </w:pPr>
      <w:r w:rsidRPr="005030BB">
        <w:rPr>
          <w:b/>
          <w:bCs/>
        </w:rPr>
        <w:t xml:space="preserve">Primary Options Mental Health &amp; Addictions (POMHA): </w:t>
      </w:r>
      <w:r w:rsidRPr="00D80A37">
        <w:t xml:space="preserve">POMHA offers free </w:t>
      </w:r>
      <w:r>
        <w:t>general practitioner</w:t>
      </w:r>
      <w:r w:rsidRPr="00D80A37">
        <w:t xml:space="preserve"> services alongside clinical MH&amp;A support and community psychosocial supports to whānau with enduring but manageable MH&amp;A conditions.</w:t>
      </w:r>
    </w:p>
    <w:p w14:paraId="340D4A2D" w14:textId="7CE3710B" w:rsidR="00232490" w:rsidRDefault="00232490" w:rsidP="00232490">
      <w:pPr>
        <w:pStyle w:val="Bullet"/>
        <w:numPr>
          <w:ilvl w:val="0"/>
          <w:numId w:val="0"/>
        </w:numPr>
        <w:ind w:left="284" w:hanging="284"/>
        <w:rPr>
          <w:lang w:val="en-GB"/>
        </w:rPr>
      </w:pPr>
    </w:p>
    <w:tbl>
      <w:tblPr>
        <w:tblStyle w:val="TableGrid"/>
        <w:tblW w:w="0" w:type="auto"/>
        <w:tblLook w:val="04A0" w:firstRow="1" w:lastRow="0" w:firstColumn="1" w:lastColumn="0" w:noHBand="0" w:noVBand="1"/>
      </w:tblPr>
      <w:tblGrid>
        <w:gridCol w:w="8069"/>
      </w:tblGrid>
      <w:tr w:rsidR="00232490" w:rsidRPr="00D80A37" w14:paraId="47813BC1" w14:textId="77777777" w:rsidTr="00A27D16">
        <w:tc>
          <w:tcPr>
            <w:tcW w:w="8069" w:type="dxa"/>
          </w:tcPr>
          <w:p w14:paraId="5A5BC35D" w14:textId="77777777" w:rsidR="00232490" w:rsidRPr="00232490" w:rsidRDefault="00232490" w:rsidP="008D4592">
            <w:pPr>
              <w:spacing w:before="120" w:after="120"/>
              <w:rPr>
                <w:b/>
                <w:bCs/>
                <w:lang w:val="en-GB"/>
              </w:rPr>
            </w:pPr>
            <w:r w:rsidRPr="00232490">
              <w:rPr>
                <w:b/>
                <w:bCs/>
                <w:lang w:val="en-GB"/>
              </w:rPr>
              <w:t xml:space="preserve">Key lessons from </w:t>
            </w:r>
            <w:proofErr w:type="spellStart"/>
            <w:r w:rsidRPr="00232490">
              <w:rPr>
                <w:b/>
                <w:bCs/>
                <w:lang w:val="en-GB"/>
              </w:rPr>
              <w:t>Whāriki</w:t>
            </w:r>
            <w:proofErr w:type="spellEnd"/>
            <w:r w:rsidRPr="00232490">
              <w:rPr>
                <w:b/>
                <w:bCs/>
                <w:lang w:val="en-GB"/>
              </w:rPr>
              <w:t xml:space="preserve"> for the system</w:t>
            </w:r>
          </w:p>
          <w:p w14:paraId="0D62AF8A" w14:textId="650740F4" w:rsidR="00232490" w:rsidRDefault="00232490" w:rsidP="00112CA9">
            <w:pPr>
              <w:rPr>
                <w:lang w:val="en-GB"/>
              </w:rPr>
            </w:pPr>
            <w:r w:rsidRPr="00D80A37">
              <w:rPr>
                <w:lang w:val="en-GB"/>
              </w:rPr>
              <w:t>Privileging the whānau and consumer perspective is challenging for a ‘system’ that traditionally privileges clinicians as the experts. This change can bring tension; it can be demoralising for skilled and dedicated professionals to hear that the way they work may not be helpful to the community they serve.</w:t>
            </w:r>
          </w:p>
          <w:p w14:paraId="6253CCA5" w14:textId="77777777" w:rsidR="00112CA9" w:rsidRDefault="00112CA9" w:rsidP="00112CA9">
            <w:pPr>
              <w:rPr>
                <w:lang w:val="en-GB"/>
              </w:rPr>
            </w:pPr>
          </w:p>
          <w:p w14:paraId="1DF4F210" w14:textId="43DEC762" w:rsidR="00232490" w:rsidRDefault="00232490" w:rsidP="00112CA9">
            <w:pPr>
              <w:pStyle w:val="Quote"/>
              <w:spacing w:before="0" w:line="240" w:lineRule="auto"/>
              <w:rPr>
                <w:i/>
                <w:iCs/>
              </w:rPr>
            </w:pPr>
            <w:r w:rsidRPr="00232490">
              <w:rPr>
                <w:i/>
                <w:iCs/>
              </w:rPr>
              <w:t>Māori want [and need] professional health services, but wellbeing is belonging … and this is sustained in community.</w:t>
            </w:r>
          </w:p>
          <w:p w14:paraId="5493D497" w14:textId="77777777" w:rsidR="00112CA9" w:rsidRPr="00112CA9" w:rsidRDefault="00112CA9" w:rsidP="00112CA9"/>
          <w:p w14:paraId="58F71ABD" w14:textId="464F8477" w:rsidR="00232490" w:rsidRDefault="00232490" w:rsidP="00112CA9">
            <w:pPr>
              <w:rPr>
                <w:lang w:val="en-GB"/>
              </w:rPr>
            </w:pPr>
            <w:r w:rsidRPr="00D80A37">
              <w:rPr>
                <w:lang w:val="en-GB"/>
              </w:rPr>
              <w:t xml:space="preserve">The system needs </w:t>
            </w:r>
            <w:r>
              <w:rPr>
                <w:lang w:val="en-GB"/>
              </w:rPr>
              <w:t xml:space="preserve">to </w:t>
            </w:r>
            <w:r w:rsidRPr="00D80A37">
              <w:rPr>
                <w:lang w:val="en-GB"/>
              </w:rPr>
              <w:t xml:space="preserve">invest ‘up front’ in time and </w:t>
            </w:r>
            <w:r>
              <w:rPr>
                <w:lang w:val="en-GB"/>
              </w:rPr>
              <w:t xml:space="preserve">in </w:t>
            </w:r>
            <w:r w:rsidRPr="00D80A37">
              <w:rPr>
                <w:lang w:val="en-GB"/>
              </w:rPr>
              <w:t xml:space="preserve">relationships to facilitate partnerships. This requires systems thinkers with a strong understanding of equity and inequity. Hauora Tairāwhiti is investing in collective ownership to socialise and normalise change, from the development of bespoke initiatives to whole-of-sector programmes of work. </w:t>
            </w:r>
            <w:proofErr w:type="spellStart"/>
            <w:r w:rsidRPr="00D80A37">
              <w:rPr>
                <w:lang w:val="en-GB"/>
              </w:rPr>
              <w:t>Whāriki</w:t>
            </w:r>
            <w:proofErr w:type="spellEnd"/>
            <w:r w:rsidRPr="00D80A37">
              <w:rPr>
                <w:lang w:val="en-GB"/>
              </w:rPr>
              <w:t xml:space="preserve"> provides a platform to do this; to ‘collectively give whānau the right help, when and where they need it. [To] shape what, how, by, and for who, services are available’</w:t>
            </w:r>
            <w:r>
              <w:rPr>
                <w:lang w:val="en-GB"/>
              </w:rPr>
              <w:t>.</w:t>
            </w:r>
            <w:r>
              <w:rPr>
                <w:rStyle w:val="FootnoteReference"/>
                <w:rFonts w:cstheme="minorHAnsi"/>
                <w:lang w:val="en-GB"/>
              </w:rPr>
              <w:footnoteReference w:id="16"/>
            </w:r>
          </w:p>
          <w:p w14:paraId="73999A60" w14:textId="77777777" w:rsidR="00112CA9" w:rsidRPr="00D80A37" w:rsidRDefault="00112CA9" w:rsidP="00112CA9">
            <w:pPr>
              <w:rPr>
                <w:lang w:val="en-GB"/>
              </w:rPr>
            </w:pPr>
          </w:p>
          <w:p w14:paraId="1AC9B714" w14:textId="77777777" w:rsidR="00232490" w:rsidRPr="00D80A37" w:rsidRDefault="00232490" w:rsidP="00112CA9">
            <w:pPr>
              <w:pStyle w:val="Quote"/>
              <w:spacing w:before="0" w:after="120" w:line="240" w:lineRule="auto"/>
              <w:rPr>
                <w:lang w:val="en-GB"/>
              </w:rPr>
            </w:pPr>
            <w:r w:rsidRPr="00232490">
              <w:rPr>
                <w:i/>
                <w:iCs/>
              </w:rPr>
              <w:t>The leadership investment – at all levels – to mobilise a strong and diverse community that is sometimes at odds with each other should not be underestimated.</w:t>
            </w:r>
          </w:p>
        </w:tc>
      </w:tr>
    </w:tbl>
    <w:p w14:paraId="6DA57999" w14:textId="6CD5FD1B" w:rsidR="0013779F" w:rsidRDefault="0013779F" w:rsidP="00232490"/>
    <w:p w14:paraId="685BE32D" w14:textId="77777777" w:rsidR="0013779F" w:rsidRDefault="0013779F">
      <w:r>
        <w:br w:type="page"/>
      </w:r>
    </w:p>
    <w:p w14:paraId="2827249E" w14:textId="08998629" w:rsidR="0013779F" w:rsidRDefault="0013779F" w:rsidP="0013779F">
      <w:pPr>
        <w:pStyle w:val="Heading1"/>
        <w:numPr>
          <w:ilvl w:val="0"/>
          <w:numId w:val="46"/>
        </w:numPr>
        <w:spacing w:before="0"/>
        <w:ind w:left="851" w:hanging="851"/>
      </w:pPr>
      <w:bookmarkStart w:id="29" w:name="_Toc122360196"/>
      <w:bookmarkStart w:id="30" w:name="_Toc124845534"/>
      <w:r w:rsidRPr="00993BBE">
        <w:lastRenderedPageBreak/>
        <w:t>Hawke’s Bay region</w:t>
      </w:r>
      <w:bookmarkEnd w:id="29"/>
      <w:bookmarkEnd w:id="30"/>
    </w:p>
    <w:p w14:paraId="00B49120" w14:textId="2D983EDD" w:rsidR="0013779F" w:rsidRPr="00D80A37" w:rsidRDefault="0013779F" w:rsidP="0013779F">
      <w:pPr>
        <w:pStyle w:val="Heading2"/>
      </w:pPr>
      <w:bookmarkStart w:id="31" w:name="_Toc124845535"/>
      <w:r w:rsidRPr="00D80A37">
        <w:t>Background</w:t>
      </w:r>
      <w:bookmarkEnd w:id="31"/>
    </w:p>
    <w:p w14:paraId="2A30364B" w14:textId="77777777" w:rsidR="0013779F" w:rsidRDefault="0013779F" w:rsidP="0013779F">
      <w:pPr>
        <w:rPr>
          <w:lang w:val="en-GB"/>
        </w:rPr>
      </w:pPr>
      <w:r w:rsidRPr="00D80A37">
        <w:t xml:space="preserve">The Health Equity Framework developed by Hawke’s Bay DHB drew on insights from several successful local innovations between 2017 </w:t>
      </w:r>
      <w:r>
        <w:t>and</w:t>
      </w:r>
      <w:r w:rsidRPr="00D80A37">
        <w:t xml:space="preserve"> 2020. Together, these innovations demonstrate the key shifts needed throughout the commissioning cycle to move from traditional service-centred health</w:t>
      </w:r>
      <w:r>
        <w:t xml:space="preserve"> </w:t>
      </w:r>
      <w:r w:rsidRPr="00D80A37">
        <w:t>care towards whānau-centred health</w:t>
      </w:r>
      <w:r>
        <w:t xml:space="preserve"> </w:t>
      </w:r>
      <w:r w:rsidRPr="00D80A37">
        <w:t>care within under</w:t>
      </w:r>
      <w:r>
        <w:t>-</w:t>
      </w:r>
      <w:r w:rsidRPr="00D80A37">
        <w:t xml:space="preserve">served communities. </w:t>
      </w:r>
      <w:r w:rsidRPr="00D80A37">
        <w:rPr>
          <w:lang w:val="en-GB"/>
        </w:rPr>
        <w:t xml:space="preserve">Applying the framework’s equity principles to clinical health services can also </w:t>
      </w:r>
      <w:r>
        <w:rPr>
          <w:lang w:val="en-GB"/>
        </w:rPr>
        <w:t>reduce</w:t>
      </w:r>
      <w:r w:rsidRPr="00D80A37">
        <w:rPr>
          <w:lang w:val="en-GB"/>
        </w:rPr>
        <w:t xml:space="preserve"> health inequities in planned care.    </w:t>
      </w:r>
    </w:p>
    <w:p w14:paraId="169FA188" w14:textId="77777777" w:rsidR="0013779F" w:rsidRPr="00D80A37" w:rsidRDefault="0013779F" w:rsidP="0013779F"/>
    <w:p w14:paraId="0504ABEC" w14:textId="77777777" w:rsidR="0013779F" w:rsidRPr="00993BBE" w:rsidRDefault="0013779F" w:rsidP="0013779F">
      <w:pPr>
        <w:pStyle w:val="Quote"/>
        <w:spacing w:before="0"/>
        <w:rPr>
          <w:i/>
          <w:iCs/>
        </w:rPr>
      </w:pPr>
      <w:r w:rsidRPr="00993BBE">
        <w:rPr>
          <w:i/>
          <w:iCs/>
        </w:rPr>
        <w:t>We know from successful programmes both in Hawke’s Bay and elsewhere that tackling inequity requires system and culture change, deliberate and sustained focus, realistic resourcing, accountability at all levels, and real community partnership.</w:t>
      </w:r>
      <w:r w:rsidRPr="00252B09">
        <w:rPr>
          <w:i/>
          <w:iCs/>
          <w:vertAlign w:val="superscript"/>
        </w:rPr>
        <w:footnoteReference w:id="17"/>
      </w:r>
    </w:p>
    <w:p w14:paraId="1F443FD6" w14:textId="06844388" w:rsidR="0013779F" w:rsidRPr="00D80A37" w:rsidRDefault="0013779F" w:rsidP="0013779F">
      <w:pPr>
        <w:pStyle w:val="Heading2"/>
        <w:rPr>
          <w:rFonts w:eastAsiaTheme="majorEastAsia"/>
          <w:lang w:val="en-GB"/>
        </w:rPr>
      </w:pPr>
      <w:bookmarkStart w:id="32" w:name="_Toc124845536"/>
      <w:r w:rsidRPr="00D80A37">
        <w:rPr>
          <w:rFonts w:eastAsiaTheme="majorEastAsia"/>
          <w:lang w:val="en-GB"/>
        </w:rPr>
        <w:t xml:space="preserve">Systems </w:t>
      </w:r>
      <w:r>
        <w:rPr>
          <w:rFonts w:eastAsiaTheme="majorEastAsia"/>
          <w:lang w:val="en-GB"/>
        </w:rPr>
        <w:t>b</w:t>
      </w:r>
      <w:r w:rsidRPr="00D80A37">
        <w:rPr>
          <w:rFonts w:eastAsiaTheme="majorEastAsia"/>
          <w:lang w:val="en-GB"/>
        </w:rPr>
        <w:t>arriers</w:t>
      </w:r>
      <w:bookmarkEnd w:id="32"/>
      <w:r w:rsidRPr="00D80A37">
        <w:rPr>
          <w:rFonts w:eastAsiaTheme="majorEastAsia"/>
          <w:lang w:val="en-GB"/>
        </w:rPr>
        <w:t xml:space="preserve"> </w:t>
      </w:r>
    </w:p>
    <w:p w14:paraId="1851AE54" w14:textId="77777777" w:rsidR="0013779F" w:rsidRPr="00D80A37" w:rsidRDefault="0013779F" w:rsidP="0013779F">
      <w:pPr>
        <w:rPr>
          <w:lang w:val="en-GB"/>
        </w:rPr>
      </w:pPr>
      <w:r w:rsidRPr="00D80A37">
        <w:rPr>
          <w:lang w:val="en-GB"/>
        </w:rPr>
        <w:t xml:space="preserve">To </w:t>
      </w:r>
      <w:r>
        <w:rPr>
          <w:lang w:val="en-GB"/>
        </w:rPr>
        <w:t>understand</w:t>
      </w:r>
      <w:r w:rsidRPr="00D80A37">
        <w:rPr>
          <w:lang w:val="en-GB"/>
        </w:rPr>
        <w:t xml:space="preserve"> the key shifts required to address entrenche</w:t>
      </w:r>
      <w:r>
        <w:rPr>
          <w:lang w:val="en-GB"/>
        </w:rPr>
        <w:t>d</w:t>
      </w:r>
      <w:r w:rsidRPr="00D80A37">
        <w:rPr>
          <w:lang w:val="en-GB"/>
        </w:rPr>
        <w:t xml:space="preserve"> inequities, four systems barriers at a DHB level were identified that impede good commissioning and investment in equitable health solutions</w:t>
      </w:r>
      <w:r>
        <w:rPr>
          <w:lang w:val="en-GB"/>
        </w:rPr>
        <w:t>.</w:t>
      </w:r>
    </w:p>
    <w:p w14:paraId="1099837B" w14:textId="77777777" w:rsidR="0013779F" w:rsidRPr="00D80A37" w:rsidRDefault="0013779F" w:rsidP="0013779F">
      <w:pPr>
        <w:pStyle w:val="Bullet"/>
        <w:rPr>
          <w:lang w:val="en-GB"/>
        </w:rPr>
      </w:pPr>
      <w:r w:rsidRPr="00D80A37">
        <w:rPr>
          <w:b/>
          <w:bCs/>
          <w:lang w:val="en-GB"/>
        </w:rPr>
        <w:t>A disconnect between different aspects of the health system.</w:t>
      </w:r>
      <w:r w:rsidRPr="00D80A37">
        <w:rPr>
          <w:lang w:val="en-GB"/>
        </w:rPr>
        <w:t xml:space="preserve"> The funding, planning and service delivery roles within the DHB are blurred, with the clinical service</w:t>
      </w:r>
      <w:r w:rsidRPr="00AC019F">
        <w:rPr>
          <w:lang w:val="en-GB"/>
        </w:rPr>
        <w:t xml:space="preserve"> </w:t>
      </w:r>
      <w:r w:rsidRPr="00D80A37">
        <w:rPr>
          <w:lang w:val="en-GB"/>
        </w:rPr>
        <w:t>rather than strategic planning arm determining priorities.</w:t>
      </w:r>
    </w:p>
    <w:p w14:paraId="6C55AEEE" w14:textId="77777777" w:rsidR="0013779F" w:rsidRPr="00D80A37" w:rsidRDefault="0013779F" w:rsidP="0013779F">
      <w:pPr>
        <w:pStyle w:val="Bullet"/>
        <w:rPr>
          <w:lang w:val="en-GB"/>
        </w:rPr>
      </w:pPr>
      <w:r w:rsidRPr="00D80A37">
        <w:rPr>
          <w:b/>
          <w:bCs/>
          <w:lang w:val="en-GB"/>
        </w:rPr>
        <w:t>People in decision</w:t>
      </w:r>
      <w:r>
        <w:rPr>
          <w:b/>
          <w:bCs/>
          <w:lang w:val="en-GB"/>
        </w:rPr>
        <w:t>-</w:t>
      </w:r>
      <w:r w:rsidRPr="00D80A37">
        <w:rPr>
          <w:b/>
          <w:bCs/>
          <w:lang w:val="en-GB"/>
        </w:rPr>
        <w:t xml:space="preserve">making roles </w:t>
      </w:r>
      <w:r>
        <w:rPr>
          <w:b/>
          <w:bCs/>
          <w:lang w:val="en-GB"/>
        </w:rPr>
        <w:t xml:space="preserve">do </w:t>
      </w:r>
      <w:r w:rsidRPr="00D80A37">
        <w:rPr>
          <w:b/>
          <w:bCs/>
          <w:lang w:val="en-GB"/>
        </w:rPr>
        <w:t>not hav</w:t>
      </w:r>
      <w:r>
        <w:rPr>
          <w:b/>
          <w:bCs/>
          <w:lang w:val="en-GB"/>
        </w:rPr>
        <w:t>e</w:t>
      </w:r>
      <w:r w:rsidRPr="00D80A37">
        <w:rPr>
          <w:b/>
          <w:bCs/>
          <w:lang w:val="en-GB"/>
        </w:rPr>
        <w:t xml:space="preserve"> a good understanding of Te Tiriti obligation.</w:t>
      </w:r>
      <w:r w:rsidRPr="00D80A37">
        <w:rPr>
          <w:lang w:val="en-GB"/>
        </w:rPr>
        <w:t xml:space="preserve"> Kaupapa Māori concepts and wellbeing models are often imposed that are at odds with Māori and discredit Māori-led approaches.</w:t>
      </w:r>
    </w:p>
    <w:p w14:paraId="2E24CD39" w14:textId="77777777" w:rsidR="0013779F" w:rsidRPr="00D80A37" w:rsidRDefault="0013779F" w:rsidP="0013779F">
      <w:pPr>
        <w:pStyle w:val="Bullet"/>
        <w:rPr>
          <w:lang w:val="en-GB"/>
        </w:rPr>
      </w:pPr>
      <w:r w:rsidRPr="00D80A37">
        <w:rPr>
          <w:b/>
          <w:bCs/>
          <w:lang w:val="en-GB"/>
        </w:rPr>
        <w:t>Systemic racism and discrimination imped</w:t>
      </w:r>
      <w:r>
        <w:rPr>
          <w:b/>
          <w:bCs/>
          <w:lang w:val="en-GB"/>
        </w:rPr>
        <w:t>e</w:t>
      </w:r>
      <w:r w:rsidRPr="00D80A37">
        <w:rPr>
          <w:b/>
          <w:bCs/>
          <w:lang w:val="en-GB"/>
        </w:rPr>
        <w:t xml:space="preserve"> Māori and Pacific capability and capacity.</w:t>
      </w:r>
      <w:r w:rsidRPr="00D80A37">
        <w:rPr>
          <w:lang w:val="en-GB"/>
        </w:rPr>
        <w:t xml:space="preserve"> Māori health is under-resourced and therefore under-developed, meaning </w:t>
      </w:r>
      <w:r>
        <w:rPr>
          <w:lang w:val="en-GB"/>
        </w:rPr>
        <w:t xml:space="preserve">investment goes to </w:t>
      </w:r>
      <w:proofErr w:type="spellStart"/>
      <w:r>
        <w:rPr>
          <w:lang w:val="en-GB"/>
        </w:rPr>
        <w:t>P</w:t>
      </w:r>
      <w:r w:rsidRPr="00D80A37">
        <w:rPr>
          <w:lang w:val="en-GB"/>
        </w:rPr>
        <w:t>ākehā</w:t>
      </w:r>
      <w:proofErr w:type="spellEnd"/>
      <w:r w:rsidRPr="00D80A37">
        <w:rPr>
          <w:lang w:val="en-GB"/>
        </w:rPr>
        <w:t xml:space="preserve"> models that do not work </w:t>
      </w:r>
      <w:r>
        <w:rPr>
          <w:lang w:val="en-GB"/>
        </w:rPr>
        <w:t xml:space="preserve">instead of to </w:t>
      </w:r>
      <w:r w:rsidRPr="00D80A37">
        <w:rPr>
          <w:lang w:val="en-GB"/>
        </w:rPr>
        <w:t>Māori-led health solutions.</w:t>
      </w:r>
    </w:p>
    <w:p w14:paraId="54E1BD07" w14:textId="77777777" w:rsidR="0013779F" w:rsidRPr="00D80A37" w:rsidRDefault="0013779F" w:rsidP="0013779F">
      <w:pPr>
        <w:pStyle w:val="Bullet"/>
        <w:rPr>
          <w:lang w:val="en-GB"/>
        </w:rPr>
      </w:pPr>
      <w:r w:rsidRPr="00D80A37">
        <w:rPr>
          <w:b/>
          <w:bCs/>
          <w:lang w:val="en-GB"/>
        </w:rPr>
        <w:t>System levers struggle to address the determinants of ill</w:t>
      </w:r>
      <w:r>
        <w:rPr>
          <w:b/>
          <w:bCs/>
          <w:lang w:val="en-GB"/>
        </w:rPr>
        <w:t xml:space="preserve"> </w:t>
      </w:r>
      <w:r w:rsidRPr="00D80A37">
        <w:rPr>
          <w:b/>
          <w:bCs/>
          <w:lang w:val="en-GB"/>
        </w:rPr>
        <w:t>health</w:t>
      </w:r>
      <w:r w:rsidRPr="00D80A37">
        <w:rPr>
          <w:lang w:val="en-GB"/>
        </w:rPr>
        <w:t xml:space="preserve">. </w:t>
      </w:r>
      <w:r>
        <w:rPr>
          <w:lang w:val="en-GB"/>
        </w:rPr>
        <w:t>When s</w:t>
      </w:r>
      <w:r w:rsidRPr="00D80A37">
        <w:rPr>
          <w:lang w:val="en-GB"/>
        </w:rPr>
        <w:t xml:space="preserve">ystem processes such as contracting and procurement are inflexible, </w:t>
      </w:r>
      <w:r>
        <w:rPr>
          <w:lang w:val="en-GB"/>
        </w:rPr>
        <w:t xml:space="preserve">they tend to </w:t>
      </w:r>
      <w:r w:rsidRPr="00D80A37">
        <w:rPr>
          <w:lang w:val="en-GB"/>
        </w:rPr>
        <w:t>fund the treatment of individual symptoms rather than responding to the causes and mix of issues whānau grapple with.</w:t>
      </w:r>
    </w:p>
    <w:p w14:paraId="731D8DA8" w14:textId="44E1B07F" w:rsidR="0013779F" w:rsidRPr="00D80A37" w:rsidRDefault="0013779F" w:rsidP="0013779F">
      <w:pPr>
        <w:pStyle w:val="Heading2"/>
      </w:pPr>
      <w:bookmarkStart w:id="33" w:name="_Toc124845537"/>
      <w:r w:rsidRPr="00D80A37">
        <w:t xml:space="preserve">A </w:t>
      </w:r>
      <w:r>
        <w:t>t</w:t>
      </w:r>
      <w:r w:rsidRPr="00D80A37">
        <w:t xml:space="preserve">ransformative </w:t>
      </w:r>
      <w:r>
        <w:t>c</w:t>
      </w:r>
      <w:r w:rsidRPr="00D80A37">
        <w:t xml:space="preserve">hange </w:t>
      </w:r>
      <w:r>
        <w:t>p</w:t>
      </w:r>
      <w:r w:rsidRPr="00D80A37">
        <w:t>rogramme</w:t>
      </w:r>
      <w:bookmarkEnd w:id="33"/>
    </w:p>
    <w:p w14:paraId="4FD0573F" w14:textId="77777777" w:rsidR="0013779F" w:rsidRPr="00D80A37" w:rsidRDefault="0013779F" w:rsidP="0013779F">
      <w:r>
        <w:t xml:space="preserve">Hawke’s Bay </w:t>
      </w:r>
      <w:r w:rsidRPr="00D80A37">
        <w:t xml:space="preserve">DHB adopted the Health Equity Framework to address system barriers and enable more equitable commissioning of services. The intent was to </w:t>
      </w:r>
      <w:r w:rsidRPr="009B344C">
        <w:rPr>
          <w:i/>
          <w:iCs/>
        </w:rPr>
        <w:t>‘</w:t>
      </w:r>
      <w:r w:rsidRPr="001C3FC3">
        <w:t xml:space="preserve">make sure that [all </w:t>
      </w:r>
      <w:r w:rsidRPr="001C3FC3">
        <w:lastRenderedPageBreak/>
        <w:t>parts of the organisation] are working collectively to address health inequities within our region … [reinforcing that] different actions are needed to improve the health and wellbeing of our most disadvantaged populations, and each of us has a different role to play</w:t>
      </w:r>
      <w:r w:rsidRPr="00434BBB">
        <w:t>’</w:t>
      </w:r>
      <w:r w:rsidRPr="00F61F56">
        <w:t>.</w:t>
      </w:r>
      <w:r w:rsidRPr="00D80A37">
        <w:rPr>
          <w:vertAlign w:val="superscript"/>
        </w:rPr>
        <w:footnoteReference w:id="18"/>
      </w:r>
      <w:r w:rsidRPr="00D80A37">
        <w:t xml:space="preserve"> </w:t>
      </w:r>
      <w:r w:rsidRPr="00D80A37">
        <w:rPr>
          <w:lang w:val="en-GB" w:eastAsia="en-NZ"/>
        </w:rPr>
        <w:t xml:space="preserve">It was recognised that whānau and consumer voice, </w:t>
      </w:r>
      <w:proofErr w:type="spellStart"/>
      <w:r w:rsidRPr="00D80A37">
        <w:rPr>
          <w:lang w:val="en-GB" w:eastAsia="en-NZ"/>
        </w:rPr>
        <w:t>Te</w:t>
      </w:r>
      <w:proofErr w:type="spellEnd"/>
      <w:r w:rsidRPr="00D80A37">
        <w:rPr>
          <w:lang w:val="en-GB" w:eastAsia="en-NZ"/>
        </w:rPr>
        <w:t xml:space="preserve"> </w:t>
      </w:r>
      <w:proofErr w:type="spellStart"/>
      <w:r w:rsidRPr="00D80A37">
        <w:rPr>
          <w:lang w:val="en-GB" w:eastAsia="en-NZ"/>
        </w:rPr>
        <w:t>Tiriti</w:t>
      </w:r>
      <w:proofErr w:type="spellEnd"/>
      <w:r w:rsidRPr="00D80A37">
        <w:rPr>
          <w:lang w:val="en-GB" w:eastAsia="en-NZ"/>
        </w:rPr>
        <w:t xml:space="preserve"> o Waitangi, </w:t>
      </w:r>
      <w:proofErr w:type="spellStart"/>
      <w:r w:rsidRPr="00D80A37">
        <w:rPr>
          <w:lang w:val="en-GB" w:eastAsia="en-NZ"/>
        </w:rPr>
        <w:t>Pūao</w:t>
      </w:r>
      <w:proofErr w:type="spellEnd"/>
      <w:r w:rsidRPr="00D80A37">
        <w:rPr>
          <w:lang w:val="en-GB" w:eastAsia="en-NZ"/>
        </w:rPr>
        <w:t>-</w:t>
      </w:r>
      <w:proofErr w:type="spellStart"/>
      <w:r w:rsidRPr="00D80A37">
        <w:rPr>
          <w:lang w:val="en-GB" w:eastAsia="en-NZ"/>
        </w:rPr>
        <w:t>te</w:t>
      </w:r>
      <w:proofErr w:type="spellEnd"/>
      <w:r w:rsidRPr="00D80A37">
        <w:rPr>
          <w:lang w:val="en-GB" w:eastAsia="en-NZ"/>
        </w:rPr>
        <w:t>-Ata-</w:t>
      </w:r>
      <w:proofErr w:type="spellStart"/>
      <w:r w:rsidRPr="00D80A37">
        <w:rPr>
          <w:lang w:val="en-GB" w:eastAsia="en-NZ"/>
        </w:rPr>
        <w:t>Tū</w:t>
      </w:r>
      <w:proofErr w:type="spellEnd"/>
      <w:r w:rsidRPr="00D80A37">
        <w:rPr>
          <w:lang w:val="en-GB" w:eastAsia="en-NZ"/>
        </w:rPr>
        <w:t xml:space="preserve">, </w:t>
      </w:r>
      <w:proofErr w:type="spellStart"/>
      <w:r w:rsidRPr="00D80A37">
        <w:rPr>
          <w:lang w:val="en-GB" w:eastAsia="en-NZ"/>
        </w:rPr>
        <w:t>Te</w:t>
      </w:r>
      <w:proofErr w:type="spellEnd"/>
      <w:r w:rsidRPr="00D80A37">
        <w:rPr>
          <w:lang w:val="en-GB" w:eastAsia="en-NZ"/>
        </w:rPr>
        <w:t xml:space="preserve"> Whare Tapa </w:t>
      </w:r>
      <w:proofErr w:type="spellStart"/>
      <w:r w:rsidRPr="00D80A37">
        <w:rPr>
          <w:lang w:val="en-GB" w:eastAsia="en-NZ"/>
        </w:rPr>
        <w:t>Whā</w:t>
      </w:r>
      <w:proofErr w:type="spellEnd"/>
      <w:r w:rsidRPr="00D80A37">
        <w:rPr>
          <w:lang w:val="en-GB" w:eastAsia="en-NZ"/>
        </w:rPr>
        <w:t xml:space="preserve"> and </w:t>
      </w:r>
      <w:proofErr w:type="spellStart"/>
      <w:r w:rsidRPr="00D80A37">
        <w:rPr>
          <w:lang w:val="en-GB" w:eastAsia="en-NZ"/>
        </w:rPr>
        <w:t>Whānau</w:t>
      </w:r>
      <w:proofErr w:type="spellEnd"/>
      <w:r w:rsidRPr="00D80A37">
        <w:rPr>
          <w:lang w:val="en-GB" w:eastAsia="en-NZ"/>
        </w:rPr>
        <w:t xml:space="preserve"> Ora all need to underpin each of the following four stages of </w:t>
      </w:r>
      <w:r>
        <w:rPr>
          <w:lang w:val="en-GB" w:eastAsia="en-NZ"/>
        </w:rPr>
        <w:t xml:space="preserve">the </w:t>
      </w:r>
      <w:r w:rsidRPr="00D80A37">
        <w:rPr>
          <w:lang w:val="en-GB" w:eastAsia="en-NZ"/>
        </w:rPr>
        <w:t>policy and commissioning cycle:</w:t>
      </w:r>
    </w:p>
    <w:p w14:paraId="06AFF76A" w14:textId="77777777" w:rsidR="0013779F" w:rsidRPr="00D80A37" w:rsidRDefault="0013779F" w:rsidP="0013779F">
      <w:pPr>
        <w:pStyle w:val="Bullet"/>
        <w:rPr>
          <w:lang w:val="en-GB"/>
        </w:rPr>
      </w:pPr>
      <w:r w:rsidRPr="00D80A37">
        <w:rPr>
          <w:lang w:val="en-GB"/>
        </w:rPr>
        <w:t>identifying health equity issues</w:t>
      </w:r>
    </w:p>
    <w:p w14:paraId="27B343B9" w14:textId="77777777" w:rsidR="0013779F" w:rsidRPr="00D80A37" w:rsidRDefault="0013779F" w:rsidP="0013779F">
      <w:pPr>
        <w:pStyle w:val="Bullet"/>
        <w:rPr>
          <w:lang w:val="en-GB"/>
        </w:rPr>
      </w:pPr>
      <w:r w:rsidRPr="00D80A37">
        <w:rPr>
          <w:lang w:val="en-GB"/>
        </w:rPr>
        <w:t>co-design</w:t>
      </w:r>
      <w:r>
        <w:rPr>
          <w:lang w:val="en-GB"/>
        </w:rPr>
        <w:t>ing</w:t>
      </w:r>
      <w:r w:rsidRPr="00D80A37">
        <w:rPr>
          <w:lang w:val="en-GB"/>
        </w:rPr>
        <w:t xml:space="preserve"> partnering activities with a focus on policy, system and services solutions</w:t>
      </w:r>
    </w:p>
    <w:p w14:paraId="2339DC1D" w14:textId="77777777" w:rsidR="0013779F" w:rsidRPr="00D80A37" w:rsidRDefault="0013779F" w:rsidP="0013779F">
      <w:pPr>
        <w:pStyle w:val="Bullet"/>
        <w:rPr>
          <w:lang w:val="en-GB"/>
        </w:rPr>
      </w:pPr>
      <w:r w:rsidRPr="00D80A37">
        <w:rPr>
          <w:lang w:val="en-GB"/>
        </w:rPr>
        <w:t>putting solutions into place</w:t>
      </w:r>
    </w:p>
    <w:p w14:paraId="7DBDF815" w14:textId="77777777" w:rsidR="0013779F" w:rsidRPr="00D80A37" w:rsidRDefault="0013779F" w:rsidP="0013779F">
      <w:pPr>
        <w:pStyle w:val="Bullet"/>
        <w:rPr>
          <w:lang w:val="en-GB"/>
        </w:rPr>
      </w:pPr>
      <w:r w:rsidRPr="00D80A37">
        <w:rPr>
          <w:lang w:val="en-GB"/>
        </w:rPr>
        <w:t xml:space="preserve">monitoring progress and measuring effectiveness. </w:t>
      </w:r>
    </w:p>
    <w:p w14:paraId="7BE33CA1" w14:textId="0540D207" w:rsidR="0013779F" w:rsidRPr="00D80A37" w:rsidRDefault="0013779F" w:rsidP="0013779F">
      <w:pPr>
        <w:pStyle w:val="Heading2"/>
      </w:pPr>
      <w:bookmarkStart w:id="34" w:name="_Toc124845538"/>
      <w:r w:rsidRPr="00D80A37">
        <w:t>Forerunners</w:t>
      </w:r>
      <w:bookmarkEnd w:id="34"/>
    </w:p>
    <w:p w14:paraId="5799E832" w14:textId="77777777" w:rsidR="0013779F" w:rsidRDefault="0013779F" w:rsidP="0013779F">
      <w:pPr>
        <w:pStyle w:val="Quote"/>
        <w:spacing w:before="0"/>
        <w:rPr>
          <w:i/>
          <w:iCs/>
        </w:rPr>
      </w:pPr>
      <w:r w:rsidRPr="00252B09">
        <w:rPr>
          <w:i/>
          <w:iCs/>
        </w:rPr>
        <w:t>The whānau and consumer voice is the game changer – if done well in the right way. This is key! It needs the right people, skills and competencies.</w:t>
      </w:r>
    </w:p>
    <w:p w14:paraId="466D9BCF" w14:textId="77777777" w:rsidR="0013779F" w:rsidRPr="00252B09" w:rsidRDefault="0013779F" w:rsidP="0013779F"/>
    <w:p w14:paraId="75FF1F46" w14:textId="77777777" w:rsidR="0013779F" w:rsidRDefault="0013779F" w:rsidP="0013779F">
      <w:pPr>
        <w:rPr>
          <w:lang w:val="en-GB"/>
        </w:rPr>
      </w:pPr>
      <w:r w:rsidRPr="00D80A37">
        <w:rPr>
          <w:lang w:val="en-GB"/>
        </w:rPr>
        <w:t>To inform the framework, the H</w:t>
      </w:r>
      <w:r>
        <w:rPr>
          <w:lang w:val="en-GB"/>
        </w:rPr>
        <w:t xml:space="preserve">awke’s Bay </w:t>
      </w:r>
      <w:r w:rsidRPr="00D80A37">
        <w:rPr>
          <w:lang w:val="en-GB"/>
        </w:rPr>
        <w:t xml:space="preserve">DHB identified several ‘forerunners’ that illustrate the success and learnings achieved through implementing whānau-centred principles in policy and practice. Participants also asserted that the role of the Māori </w:t>
      </w:r>
      <w:r>
        <w:rPr>
          <w:lang w:val="en-GB"/>
        </w:rPr>
        <w:t>health team,</w:t>
      </w:r>
      <w:r w:rsidRPr="00D80A37">
        <w:rPr>
          <w:lang w:val="en-GB"/>
        </w:rPr>
        <w:t xml:space="preserve"> Board priorities and strategic direction, Māori leadership at the Board level, and executive and operational commitment were critical. This illustrates the collective drive and ‘authorising context’ required at all levels to progress community-led solutions. It was also acknowledged that change takes time and </w:t>
      </w:r>
      <w:r>
        <w:rPr>
          <w:lang w:val="en-GB"/>
        </w:rPr>
        <w:t xml:space="preserve">has to have the </w:t>
      </w:r>
      <w:r w:rsidRPr="00D80A37">
        <w:rPr>
          <w:lang w:val="en-GB"/>
        </w:rPr>
        <w:t xml:space="preserve">commitment </w:t>
      </w:r>
      <w:r>
        <w:rPr>
          <w:lang w:val="en-GB"/>
        </w:rPr>
        <w:t>of</w:t>
      </w:r>
      <w:r w:rsidRPr="00D80A37">
        <w:rPr>
          <w:lang w:val="en-GB"/>
        </w:rPr>
        <w:t xml:space="preserve"> ‘champions’, who need support to ‘hold the line/course’ through a significant change process </w:t>
      </w:r>
      <w:r>
        <w:rPr>
          <w:lang w:val="en-GB"/>
        </w:rPr>
        <w:t>and</w:t>
      </w:r>
      <w:r w:rsidRPr="00D80A37">
        <w:rPr>
          <w:lang w:val="en-GB"/>
        </w:rPr>
        <w:t xml:space="preserve"> work around systemic barriers in the meantime. </w:t>
      </w:r>
    </w:p>
    <w:p w14:paraId="575FC0C8" w14:textId="77777777" w:rsidR="0013779F" w:rsidRPr="00D80A37" w:rsidRDefault="0013779F" w:rsidP="0013779F">
      <w:pPr>
        <w:rPr>
          <w:lang w:val="en-GB"/>
        </w:rPr>
      </w:pPr>
    </w:p>
    <w:p w14:paraId="0F739858" w14:textId="77777777" w:rsidR="0013779F" w:rsidRPr="00252B09" w:rsidRDefault="0013779F" w:rsidP="0013779F">
      <w:pPr>
        <w:pStyle w:val="Quote"/>
        <w:spacing w:before="0"/>
        <w:rPr>
          <w:i/>
          <w:iCs/>
        </w:rPr>
      </w:pPr>
      <w:r w:rsidRPr="00252B09">
        <w:rPr>
          <w:i/>
          <w:iCs/>
        </w:rPr>
        <w:t>Finally, we have Māori leadership on the Board and at the head who are making a real difference.</w:t>
      </w:r>
    </w:p>
    <w:p w14:paraId="135FE4D8" w14:textId="77777777" w:rsidR="00112CA9" w:rsidRDefault="00112CA9" w:rsidP="0013779F"/>
    <w:p w14:paraId="60A819B8" w14:textId="66C44A36" w:rsidR="0013779F" w:rsidRPr="00D80A37" w:rsidRDefault="0013779F" w:rsidP="0013779F">
      <w:pPr>
        <w:rPr>
          <w:lang w:val="en-GB"/>
        </w:rPr>
      </w:pPr>
      <w:r w:rsidRPr="00252B09">
        <w:t>The following forerunner initiatives highlight successful examples of whānau-centred policy and</w:t>
      </w:r>
      <w:r w:rsidRPr="00D80A37">
        <w:rPr>
          <w:lang w:val="en-GB"/>
        </w:rPr>
        <w:t xml:space="preserve"> practice in the Hawke</w:t>
      </w:r>
      <w:r>
        <w:rPr>
          <w:lang w:val="en-GB"/>
        </w:rPr>
        <w:t>’</w:t>
      </w:r>
      <w:r w:rsidRPr="00D80A37">
        <w:rPr>
          <w:lang w:val="en-GB"/>
        </w:rPr>
        <w:t>s Bay region</w:t>
      </w:r>
      <w:r>
        <w:rPr>
          <w:lang w:val="en-GB"/>
        </w:rPr>
        <w:t>.</w:t>
      </w:r>
    </w:p>
    <w:p w14:paraId="2BEF9910" w14:textId="77777777" w:rsidR="0013779F" w:rsidRPr="00112CA9" w:rsidRDefault="0013779F" w:rsidP="00112CA9">
      <w:pPr>
        <w:pStyle w:val="ListNumber"/>
        <w:numPr>
          <w:ilvl w:val="0"/>
          <w:numId w:val="47"/>
        </w:numPr>
        <w:spacing w:before="90" w:after="0"/>
        <w:contextualSpacing w:val="0"/>
        <w:jc w:val="left"/>
        <w:rPr>
          <w:lang w:val="en-GB"/>
        </w:rPr>
      </w:pPr>
      <w:r w:rsidRPr="00112CA9">
        <w:rPr>
          <w:b/>
          <w:bCs/>
          <w:lang w:val="en-GB"/>
        </w:rPr>
        <w:t>Pathway for Dental Care Involving Ambulatory Sensitive Hospitalisation General Anaesthetic for Tamariki 0–4 years:</w:t>
      </w:r>
      <w:r w:rsidRPr="00112CA9">
        <w:rPr>
          <w:lang w:val="en-GB"/>
        </w:rPr>
        <w:t xml:space="preserve"> This initiative identified system barriers to addressing prevalence of poor oral health, including unmet need.  </w:t>
      </w:r>
    </w:p>
    <w:p w14:paraId="21CFBFE6" w14:textId="77777777" w:rsidR="0013779F" w:rsidRPr="00D80A37" w:rsidRDefault="0013779F" w:rsidP="0013779F">
      <w:pPr>
        <w:pStyle w:val="ListNumber"/>
        <w:spacing w:before="90" w:after="0"/>
        <w:ind w:left="357" w:hanging="357"/>
        <w:contextualSpacing w:val="0"/>
        <w:jc w:val="left"/>
        <w:rPr>
          <w:lang w:val="en-GB"/>
        </w:rPr>
      </w:pPr>
      <w:proofErr w:type="spellStart"/>
      <w:r w:rsidRPr="00D80A37">
        <w:rPr>
          <w:b/>
          <w:bCs/>
          <w:lang w:val="en-GB"/>
        </w:rPr>
        <w:t>Tō</w:t>
      </w:r>
      <w:proofErr w:type="spellEnd"/>
      <w:r w:rsidRPr="00D80A37">
        <w:rPr>
          <w:b/>
          <w:bCs/>
          <w:lang w:val="en-GB"/>
        </w:rPr>
        <w:t xml:space="preserve"> </w:t>
      </w:r>
      <w:proofErr w:type="spellStart"/>
      <w:r w:rsidRPr="00D80A37">
        <w:rPr>
          <w:b/>
          <w:bCs/>
          <w:lang w:val="en-GB"/>
        </w:rPr>
        <w:t>Waha</w:t>
      </w:r>
      <w:proofErr w:type="spellEnd"/>
      <w:r w:rsidRPr="00D80A37">
        <w:rPr>
          <w:b/>
          <w:bCs/>
          <w:lang w:val="en-GB"/>
        </w:rPr>
        <w:t xml:space="preserve">: </w:t>
      </w:r>
      <w:r>
        <w:rPr>
          <w:lang w:val="en-GB"/>
        </w:rPr>
        <w:t>This</w:t>
      </w:r>
      <w:r w:rsidRPr="00D80A37">
        <w:rPr>
          <w:lang w:val="en-GB"/>
        </w:rPr>
        <w:t xml:space="preserve"> </w:t>
      </w:r>
      <w:proofErr w:type="spellStart"/>
      <w:r w:rsidRPr="00D80A37">
        <w:rPr>
          <w:lang w:val="en-GB"/>
        </w:rPr>
        <w:t>whānau</w:t>
      </w:r>
      <w:proofErr w:type="spellEnd"/>
      <w:r w:rsidRPr="00D80A37">
        <w:rPr>
          <w:lang w:val="en-GB"/>
        </w:rPr>
        <w:t>-centred</w:t>
      </w:r>
      <w:r>
        <w:rPr>
          <w:lang w:val="en-GB"/>
        </w:rPr>
        <w:t>,</w:t>
      </w:r>
      <w:r w:rsidRPr="00D80A37">
        <w:rPr>
          <w:lang w:val="en-GB"/>
        </w:rPr>
        <w:t xml:space="preserve"> cross-sector approach </w:t>
      </w:r>
      <w:r>
        <w:rPr>
          <w:lang w:val="en-GB"/>
        </w:rPr>
        <w:t>involved</w:t>
      </w:r>
      <w:r w:rsidRPr="00D80A37">
        <w:rPr>
          <w:lang w:val="en-GB"/>
        </w:rPr>
        <w:t xml:space="preserve"> </w:t>
      </w:r>
      <w:r w:rsidRPr="00D80A37">
        <w:t>working collaboratively to deliver oral health care to high</w:t>
      </w:r>
      <w:r>
        <w:t>-</w:t>
      </w:r>
      <w:r w:rsidRPr="00D80A37">
        <w:t>need</w:t>
      </w:r>
      <w:r>
        <w:t>s</w:t>
      </w:r>
      <w:r w:rsidRPr="00D80A37">
        <w:t xml:space="preserve"> wh</w:t>
      </w:r>
      <w:r>
        <w:t>ā</w:t>
      </w:r>
      <w:r w:rsidRPr="00D80A37">
        <w:t>nau.</w:t>
      </w:r>
    </w:p>
    <w:p w14:paraId="3A01A02A" w14:textId="77777777" w:rsidR="0013779F" w:rsidRPr="00D80A37" w:rsidRDefault="0013779F" w:rsidP="0013779F">
      <w:pPr>
        <w:pStyle w:val="ListNumber"/>
        <w:spacing w:before="90" w:after="0"/>
        <w:ind w:left="357" w:hanging="357"/>
        <w:contextualSpacing w:val="0"/>
        <w:jc w:val="left"/>
        <w:rPr>
          <w:b/>
          <w:bCs/>
          <w:lang w:val="en-GB"/>
        </w:rPr>
      </w:pPr>
      <w:r w:rsidRPr="00D80A37">
        <w:rPr>
          <w:b/>
          <w:bCs/>
          <w:lang w:val="en-GB"/>
        </w:rPr>
        <w:t xml:space="preserve">Hauora Rangatahi: </w:t>
      </w:r>
      <w:r>
        <w:rPr>
          <w:lang w:val="en-GB"/>
        </w:rPr>
        <w:t>In this</w:t>
      </w:r>
      <w:r w:rsidRPr="00D80A37">
        <w:rPr>
          <w:lang w:val="en-GB"/>
        </w:rPr>
        <w:t xml:space="preserve"> model of care developed in partnership with rangatahi</w:t>
      </w:r>
      <w:r>
        <w:rPr>
          <w:lang w:val="en-GB"/>
        </w:rPr>
        <w:t>,</w:t>
      </w:r>
      <w:r w:rsidRPr="00D80A37">
        <w:rPr>
          <w:lang w:val="en-GB"/>
        </w:rPr>
        <w:t xml:space="preserve"> </w:t>
      </w:r>
      <w:r w:rsidRPr="00D80A37">
        <w:t>rangatahi feel services ‘know’ them</w:t>
      </w:r>
      <w:r>
        <w:t xml:space="preserve"> and</w:t>
      </w:r>
      <w:r w:rsidRPr="00D80A37">
        <w:t xml:space="preserve"> can be ‘trusted’, and </w:t>
      </w:r>
      <w:r>
        <w:t xml:space="preserve">the services </w:t>
      </w:r>
      <w:r w:rsidRPr="00D80A37">
        <w:t xml:space="preserve">make them feel ‘safe’. </w:t>
      </w:r>
    </w:p>
    <w:p w14:paraId="6B6A3B47" w14:textId="77777777" w:rsidR="0013779F" w:rsidRPr="00D80A37" w:rsidRDefault="0013779F" w:rsidP="0013779F">
      <w:pPr>
        <w:pStyle w:val="ListNumber"/>
        <w:spacing w:before="90" w:after="0"/>
        <w:ind w:left="357" w:hanging="357"/>
        <w:contextualSpacing w:val="0"/>
        <w:jc w:val="left"/>
        <w:rPr>
          <w:lang w:val="en-GB"/>
        </w:rPr>
      </w:pPr>
      <w:proofErr w:type="spellStart"/>
      <w:r w:rsidRPr="00D80A37">
        <w:rPr>
          <w:b/>
          <w:bCs/>
          <w:lang w:val="en-GB"/>
        </w:rPr>
        <w:t>Ngā</w:t>
      </w:r>
      <w:proofErr w:type="spellEnd"/>
      <w:r w:rsidRPr="00D80A37">
        <w:rPr>
          <w:b/>
          <w:bCs/>
          <w:lang w:val="en-GB"/>
        </w:rPr>
        <w:t xml:space="preserve"> </w:t>
      </w:r>
      <w:proofErr w:type="spellStart"/>
      <w:r w:rsidRPr="00D80A37">
        <w:rPr>
          <w:b/>
          <w:bCs/>
          <w:lang w:val="en-GB"/>
        </w:rPr>
        <w:t>Kōrero</w:t>
      </w:r>
      <w:proofErr w:type="spellEnd"/>
      <w:r w:rsidRPr="00D80A37">
        <w:rPr>
          <w:b/>
          <w:bCs/>
          <w:lang w:val="en-GB"/>
        </w:rPr>
        <w:t xml:space="preserve"> o </w:t>
      </w:r>
      <w:proofErr w:type="spellStart"/>
      <w:r w:rsidRPr="00D80A37">
        <w:rPr>
          <w:b/>
          <w:bCs/>
          <w:lang w:val="en-GB"/>
        </w:rPr>
        <w:t>Ngā</w:t>
      </w:r>
      <w:proofErr w:type="spellEnd"/>
      <w:r w:rsidRPr="00D80A37">
        <w:rPr>
          <w:b/>
          <w:bCs/>
          <w:lang w:val="en-GB"/>
        </w:rPr>
        <w:t xml:space="preserve"> </w:t>
      </w:r>
      <w:bookmarkStart w:id="35" w:name="_Hlk77848772"/>
      <w:proofErr w:type="spellStart"/>
      <w:r w:rsidRPr="00D80A37">
        <w:rPr>
          <w:b/>
          <w:bCs/>
          <w:lang w:val="en-GB"/>
        </w:rPr>
        <w:t>Māmā</w:t>
      </w:r>
      <w:bookmarkEnd w:id="35"/>
      <w:proofErr w:type="spellEnd"/>
      <w:r w:rsidRPr="00D80A37">
        <w:rPr>
          <w:b/>
          <w:bCs/>
          <w:lang w:val="en-GB"/>
        </w:rPr>
        <w:t>:</w:t>
      </w:r>
      <w:r w:rsidRPr="00D80A37">
        <w:rPr>
          <w:lang w:val="en-GB"/>
        </w:rPr>
        <w:t xml:space="preserve"> </w:t>
      </w:r>
      <w:r>
        <w:rPr>
          <w:lang w:val="en-GB"/>
        </w:rPr>
        <w:t>This</w:t>
      </w:r>
      <w:r w:rsidRPr="00D80A37">
        <w:rPr>
          <w:lang w:val="en-GB"/>
        </w:rPr>
        <w:t xml:space="preserve"> </w:t>
      </w:r>
      <w:proofErr w:type="spellStart"/>
      <w:r>
        <w:rPr>
          <w:lang w:val="en-GB"/>
        </w:rPr>
        <w:t>k</w:t>
      </w:r>
      <w:r w:rsidRPr="00D80A37">
        <w:rPr>
          <w:lang w:val="en-GB"/>
        </w:rPr>
        <w:t>aupapa</w:t>
      </w:r>
      <w:proofErr w:type="spellEnd"/>
      <w:r w:rsidRPr="00D80A37">
        <w:rPr>
          <w:lang w:val="en-GB"/>
        </w:rPr>
        <w:t xml:space="preserve"> Māori engagement process </w:t>
      </w:r>
      <w:r>
        <w:rPr>
          <w:lang w:val="en-GB"/>
        </w:rPr>
        <w:t>focused on</w:t>
      </w:r>
      <w:r w:rsidRPr="00D80A37">
        <w:rPr>
          <w:lang w:val="en-GB"/>
        </w:rPr>
        <w:t xml:space="preserve"> </w:t>
      </w:r>
      <w:proofErr w:type="spellStart"/>
      <w:r>
        <w:rPr>
          <w:lang w:val="en-GB"/>
        </w:rPr>
        <w:t>m</w:t>
      </w:r>
      <w:r w:rsidRPr="00D80A37">
        <w:rPr>
          <w:lang w:val="en-GB"/>
        </w:rPr>
        <w:t>āmā</w:t>
      </w:r>
      <w:proofErr w:type="spellEnd"/>
      <w:r w:rsidRPr="00D80A37">
        <w:rPr>
          <w:lang w:val="en-GB"/>
        </w:rPr>
        <w:t xml:space="preserve"> Māori about their pregnancy experiences</w:t>
      </w:r>
      <w:r>
        <w:rPr>
          <w:lang w:val="en-GB"/>
        </w:rPr>
        <w:t xml:space="preserve">. It was </w:t>
      </w:r>
      <w:r w:rsidRPr="00D80A37">
        <w:rPr>
          <w:lang w:val="en-GB"/>
        </w:rPr>
        <w:t xml:space="preserve">designed to identify the needs and aspirations of </w:t>
      </w:r>
      <w:proofErr w:type="spellStart"/>
      <w:r>
        <w:rPr>
          <w:lang w:val="en-GB"/>
        </w:rPr>
        <w:t>m</w:t>
      </w:r>
      <w:r w:rsidRPr="00D80A37">
        <w:rPr>
          <w:lang w:val="en-GB"/>
        </w:rPr>
        <w:t>āmā</w:t>
      </w:r>
      <w:proofErr w:type="spellEnd"/>
      <w:r w:rsidRPr="00D80A37">
        <w:rPr>
          <w:lang w:val="en-GB"/>
        </w:rPr>
        <w:t xml:space="preserve"> Māori </w:t>
      </w:r>
      <w:r>
        <w:rPr>
          <w:lang w:val="en-GB"/>
        </w:rPr>
        <w:t xml:space="preserve">in order </w:t>
      </w:r>
      <w:r w:rsidRPr="00D80A37">
        <w:rPr>
          <w:lang w:val="en-GB"/>
        </w:rPr>
        <w:t>to support better planning and funding of services.</w:t>
      </w:r>
    </w:p>
    <w:p w14:paraId="07882FAE" w14:textId="77777777" w:rsidR="00112CA9" w:rsidRDefault="00112CA9" w:rsidP="0013779F">
      <w:pPr>
        <w:spacing w:before="120" w:after="120"/>
        <w:rPr>
          <w:rFonts w:cstheme="minorHAnsi"/>
          <w:lang w:val="en-GB"/>
        </w:rPr>
      </w:pPr>
    </w:p>
    <w:p w14:paraId="657112B2" w14:textId="12A60E88" w:rsidR="0013779F" w:rsidRPr="00D80A37" w:rsidRDefault="0013779F" w:rsidP="0013779F">
      <w:pPr>
        <w:spacing w:before="120" w:after="120"/>
        <w:rPr>
          <w:rFonts w:cstheme="minorHAnsi"/>
          <w:lang w:val="en-GB"/>
        </w:rPr>
      </w:pPr>
      <w:r>
        <w:rPr>
          <w:rFonts w:cstheme="minorHAnsi"/>
          <w:lang w:val="en-GB"/>
        </w:rPr>
        <w:lastRenderedPageBreak/>
        <w:fldChar w:fldCharType="begin"/>
      </w:r>
      <w:r>
        <w:rPr>
          <w:rFonts w:cstheme="minorHAnsi"/>
          <w:lang w:val="en-GB"/>
        </w:rPr>
        <w:instrText xml:space="preserve"> REF _Ref122360400 \h </w:instrText>
      </w:r>
      <w:r>
        <w:rPr>
          <w:rFonts w:cstheme="minorHAnsi"/>
          <w:lang w:val="en-GB"/>
        </w:rPr>
      </w:r>
      <w:r>
        <w:rPr>
          <w:rFonts w:cstheme="minorHAnsi"/>
          <w:lang w:val="en-GB"/>
        </w:rPr>
        <w:fldChar w:fldCharType="separate"/>
      </w:r>
      <w:r w:rsidR="006849AB" w:rsidRPr="00252B09">
        <w:t xml:space="preserve">Table </w:t>
      </w:r>
      <w:r w:rsidR="006849AB">
        <w:rPr>
          <w:noProof/>
        </w:rPr>
        <w:t>5</w:t>
      </w:r>
      <w:r>
        <w:rPr>
          <w:rFonts w:cstheme="minorHAnsi"/>
          <w:lang w:val="en-GB"/>
        </w:rPr>
        <w:fldChar w:fldCharType="end"/>
      </w:r>
      <w:r w:rsidRPr="00D80A37">
        <w:rPr>
          <w:rFonts w:cstheme="minorHAnsi"/>
          <w:lang w:val="en-GB"/>
        </w:rPr>
        <w:t xml:space="preserve"> summarises the key enablers, methods and early outcomes of these initiatives.</w:t>
      </w:r>
    </w:p>
    <w:p w14:paraId="3DE712E7" w14:textId="342C79AC" w:rsidR="0013779F" w:rsidRPr="00252B09" w:rsidRDefault="0013779F" w:rsidP="0013779F">
      <w:pPr>
        <w:pStyle w:val="Caption"/>
        <w:spacing w:before="240"/>
      </w:pPr>
      <w:bookmarkStart w:id="36" w:name="_Ref122360400"/>
      <w:bookmarkStart w:id="37" w:name="_Toc124833606"/>
      <w:bookmarkStart w:id="38" w:name="_Hlk121816165"/>
      <w:r w:rsidRPr="00252B09">
        <w:t xml:space="preserve">Table </w:t>
      </w:r>
      <w:fldSimple w:instr=" SEQ Table \* ARABIC ">
        <w:r w:rsidR="006849AB">
          <w:rPr>
            <w:noProof/>
          </w:rPr>
          <w:t>5</w:t>
        </w:r>
      </w:fldSimple>
      <w:bookmarkEnd w:id="36"/>
      <w:r w:rsidRPr="00252B09">
        <w:t>: Key enablers, methods and early outcomes of whānau-centred initiatives</w:t>
      </w:r>
      <w:bookmarkEnd w:id="37"/>
    </w:p>
    <w:tbl>
      <w:tblPr>
        <w:tblStyle w:val="TableGrid"/>
        <w:tblW w:w="836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82"/>
        <w:gridCol w:w="4182"/>
      </w:tblGrid>
      <w:tr w:rsidR="0013779F" w:rsidRPr="00252B09" w14:paraId="20725C9C" w14:textId="77777777" w:rsidTr="000541F8">
        <w:trPr>
          <w:tblHeader/>
        </w:trPr>
        <w:tc>
          <w:tcPr>
            <w:tcW w:w="4182" w:type="dxa"/>
            <w:tcBorders>
              <w:top w:val="nil"/>
              <w:bottom w:val="nil"/>
              <w:right w:val="nil"/>
            </w:tcBorders>
            <w:shd w:val="clear" w:color="auto" w:fill="D9D9D9" w:themeFill="background1" w:themeFillShade="D9"/>
          </w:tcPr>
          <w:p w14:paraId="64CCF265" w14:textId="77777777" w:rsidR="0013779F" w:rsidRPr="00252B09" w:rsidRDefault="0013779F" w:rsidP="000541F8">
            <w:pPr>
              <w:pStyle w:val="TableText"/>
              <w:rPr>
                <w:b/>
                <w:bCs/>
                <w:lang w:val="en-GB"/>
              </w:rPr>
            </w:pPr>
            <w:r w:rsidRPr="00252B09">
              <w:rPr>
                <w:b/>
                <w:bCs/>
                <w:lang w:val="en-GB"/>
              </w:rPr>
              <w:t>Enablers and methods</w:t>
            </w:r>
          </w:p>
        </w:tc>
        <w:tc>
          <w:tcPr>
            <w:tcW w:w="4182" w:type="dxa"/>
            <w:tcBorders>
              <w:top w:val="nil"/>
              <w:left w:val="nil"/>
              <w:bottom w:val="nil"/>
            </w:tcBorders>
            <w:shd w:val="clear" w:color="auto" w:fill="D9D9D9" w:themeFill="background1" w:themeFillShade="D9"/>
          </w:tcPr>
          <w:p w14:paraId="257BFBAA" w14:textId="77777777" w:rsidR="0013779F" w:rsidRPr="00252B09" w:rsidRDefault="0013779F" w:rsidP="000541F8">
            <w:pPr>
              <w:pStyle w:val="TableText"/>
              <w:rPr>
                <w:b/>
                <w:bCs/>
                <w:lang w:val="en-GB"/>
              </w:rPr>
            </w:pPr>
            <w:r w:rsidRPr="00252B09">
              <w:rPr>
                <w:b/>
                <w:bCs/>
                <w:lang w:val="en-GB"/>
              </w:rPr>
              <w:t xml:space="preserve">Early outcomes </w:t>
            </w:r>
          </w:p>
        </w:tc>
      </w:tr>
      <w:tr w:rsidR="0013779F" w:rsidRPr="00D80A37" w14:paraId="64828AE0" w14:textId="77777777" w:rsidTr="000541F8">
        <w:tc>
          <w:tcPr>
            <w:tcW w:w="4182" w:type="dxa"/>
            <w:tcBorders>
              <w:top w:val="nil"/>
            </w:tcBorders>
          </w:tcPr>
          <w:p w14:paraId="5E579AD2" w14:textId="77777777" w:rsidR="0013779F" w:rsidRPr="00D80A37" w:rsidRDefault="0013779F" w:rsidP="000541F8">
            <w:pPr>
              <w:pStyle w:val="TableText"/>
              <w:rPr>
                <w:b/>
                <w:bCs/>
                <w:lang w:val="en-GB"/>
              </w:rPr>
            </w:pPr>
            <w:r w:rsidRPr="00D80A37">
              <w:rPr>
                <w:b/>
                <w:bCs/>
                <w:lang w:val="en-GB"/>
              </w:rPr>
              <w:t>Whānau and communities</w:t>
            </w:r>
          </w:p>
          <w:p w14:paraId="61DB556F" w14:textId="77777777" w:rsidR="0013779F" w:rsidRPr="00D80A37" w:rsidRDefault="0013779F" w:rsidP="000541F8">
            <w:pPr>
              <w:pStyle w:val="TableText"/>
              <w:rPr>
                <w:lang w:val="en-GB"/>
              </w:rPr>
            </w:pPr>
            <w:r w:rsidRPr="00D80A37">
              <w:rPr>
                <w:lang w:val="en-GB"/>
              </w:rPr>
              <w:t>Whānau and consumer voice involved at all levels and throughout the process, from problem definition</w:t>
            </w:r>
            <w:r>
              <w:rPr>
                <w:lang w:val="en-GB"/>
              </w:rPr>
              <w:t xml:space="preserve"> to</w:t>
            </w:r>
            <w:r w:rsidRPr="00D80A37">
              <w:rPr>
                <w:lang w:val="en-GB"/>
              </w:rPr>
              <w:t xml:space="preserve"> design</w:t>
            </w:r>
            <w:r>
              <w:rPr>
                <w:lang w:val="en-GB"/>
              </w:rPr>
              <w:t xml:space="preserve"> and</w:t>
            </w:r>
            <w:r w:rsidRPr="00D80A37">
              <w:rPr>
                <w:lang w:val="en-GB"/>
              </w:rPr>
              <w:t xml:space="preserve"> planning </w:t>
            </w:r>
            <w:r>
              <w:rPr>
                <w:lang w:val="en-GB"/>
              </w:rPr>
              <w:t>to</w:t>
            </w:r>
            <w:r w:rsidRPr="00D80A37">
              <w:rPr>
                <w:lang w:val="en-GB"/>
              </w:rPr>
              <w:t xml:space="preserve"> monitoring.</w:t>
            </w:r>
          </w:p>
          <w:p w14:paraId="366979C9" w14:textId="77777777" w:rsidR="0013779F" w:rsidRPr="00D80A37" w:rsidRDefault="0013779F" w:rsidP="000541F8">
            <w:pPr>
              <w:pStyle w:val="TableText"/>
              <w:rPr>
                <w:lang w:val="en-GB"/>
              </w:rPr>
            </w:pPr>
            <w:r w:rsidRPr="00D80A37">
              <w:rPr>
                <w:lang w:val="en-GB"/>
              </w:rPr>
              <w:t>Whānau and h</w:t>
            </w:r>
            <w:r>
              <w:rPr>
                <w:lang w:val="en-GB"/>
              </w:rPr>
              <w:t>a</w:t>
            </w:r>
            <w:r w:rsidRPr="00D80A37">
              <w:rPr>
                <w:lang w:val="en-GB"/>
              </w:rPr>
              <w:t>pori having the right information and authority to make decisions and exercise kaitiakitanga.</w:t>
            </w:r>
          </w:p>
        </w:tc>
        <w:tc>
          <w:tcPr>
            <w:tcW w:w="4182" w:type="dxa"/>
            <w:tcBorders>
              <w:top w:val="nil"/>
            </w:tcBorders>
          </w:tcPr>
          <w:p w14:paraId="0771F488" w14:textId="77777777" w:rsidR="0013779F" w:rsidRPr="00D80A37" w:rsidRDefault="0013779F" w:rsidP="000541F8">
            <w:pPr>
              <w:pStyle w:val="TableText"/>
              <w:rPr>
                <w:lang w:val="en-GB"/>
              </w:rPr>
            </w:pPr>
            <w:r w:rsidRPr="00D80A37">
              <w:rPr>
                <w:lang w:val="en-GB"/>
              </w:rPr>
              <w:t>Whānau and consumers can ‘see themselves’ in the process – are respected, heard and seen for their strengths</w:t>
            </w:r>
            <w:r>
              <w:rPr>
                <w:lang w:val="en-GB"/>
              </w:rPr>
              <w:t>,</w:t>
            </w:r>
            <w:r w:rsidRPr="00D80A37">
              <w:rPr>
                <w:lang w:val="en-GB"/>
              </w:rPr>
              <w:t xml:space="preserve"> not perceived deficits.</w:t>
            </w:r>
          </w:p>
          <w:p w14:paraId="39BEB716" w14:textId="77777777" w:rsidR="0013779F" w:rsidRPr="00D80A37" w:rsidRDefault="0013779F" w:rsidP="000541F8">
            <w:pPr>
              <w:pStyle w:val="TableText"/>
              <w:rPr>
                <w:lang w:val="en-US"/>
              </w:rPr>
            </w:pPr>
            <w:r w:rsidRPr="00D80A37">
              <w:rPr>
                <w:lang w:val="en-GB"/>
              </w:rPr>
              <w:t>People move from passive recipients to proactive contributors and leaders, shifting from systems-led to whānau-led solutions.</w:t>
            </w:r>
          </w:p>
        </w:tc>
      </w:tr>
      <w:tr w:rsidR="0013779F" w:rsidRPr="00D80A37" w14:paraId="6122B29B" w14:textId="77777777" w:rsidTr="000541F8">
        <w:tc>
          <w:tcPr>
            <w:tcW w:w="4182" w:type="dxa"/>
          </w:tcPr>
          <w:p w14:paraId="7F16A2F1" w14:textId="77777777" w:rsidR="0013779F" w:rsidRPr="00D80A37" w:rsidRDefault="0013779F" w:rsidP="000541F8">
            <w:pPr>
              <w:pStyle w:val="TableText"/>
              <w:rPr>
                <w:b/>
                <w:bCs/>
                <w:lang w:val="en-GB"/>
              </w:rPr>
            </w:pPr>
            <w:r w:rsidRPr="00D80A37">
              <w:rPr>
                <w:b/>
                <w:bCs/>
                <w:lang w:val="en-GB"/>
              </w:rPr>
              <w:t xml:space="preserve">Comprehensive analysis and </w:t>
            </w:r>
            <w:r>
              <w:rPr>
                <w:b/>
                <w:bCs/>
                <w:lang w:val="en-GB"/>
              </w:rPr>
              <w:t>k</w:t>
            </w:r>
            <w:r w:rsidRPr="00D80A37">
              <w:rPr>
                <w:b/>
                <w:bCs/>
                <w:lang w:val="en-GB"/>
              </w:rPr>
              <w:t>aupapa Māori research and engagement methods</w:t>
            </w:r>
          </w:p>
          <w:p w14:paraId="2275E326" w14:textId="77777777" w:rsidR="0013779F" w:rsidRPr="00D80A37" w:rsidRDefault="0013779F" w:rsidP="000541F8">
            <w:pPr>
              <w:pStyle w:val="TableText"/>
              <w:rPr>
                <w:lang w:val="en-GB"/>
              </w:rPr>
            </w:pPr>
            <w:r w:rsidRPr="00D80A37">
              <w:rPr>
                <w:lang w:val="en-GB"/>
              </w:rPr>
              <w:t>Drawing on existing data including quantitative data, contextual factors, conditions and underlying causal factors – underpinned by whānau and consumer voice</w:t>
            </w:r>
            <w:r>
              <w:rPr>
                <w:lang w:val="en-GB"/>
              </w:rPr>
              <w:t>.</w:t>
            </w:r>
          </w:p>
        </w:tc>
        <w:tc>
          <w:tcPr>
            <w:tcW w:w="4182" w:type="dxa"/>
          </w:tcPr>
          <w:p w14:paraId="1F97FC5A" w14:textId="77777777" w:rsidR="0013779F" w:rsidRPr="00D80A37" w:rsidRDefault="0013779F" w:rsidP="000541F8">
            <w:pPr>
              <w:pStyle w:val="TableText"/>
              <w:rPr>
                <w:lang w:val="en-GB"/>
              </w:rPr>
            </w:pPr>
            <w:r>
              <w:rPr>
                <w:lang w:val="en-GB"/>
              </w:rPr>
              <w:t>Clearer understanding</w:t>
            </w:r>
            <w:r w:rsidRPr="00D80A37">
              <w:rPr>
                <w:lang w:val="en-GB"/>
              </w:rPr>
              <w:t xml:space="preserve"> of ‘what works’ for whānau and consumers and ‘what is not working’. </w:t>
            </w:r>
          </w:p>
          <w:p w14:paraId="24B8D07B" w14:textId="77777777" w:rsidR="0013779F" w:rsidRPr="00D80A37" w:rsidRDefault="0013779F" w:rsidP="000541F8">
            <w:pPr>
              <w:pStyle w:val="TableText"/>
              <w:rPr>
                <w:lang w:val="en-GB"/>
              </w:rPr>
            </w:pPr>
            <w:r w:rsidRPr="00D80A37">
              <w:rPr>
                <w:lang w:val="en-GB"/>
              </w:rPr>
              <w:t>Inter-relationships between different issues are understood, identified and responded to.</w:t>
            </w:r>
          </w:p>
        </w:tc>
      </w:tr>
      <w:tr w:rsidR="0013779F" w:rsidRPr="00D80A37" w14:paraId="78949266" w14:textId="77777777" w:rsidTr="000541F8">
        <w:tc>
          <w:tcPr>
            <w:tcW w:w="4182" w:type="dxa"/>
          </w:tcPr>
          <w:p w14:paraId="0B2ADFCB" w14:textId="77777777" w:rsidR="0013779F" w:rsidRPr="00D80A37" w:rsidRDefault="0013779F" w:rsidP="000541F8">
            <w:pPr>
              <w:pStyle w:val="TableText"/>
              <w:rPr>
                <w:b/>
                <w:bCs/>
                <w:lang w:val="en-GB"/>
              </w:rPr>
            </w:pPr>
            <w:r w:rsidRPr="00D80A37">
              <w:rPr>
                <w:b/>
                <w:bCs/>
                <w:lang w:val="en-GB"/>
              </w:rPr>
              <w:t>A broader range of ‘stakeholders’ that leverages community strengths</w:t>
            </w:r>
          </w:p>
          <w:p w14:paraId="06D82F6A" w14:textId="77777777" w:rsidR="0013779F" w:rsidRPr="00D80A37" w:rsidRDefault="0013779F" w:rsidP="000541F8">
            <w:pPr>
              <w:pStyle w:val="TableText"/>
              <w:rPr>
                <w:lang w:val="en-GB"/>
              </w:rPr>
            </w:pPr>
            <w:r w:rsidRPr="00D80A37">
              <w:rPr>
                <w:lang w:val="en-GB"/>
              </w:rPr>
              <w:t>Cross</w:t>
            </w:r>
            <w:r>
              <w:rPr>
                <w:lang w:val="en-GB"/>
              </w:rPr>
              <w:t>-</w:t>
            </w:r>
            <w:r w:rsidRPr="00D80A37">
              <w:rPr>
                <w:lang w:val="en-GB"/>
              </w:rPr>
              <w:t>sector and community partnerships (including clinical, community, whānau, h</w:t>
            </w:r>
            <w:r>
              <w:rPr>
                <w:lang w:val="en-GB"/>
              </w:rPr>
              <w:t>a</w:t>
            </w:r>
            <w:r w:rsidRPr="00D80A37">
              <w:rPr>
                <w:lang w:val="en-GB"/>
              </w:rPr>
              <w:t>pori Māori, and public sector partners)</w:t>
            </w:r>
            <w:r>
              <w:rPr>
                <w:lang w:val="en-GB"/>
              </w:rPr>
              <w:t>.</w:t>
            </w:r>
          </w:p>
        </w:tc>
        <w:tc>
          <w:tcPr>
            <w:tcW w:w="4182" w:type="dxa"/>
          </w:tcPr>
          <w:p w14:paraId="2E9F9F9E" w14:textId="77777777" w:rsidR="0013779F" w:rsidRPr="00D80A37" w:rsidRDefault="0013779F" w:rsidP="000541F8">
            <w:pPr>
              <w:pStyle w:val="TableText"/>
              <w:rPr>
                <w:lang w:val="en-GB"/>
              </w:rPr>
            </w:pPr>
            <w:r w:rsidRPr="00D80A37">
              <w:rPr>
                <w:lang w:val="en-GB"/>
              </w:rPr>
              <w:t>Unmet need is identified and prioritised.</w:t>
            </w:r>
          </w:p>
          <w:p w14:paraId="3CBB4D63" w14:textId="77777777" w:rsidR="0013779F" w:rsidRPr="00D80A37" w:rsidRDefault="0013779F" w:rsidP="000541F8">
            <w:pPr>
              <w:pStyle w:val="TableText"/>
              <w:rPr>
                <w:lang w:val="en-GB"/>
              </w:rPr>
            </w:pPr>
            <w:r w:rsidRPr="00D80A37">
              <w:t>Clinicians were able to focus solely on the technical skills they are trained to do, and communities and community</w:t>
            </w:r>
            <w:r>
              <w:t>-</w:t>
            </w:r>
            <w:r w:rsidRPr="00D80A37">
              <w:t>facing organisations were empowered to determine the way the service was delivered</w:t>
            </w:r>
            <w:r>
              <w:t>.</w:t>
            </w:r>
          </w:p>
        </w:tc>
      </w:tr>
      <w:tr w:rsidR="0013779F" w:rsidRPr="00D80A37" w14:paraId="171CF8A8" w14:textId="77777777" w:rsidTr="000541F8">
        <w:tc>
          <w:tcPr>
            <w:tcW w:w="4182" w:type="dxa"/>
          </w:tcPr>
          <w:p w14:paraId="76C13F2C" w14:textId="77777777" w:rsidR="0013779F" w:rsidRPr="00D80A37" w:rsidRDefault="0013779F" w:rsidP="000541F8">
            <w:pPr>
              <w:pStyle w:val="TableText"/>
              <w:rPr>
                <w:b/>
                <w:bCs/>
                <w:lang w:val="en-GB"/>
              </w:rPr>
            </w:pPr>
            <w:r w:rsidRPr="00D80A37">
              <w:rPr>
                <w:b/>
                <w:bCs/>
                <w:lang w:val="en-GB"/>
              </w:rPr>
              <w:t xml:space="preserve">Multiple methods of engagement and delivery </w:t>
            </w:r>
          </w:p>
          <w:p w14:paraId="6EA17F61" w14:textId="77777777" w:rsidR="0013779F" w:rsidRPr="00D80A37" w:rsidRDefault="0013779F" w:rsidP="000541F8">
            <w:pPr>
              <w:pStyle w:val="TableText"/>
              <w:rPr>
                <w:lang w:val="en-GB"/>
              </w:rPr>
            </w:pPr>
            <w:r w:rsidRPr="00D80A37">
              <w:rPr>
                <w:lang w:val="en-GB"/>
              </w:rPr>
              <w:t>Th</w:t>
            </w:r>
            <w:r>
              <w:rPr>
                <w:lang w:val="en-GB"/>
              </w:rPr>
              <w:t>ese</w:t>
            </w:r>
            <w:r w:rsidRPr="00D80A37">
              <w:rPr>
                <w:lang w:val="en-GB"/>
              </w:rPr>
              <w:t xml:space="preserve"> include wānanga, focus groups, </w:t>
            </w:r>
            <w:r>
              <w:rPr>
                <w:lang w:val="en-GB"/>
              </w:rPr>
              <w:t>k</w:t>
            </w:r>
            <w:r w:rsidRPr="00D80A37">
              <w:rPr>
                <w:lang w:val="en-GB"/>
              </w:rPr>
              <w:t>aupapa Māori methodologies, social media, community-based and led engagement, and multi-level governance, design and steering groups</w:t>
            </w:r>
            <w:r>
              <w:rPr>
                <w:lang w:val="en-GB"/>
              </w:rPr>
              <w:t>.</w:t>
            </w:r>
          </w:p>
        </w:tc>
        <w:tc>
          <w:tcPr>
            <w:tcW w:w="4182" w:type="dxa"/>
          </w:tcPr>
          <w:p w14:paraId="44A0AAF1" w14:textId="77777777" w:rsidR="0013779F" w:rsidRPr="00D80A37" w:rsidRDefault="0013779F" w:rsidP="000541F8">
            <w:pPr>
              <w:pStyle w:val="TableText"/>
            </w:pPr>
            <w:r w:rsidRPr="00D80A37">
              <w:t xml:space="preserve">Rangatahi coordinators were paid positions within the DHB. They led engagement with youth in the community, </w:t>
            </w:r>
            <w:r>
              <w:t xml:space="preserve">and </w:t>
            </w:r>
            <w:r w:rsidRPr="00D80A37">
              <w:t>helped design youth workshops and analysis that informed the model design.</w:t>
            </w:r>
          </w:p>
          <w:p w14:paraId="62CABF62" w14:textId="77777777" w:rsidR="0013779F" w:rsidRPr="00D80A37" w:rsidRDefault="0013779F" w:rsidP="000541F8">
            <w:pPr>
              <w:pStyle w:val="TableText"/>
            </w:pPr>
          </w:p>
        </w:tc>
      </w:tr>
      <w:tr w:rsidR="0013779F" w:rsidRPr="00D80A37" w14:paraId="2EAD4875" w14:textId="77777777" w:rsidTr="000541F8">
        <w:tc>
          <w:tcPr>
            <w:tcW w:w="4182" w:type="dxa"/>
          </w:tcPr>
          <w:p w14:paraId="4D7C07A4" w14:textId="77777777" w:rsidR="0013779F" w:rsidRPr="00D80A37" w:rsidRDefault="0013779F" w:rsidP="000541F8">
            <w:pPr>
              <w:pStyle w:val="TableText"/>
              <w:keepNext/>
              <w:rPr>
                <w:b/>
                <w:bCs/>
                <w:lang w:val="en-GB"/>
              </w:rPr>
            </w:pPr>
            <w:r w:rsidRPr="00D80A37">
              <w:rPr>
                <w:b/>
                <w:bCs/>
                <w:lang w:val="en-GB"/>
              </w:rPr>
              <w:t xml:space="preserve">Dedicated investment </w:t>
            </w:r>
          </w:p>
          <w:p w14:paraId="2A3E0AC7" w14:textId="77777777" w:rsidR="0013779F" w:rsidRPr="00D80A37" w:rsidRDefault="0013779F" w:rsidP="000541F8">
            <w:pPr>
              <w:pStyle w:val="TableText"/>
              <w:keepNext/>
              <w:rPr>
                <w:lang w:val="en-GB"/>
              </w:rPr>
            </w:pPr>
            <w:r w:rsidRPr="00D80A37">
              <w:rPr>
                <w:lang w:val="en-GB"/>
              </w:rPr>
              <w:t>Investing in the right people and capabilities, with dedicated resources and funding, and existing resources identified to complement shared objectives</w:t>
            </w:r>
            <w:r>
              <w:rPr>
                <w:lang w:val="en-GB"/>
              </w:rPr>
              <w:t>.</w:t>
            </w:r>
          </w:p>
        </w:tc>
        <w:tc>
          <w:tcPr>
            <w:tcW w:w="4182" w:type="dxa"/>
          </w:tcPr>
          <w:p w14:paraId="293032DC" w14:textId="77777777" w:rsidR="0013779F" w:rsidRPr="00D80A37" w:rsidRDefault="0013779F" w:rsidP="000541F8">
            <w:pPr>
              <w:pStyle w:val="TableText"/>
              <w:keepNext/>
              <w:rPr>
                <w:lang w:val="en-GB"/>
              </w:rPr>
            </w:pPr>
            <w:r w:rsidRPr="00D80A37">
              <w:rPr>
                <w:lang w:val="en-GB"/>
              </w:rPr>
              <w:t xml:space="preserve">Investment in Māori leadership capability (eg, Hauora Rangatahi).  </w:t>
            </w:r>
          </w:p>
          <w:p w14:paraId="391BEF19" w14:textId="77777777" w:rsidR="0013779F" w:rsidRPr="00D80A37" w:rsidRDefault="0013779F" w:rsidP="000541F8">
            <w:pPr>
              <w:pStyle w:val="TableText"/>
              <w:keepNext/>
              <w:rPr>
                <w:lang w:val="en-GB"/>
              </w:rPr>
            </w:pPr>
            <w:r w:rsidRPr="00D80A37">
              <w:rPr>
                <w:lang w:val="en-GB"/>
              </w:rPr>
              <w:t xml:space="preserve">Redesign of the Community Oral Health programme.     </w:t>
            </w:r>
          </w:p>
          <w:p w14:paraId="7FB06F5D" w14:textId="77777777" w:rsidR="0013779F" w:rsidRPr="00D80A37" w:rsidRDefault="0013779F" w:rsidP="000541F8">
            <w:pPr>
              <w:pStyle w:val="TableText"/>
              <w:keepNext/>
              <w:rPr>
                <w:lang w:val="en-GB"/>
              </w:rPr>
            </w:pPr>
            <w:r w:rsidRPr="00D80A37">
              <w:rPr>
                <w:lang w:val="en-GB"/>
              </w:rPr>
              <w:t>Māori Health budget doubled in current financial year to $8.7</w:t>
            </w:r>
            <w:r>
              <w:rPr>
                <w:lang w:val="en-GB"/>
              </w:rPr>
              <w:t xml:space="preserve"> </w:t>
            </w:r>
            <w:r w:rsidRPr="00D80A37">
              <w:rPr>
                <w:lang w:val="en-GB"/>
              </w:rPr>
              <w:t>m</w:t>
            </w:r>
            <w:r>
              <w:rPr>
                <w:lang w:val="en-GB"/>
              </w:rPr>
              <w:t>illion.</w:t>
            </w:r>
          </w:p>
        </w:tc>
      </w:tr>
      <w:bookmarkEnd w:id="38"/>
      <w:tr w:rsidR="0013779F" w:rsidRPr="00D80A37" w14:paraId="3B13D966" w14:textId="77777777" w:rsidTr="000541F8">
        <w:tc>
          <w:tcPr>
            <w:tcW w:w="4182" w:type="dxa"/>
          </w:tcPr>
          <w:p w14:paraId="48C18C24" w14:textId="77777777" w:rsidR="0013779F" w:rsidRPr="00D80A37" w:rsidRDefault="0013779F" w:rsidP="000541F8">
            <w:pPr>
              <w:pStyle w:val="TableText"/>
              <w:rPr>
                <w:b/>
                <w:bCs/>
                <w:lang w:val="en-GB"/>
              </w:rPr>
            </w:pPr>
            <w:r w:rsidRPr="00D80A37">
              <w:rPr>
                <w:b/>
                <w:bCs/>
                <w:lang w:val="en-GB"/>
              </w:rPr>
              <w:t>Transparency and accountability</w:t>
            </w:r>
          </w:p>
          <w:p w14:paraId="442A2089" w14:textId="77777777" w:rsidR="0013779F" w:rsidRPr="00D80A37" w:rsidRDefault="0013779F" w:rsidP="000541F8">
            <w:pPr>
              <w:pStyle w:val="TableText"/>
              <w:rPr>
                <w:lang w:val="en-GB"/>
              </w:rPr>
            </w:pPr>
            <w:r w:rsidRPr="00D80A37">
              <w:rPr>
                <w:lang w:val="en-GB"/>
              </w:rPr>
              <w:t>A willingness to identify, publish and feed</w:t>
            </w:r>
            <w:r>
              <w:rPr>
                <w:lang w:val="en-GB"/>
              </w:rPr>
              <w:t xml:space="preserve"> </w:t>
            </w:r>
            <w:r w:rsidRPr="00D80A37">
              <w:rPr>
                <w:lang w:val="en-GB"/>
              </w:rPr>
              <w:t>back on gaps, barriers and what’s not working well to adapt over time</w:t>
            </w:r>
            <w:r>
              <w:rPr>
                <w:lang w:val="en-GB"/>
              </w:rPr>
              <w:t>.</w:t>
            </w:r>
          </w:p>
        </w:tc>
        <w:tc>
          <w:tcPr>
            <w:tcW w:w="4182" w:type="dxa"/>
          </w:tcPr>
          <w:p w14:paraId="1F2F1159" w14:textId="77777777" w:rsidR="0013779F" w:rsidRPr="00D80A37" w:rsidRDefault="0013779F" w:rsidP="000541F8">
            <w:pPr>
              <w:pStyle w:val="TableText"/>
              <w:rPr>
                <w:lang w:val="en-GB"/>
              </w:rPr>
            </w:pPr>
            <w:r w:rsidRPr="00D80A37">
              <w:rPr>
                <w:lang w:val="en-GB"/>
              </w:rPr>
              <w:t>Strengthening iwi, h</w:t>
            </w:r>
            <w:r>
              <w:rPr>
                <w:lang w:val="en-GB"/>
              </w:rPr>
              <w:t>a</w:t>
            </w:r>
            <w:r w:rsidRPr="00D80A37">
              <w:rPr>
                <w:lang w:val="en-GB"/>
              </w:rPr>
              <w:t>pori and cross-sector relationships increased trust and confidence</w:t>
            </w:r>
            <w:r>
              <w:rPr>
                <w:lang w:val="en-GB"/>
              </w:rPr>
              <w:t>.</w:t>
            </w:r>
          </w:p>
          <w:p w14:paraId="6BB9342F" w14:textId="77777777" w:rsidR="0013779F" w:rsidRPr="00D80A37" w:rsidRDefault="0013779F" w:rsidP="000541F8">
            <w:pPr>
              <w:pStyle w:val="TableText"/>
              <w:rPr>
                <w:lang w:val="en-GB"/>
              </w:rPr>
            </w:pPr>
            <w:r w:rsidRPr="00D80A37">
              <w:rPr>
                <w:lang w:val="en-GB"/>
              </w:rPr>
              <w:t>Measuring what matters: A systems</w:t>
            </w:r>
            <w:r>
              <w:rPr>
                <w:lang w:val="en-GB"/>
              </w:rPr>
              <w:t>-</w:t>
            </w:r>
            <w:r w:rsidRPr="00D80A37">
              <w:rPr>
                <w:lang w:val="en-GB"/>
              </w:rPr>
              <w:t>level measures improvement plan to track and monitor progress.</w:t>
            </w:r>
            <w:r>
              <w:rPr>
                <w:rStyle w:val="FootnoteReference"/>
                <w:rFonts w:cstheme="minorHAnsi"/>
                <w:lang w:val="en-GB"/>
              </w:rPr>
              <w:footnoteReference w:id="19"/>
            </w:r>
            <w:r w:rsidRPr="00D80A37">
              <w:rPr>
                <w:lang w:val="en-GB"/>
              </w:rPr>
              <w:t xml:space="preserve"> </w:t>
            </w:r>
          </w:p>
        </w:tc>
      </w:tr>
    </w:tbl>
    <w:p w14:paraId="0387EE4F" w14:textId="77777777" w:rsidR="0013779F" w:rsidRPr="00D80A37" w:rsidRDefault="0013779F" w:rsidP="0013779F">
      <w:pPr>
        <w:pStyle w:val="Heading2"/>
      </w:pPr>
      <w:bookmarkStart w:id="39" w:name="_Toc122360202"/>
      <w:bookmarkStart w:id="40" w:name="_Toc124845539"/>
      <w:r w:rsidRPr="00D80A37">
        <w:lastRenderedPageBreak/>
        <w:t xml:space="preserve">Equity </w:t>
      </w:r>
      <w:r>
        <w:t>p</w:t>
      </w:r>
      <w:r w:rsidRPr="00D80A37">
        <w:t xml:space="preserve">rinciples in </w:t>
      </w:r>
      <w:r>
        <w:t>p</w:t>
      </w:r>
      <w:r w:rsidRPr="00D80A37">
        <w:t xml:space="preserve">lanned </w:t>
      </w:r>
      <w:r>
        <w:t>c</w:t>
      </w:r>
      <w:r w:rsidRPr="00D80A37">
        <w:t>are</w:t>
      </w:r>
      <w:bookmarkEnd w:id="39"/>
      <w:bookmarkEnd w:id="40"/>
    </w:p>
    <w:p w14:paraId="10CDEE6C" w14:textId="77777777" w:rsidR="0013779F" w:rsidRDefault="0013779F" w:rsidP="0013779F">
      <w:pPr>
        <w:rPr>
          <w:lang w:val="en-GB"/>
        </w:rPr>
      </w:pPr>
      <w:r w:rsidRPr="00D80A37">
        <w:rPr>
          <w:lang w:val="en-GB"/>
        </w:rPr>
        <w:t>In 2020, H</w:t>
      </w:r>
      <w:r>
        <w:rPr>
          <w:lang w:val="en-GB"/>
        </w:rPr>
        <w:t xml:space="preserve">awke’s Bay </w:t>
      </w:r>
      <w:r w:rsidRPr="00D80A37">
        <w:rPr>
          <w:lang w:val="en-GB"/>
        </w:rPr>
        <w:t>DHB also identified a need to review and address inequities in planned care through the Health Equity Framework. There was</w:t>
      </w:r>
      <w:r w:rsidRPr="002344C2">
        <w:rPr>
          <w:lang w:val="en-GB"/>
        </w:rPr>
        <w:t xml:space="preserve"> </w:t>
      </w:r>
      <w:r w:rsidRPr="00434BBB">
        <w:rPr>
          <w:lang w:val="en-GB"/>
        </w:rPr>
        <w:t>‘</w:t>
      </w:r>
      <w:r w:rsidRPr="001C3FC3">
        <w:rPr>
          <w:lang w:val="en-GB"/>
        </w:rPr>
        <w:t>no framing of health issues, no shared understanding of equity and inequity in population health outcomes being applied in planned care</w:t>
      </w:r>
      <w:r w:rsidRPr="009B344C">
        <w:rPr>
          <w:i/>
          <w:iCs/>
          <w:lang w:val="en-GB"/>
        </w:rPr>
        <w:t>’</w:t>
      </w:r>
      <w:r w:rsidRPr="001C3FC3">
        <w:rPr>
          <w:lang w:val="en-GB"/>
        </w:rPr>
        <w:t xml:space="preserve">. </w:t>
      </w:r>
      <w:r w:rsidRPr="00D80A37">
        <w:rPr>
          <w:lang w:val="en-GB"/>
        </w:rPr>
        <w:t>H</w:t>
      </w:r>
      <w:r>
        <w:rPr>
          <w:lang w:val="en-GB"/>
        </w:rPr>
        <w:t xml:space="preserve">awke’s Bay </w:t>
      </w:r>
      <w:r w:rsidRPr="00D80A37">
        <w:rPr>
          <w:lang w:val="en-GB"/>
        </w:rPr>
        <w:t xml:space="preserve">DHB placed </w:t>
      </w:r>
      <w:r w:rsidRPr="001C3FC3">
        <w:t>20th</w:t>
      </w:r>
      <w:r w:rsidRPr="00D80A37">
        <w:rPr>
          <w:lang w:val="en-GB"/>
        </w:rPr>
        <w:t xml:space="preserve"> of 20 DHBs in terms of the aggregate Standardised Intervention Ratio</w:t>
      </w:r>
      <w:r w:rsidRPr="00D80A37">
        <w:rPr>
          <w:i/>
          <w:iCs/>
          <w:lang w:val="en-GB"/>
        </w:rPr>
        <w:t xml:space="preserve">. </w:t>
      </w:r>
      <w:r w:rsidRPr="00D80A37">
        <w:rPr>
          <w:lang w:val="en-GB"/>
        </w:rPr>
        <w:t>While this can</w:t>
      </w:r>
      <w:r>
        <w:rPr>
          <w:lang w:val="en-GB"/>
        </w:rPr>
        <w:t xml:space="preserve"> partly</w:t>
      </w:r>
      <w:r w:rsidRPr="00D80A37">
        <w:rPr>
          <w:lang w:val="en-GB"/>
        </w:rPr>
        <w:t xml:space="preserve"> be attributed to external factors such as </w:t>
      </w:r>
      <w:r>
        <w:rPr>
          <w:lang w:val="en-GB"/>
        </w:rPr>
        <w:t>COVID</w:t>
      </w:r>
      <w:r w:rsidRPr="00D80A37">
        <w:rPr>
          <w:lang w:val="en-GB"/>
        </w:rPr>
        <w:t>-19, the last year H</w:t>
      </w:r>
      <w:r>
        <w:rPr>
          <w:lang w:val="en-GB"/>
        </w:rPr>
        <w:t xml:space="preserve">awke’s Bay </w:t>
      </w:r>
      <w:r w:rsidRPr="00D80A37">
        <w:rPr>
          <w:lang w:val="en-GB"/>
        </w:rPr>
        <w:t>DHB achieved its inpatient discharge target was in 2016/17.</w:t>
      </w:r>
    </w:p>
    <w:p w14:paraId="47404EAB" w14:textId="77777777" w:rsidR="0013779F" w:rsidRPr="00D80A37" w:rsidRDefault="0013779F" w:rsidP="0013779F">
      <w:pPr>
        <w:rPr>
          <w:i/>
          <w:iCs/>
          <w:lang w:val="en-GB"/>
        </w:rPr>
      </w:pPr>
    </w:p>
    <w:p w14:paraId="0916E11F" w14:textId="77777777" w:rsidR="0013779F" w:rsidRPr="00D80A37" w:rsidRDefault="0013779F" w:rsidP="0013779F">
      <w:pPr>
        <w:rPr>
          <w:lang w:val="en-GB"/>
        </w:rPr>
      </w:pPr>
      <w:r w:rsidRPr="00D80A37">
        <w:rPr>
          <w:lang w:val="en-GB"/>
        </w:rPr>
        <w:t xml:space="preserve">By contrast, through applying the equity principles, the framework has provided the parameters to consider community voice, structures, systems, process and measures of accountability. Key findings from this undertaking include:    </w:t>
      </w:r>
    </w:p>
    <w:p w14:paraId="4DC7246C" w14:textId="77777777" w:rsidR="0013779F" w:rsidRPr="00D80A37" w:rsidRDefault="0013779F" w:rsidP="0013779F">
      <w:pPr>
        <w:pStyle w:val="Bullet"/>
        <w:rPr>
          <w:lang w:val="en-GB"/>
        </w:rPr>
      </w:pPr>
      <w:r w:rsidRPr="00D80A37">
        <w:rPr>
          <w:lang w:val="en-GB"/>
        </w:rPr>
        <w:t>tamariki Māori and Pacific had a two-year waitlist</w:t>
      </w:r>
    </w:p>
    <w:p w14:paraId="6BCD2BFB" w14:textId="77777777" w:rsidR="0013779F" w:rsidRPr="00D80A37" w:rsidRDefault="0013779F" w:rsidP="0013779F">
      <w:pPr>
        <w:pStyle w:val="Bullet"/>
        <w:rPr>
          <w:lang w:val="en-GB"/>
        </w:rPr>
      </w:pPr>
      <w:r w:rsidRPr="00D80A37">
        <w:rPr>
          <w:lang w:val="en-GB"/>
        </w:rPr>
        <w:t>tamariki Māori were often not seen as they did not meet the existing ‘clinical and urgent’ threshold</w:t>
      </w:r>
    </w:p>
    <w:p w14:paraId="391D39D7" w14:textId="77777777" w:rsidR="0013779F" w:rsidRPr="00D80A37" w:rsidRDefault="0013779F" w:rsidP="0013779F">
      <w:pPr>
        <w:pStyle w:val="Bullet"/>
        <w:rPr>
          <w:lang w:val="en-GB"/>
        </w:rPr>
      </w:pPr>
      <w:r w:rsidRPr="00D80A37">
        <w:rPr>
          <w:lang w:val="en-GB"/>
        </w:rPr>
        <w:t>structural barriers between directorates caused a disconnect in performance accountability</w:t>
      </w:r>
    </w:p>
    <w:p w14:paraId="3140B81C" w14:textId="77777777" w:rsidR="0013779F" w:rsidRPr="001C3FC3" w:rsidRDefault="0013779F" w:rsidP="0013779F">
      <w:pPr>
        <w:pStyle w:val="Bullet"/>
        <w:rPr>
          <w:lang w:val="en-GB"/>
        </w:rPr>
      </w:pPr>
      <w:r w:rsidRPr="00D80A37">
        <w:rPr>
          <w:lang w:val="en-GB"/>
        </w:rPr>
        <w:t xml:space="preserve">paediatric </w:t>
      </w:r>
      <w:r>
        <w:rPr>
          <w:lang w:val="en-GB"/>
        </w:rPr>
        <w:t>d</w:t>
      </w:r>
      <w:r w:rsidRPr="00D80A37">
        <w:rPr>
          <w:lang w:val="en-GB"/>
        </w:rPr>
        <w:t xml:space="preserve">ay </w:t>
      </w:r>
      <w:r>
        <w:rPr>
          <w:lang w:val="en-GB"/>
        </w:rPr>
        <w:t>s</w:t>
      </w:r>
      <w:r w:rsidRPr="00D80A37">
        <w:rPr>
          <w:lang w:val="en-GB"/>
        </w:rPr>
        <w:t xml:space="preserve">urgery went to Wellington </w:t>
      </w:r>
      <w:r>
        <w:rPr>
          <w:lang w:val="en-GB"/>
        </w:rPr>
        <w:t xml:space="preserve">– </w:t>
      </w:r>
      <w:r w:rsidRPr="001C3FC3">
        <w:t>‘</w:t>
      </w:r>
      <w:r w:rsidRPr="001C3FC3">
        <w:rPr>
          <w:lang w:val="en-GB"/>
        </w:rPr>
        <w:t>the surgeons offered to come to the Hawke’s Bay, but this was not acted on</w:t>
      </w:r>
      <w:r>
        <w:rPr>
          <w:lang w:val="en-GB"/>
        </w:rPr>
        <w:t>’</w:t>
      </w:r>
    </w:p>
    <w:p w14:paraId="1AE3DD32" w14:textId="77777777" w:rsidR="0013779F" w:rsidRPr="00D80A37" w:rsidRDefault="0013779F" w:rsidP="0013779F">
      <w:pPr>
        <w:pStyle w:val="Bullet"/>
        <w:rPr>
          <w:lang w:val="en-GB"/>
        </w:rPr>
      </w:pPr>
      <w:r w:rsidRPr="00D80A37">
        <w:rPr>
          <w:lang w:val="en-GB"/>
        </w:rPr>
        <w:t xml:space="preserve">systems issues were prioritised over people, with no demonstrable improvement in Māori and Pacific outcomes over a 10-year period and no demonstrable strategies in place to </w:t>
      </w:r>
      <w:r>
        <w:rPr>
          <w:lang w:val="en-GB"/>
        </w:rPr>
        <w:t>change this</w:t>
      </w:r>
    </w:p>
    <w:p w14:paraId="32A98488" w14:textId="77777777" w:rsidR="0013779F" w:rsidRPr="00D80A37" w:rsidRDefault="0013779F" w:rsidP="0013779F">
      <w:pPr>
        <w:pStyle w:val="Bullet"/>
        <w:rPr>
          <w:lang w:val="en-GB"/>
        </w:rPr>
      </w:pPr>
      <w:r w:rsidRPr="00D80A37">
        <w:rPr>
          <w:lang w:val="en-GB"/>
        </w:rPr>
        <w:t>the service pathways w</w:t>
      </w:r>
      <w:r>
        <w:rPr>
          <w:lang w:val="en-GB"/>
        </w:rPr>
        <w:t>ere</w:t>
      </w:r>
      <w:r w:rsidRPr="00D80A37">
        <w:rPr>
          <w:lang w:val="en-GB"/>
        </w:rPr>
        <w:t xml:space="preserve"> clinically</w:t>
      </w:r>
      <w:r>
        <w:rPr>
          <w:lang w:val="en-GB"/>
        </w:rPr>
        <w:t xml:space="preserve"> </w:t>
      </w:r>
      <w:r w:rsidRPr="00D80A37">
        <w:rPr>
          <w:lang w:val="en-GB"/>
        </w:rPr>
        <w:t>led, with an outreach component</w:t>
      </w:r>
    </w:p>
    <w:p w14:paraId="2C4E262E" w14:textId="77777777" w:rsidR="0013779F" w:rsidRPr="00D80A37" w:rsidRDefault="0013779F" w:rsidP="0013779F">
      <w:pPr>
        <w:pStyle w:val="Bullet"/>
        <w:rPr>
          <w:lang w:val="en-GB"/>
        </w:rPr>
      </w:pPr>
      <w:r w:rsidRPr="00D80A37">
        <w:rPr>
          <w:lang w:val="en-GB"/>
        </w:rPr>
        <w:t xml:space="preserve">no formal systems levers </w:t>
      </w:r>
      <w:r>
        <w:rPr>
          <w:lang w:val="en-GB"/>
        </w:rPr>
        <w:t xml:space="preserve">were </w:t>
      </w:r>
      <w:r w:rsidRPr="00D80A37">
        <w:rPr>
          <w:lang w:val="en-GB"/>
        </w:rPr>
        <w:t>in place to monitor and track follow</w:t>
      </w:r>
      <w:r>
        <w:rPr>
          <w:lang w:val="en-GB"/>
        </w:rPr>
        <w:t>-</w:t>
      </w:r>
      <w:r w:rsidRPr="00D80A37">
        <w:rPr>
          <w:lang w:val="en-GB"/>
        </w:rPr>
        <w:t xml:space="preserve">up.  </w:t>
      </w:r>
    </w:p>
    <w:p w14:paraId="4D1B8535" w14:textId="77777777" w:rsidR="0013779F" w:rsidRDefault="0013779F" w:rsidP="0013779F">
      <w:pPr>
        <w:rPr>
          <w:lang w:val="en-GB"/>
        </w:rPr>
      </w:pPr>
    </w:p>
    <w:p w14:paraId="33D21B92" w14:textId="77777777" w:rsidR="0013779F" w:rsidRPr="00D80A37" w:rsidRDefault="0013779F" w:rsidP="0013779F">
      <w:pPr>
        <w:rPr>
          <w:lang w:val="en-GB"/>
        </w:rPr>
      </w:pPr>
      <w:r w:rsidRPr="00D80A37">
        <w:rPr>
          <w:lang w:val="en-GB"/>
        </w:rPr>
        <w:t xml:space="preserve">As a result, </w:t>
      </w:r>
      <w:r>
        <w:rPr>
          <w:lang w:val="en-GB"/>
        </w:rPr>
        <w:t xml:space="preserve">Hawke’s Bay </w:t>
      </w:r>
      <w:r w:rsidRPr="00D80A37">
        <w:rPr>
          <w:lang w:val="en-GB"/>
        </w:rPr>
        <w:t xml:space="preserve">DHB facilitated a solution-focused approach and </w:t>
      </w:r>
      <w:r w:rsidRPr="001C3FC3">
        <w:t>‘</w:t>
      </w:r>
      <w:r w:rsidRPr="001C3FC3">
        <w:rPr>
          <w:lang w:val="en-GB"/>
        </w:rPr>
        <w:t xml:space="preserve">encouraged the </w:t>
      </w:r>
      <w:r>
        <w:rPr>
          <w:lang w:val="en-GB"/>
        </w:rPr>
        <w:t>“</w:t>
      </w:r>
      <w:r w:rsidRPr="001C3FC3">
        <w:rPr>
          <w:lang w:val="en-GB"/>
        </w:rPr>
        <w:t>system</w:t>
      </w:r>
      <w:r>
        <w:rPr>
          <w:lang w:val="en-GB"/>
        </w:rPr>
        <w:t>”</w:t>
      </w:r>
      <w:r w:rsidRPr="001C3FC3">
        <w:rPr>
          <w:lang w:val="en-GB"/>
        </w:rPr>
        <w:t xml:space="preserve"> to look forward, to address the current problem’ </w:t>
      </w:r>
      <w:r w:rsidRPr="00D80A37">
        <w:rPr>
          <w:lang w:val="en-GB"/>
        </w:rPr>
        <w:t xml:space="preserve">and undertake planning work </w:t>
      </w:r>
      <w:r>
        <w:rPr>
          <w:lang w:val="en-GB"/>
        </w:rPr>
        <w:t xml:space="preserve">to </w:t>
      </w:r>
      <w:r w:rsidRPr="00D80A37">
        <w:rPr>
          <w:lang w:val="en-GB"/>
        </w:rPr>
        <w:t xml:space="preserve">achieve the following objectives:   </w:t>
      </w:r>
    </w:p>
    <w:p w14:paraId="1E78774C" w14:textId="77777777" w:rsidR="0013779F" w:rsidRPr="00D80A37" w:rsidRDefault="0013779F" w:rsidP="0013779F">
      <w:pPr>
        <w:pStyle w:val="Bullet"/>
        <w:rPr>
          <w:lang w:val="en-GB"/>
        </w:rPr>
      </w:pPr>
      <w:r>
        <w:rPr>
          <w:lang w:val="en-GB"/>
        </w:rPr>
        <w:t>a</w:t>
      </w:r>
      <w:r w:rsidRPr="00D80A37">
        <w:rPr>
          <w:lang w:val="en-GB"/>
        </w:rPr>
        <w:t>ssess planned care over a three-year timeframe</w:t>
      </w:r>
    </w:p>
    <w:p w14:paraId="0E856E7C" w14:textId="77777777" w:rsidR="0013779F" w:rsidRPr="00D80A37" w:rsidRDefault="0013779F" w:rsidP="0013779F">
      <w:pPr>
        <w:pStyle w:val="Bullet"/>
        <w:rPr>
          <w:lang w:val="en-GB"/>
        </w:rPr>
      </w:pPr>
      <w:r>
        <w:rPr>
          <w:lang w:val="en-GB"/>
        </w:rPr>
        <w:t>make a</w:t>
      </w:r>
      <w:r w:rsidRPr="00D80A37">
        <w:rPr>
          <w:lang w:val="en-GB"/>
        </w:rPr>
        <w:t>n appropriate response to and reduc</w:t>
      </w:r>
      <w:r>
        <w:rPr>
          <w:lang w:val="en-GB"/>
        </w:rPr>
        <w:t>e</w:t>
      </w:r>
      <w:r w:rsidRPr="00D80A37">
        <w:rPr>
          <w:lang w:val="en-GB"/>
        </w:rPr>
        <w:t xml:space="preserve"> unplanned acute care </w:t>
      </w:r>
    </w:p>
    <w:p w14:paraId="2FEC56A7" w14:textId="77777777" w:rsidR="0013779F" w:rsidRPr="00D80A37" w:rsidRDefault="0013779F" w:rsidP="0013779F">
      <w:pPr>
        <w:pStyle w:val="Bullet"/>
        <w:rPr>
          <w:lang w:val="en-GB"/>
        </w:rPr>
      </w:pPr>
      <w:r>
        <w:rPr>
          <w:lang w:val="en-GB"/>
        </w:rPr>
        <w:t>r</w:t>
      </w:r>
      <w:r w:rsidRPr="00D80A37">
        <w:rPr>
          <w:lang w:val="en-GB"/>
        </w:rPr>
        <w:t xml:space="preserve">educe out-of-district travel for </w:t>
      </w:r>
      <w:proofErr w:type="spellStart"/>
      <w:r w:rsidRPr="00D80A37">
        <w:rPr>
          <w:lang w:val="en-GB"/>
        </w:rPr>
        <w:t>wh</w:t>
      </w:r>
      <w:proofErr w:type="spellEnd"/>
      <w:r w:rsidRPr="00D80A37">
        <w:t>ā</w:t>
      </w:r>
      <w:proofErr w:type="spellStart"/>
      <w:r w:rsidRPr="00D80A37">
        <w:rPr>
          <w:lang w:val="en-GB"/>
        </w:rPr>
        <w:t>nau</w:t>
      </w:r>
      <w:proofErr w:type="spellEnd"/>
    </w:p>
    <w:p w14:paraId="18C502B6" w14:textId="77777777" w:rsidR="0013779F" w:rsidRPr="00D80A37" w:rsidRDefault="0013779F" w:rsidP="0013779F">
      <w:pPr>
        <w:pStyle w:val="Bullet"/>
        <w:rPr>
          <w:lang w:val="en-GB"/>
        </w:rPr>
      </w:pPr>
      <w:r>
        <w:rPr>
          <w:lang w:val="en-GB"/>
        </w:rPr>
        <w:t>t</w:t>
      </w:r>
      <w:r w:rsidRPr="00D80A37">
        <w:rPr>
          <w:lang w:val="en-GB"/>
        </w:rPr>
        <w:t>ransition towards community-based care with an in-reach component, not the other way around</w:t>
      </w:r>
    </w:p>
    <w:p w14:paraId="5905C2E1" w14:textId="77777777" w:rsidR="0013779F" w:rsidRPr="00D80A37" w:rsidRDefault="0013779F" w:rsidP="0013779F">
      <w:pPr>
        <w:pStyle w:val="Bullet"/>
        <w:rPr>
          <w:lang w:val="en-GB"/>
        </w:rPr>
      </w:pPr>
      <w:r>
        <w:rPr>
          <w:lang w:val="en-GB"/>
        </w:rPr>
        <w:t>r</w:t>
      </w:r>
      <w:r w:rsidRPr="00D80A37">
        <w:rPr>
          <w:lang w:val="en-GB"/>
        </w:rPr>
        <w:t>evisit the way thresholds are determined and applied</w:t>
      </w:r>
    </w:p>
    <w:p w14:paraId="4D120582" w14:textId="77777777" w:rsidR="0013779F" w:rsidRPr="00D80A37" w:rsidRDefault="0013779F" w:rsidP="0013779F">
      <w:pPr>
        <w:pStyle w:val="Bullet"/>
        <w:rPr>
          <w:lang w:val="en-GB"/>
        </w:rPr>
      </w:pPr>
      <w:r>
        <w:rPr>
          <w:lang w:val="en-GB"/>
        </w:rPr>
        <w:t>o</w:t>
      </w:r>
      <w:r w:rsidRPr="00D80A37">
        <w:rPr>
          <w:lang w:val="en-GB"/>
        </w:rPr>
        <w:t xml:space="preserve">utsource planned surgery to utilise facilities in the local region and decrease bottlenecks. </w:t>
      </w:r>
    </w:p>
    <w:p w14:paraId="476A28EA" w14:textId="77777777" w:rsidR="0013779F" w:rsidRDefault="0013779F" w:rsidP="0013779F">
      <w:pPr>
        <w:rPr>
          <w:lang w:val="en-GB"/>
        </w:rPr>
      </w:pPr>
    </w:p>
    <w:p w14:paraId="4EB066EF" w14:textId="266A00BC" w:rsidR="0013779F" w:rsidRDefault="0013779F" w:rsidP="0013779F">
      <w:pPr>
        <w:rPr>
          <w:lang w:val="en-GB"/>
        </w:rPr>
      </w:pPr>
      <w:r w:rsidRPr="00D80A37">
        <w:rPr>
          <w:lang w:val="en-GB"/>
        </w:rPr>
        <w:t>To support this work and transition towards a whānau-centred model, H</w:t>
      </w:r>
      <w:r>
        <w:rPr>
          <w:lang w:val="en-GB"/>
        </w:rPr>
        <w:t xml:space="preserve">awke’s Bay </w:t>
      </w:r>
      <w:r w:rsidRPr="00D80A37">
        <w:rPr>
          <w:lang w:val="en-GB"/>
        </w:rPr>
        <w:t>DHB developed Planned Care, Principles, Priorities, Performance and local objectives, which includes pathways for planned care, with shared success indicat</w:t>
      </w:r>
      <w:r>
        <w:rPr>
          <w:lang w:val="en-GB"/>
        </w:rPr>
        <w:t>or</w:t>
      </w:r>
      <w:r w:rsidRPr="00D80A37">
        <w:rPr>
          <w:lang w:val="en-GB"/>
        </w:rPr>
        <w:t xml:space="preserve">s to monitor collective progress over time. To ensure </w:t>
      </w:r>
      <w:proofErr w:type="spellStart"/>
      <w:r w:rsidRPr="00D80A37">
        <w:rPr>
          <w:lang w:val="en-GB"/>
        </w:rPr>
        <w:t>whānau</w:t>
      </w:r>
      <w:proofErr w:type="spellEnd"/>
      <w:r w:rsidRPr="00D80A37">
        <w:rPr>
          <w:lang w:val="en-GB"/>
        </w:rPr>
        <w:t xml:space="preserve"> experiencing multiple issues get the care they need, decision-making and prioritisation thresholds are guided by the four equity principles shown in </w:t>
      </w:r>
      <w:r>
        <w:rPr>
          <w:lang w:val="en-GB"/>
        </w:rPr>
        <w:fldChar w:fldCharType="begin"/>
      </w:r>
      <w:r>
        <w:rPr>
          <w:lang w:val="en-GB"/>
        </w:rPr>
        <w:instrText xml:space="preserve"> REF _Ref122360433 \h </w:instrText>
      </w:r>
      <w:r>
        <w:rPr>
          <w:lang w:val="en-GB"/>
        </w:rPr>
      </w:r>
      <w:r>
        <w:rPr>
          <w:lang w:val="en-GB"/>
        </w:rPr>
        <w:fldChar w:fldCharType="separate"/>
      </w:r>
      <w:r w:rsidR="006849AB" w:rsidRPr="00332318">
        <w:t xml:space="preserve">Table </w:t>
      </w:r>
      <w:r w:rsidR="006849AB">
        <w:rPr>
          <w:noProof/>
        </w:rPr>
        <w:t>6</w:t>
      </w:r>
      <w:r>
        <w:rPr>
          <w:lang w:val="en-GB"/>
        </w:rPr>
        <w:fldChar w:fldCharType="end"/>
      </w:r>
      <w:r w:rsidRPr="00D80A37">
        <w:rPr>
          <w:lang w:val="en-GB"/>
        </w:rPr>
        <w:t>.</w:t>
      </w:r>
    </w:p>
    <w:p w14:paraId="2F90E234" w14:textId="77777777" w:rsidR="00112CA9" w:rsidRDefault="00112CA9" w:rsidP="0013779F">
      <w:pPr>
        <w:pStyle w:val="Caption"/>
        <w:spacing w:before="240"/>
      </w:pPr>
      <w:bookmarkStart w:id="41" w:name="_Ref122360433"/>
    </w:p>
    <w:p w14:paraId="6069B511" w14:textId="77165A3E" w:rsidR="0013779F" w:rsidRPr="00332318" w:rsidRDefault="0013779F" w:rsidP="0013779F">
      <w:pPr>
        <w:pStyle w:val="Caption"/>
        <w:spacing w:before="240"/>
      </w:pPr>
      <w:bookmarkStart w:id="42" w:name="_Toc124833607"/>
      <w:r w:rsidRPr="00332318">
        <w:lastRenderedPageBreak/>
        <w:t xml:space="preserve">Table </w:t>
      </w:r>
      <w:fldSimple w:instr=" SEQ Table \* ARABIC ">
        <w:r w:rsidR="006849AB">
          <w:rPr>
            <w:noProof/>
          </w:rPr>
          <w:t>6</w:t>
        </w:r>
      </w:fldSimple>
      <w:bookmarkEnd w:id="41"/>
      <w:r w:rsidRPr="00332318">
        <w:t>: Equity principles in planned care</w:t>
      </w:r>
      <w:bookmarkEnd w:id="42"/>
      <w:r w:rsidRPr="00332318">
        <w:t xml:space="preserve"> </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38"/>
        <w:gridCol w:w="5184"/>
      </w:tblGrid>
      <w:tr w:rsidR="0013779F" w:rsidRPr="00332318" w14:paraId="5E519D30" w14:textId="77777777" w:rsidTr="000541F8">
        <w:tc>
          <w:tcPr>
            <w:tcW w:w="3038" w:type="dxa"/>
            <w:tcBorders>
              <w:top w:val="nil"/>
              <w:bottom w:val="nil"/>
              <w:right w:val="nil"/>
            </w:tcBorders>
            <w:shd w:val="clear" w:color="auto" w:fill="D9D9D9" w:themeFill="background1" w:themeFillShade="D9"/>
          </w:tcPr>
          <w:p w14:paraId="525429A3" w14:textId="77777777" w:rsidR="0013779F" w:rsidRPr="00332318" w:rsidRDefault="0013779F" w:rsidP="000541F8">
            <w:pPr>
              <w:pStyle w:val="TableText"/>
              <w:rPr>
                <w:b/>
                <w:bCs/>
                <w:lang w:val="en-US"/>
              </w:rPr>
            </w:pPr>
            <w:r w:rsidRPr="00332318">
              <w:rPr>
                <w:b/>
                <w:bCs/>
                <w:lang w:val="en-US"/>
              </w:rPr>
              <w:t xml:space="preserve">Principles </w:t>
            </w:r>
          </w:p>
        </w:tc>
        <w:tc>
          <w:tcPr>
            <w:tcW w:w="5184" w:type="dxa"/>
            <w:tcBorders>
              <w:top w:val="nil"/>
              <w:left w:val="nil"/>
              <w:bottom w:val="nil"/>
            </w:tcBorders>
            <w:shd w:val="clear" w:color="auto" w:fill="D9D9D9" w:themeFill="background1" w:themeFillShade="D9"/>
          </w:tcPr>
          <w:p w14:paraId="01CE319A" w14:textId="77777777" w:rsidR="0013779F" w:rsidRPr="00332318" w:rsidRDefault="0013779F" w:rsidP="000541F8">
            <w:pPr>
              <w:pStyle w:val="TableText"/>
              <w:rPr>
                <w:b/>
                <w:bCs/>
                <w:lang w:val="en-US"/>
              </w:rPr>
            </w:pPr>
            <w:r w:rsidRPr="00332318">
              <w:rPr>
                <w:b/>
                <w:bCs/>
                <w:lang w:val="en-US"/>
              </w:rPr>
              <w:t>Approach</w:t>
            </w:r>
          </w:p>
        </w:tc>
      </w:tr>
      <w:tr w:rsidR="0013779F" w:rsidRPr="00D80A37" w14:paraId="5410A1CE" w14:textId="77777777" w:rsidTr="000541F8">
        <w:tc>
          <w:tcPr>
            <w:tcW w:w="3038" w:type="dxa"/>
            <w:tcBorders>
              <w:top w:val="nil"/>
            </w:tcBorders>
          </w:tcPr>
          <w:p w14:paraId="7C0815C6" w14:textId="77777777" w:rsidR="0013779F" w:rsidRPr="00D80A37" w:rsidRDefault="0013779F" w:rsidP="000541F8">
            <w:pPr>
              <w:pStyle w:val="TableText"/>
              <w:rPr>
                <w:lang w:val="en-US"/>
              </w:rPr>
            </w:pPr>
            <w:r w:rsidRPr="00D80A37">
              <w:rPr>
                <w:lang w:val="en-US"/>
              </w:rPr>
              <w:t>Equity for Māori and Pacific</w:t>
            </w:r>
          </w:p>
        </w:tc>
        <w:tc>
          <w:tcPr>
            <w:tcW w:w="5184" w:type="dxa"/>
            <w:tcBorders>
              <w:top w:val="nil"/>
            </w:tcBorders>
          </w:tcPr>
          <w:p w14:paraId="5D384DE1" w14:textId="77777777" w:rsidR="0013779F" w:rsidRPr="00D80A37" w:rsidRDefault="0013779F" w:rsidP="000541F8">
            <w:pPr>
              <w:pStyle w:val="TableText"/>
              <w:rPr>
                <w:lang w:val="en-US"/>
              </w:rPr>
            </w:pPr>
            <w:r w:rsidRPr="00D80A37">
              <w:rPr>
                <w:lang w:val="en-US"/>
              </w:rPr>
              <w:t xml:space="preserve">Increase volumes for </w:t>
            </w:r>
            <w:proofErr w:type="spellStart"/>
            <w:r w:rsidRPr="00D80A37">
              <w:rPr>
                <w:lang w:val="en-US"/>
              </w:rPr>
              <w:t>specialities</w:t>
            </w:r>
            <w:proofErr w:type="spellEnd"/>
            <w:r w:rsidRPr="00D80A37">
              <w:rPr>
                <w:lang w:val="en-US"/>
              </w:rPr>
              <w:t xml:space="preserve"> with a high proportion of Māori and Pacific</w:t>
            </w:r>
            <w:r>
              <w:rPr>
                <w:lang w:val="en-US"/>
              </w:rPr>
              <w:t xml:space="preserve"> peoples</w:t>
            </w:r>
            <w:r w:rsidRPr="00D80A37">
              <w:rPr>
                <w:lang w:val="en-US"/>
              </w:rPr>
              <w:t xml:space="preserve"> on the waitlist and ensure they are </w:t>
            </w:r>
            <w:proofErr w:type="spellStart"/>
            <w:r w:rsidRPr="00D80A37">
              <w:rPr>
                <w:lang w:val="en-US"/>
              </w:rPr>
              <w:t>prioritised</w:t>
            </w:r>
            <w:proofErr w:type="spellEnd"/>
            <w:r w:rsidRPr="00D80A37">
              <w:rPr>
                <w:lang w:val="en-US"/>
              </w:rPr>
              <w:t>.</w:t>
            </w:r>
          </w:p>
        </w:tc>
      </w:tr>
      <w:tr w:rsidR="0013779F" w:rsidRPr="00D80A37" w14:paraId="0D28AF5A" w14:textId="77777777" w:rsidTr="000541F8">
        <w:tc>
          <w:tcPr>
            <w:tcW w:w="3038" w:type="dxa"/>
          </w:tcPr>
          <w:p w14:paraId="1D1C3959" w14:textId="77777777" w:rsidR="0013779F" w:rsidRPr="00D80A37" w:rsidRDefault="0013779F" w:rsidP="000541F8">
            <w:pPr>
              <w:pStyle w:val="TableText"/>
              <w:rPr>
                <w:lang w:val="en-US"/>
              </w:rPr>
            </w:pPr>
            <w:r w:rsidRPr="00D80A37">
              <w:rPr>
                <w:lang w:val="en-US"/>
              </w:rPr>
              <w:t xml:space="preserve">Providing </w:t>
            </w:r>
            <w:r>
              <w:rPr>
                <w:lang w:val="en-US"/>
              </w:rPr>
              <w:t>c</w:t>
            </w:r>
            <w:r w:rsidRPr="00D80A37">
              <w:rPr>
                <w:lang w:val="en-US"/>
              </w:rPr>
              <w:t xml:space="preserve">are </w:t>
            </w:r>
            <w:r>
              <w:rPr>
                <w:lang w:val="en-US"/>
              </w:rPr>
              <w:t>c</w:t>
            </w:r>
            <w:r w:rsidRPr="00D80A37">
              <w:rPr>
                <w:lang w:val="en-US"/>
              </w:rPr>
              <w:t xml:space="preserve">loser to </w:t>
            </w:r>
            <w:r>
              <w:rPr>
                <w:lang w:val="en-US"/>
              </w:rPr>
              <w:t>h</w:t>
            </w:r>
            <w:r w:rsidRPr="00D80A37">
              <w:rPr>
                <w:lang w:val="en-US"/>
              </w:rPr>
              <w:t xml:space="preserve">ome </w:t>
            </w:r>
          </w:p>
        </w:tc>
        <w:tc>
          <w:tcPr>
            <w:tcW w:w="5184" w:type="dxa"/>
          </w:tcPr>
          <w:p w14:paraId="5ED0D92E" w14:textId="77777777" w:rsidR="0013779F" w:rsidRPr="00D80A37" w:rsidRDefault="0013779F" w:rsidP="000541F8">
            <w:pPr>
              <w:pStyle w:val="TableText"/>
              <w:rPr>
                <w:lang w:val="en-US"/>
              </w:rPr>
            </w:pPr>
            <w:r w:rsidRPr="00D80A37">
              <w:rPr>
                <w:lang w:val="en-US"/>
              </w:rPr>
              <w:t>Identify procedures that could be delivered on</w:t>
            </w:r>
            <w:r>
              <w:rPr>
                <w:lang w:val="en-US"/>
              </w:rPr>
              <w:t xml:space="preserve"> </w:t>
            </w:r>
            <w:r w:rsidRPr="00D80A37">
              <w:rPr>
                <w:lang w:val="en-US"/>
              </w:rPr>
              <w:t xml:space="preserve">site under a different funding model. </w:t>
            </w:r>
          </w:p>
        </w:tc>
      </w:tr>
      <w:tr w:rsidR="0013779F" w:rsidRPr="00D80A37" w14:paraId="4C0D8094" w14:textId="77777777" w:rsidTr="000541F8">
        <w:tc>
          <w:tcPr>
            <w:tcW w:w="3038" w:type="dxa"/>
          </w:tcPr>
          <w:p w14:paraId="6CDBC9EA" w14:textId="77777777" w:rsidR="0013779F" w:rsidRPr="00D80A37" w:rsidRDefault="0013779F" w:rsidP="000541F8">
            <w:pPr>
              <w:pStyle w:val="TableText"/>
              <w:rPr>
                <w:lang w:val="en-US"/>
              </w:rPr>
            </w:pPr>
            <w:r w:rsidRPr="00D80A37">
              <w:rPr>
                <w:lang w:val="en-US"/>
              </w:rPr>
              <w:t xml:space="preserve">Patients have timely access to treatment </w:t>
            </w:r>
          </w:p>
        </w:tc>
        <w:tc>
          <w:tcPr>
            <w:tcW w:w="5184" w:type="dxa"/>
          </w:tcPr>
          <w:p w14:paraId="46DDF504" w14:textId="77777777" w:rsidR="0013779F" w:rsidRPr="00D80A37" w:rsidRDefault="0013779F" w:rsidP="000541F8">
            <w:pPr>
              <w:pStyle w:val="TableText"/>
              <w:rPr>
                <w:lang w:val="en-US"/>
              </w:rPr>
            </w:pPr>
            <w:r w:rsidRPr="00D80A37">
              <w:rPr>
                <w:lang w:val="en-US"/>
              </w:rPr>
              <w:t xml:space="preserve">Calculate the </w:t>
            </w:r>
            <w:r>
              <w:rPr>
                <w:lang w:val="en-US"/>
              </w:rPr>
              <w:t>i</w:t>
            </w:r>
            <w:r w:rsidRPr="00D80A37">
              <w:rPr>
                <w:lang w:val="en-US"/>
              </w:rPr>
              <w:t xml:space="preserve">npatient </w:t>
            </w:r>
            <w:r>
              <w:rPr>
                <w:lang w:val="en-US"/>
              </w:rPr>
              <w:t>s</w:t>
            </w:r>
            <w:r w:rsidRPr="00D80A37">
              <w:rPr>
                <w:lang w:val="en-US"/>
              </w:rPr>
              <w:t xml:space="preserve">urgical </w:t>
            </w:r>
            <w:r>
              <w:rPr>
                <w:lang w:val="en-US"/>
              </w:rPr>
              <w:t>d</w:t>
            </w:r>
            <w:r w:rsidRPr="00D80A37">
              <w:rPr>
                <w:lang w:val="en-US"/>
              </w:rPr>
              <w:t>ischarge volumes needed to achieve targets, and determine the capacity/cost gap between current capacity and trajectory target.</w:t>
            </w:r>
          </w:p>
        </w:tc>
      </w:tr>
      <w:tr w:rsidR="0013779F" w:rsidRPr="00D80A37" w14:paraId="4FFF7A51" w14:textId="77777777" w:rsidTr="000541F8">
        <w:tc>
          <w:tcPr>
            <w:tcW w:w="3038" w:type="dxa"/>
          </w:tcPr>
          <w:p w14:paraId="3D0A9DB6" w14:textId="77777777" w:rsidR="0013779F" w:rsidRPr="00D80A37" w:rsidRDefault="0013779F" w:rsidP="000541F8">
            <w:pPr>
              <w:pStyle w:val="TableText"/>
              <w:rPr>
                <w:lang w:val="en-US"/>
              </w:rPr>
            </w:pPr>
            <w:r w:rsidRPr="00D80A37">
              <w:rPr>
                <w:lang w:val="en-US"/>
              </w:rPr>
              <w:t xml:space="preserve">Improved </w:t>
            </w:r>
            <w:r>
              <w:rPr>
                <w:lang w:val="en-US"/>
              </w:rPr>
              <w:t>flow</w:t>
            </w:r>
            <w:r w:rsidRPr="00D80A37">
              <w:rPr>
                <w:lang w:val="en-US"/>
              </w:rPr>
              <w:t xml:space="preserve"> through hospital</w:t>
            </w:r>
          </w:p>
        </w:tc>
        <w:tc>
          <w:tcPr>
            <w:tcW w:w="5184" w:type="dxa"/>
          </w:tcPr>
          <w:p w14:paraId="5B5110D4" w14:textId="77777777" w:rsidR="0013779F" w:rsidRPr="00D80A37" w:rsidRDefault="0013779F" w:rsidP="000541F8">
            <w:pPr>
              <w:pStyle w:val="TableText"/>
              <w:rPr>
                <w:lang w:val="en-US"/>
              </w:rPr>
            </w:pPr>
            <w:r w:rsidRPr="00D80A37">
              <w:rPr>
                <w:lang w:val="en-US"/>
              </w:rPr>
              <w:t>Identify opportunity for more acute theatre sessions.</w:t>
            </w:r>
          </w:p>
        </w:tc>
      </w:tr>
    </w:tbl>
    <w:p w14:paraId="17046572" w14:textId="77777777" w:rsidR="0013779F" w:rsidRPr="00D80A37" w:rsidRDefault="0013779F" w:rsidP="0013779F">
      <w:pPr>
        <w:rPr>
          <w:lang w:val="en-GB"/>
        </w:rPr>
      </w:pPr>
      <w:bookmarkStart w:id="43" w:name="_Hlk77851395"/>
    </w:p>
    <w:p w14:paraId="1EB48F19" w14:textId="77777777" w:rsidR="0013779F" w:rsidRPr="00D80A37" w:rsidRDefault="0013779F" w:rsidP="0013779F">
      <w:pPr>
        <w:rPr>
          <w:lang w:val="mi-NZ"/>
        </w:rPr>
      </w:pPr>
      <w:r w:rsidRPr="00D80A37">
        <w:rPr>
          <w:lang w:val="en-GB"/>
        </w:rPr>
        <w:t>Several shared success indicators for the short and long</w:t>
      </w:r>
      <w:r>
        <w:rPr>
          <w:lang w:val="en-GB"/>
        </w:rPr>
        <w:t xml:space="preserve"> </w:t>
      </w:r>
      <w:r w:rsidRPr="00D80A37">
        <w:rPr>
          <w:lang w:val="en-GB"/>
        </w:rPr>
        <w:t>term were also identified:</w:t>
      </w:r>
    </w:p>
    <w:p w14:paraId="0FE26CE7" w14:textId="77777777" w:rsidR="0013779F" w:rsidRPr="00D80A37" w:rsidRDefault="0013779F" w:rsidP="0013779F">
      <w:pPr>
        <w:pStyle w:val="Bullet"/>
        <w:rPr>
          <w:lang w:val="en-GB"/>
        </w:rPr>
      </w:pPr>
      <w:r w:rsidRPr="00D80A37">
        <w:rPr>
          <w:lang w:val="en-GB"/>
        </w:rPr>
        <w:t xml:space="preserve">decrease Māori and Pacific </w:t>
      </w:r>
      <w:r>
        <w:rPr>
          <w:lang w:val="en-GB"/>
        </w:rPr>
        <w:t xml:space="preserve">peoples who are </w:t>
      </w:r>
      <w:r w:rsidRPr="00D80A37">
        <w:rPr>
          <w:lang w:val="en-GB"/>
        </w:rPr>
        <w:t xml:space="preserve">‘overdue’ </w:t>
      </w:r>
      <w:r>
        <w:rPr>
          <w:lang w:val="en-GB"/>
        </w:rPr>
        <w:t>for d</w:t>
      </w:r>
      <w:r w:rsidRPr="00D80A37">
        <w:rPr>
          <w:lang w:val="en-GB"/>
        </w:rPr>
        <w:t xml:space="preserve">ental, </w:t>
      </w:r>
      <w:r>
        <w:rPr>
          <w:lang w:val="en-GB"/>
        </w:rPr>
        <w:t>e</w:t>
      </w:r>
      <w:r w:rsidRPr="00D80A37">
        <w:rPr>
          <w:lang w:val="en-GB"/>
        </w:rPr>
        <w:t xml:space="preserve">ar, </w:t>
      </w:r>
      <w:r>
        <w:rPr>
          <w:lang w:val="en-GB"/>
        </w:rPr>
        <w:t>n</w:t>
      </w:r>
      <w:r w:rsidRPr="00D80A37">
        <w:rPr>
          <w:lang w:val="en-GB"/>
        </w:rPr>
        <w:t xml:space="preserve">ose and </w:t>
      </w:r>
      <w:r>
        <w:rPr>
          <w:lang w:val="en-GB"/>
        </w:rPr>
        <w:t>t</w:t>
      </w:r>
      <w:r w:rsidRPr="00D80A37">
        <w:rPr>
          <w:lang w:val="en-GB"/>
        </w:rPr>
        <w:t xml:space="preserve">hroat (ENT) </w:t>
      </w:r>
      <w:r>
        <w:rPr>
          <w:lang w:val="en-GB"/>
        </w:rPr>
        <w:t xml:space="preserve">and </w:t>
      </w:r>
      <w:bookmarkStart w:id="44" w:name="_Hlk76994264"/>
      <w:r>
        <w:rPr>
          <w:lang w:val="en-GB"/>
        </w:rPr>
        <w:t>g</w:t>
      </w:r>
      <w:r w:rsidRPr="00D80A37">
        <w:rPr>
          <w:lang w:val="en-GB"/>
        </w:rPr>
        <w:t xml:space="preserve">ynaecology </w:t>
      </w:r>
      <w:r>
        <w:rPr>
          <w:lang w:val="en-GB"/>
        </w:rPr>
        <w:t>services</w:t>
      </w:r>
      <w:bookmarkEnd w:id="44"/>
    </w:p>
    <w:p w14:paraId="7C78A3F2" w14:textId="77777777" w:rsidR="0013779F" w:rsidRPr="00D80A37" w:rsidRDefault="0013779F" w:rsidP="0013779F">
      <w:pPr>
        <w:pStyle w:val="Bullet"/>
        <w:rPr>
          <w:lang w:val="en-GB"/>
        </w:rPr>
      </w:pPr>
      <w:r>
        <w:rPr>
          <w:lang w:val="en-GB"/>
        </w:rPr>
        <w:t>d</w:t>
      </w:r>
      <w:r w:rsidRPr="00D80A37">
        <w:rPr>
          <w:lang w:val="en-GB"/>
        </w:rPr>
        <w:t xml:space="preserve">ecrease wait times and eliminate overdue planned care </w:t>
      </w:r>
    </w:p>
    <w:p w14:paraId="3B366670" w14:textId="77777777" w:rsidR="0013779F" w:rsidRPr="00D80A37" w:rsidRDefault="0013779F" w:rsidP="0013779F">
      <w:pPr>
        <w:pStyle w:val="Bullet"/>
        <w:rPr>
          <w:lang w:val="en-GB"/>
        </w:rPr>
      </w:pPr>
      <w:r>
        <w:rPr>
          <w:lang w:val="en-GB"/>
        </w:rPr>
        <w:t>t</w:t>
      </w:r>
      <w:r w:rsidRPr="00D80A37">
        <w:rPr>
          <w:lang w:val="en-GB"/>
        </w:rPr>
        <w:t>rack broader health gains because of increased access to surgical interventions, such as:</w:t>
      </w:r>
    </w:p>
    <w:p w14:paraId="3104A357" w14:textId="77777777" w:rsidR="0013779F" w:rsidRPr="00D80A37" w:rsidRDefault="0013779F" w:rsidP="0013779F">
      <w:pPr>
        <w:pStyle w:val="Dash"/>
        <w:rPr>
          <w:lang w:val="en-GB"/>
        </w:rPr>
      </w:pPr>
      <w:r w:rsidRPr="00D80A37">
        <w:rPr>
          <w:lang w:val="en-GB"/>
        </w:rPr>
        <w:t>a reduction in absent days from school for Māori and Pacific</w:t>
      </w:r>
      <w:r>
        <w:rPr>
          <w:lang w:val="en-GB"/>
        </w:rPr>
        <w:t xml:space="preserve"> students</w:t>
      </w:r>
      <w:r w:rsidRPr="00D80A37">
        <w:rPr>
          <w:lang w:val="en-GB"/>
        </w:rPr>
        <w:t xml:space="preserve"> who accessed ENT surgery</w:t>
      </w:r>
    </w:p>
    <w:p w14:paraId="19FB137B" w14:textId="77777777" w:rsidR="0013779F" w:rsidRPr="00D80A37" w:rsidRDefault="0013779F" w:rsidP="0013779F">
      <w:pPr>
        <w:pStyle w:val="Dash"/>
        <w:rPr>
          <w:lang w:val="en-GB"/>
        </w:rPr>
      </w:pPr>
      <w:r w:rsidRPr="00D80A37">
        <w:rPr>
          <w:lang w:val="en-GB"/>
        </w:rPr>
        <w:t xml:space="preserve">reduced </w:t>
      </w:r>
      <w:proofErr w:type="spellStart"/>
      <w:r w:rsidRPr="00D80A37">
        <w:rPr>
          <w:lang w:val="en-GB"/>
        </w:rPr>
        <w:t>whakamā</w:t>
      </w:r>
      <w:proofErr w:type="spellEnd"/>
      <w:r w:rsidRPr="00D80A37">
        <w:rPr>
          <w:lang w:val="en-GB"/>
        </w:rPr>
        <w:t xml:space="preserve"> and social exclusion and increased ability to participate and function (eg, </w:t>
      </w:r>
      <w:r>
        <w:rPr>
          <w:lang w:val="en-GB"/>
        </w:rPr>
        <w:t xml:space="preserve">in </w:t>
      </w:r>
      <w:r w:rsidRPr="00D80A37">
        <w:rPr>
          <w:lang w:val="en-GB"/>
        </w:rPr>
        <w:t xml:space="preserve">employment) </w:t>
      </w:r>
      <w:r>
        <w:rPr>
          <w:lang w:val="en-GB"/>
        </w:rPr>
        <w:t>after</w:t>
      </w:r>
      <w:r w:rsidRPr="00D80A37">
        <w:rPr>
          <w:lang w:val="en-GB"/>
        </w:rPr>
        <w:t xml:space="preserve"> chronic dental issues </w:t>
      </w:r>
      <w:r>
        <w:rPr>
          <w:lang w:val="en-GB"/>
        </w:rPr>
        <w:t>were</w:t>
      </w:r>
      <w:r w:rsidRPr="00D80A37">
        <w:rPr>
          <w:lang w:val="en-GB"/>
        </w:rPr>
        <w:t xml:space="preserve"> addressed</w:t>
      </w:r>
      <w:r>
        <w:rPr>
          <w:lang w:val="en-GB"/>
        </w:rPr>
        <w:t>.</w:t>
      </w:r>
      <w:r w:rsidRPr="00D80A37">
        <w:rPr>
          <w:vertAlign w:val="superscript"/>
          <w:lang w:val="en-GB"/>
        </w:rPr>
        <w:footnoteReference w:id="20"/>
      </w:r>
      <w:bookmarkEnd w:id="43"/>
    </w:p>
    <w:p w14:paraId="0F73E99E" w14:textId="77777777" w:rsidR="00232490" w:rsidRPr="00232490" w:rsidRDefault="00232490" w:rsidP="00232490"/>
    <w:sectPr w:rsidR="00232490" w:rsidRPr="00232490" w:rsidSect="00A27D16">
      <w:pgSz w:w="11907" w:h="16834" w:code="9"/>
      <w:pgMar w:top="1418" w:right="1701" w:bottom="1134" w:left="1843" w:header="284"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FCA2" w14:textId="77777777" w:rsidR="000E75F5" w:rsidRDefault="000E75F5">
      <w:r>
        <w:separator/>
      </w:r>
    </w:p>
    <w:p w14:paraId="2BE0D335" w14:textId="77777777" w:rsidR="000E75F5" w:rsidRDefault="000E75F5"/>
  </w:endnote>
  <w:endnote w:type="continuationSeparator" w:id="0">
    <w:p w14:paraId="5F2D4C84" w14:textId="77777777" w:rsidR="000E75F5" w:rsidRDefault="000E75F5">
      <w:r>
        <w:continuationSeparator/>
      </w:r>
    </w:p>
    <w:p w14:paraId="67DD552B" w14:textId="77777777" w:rsidR="000E75F5" w:rsidRDefault="000E7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14AA36D" w:rsidR="00232490" w:rsidRPr="00581136" w:rsidRDefault="00232490" w:rsidP="005A79E5">
    <w:pPr>
      <w:pStyle w:val="Footer"/>
      <w:pBdr>
        <w:bottom w:val="single" w:sz="4" w:space="1" w:color="auto"/>
      </w:pBdr>
      <w:tabs>
        <w:tab w:val="right" w:pos="9639"/>
      </w:tabs>
      <w:rPr>
        <w:b/>
      </w:rPr>
    </w:pPr>
    <w:r w:rsidRPr="00581136">
      <w:rPr>
        <w:b/>
      </w:rPr>
      <w:t>Released 20</w:t>
    </w:r>
    <w:r>
      <w:rPr>
        <w:b/>
      </w:rPr>
      <w:t>2</w:t>
    </w:r>
    <w:r w:rsidR="000D48EB">
      <w:rPr>
        <w:b/>
      </w:rPr>
      <w:t>3</w:t>
    </w:r>
    <w:r w:rsidRPr="00581136">
      <w:rPr>
        <w:b/>
      </w:rPr>
      <w:tab/>
      <w:t>health.govt.nz</w:t>
    </w:r>
  </w:p>
  <w:p w14:paraId="524869F6" w14:textId="77777777" w:rsidR="00232490" w:rsidRPr="005A79E5" w:rsidRDefault="0023249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232490" w:rsidRDefault="0023249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232490" w:rsidRDefault="00232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232490" w14:paraId="4C3A3BF7" w14:textId="77777777" w:rsidTr="00D662F8">
      <w:trPr>
        <w:cantSplit/>
      </w:trPr>
      <w:tc>
        <w:tcPr>
          <w:tcW w:w="709" w:type="dxa"/>
          <w:vAlign w:val="center"/>
        </w:tcPr>
        <w:p w14:paraId="28F87ED7" w14:textId="77777777" w:rsidR="00232490" w:rsidRPr="00931466" w:rsidRDefault="0023249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4A394FCE" w:rsidR="00232490" w:rsidRDefault="00A27D16" w:rsidP="00926083">
          <w:pPr>
            <w:pStyle w:val="RectoFooter"/>
            <w:jc w:val="left"/>
          </w:pPr>
          <w:r w:rsidRPr="00A27D16">
            <w:t>Equity-focused Commissioning in Three Regions –Lakes</w:t>
          </w:r>
          <w:r w:rsidR="00226DD6">
            <w:t xml:space="preserve">, </w:t>
          </w:r>
          <w:r w:rsidRPr="00A27D16">
            <w:t>Tairāwhiti</w:t>
          </w:r>
          <w:r w:rsidR="00226DD6">
            <w:t xml:space="preserve"> and </w:t>
          </w:r>
          <w:r w:rsidR="00226DD6" w:rsidRPr="00A27D16">
            <w:t>Hawke’s Bay</w:t>
          </w:r>
          <w:r w:rsidR="00226DD6">
            <w:t>:</w:t>
          </w:r>
          <w:r>
            <w:br/>
          </w:r>
          <w:r w:rsidRPr="00A27D16">
            <w:t>Commissioning for Pae Ora | Healthy Futures case study</w:t>
          </w:r>
        </w:p>
      </w:tc>
    </w:tr>
  </w:tbl>
  <w:p w14:paraId="711B5D80" w14:textId="77777777" w:rsidR="00232490" w:rsidRPr="00571223" w:rsidRDefault="0023249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232490" w14:paraId="58AAB149" w14:textId="77777777" w:rsidTr="00D662F8">
      <w:trPr>
        <w:cantSplit/>
      </w:trPr>
      <w:tc>
        <w:tcPr>
          <w:tcW w:w="8080" w:type="dxa"/>
          <w:vAlign w:val="center"/>
        </w:tcPr>
        <w:p w14:paraId="20E2F0CC" w14:textId="114696A5" w:rsidR="00232490" w:rsidRDefault="00A27D16" w:rsidP="00926083">
          <w:pPr>
            <w:pStyle w:val="RectoFooter"/>
          </w:pPr>
          <w:r w:rsidRPr="00A27D16">
            <w:t xml:space="preserve">Equity-focused Commissioning in Three Regions – Hawke’s Bay, Lakes and Tairāwhiti: </w:t>
          </w:r>
          <w:r>
            <w:br/>
          </w:r>
          <w:r w:rsidRPr="00A27D16">
            <w:t>Commissioning for Pae Ora | Healthy Futures case study</w:t>
          </w:r>
        </w:p>
      </w:tc>
      <w:tc>
        <w:tcPr>
          <w:tcW w:w="709" w:type="dxa"/>
          <w:vAlign w:val="center"/>
        </w:tcPr>
        <w:p w14:paraId="3D3C9847" w14:textId="77777777" w:rsidR="00232490" w:rsidRPr="00931466" w:rsidRDefault="0023249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232490" w:rsidRPr="00581EB8" w:rsidRDefault="0023249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12CA9" w14:paraId="4EAFC3CD" w14:textId="77777777" w:rsidTr="00421D84">
      <w:trPr>
        <w:cantSplit/>
      </w:trPr>
      <w:tc>
        <w:tcPr>
          <w:tcW w:w="8080" w:type="dxa"/>
          <w:vAlign w:val="center"/>
        </w:tcPr>
        <w:p w14:paraId="3F5044EA" w14:textId="77777777" w:rsidR="00112CA9" w:rsidRDefault="00112CA9" w:rsidP="00112CA9">
          <w:pPr>
            <w:pStyle w:val="RectoFooter"/>
          </w:pPr>
          <w:r w:rsidRPr="00A27D16">
            <w:t xml:space="preserve">Equity-focused Commissioning in Three Regions – Hawke’s Bay, Lakes and Tairāwhiti: </w:t>
          </w:r>
          <w:r>
            <w:br/>
          </w:r>
          <w:r w:rsidRPr="00A27D16">
            <w:t>Commissioning for Pae Ora | Healthy Futures case study</w:t>
          </w:r>
        </w:p>
      </w:tc>
      <w:tc>
        <w:tcPr>
          <w:tcW w:w="709" w:type="dxa"/>
          <w:vAlign w:val="center"/>
        </w:tcPr>
        <w:p w14:paraId="0570AD29" w14:textId="77777777" w:rsidR="00112CA9" w:rsidRPr="00931466" w:rsidRDefault="00112CA9" w:rsidP="00112CA9">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02A4796F" w14:textId="77777777" w:rsidR="00232490" w:rsidRPr="00581EB8" w:rsidRDefault="0023249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5B0C" w14:textId="77777777" w:rsidR="000E75F5" w:rsidRPr="00A26E6B" w:rsidRDefault="000E75F5" w:rsidP="00A26E6B"/>
  </w:footnote>
  <w:footnote w:type="continuationSeparator" w:id="0">
    <w:p w14:paraId="7F85FE5E" w14:textId="77777777" w:rsidR="000E75F5" w:rsidRDefault="000E75F5">
      <w:r>
        <w:continuationSeparator/>
      </w:r>
    </w:p>
    <w:p w14:paraId="527C58AE" w14:textId="77777777" w:rsidR="000E75F5" w:rsidRDefault="000E75F5"/>
  </w:footnote>
  <w:footnote w:id="1">
    <w:p w14:paraId="03C4CFD2" w14:textId="77777777" w:rsidR="00232490" w:rsidRPr="009910EB" w:rsidRDefault="00232490" w:rsidP="00332318">
      <w:pPr>
        <w:pStyle w:val="FootnoteText"/>
        <w:rPr>
          <w:lang w:val="en-GB"/>
        </w:rPr>
      </w:pPr>
      <w:r w:rsidRPr="00C07E89">
        <w:rPr>
          <w:rStyle w:val="FootnoteReference"/>
          <w:rFonts w:ascii="Calibri Light" w:hAnsi="Calibri Light" w:cs="Calibri Light"/>
          <w:szCs w:val="18"/>
        </w:rPr>
        <w:footnoteRef/>
      </w:r>
      <w:r w:rsidRPr="00C07E89">
        <w:rPr>
          <w:rFonts w:ascii="Calibri Light" w:hAnsi="Calibri Light" w:cs="Calibri Light"/>
        </w:rPr>
        <w:t xml:space="preserve"> </w:t>
      </w:r>
      <w:proofErr w:type="spellStart"/>
      <w:r w:rsidRPr="004A12C8">
        <w:t>Te</w:t>
      </w:r>
      <w:proofErr w:type="spellEnd"/>
      <w:r w:rsidRPr="004A12C8">
        <w:t xml:space="preserve"> Manawa </w:t>
      </w:r>
      <w:proofErr w:type="spellStart"/>
      <w:r w:rsidRPr="004A12C8">
        <w:t>R</w:t>
      </w:r>
      <w:r w:rsidRPr="009910EB">
        <w:t>ahi</w:t>
      </w:r>
      <w:proofErr w:type="spellEnd"/>
      <w:r w:rsidRPr="009910EB">
        <w:t xml:space="preserve"> is Lakes DHB</w:t>
      </w:r>
      <w:r>
        <w:t>’s</w:t>
      </w:r>
      <w:r w:rsidRPr="009910EB">
        <w:t xml:space="preserve"> Strategic Plan. </w:t>
      </w:r>
      <w:r w:rsidRPr="009910EB">
        <w:rPr>
          <w:lang w:val="en-GB"/>
        </w:rPr>
        <w:t>Iwi Mana Whenua contributed to its development.</w:t>
      </w:r>
    </w:p>
  </w:footnote>
  <w:footnote w:id="2">
    <w:p w14:paraId="30655D91" w14:textId="77777777" w:rsidR="00232490" w:rsidRPr="009910EB" w:rsidRDefault="00232490" w:rsidP="00332318">
      <w:pPr>
        <w:pStyle w:val="FootnoteText"/>
      </w:pPr>
      <w:r w:rsidRPr="009910EB">
        <w:rPr>
          <w:rStyle w:val="FootnoteReference"/>
          <w:rFonts w:asciiTheme="majorHAnsi" w:hAnsiTheme="majorHAnsi" w:cstheme="majorHAnsi"/>
          <w:szCs w:val="18"/>
        </w:rPr>
        <w:footnoteRef/>
      </w:r>
      <w:r w:rsidRPr="009910EB">
        <w:t xml:space="preserve"> Lakes DHB</w:t>
      </w:r>
      <w:r>
        <w:t>. 2021.</w:t>
      </w:r>
      <w:r w:rsidRPr="009910EB">
        <w:t xml:space="preserve"> Planned Care Improvement Innovation Report</w:t>
      </w:r>
      <w:r>
        <w:t>.</w:t>
      </w:r>
      <w:r w:rsidRPr="009910EB">
        <w:t xml:space="preserve"> </w:t>
      </w:r>
      <w:r>
        <w:t>U</w:t>
      </w:r>
      <w:r w:rsidRPr="009910EB">
        <w:t>npublished.</w:t>
      </w:r>
    </w:p>
  </w:footnote>
  <w:footnote w:id="3">
    <w:p w14:paraId="3BC358F2" w14:textId="77777777" w:rsidR="00232490" w:rsidRPr="009910EB" w:rsidRDefault="00232490" w:rsidP="00332318">
      <w:pPr>
        <w:pStyle w:val="FootnoteText"/>
      </w:pPr>
      <w:r w:rsidRPr="009910EB">
        <w:rPr>
          <w:rStyle w:val="FootnoteReference"/>
          <w:rFonts w:asciiTheme="majorHAnsi" w:hAnsiTheme="majorHAnsi" w:cstheme="majorHAnsi"/>
          <w:szCs w:val="18"/>
        </w:rPr>
        <w:footnoteRef/>
      </w:r>
      <w:r w:rsidRPr="009910EB">
        <w:t xml:space="preserve"> </w:t>
      </w:r>
      <w:r>
        <w:t xml:space="preserve">Te Piringa Whānau-centred Māori and Pacific Led Primary Health Care Case Studies 2020. </w:t>
      </w:r>
      <w:r w:rsidRPr="009910EB">
        <w:t>Savage et al, 2020.</w:t>
      </w:r>
    </w:p>
  </w:footnote>
  <w:footnote w:id="4">
    <w:p w14:paraId="50380A83" w14:textId="77777777" w:rsidR="00232490" w:rsidRPr="005D6651" w:rsidRDefault="00232490" w:rsidP="00332318">
      <w:pPr>
        <w:pStyle w:val="FootnoteText"/>
      </w:pPr>
      <w:r w:rsidRPr="009910EB">
        <w:rPr>
          <w:rStyle w:val="FootnoteReference"/>
          <w:rFonts w:asciiTheme="majorHAnsi" w:hAnsiTheme="majorHAnsi" w:cstheme="majorHAnsi"/>
          <w:szCs w:val="18"/>
        </w:rPr>
        <w:footnoteRef/>
      </w:r>
      <w:r w:rsidRPr="009910EB">
        <w:rPr>
          <w:rFonts w:asciiTheme="majorHAnsi" w:hAnsiTheme="majorHAnsi" w:cstheme="majorHAnsi"/>
        </w:rPr>
        <w:t xml:space="preserve"> </w:t>
      </w:r>
      <w:r w:rsidRPr="00A77804">
        <w:t>Te Pou Matakana trad</w:t>
      </w:r>
      <w:r>
        <w:t>es</w:t>
      </w:r>
      <w:r w:rsidRPr="00A77804">
        <w:t xml:space="preserve"> as </w:t>
      </w:r>
      <w:r>
        <w:t xml:space="preserve">the </w:t>
      </w:r>
      <w:r w:rsidRPr="00A77804">
        <w:t>Whā</w:t>
      </w:r>
      <w:r w:rsidRPr="005D6651">
        <w:t>nau Ora Commissioning Agency</w:t>
      </w:r>
      <w:r>
        <w:t>.</w:t>
      </w:r>
      <w:r w:rsidRPr="005D6651">
        <w:t xml:space="preserve"> </w:t>
      </w:r>
    </w:p>
  </w:footnote>
  <w:footnote w:id="5">
    <w:p w14:paraId="10F83230" w14:textId="77777777" w:rsidR="00232490" w:rsidRPr="005D6651" w:rsidRDefault="00232490" w:rsidP="00332318">
      <w:pPr>
        <w:pStyle w:val="FootnoteText"/>
      </w:pPr>
      <w:r w:rsidRPr="005D6651">
        <w:rPr>
          <w:rStyle w:val="FootnoteReference"/>
          <w:rFonts w:ascii="Calibri Light" w:hAnsi="Calibri Light" w:cs="Calibri Light"/>
          <w:szCs w:val="18"/>
        </w:rPr>
        <w:footnoteRef/>
      </w:r>
      <w:r w:rsidRPr="005D6651">
        <w:t xml:space="preserve"> Two Collective Impact initiatives.  </w:t>
      </w:r>
    </w:p>
  </w:footnote>
  <w:footnote w:id="6">
    <w:p w14:paraId="1CAA12D0" w14:textId="77777777" w:rsidR="00232490" w:rsidRPr="00072FF8" w:rsidRDefault="00232490" w:rsidP="00332318">
      <w:pPr>
        <w:pStyle w:val="FootnoteText"/>
        <w:rPr>
          <w:lang w:val="en-GB"/>
        </w:rPr>
      </w:pPr>
      <w:r w:rsidRPr="005D6651">
        <w:rPr>
          <w:rStyle w:val="FootnoteReference"/>
          <w:rFonts w:ascii="Calibri Light" w:hAnsi="Calibri Light" w:cs="Calibri Light"/>
          <w:szCs w:val="18"/>
        </w:rPr>
        <w:footnoteRef/>
      </w:r>
      <w:r w:rsidRPr="005D6651">
        <w:rPr>
          <w:rFonts w:ascii="Calibri Light" w:hAnsi="Calibri Light" w:cs="Calibri Light"/>
        </w:rPr>
        <w:t xml:space="preserve"> </w:t>
      </w:r>
      <w:r w:rsidRPr="00D80A37">
        <w:t xml:space="preserve">Lakes </w:t>
      </w:r>
      <w:r>
        <w:t xml:space="preserve">DHB. 2020. </w:t>
      </w:r>
      <w:r w:rsidRPr="00D80A37">
        <w:t>Internal report</w:t>
      </w:r>
      <w:r>
        <w:t xml:space="preserve">. </w:t>
      </w:r>
      <w:r w:rsidRPr="00072FF8">
        <w:rPr>
          <w:lang w:val="en-GB"/>
        </w:rPr>
        <w:t xml:space="preserve">Unpublished. </w:t>
      </w:r>
    </w:p>
  </w:footnote>
  <w:footnote w:id="7">
    <w:p w14:paraId="43A071F4" w14:textId="77777777" w:rsidR="00232490" w:rsidRPr="00072FF8" w:rsidRDefault="00232490" w:rsidP="00332318">
      <w:pPr>
        <w:pStyle w:val="FootnoteText"/>
        <w:rPr>
          <w:lang w:val="en-GB"/>
        </w:rPr>
      </w:pPr>
      <w:r w:rsidRPr="00072FF8">
        <w:rPr>
          <w:rStyle w:val="FootnoteReference"/>
          <w:rFonts w:asciiTheme="majorHAnsi" w:hAnsiTheme="majorHAnsi" w:cstheme="majorHAnsi"/>
          <w:szCs w:val="18"/>
        </w:rPr>
        <w:footnoteRef/>
      </w:r>
      <w:r w:rsidRPr="00072FF8">
        <w:t xml:space="preserve"> </w:t>
      </w:r>
      <w:r w:rsidRPr="00072FF8">
        <w:rPr>
          <w:lang w:val="en-GB"/>
        </w:rPr>
        <w:t xml:space="preserve">Whānau Ora Collective Impact initiatives are funded for a period of two years. </w:t>
      </w:r>
    </w:p>
  </w:footnote>
  <w:footnote w:id="8">
    <w:p w14:paraId="7D4086E9" w14:textId="77777777" w:rsidR="00232490" w:rsidRDefault="00232490" w:rsidP="00332318">
      <w:pPr>
        <w:pStyle w:val="FootnoteText"/>
      </w:pPr>
      <w:r>
        <w:rPr>
          <w:rStyle w:val="FootnoteReference"/>
        </w:rPr>
        <w:footnoteRef/>
      </w:r>
      <w:r>
        <w:t xml:space="preserve"> </w:t>
      </w:r>
      <w:r w:rsidRPr="009B7F73">
        <w:rPr>
          <w:rFonts w:cstheme="minorHAnsi"/>
        </w:rPr>
        <w:t>Lakes DHB</w:t>
      </w:r>
      <w:r>
        <w:rPr>
          <w:rFonts w:cstheme="minorHAnsi"/>
        </w:rPr>
        <w:t>. 2021.</w:t>
      </w:r>
      <w:r w:rsidRPr="009B7F73">
        <w:rPr>
          <w:rFonts w:cstheme="minorHAnsi"/>
        </w:rPr>
        <w:t xml:space="preserve"> Planned Care Improvement Innovation Report</w:t>
      </w:r>
      <w:r>
        <w:rPr>
          <w:rFonts w:cstheme="minorHAnsi"/>
        </w:rPr>
        <w:t>.</w:t>
      </w:r>
      <w:r w:rsidRPr="009B7F73">
        <w:rPr>
          <w:rFonts w:cstheme="minorHAnsi"/>
        </w:rPr>
        <w:t xml:space="preserve"> </w:t>
      </w:r>
      <w:r>
        <w:rPr>
          <w:rFonts w:cstheme="minorHAnsi"/>
        </w:rPr>
        <w:t>U</w:t>
      </w:r>
      <w:r w:rsidRPr="009B7F73">
        <w:rPr>
          <w:rFonts w:cstheme="minorHAnsi"/>
        </w:rPr>
        <w:t>npublished.</w:t>
      </w:r>
    </w:p>
  </w:footnote>
  <w:footnote w:id="9">
    <w:p w14:paraId="43DE2B83" w14:textId="77777777" w:rsidR="00232490" w:rsidRPr="00DB1867" w:rsidRDefault="00232490" w:rsidP="00232490">
      <w:pPr>
        <w:pStyle w:val="FootnoteText"/>
        <w:rPr>
          <w:lang w:val="en-GB"/>
        </w:rPr>
      </w:pPr>
      <w:r w:rsidRPr="00DB1867">
        <w:rPr>
          <w:rStyle w:val="FootnoteReference"/>
          <w:rFonts w:asciiTheme="majorHAnsi" w:hAnsiTheme="majorHAnsi" w:cstheme="majorHAnsi"/>
          <w:szCs w:val="18"/>
        </w:rPr>
        <w:footnoteRef/>
      </w:r>
      <w:r w:rsidRPr="00DB1867">
        <w:t xml:space="preserve"> </w:t>
      </w:r>
      <w:r w:rsidRPr="00DB1867">
        <w:rPr>
          <w:lang w:val="en-GB"/>
        </w:rPr>
        <w:t xml:space="preserve">Drawn from consultation documentation. </w:t>
      </w:r>
    </w:p>
  </w:footnote>
  <w:footnote w:id="10">
    <w:p w14:paraId="3D38169C" w14:textId="77777777" w:rsidR="00232490" w:rsidRPr="00DB1867" w:rsidRDefault="00232490" w:rsidP="00232490">
      <w:pPr>
        <w:pStyle w:val="FootnoteText"/>
        <w:rPr>
          <w:lang w:val="en-GB"/>
        </w:rPr>
      </w:pPr>
      <w:r w:rsidRPr="00420756">
        <w:rPr>
          <w:rStyle w:val="FootnoteReference"/>
          <w:rFonts w:ascii="Calibri Light" w:hAnsi="Calibri Light" w:cs="Calibri Light"/>
          <w:szCs w:val="18"/>
        </w:rPr>
        <w:footnoteRef/>
      </w:r>
      <w:r w:rsidRPr="00420756">
        <w:rPr>
          <w:rFonts w:ascii="Calibri Light" w:hAnsi="Calibri Light" w:cs="Calibri Light"/>
        </w:rPr>
        <w:t xml:space="preserve"> </w:t>
      </w:r>
      <w:r w:rsidRPr="00DB1867">
        <w:rPr>
          <w:lang w:val="en-GB"/>
        </w:rPr>
        <w:t>Drawn directly from whānau feedback to shift</w:t>
      </w:r>
      <w:r>
        <w:rPr>
          <w:lang w:val="en-GB"/>
        </w:rPr>
        <w:t xml:space="preserve"> the</w:t>
      </w:r>
      <w:r w:rsidRPr="00DB1867">
        <w:rPr>
          <w:lang w:val="en-GB"/>
        </w:rPr>
        <w:t xml:space="preserve"> focus from a systems definition of health to </w:t>
      </w:r>
      <w:r>
        <w:rPr>
          <w:lang w:val="en-GB"/>
        </w:rPr>
        <w:t xml:space="preserve">a </w:t>
      </w:r>
      <w:r w:rsidRPr="00DB1867">
        <w:rPr>
          <w:lang w:val="en-GB"/>
        </w:rPr>
        <w:t xml:space="preserve">whānau definition of wellbeing. </w:t>
      </w:r>
    </w:p>
  </w:footnote>
  <w:footnote w:id="11">
    <w:p w14:paraId="2BC8263B" w14:textId="77777777" w:rsidR="00232490" w:rsidRPr="00916BE0" w:rsidRDefault="00232490" w:rsidP="00232490">
      <w:pPr>
        <w:pStyle w:val="FootnoteText"/>
        <w:rPr>
          <w:lang w:val="en-GB"/>
        </w:rPr>
      </w:pPr>
      <w:r w:rsidRPr="00916BE0">
        <w:rPr>
          <w:rStyle w:val="FootnoteReference"/>
          <w:rFonts w:ascii="Calibri Light" w:hAnsi="Calibri Light" w:cs="Calibri Light"/>
          <w:szCs w:val="18"/>
        </w:rPr>
        <w:footnoteRef/>
      </w:r>
      <w:r w:rsidRPr="00916BE0">
        <w:t xml:space="preserve"> The initial conceptual </w:t>
      </w:r>
      <w:r>
        <w:t xml:space="preserve">request for </w:t>
      </w:r>
      <w:r w:rsidRPr="00916BE0">
        <w:t>proposal included Pinnacle Midlands Primary Health Organisation. As the initiative developed</w:t>
      </w:r>
      <w:r>
        <w:t>,</w:t>
      </w:r>
      <w:r w:rsidRPr="00916BE0">
        <w:t xml:space="preserve"> Pinnacle withdrew. It was felt that </w:t>
      </w:r>
      <w:r w:rsidRPr="00916BE0">
        <w:rPr>
          <w:i/>
          <w:iCs/>
        </w:rPr>
        <w:t>‘</w:t>
      </w:r>
      <w:r w:rsidRPr="001C3FC3">
        <w:t>partnering a kaupapa Māori community-based practice with clinical secondary practice was enough without the added complexities of including general practices</w:t>
      </w:r>
      <w:r>
        <w:t>’</w:t>
      </w:r>
      <w:r w:rsidRPr="001C3FC3">
        <w:t>.</w:t>
      </w:r>
    </w:p>
  </w:footnote>
  <w:footnote w:id="12">
    <w:p w14:paraId="386F6AD1" w14:textId="77777777" w:rsidR="00232490" w:rsidRDefault="00232490" w:rsidP="00232490">
      <w:pPr>
        <w:pStyle w:val="FootnoteText"/>
      </w:pPr>
      <w:r>
        <w:rPr>
          <w:rStyle w:val="FootnoteReference"/>
        </w:rPr>
        <w:footnoteRef/>
      </w:r>
      <w:r>
        <w:t xml:space="preserve"> </w:t>
      </w:r>
      <w:r w:rsidRPr="00D80A37">
        <w:rPr>
          <w:rFonts w:cstheme="minorHAnsi"/>
        </w:rPr>
        <w:t>PPS Evaluation Report, 2020</w:t>
      </w:r>
      <w:r>
        <w:rPr>
          <w:rFonts w:cstheme="minorHAnsi"/>
        </w:rPr>
        <w:t>.</w:t>
      </w:r>
    </w:p>
  </w:footnote>
  <w:footnote w:id="13">
    <w:p w14:paraId="2561B569" w14:textId="77777777" w:rsidR="00232490" w:rsidRDefault="00232490" w:rsidP="00232490">
      <w:pPr>
        <w:pStyle w:val="FootnoteText"/>
      </w:pPr>
      <w:r>
        <w:rPr>
          <w:rStyle w:val="FootnoteReference"/>
        </w:rPr>
        <w:footnoteRef/>
      </w:r>
      <w:r>
        <w:t xml:space="preserve"> PPS </w:t>
      </w:r>
      <w:r w:rsidRPr="00BD0077">
        <w:t xml:space="preserve">Evaluation </w:t>
      </w:r>
      <w:r>
        <w:t>R</w:t>
      </w:r>
      <w:r w:rsidRPr="00BD0077">
        <w:t xml:space="preserve">eport, 2020, p 16.  </w:t>
      </w:r>
    </w:p>
  </w:footnote>
  <w:footnote w:id="14">
    <w:p w14:paraId="30793CAF" w14:textId="77777777" w:rsidR="00232490" w:rsidRPr="00EA6E07" w:rsidRDefault="00232490" w:rsidP="00232490">
      <w:pPr>
        <w:pStyle w:val="FootnoteText"/>
      </w:pPr>
      <w:r>
        <w:rPr>
          <w:rStyle w:val="FootnoteReference"/>
        </w:rPr>
        <w:footnoteRef/>
      </w:r>
      <w:r>
        <w:t xml:space="preserve"> PPS </w:t>
      </w:r>
      <w:r w:rsidRPr="004E2725">
        <w:t xml:space="preserve">Evaluation </w:t>
      </w:r>
      <w:r>
        <w:t>R</w:t>
      </w:r>
      <w:r w:rsidRPr="004E2725">
        <w:t xml:space="preserve">eport, 2020. </w:t>
      </w:r>
      <w:r>
        <w:t xml:space="preserve">p </w:t>
      </w:r>
      <w:r w:rsidRPr="004E2725">
        <w:t>38</w:t>
      </w:r>
      <w:r>
        <w:t>.</w:t>
      </w:r>
    </w:p>
  </w:footnote>
  <w:footnote w:id="15">
    <w:p w14:paraId="3619E09D" w14:textId="77777777" w:rsidR="00232490" w:rsidRPr="00A07F17" w:rsidRDefault="00232490" w:rsidP="00232490">
      <w:pPr>
        <w:pStyle w:val="FootnoteText"/>
        <w:rPr>
          <w:lang w:val="en-GB"/>
        </w:rPr>
      </w:pPr>
      <w:r w:rsidRPr="00A07F17">
        <w:rPr>
          <w:rStyle w:val="FootnoteReference"/>
          <w:rFonts w:ascii="Calibri Light" w:hAnsi="Calibri Light" w:cs="Calibri Light"/>
          <w:szCs w:val="18"/>
        </w:rPr>
        <w:footnoteRef/>
      </w:r>
      <w:r>
        <w:t xml:space="preserve"> </w:t>
      </w:r>
      <w:r w:rsidRPr="00A07F17">
        <w:t xml:space="preserve">For example, </w:t>
      </w:r>
      <w:proofErr w:type="spellStart"/>
      <w:r w:rsidRPr="00A07F17">
        <w:t>Ngāti</w:t>
      </w:r>
      <w:proofErr w:type="spellEnd"/>
      <w:r w:rsidRPr="00A07F17">
        <w:t xml:space="preserve"> </w:t>
      </w:r>
      <w:proofErr w:type="spellStart"/>
      <w:r w:rsidRPr="00A07F17">
        <w:t>Porou</w:t>
      </w:r>
      <w:proofErr w:type="spellEnd"/>
      <w:r w:rsidRPr="00A07F17">
        <w:t xml:space="preserve"> Hauora and </w:t>
      </w:r>
      <w:proofErr w:type="spellStart"/>
      <w:r w:rsidRPr="00A07F17">
        <w:t>Te</w:t>
      </w:r>
      <w:proofErr w:type="spellEnd"/>
      <w:r w:rsidRPr="00A07F17">
        <w:t xml:space="preserve"> </w:t>
      </w:r>
      <w:proofErr w:type="spellStart"/>
      <w:r w:rsidRPr="00A07F17">
        <w:t>Kupenga</w:t>
      </w:r>
      <w:proofErr w:type="spellEnd"/>
      <w:r w:rsidRPr="00A07F17">
        <w:t xml:space="preserve"> Net Trust have invested in </w:t>
      </w:r>
      <w:r>
        <w:rPr>
          <w:lang w:val="en-GB"/>
        </w:rPr>
        <w:t>f</w:t>
      </w:r>
      <w:r w:rsidRPr="00A07F17">
        <w:rPr>
          <w:lang w:val="en-GB"/>
        </w:rPr>
        <w:t>eedback</w:t>
      </w:r>
      <w:r>
        <w:rPr>
          <w:lang w:val="en-GB"/>
        </w:rPr>
        <w:t>-i</w:t>
      </w:r>
      <w:r w:rsidRPr="00A07F17">
        <w:rPr>
          <w:lang w:val="en-GB"/>
        </w:rPr>
        <w:t xml:space="preserve">nformed </w:t>
      </w:r>
      <w:r>
        <w:rPr>
          <w:lang w:val="en-GB"/>
        </w:rPr>
        <w:t>t</w:t>
      </w:r>
      <w:r w:rsidRPr="00A07F17">
        <w:rPr>
          <w:lang w:val="en-GB"/>
        </w:rPr>
        <w:t>reatment</w:t>
      </w:r>
      <w:r>
        <w:rPr>
          <w:lang w:val="en-GB"/>
        </w:rPr>
        <w:t xml:space="preserve"> (FIT</w:t>
      </w:r>
      <w:r w:rsidRPr="00A07F17">
        <w:rPr>
          <w:lang w:val="en-GB"/>
        </w:rPr>
        <w:t>) and My Outcomes</w:t>
      </w:r>
      <w:r>
        <w:rPr>
          <w:lang w:val="en-GB"/>
        </w:rPr>
        <w:t xml:space="preserve"> (ORS) </w:t>
      </w:r>
      <w:r w:rsidRPr="00A07F17">
        <w:rPr>
          <w:lang w:val="en-GB"/>
        </w:rPr>
        <w:t>to capture, respond</w:t>
      </w:r>
      <w:r>
        <w:rPr>
          <w:lang w:val="en-GB"/>
        </w:rPr>
        <w:t xml:space="preserve"> to</w:t>
      </w:r>
      <w:r w:rsidRPr="00A07F17">
        <w:rPr>
          <w:lang w:val="en-GB"/>
        </w:rPr>
        <w:t xml:space="preserve"> and adapt to wh</w:t>
      </w:r>
      <w:r>
        <w:rPr>
          <w:lang w:val="en-GB"/>
        </w:rPr>
        <w:t>ān</w:t>
      </w:r>
      <w:r w:rsidRPr="00A07F17">
        <w:rPr>
          <w:lang w:val="en-GB"/>
        </w:rPr>
        <w:t xml:space="preserve">au need. </w:t>
      </w:r>
      <w:r>
        <w:rPr>
          <w:lang w:val="en-GB"/>
        </w:rPr>
        <w:t>‘</w:t>
      </w:r>
      <w:r w:rsidRPr="00A07F17">
        <w:t>ORS are designed to be administered at the beginning of treatment as well as throughout to determine progress. The client/whānau perspective of the alliance and their perspective of their progress are two of the greatest predictors of outcomes’</w:t>
      </w:r>
      <w:r>
        <w:t xml:space="preserve"> </w:t>
      </w:r>
      <w:r w:rsidRPr="00A07F17">
        <w:t>(PPS Evaluation Report, 2020)</w:t>
      </w:r>
      <w:r>
        <w:t>.</w:t>
      </w:r>
    </w:p>
  </w:footnote>
  <w:footnote w:id="16">
    <w:p w14:paraId="19CAB51D" w14:textId="77777777" w:rsidR="00232490" w:rsidRDefault="00232490" w:rsidP="00232490">
      <w:pPr>
        <w:pStyle w:val="FootnoteText"/>
      </w:pPr>
      <w:r>
        <w:rPr>
          <w:rStyle w:val="FootnoteReference"/>
        </w:rPr>
        <w:footnoteRef/>
      </w:r>
      <w:r>
        <w:t xml:space="preserve"> </w:t>
      </w:r>
      <w:r w:rsidRPr="00D80A37">
        <w:rPr>
          <w:rFonts w:cstheme="minorHAnsi"/>
          <w:lang w:val="en-GB"/>
        </w:rPr>
        <w:t>Consultation document, 2021</w:t>
      </w:r>
      <w:r>
        <w:rPr>
          <w:rFonts w:cstheme="minorHAnsi"/>
          <w:lang w:val="en-GB"/>
        </w:rPr>
        <w:t>.</w:t>
      </w:r>
    </w:p>
  </w:footnote>
  <w:footnote w:id="17">
    <w:p w14:paraId="5027051D" w14:textId="77777777" w:rsidR="0013779F" w:rsidRDefault="0013779F" w:rsidP="0013779F">
      <w:pPr>
        <w:pStyle w:val="FootnoteText"/>
      </w:pPr>
      <w:r>
        <w:rPr>
          <w:rStyle w:val="FootnoteReference"/>
        </w:rPr>
        <w:footnoteRef/>
      </w:r>
      <w:r>
        <w:t xml:space="preserve"> Hawke’s Bay District Health Board. 2018. </w:t>
      </w:r>
      <w:r w:rsidRPr="001C3FC3">
        <w:rPr>
          <w:rFonts w:cstheme="minorBidi"/>
          <w:i/>
          <w:iCs/>
        </w:rPr>
        <w:t>Health Equity Report</w:t>
      </w:r>
      <w:r>
        <w:rPr>
          <w:i/>
          <w:iCs/>
        </w:rPr>
        <w:t xml:space="preserve">. </w:t>
      </w:r>
      <w:r>
        <w:t>Hastings: Hawke’s Bay District Health Board</w:t>
      </w:r>
      <w:r w:rsidRPr="00BD44A5">
        <w:t>, p</w:t>
      </w:r>
      <w:r>
        <w:t> </w:t>
      </w:r>
      <w:r w:rsidRPr="00BD44A5">
        <w:t>9</w:t>
      </w:r>
      <w:r>
        <w:t>.</w:t>
      </w:r>
    </w:p>
  </w:footnote>
  <w:footnote w:id="18">
    <w:p w14:paraId="03FC028E" w14:textId="77777777" w:rsidR="0013779F" w:rsidRDefault="0013779F" w:rsidP="0013779F">
      <w:pPr>
        <w:pStyle w:val="FootnoteText"/>
      </w:pPr>
      <w:r>
        <w:rPr>
          <w:rStyle w:val="FootnoteReference"/>
        </w:rPr>
        <w:footnoteRef/>
      </w:r>
      <w:r>
        <w:t xml:space="preserve"> </w:t>
      </w:r>
      <w:r w:rsidRPr="00792390">
        <w:t>Hawke’s Bay DHB.</w:t>
      </w:r>
      <w:r>
        <w:t xml:space="preserve"> </w:t>
      </w:r>
      <w:proofErr w:type="spellStart"/>
      <w:r>
        <w:t>nd</w:t>
      </w:r>
      <w:proofErr w:type="spellEnd"/>
      <w:r>
        <w:t>.</w:t>
      </w:r>
      <w:r w:rsidRPr="00792390">
        <w:t xml:space="preserve"> </w:t>
      </w:r>
      <w:r w:rsidRPr="001C3FC3">
        <w:rPr>
          <w:i/>
          <w:iCs/>
        </w:rPr>
        <w:t xml:space="preserve">Hawke’s Bay </w:t>
      </w:r>
      <w:r w:rsidRPr="001C3FC3">
        <w:rPr>
          <w:rFonts w:cstheme="minorBidi"/>
          <w:i/>
          <w:iCs/>
        </w:rPr>
        <w:t>Health Equity Framework</w:t>
      </w:r>
      <w:r>
        <w:rPr>
          <w:rFonts w:ascii="Calibri Light" w:hAnsi="Calibri Light" w:cs="Calibri Light"/>
        </w:rPr>
        <w:t xml:space="preserve">. </w:t>
      </w:r>
      <w:r w:rsidRPr="001C3FC3">
        <w:rPr>
          <w:rFonts w:cstheme="minorBidi"/>
        </w:rPr>
        <w:t>Hastings: Hawke’s Bay DHB, p 4.</w:t>
      </w:r>
    </w:p>
  </w:footnote>
  <w:footnote w:id="19">
    <w:p w14:paraId="75FAACF7" w14:textId="77777777" w:rsidR="0013779F" w:rsidRDefault="0013779F" w:rsidP="0013779F">
      <w:pPr>
        <w:pStyle w:val="FootnoteText"/>
      </w:pPr>
      <w:r>
        <w:rPr>
          <w:rStyle w:val="FootnoteReference"/>
        </w:rPr>
        <w:footnoteRef/>
      </w:r>
      <w:r>
        <w:t xml:space="preserve"> </w:t>
      </w:r>
      <w:r>
        <w:rPr>
          <w:lang w:val="en-GB"/>
        </w:rPr>
        <w:t xml:space="preserve">Hawke’s Bay DHB. 2020. </w:t>
      </w:r>
      <w:r>
        <w:rPr>
          <w:i/>
          <w:iCs/>
          <w:lang w:val="en-GB"/>
        </w:rPr>
        <w:t>Hawke’s Bay District Health Board Annual Plan 2020/21</w:t>
      </w:r>
      <w:r>
        <w:t>. Hastings: Hawke’s Bay DHB.</w:t>
      </w:r>
    </w:p>
  </w:footnote>
  <w:footnote w:id="20">
    <w:p w14:paraId="2CCA8674" w14:textId="77777777" w:rsidR="0013779F" w:rsidRPr="00BB5246" w:rsidRDefault="0013779F" w:rsidP="0013779F">
      <w:pPr>
        <w:pStyle w:val="FootnoteText"/>
        <w:rPr>
          <w:lang w:val="en-GB"/>
        </w:rPr>
      </w:pPr>
      <w:r w:rsidRPr="00BB5246">
        <w:rPr>
          <w:rStyle w:val="FootnoteReference"/>
          <w:szCs w:val="18"/>
        </w:rPr>
        <w:footnoteRef/>
      </w:r>
      <w:r w:rsidRPr="00BB5246">
        <w:t xml:space="preserve"> Measuring broader health gains will commence in the </w:t>
      </w:r>
      <w:r>
        <w:t>second</w:t>
      </w:r>
      <w:r w:rsidRPr="00BB5246">
        <w:t xml:space="preserve"> year of the production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232490" w:rsidRDefault="00232490" w:rsidP="00533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232490" w:rsidRDefault="0023249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08CED6"/>
    <w:lvl w:ilvl="0">
      <w:start w:val="1"/>
      <w:numFmt w:val="bullet"/>
      <w:pStyle w:val="ListBullet2"/>
      <w:lvlText w:val="-"/>
      <w:lvlJc w:val="left"/>
      <w:pPr>
        <w:ind w:left="717" w:hanging="360"/>
      </w:pPr>
      <w:rPr>
        <w:rFonts w:ascii="Courier New" w:hAnsi="Courier New" w:hint="default"/>
      </w:rPr>
    </w:lvl>
  </w:abstractNum>
  <w:abstractNum w:abstractNumId="1" w15:restartNumberingAfterBreak="0">
    <w:nsid w:val="FFFFFF88"/>
    <w:multiLevelType w:val="singleLevel"/>
    <w:tmpl w:val="164262E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145697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E90FFA"/>
    <w:multiLevelType w:val="hybridMultilevel"/>
    <w:tmpl w:val="5BC2B37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6" w15:restartNumberingAfterBreak="0">
    <w:nsid w:val="06437749"/>
    <w:multiLevelType w:val="hybridMultilevel"/>
    <w:tmpl w:val="FA9017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94C5A25"/>
    <w:multiLevelType w:val="hybridMultilevel"/>
    <w:tmpl w:val="D3840FD0"/>
    <w:lvl w:ilvl="0" w:tplc="B5C83AFA">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0"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11"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13"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6"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8" w15:restartNumberingAfterBreak="0">
    <w:nsid w:val="27285840"/>
    <w:multiLevelType w:val="hybridMultilevel"/>
    <w:tmpl w:val="BD8E7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5"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6" w15:restartNumberingAfterBreak="0">
    <w:nsid w:val="59206C51"/>
    <w:multiLevelType w:val="hybridMultilevel"/>
    <w:tmpl w:val="7EF29962"/>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7"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9"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0" w15:restartNumberingAfterBreak="0">
    <w:nsid w:val="61222206"/>
    <w:multiLevelType w:val="hybridMultilevel"/>
    <w:tmpl w:val="B086A2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3651B"/>
    <w:multiLevelType w:val="hybridMultilevel"/>
    <w:tmpl w:val="EBF25B2E"/>
    <w:lvl w:ilvl="0" w:tplc="1C9855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3"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4"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5"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6"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8"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AAB3941"/>
    <w:multiLevelType w:val="hybridMultilevel"/>
    <w:tmpl w:val="5638297E"/>
    <w:lvl w:ilvl="0" w:tplc="151AD1D0">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02374A"/>
    <w:multiLevelType w:val="hybridMultilevel"/>
    <w:tmpl w:val="84424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1"/>
  </w:num>
  <w:num w:numId="2">
    <w:abstractNumId w:val="32"/>
  </w:num>
  <w:num w:numId="3">
    <w:abstractNumId w:val="22"/>
  </w:num>
  <w:num w:numId="4">
    <w:abstractNumId w:val="23"/>
  </w:num>
  <w:num w:numId="5">
    <w:abstractNumId w:val="4"/>
  </w:num>
  <w:num w:numId="6">
    <w:abstractNumId w:val="43"/>
  </w:num>
  <w:num w:numId="7">
    <w:abstractNumId w:val="19"/>
  </w:num>
  <w:num w:numId="8">
    <w:abstractNumId w:val="7"/>
  </w:num>
  <w:num w:numId="9">
    <w:abstractNumId w:val="38"/>
  </w:num>
  <w:num w:numId="10">
    <w:abstractNumId w:val="5"/>
  </w:num>
  <w:num w:numId="11">
    <w:abstractNumId w:val="36"/>
  </w:num>
  <w:num w:numId="12">
    <w:abstractNumId w:val="9"/>
  </w:num>
  <w:num w:numId="13">
    <w:abstractNumId w:val="13"/>
  </w:num>
  <w:num w:numId="14">
    <w:abstractNumId w:val="11"/>
  </w:num>
  <w:num w:numId="15">
    <w:abstractNumId w:val="14"/>
  </w:num>
  <w:num w:numId="16">
    <w:abstractNumId w:val="27"/>
  </w:num>
  <w:num w:numId="17">
    <w:abstractNumId w:val="16"/>
  </w:num>
  <w:num w:numId="18">
    <w:abstractNumId w:val="34"/>
  </w:num>
  <w:num w:numId="19">
    <w:abstractNumId w:val="17"/>
  </w:num>
  <w:num w:numId="20">
    <w:abstractNumId w:val="25"/>
  </w:num>
  <w:num w:numId="21">
    <w:abstractNumId w:val="12"/>
  </w:num>
  <w:num w:numId="22">
    <w:abstractNumId w:val="10"/>
  </w:num>
  <w:num w:numId="23">
    <w:abstractNumId w:val="29"/>
  </w:num>
  <w:num w:numId="24">
    <w:abstractNumId w:val="28"/>
  </w:num>
  <w:num w:numId="25">
    <w:abstractNumId w:val="42"/>
  </w:num>
  <w:num w:numId="26">
    <w:abstractNumId w:val="20"/>
  </w:num>
  <w:num w:numId="27">
    <w:abstractNumId w:val="35"/>
  </w:num>
  <w:num w:numId="28">
    <w:abstractNumId w:val="33"/>
  </w:num>
  <w:num w:numId="29">
    <w:abstractNumId w:val="24"/>
  </w:num>
  <w:num w:numId="30">
    <w:abstractNumId w:val="15"/>
  </w:num>
  <w:num w:numId="31">
    <w:abstractNumId w:val="37"/>
  </w:num>
  <w:num w:numId="32">
    <w:abstractNumId w:val="21"/>
  </w:num>
  <w:num w:numId="33">
    <w:abstractNumId w:val="30"/>
  </w:num>
  <w:num w:numId="34">
    <w:abstractNumId w:val="2"/>
  </w:num>
  <w:num w:numId="35">
    <w:abstractNumId w:val="8"/>
  </w:num>
  <w:num w:numId="36">
    <w:abstractNumId w:val="3"/>
  </w:num>
  <w:num w:numId="37">
    <w:abstractNumId w:val="1"/>
  </w:num>
  <w:num w:numId="38">
    <w:abstractNumId w:val="0"/>
  </w:num>
  <w:num w:numId="39">
    <w:abstractNumId w:val="26"/>
  </w:num>
  <w:num w:numId="40">
    <w:abstractNumId w:val="1"/>
    <w:lvlOverride w:ilvl="0">
      <w:startOverride w:val="1"/>
    </w:lvlOverride>
  </w:num>
  <w:num w:numId="41">
    <w:abstractNumId w:val="1"/>
    <w:lvlOverride w:ilvl="0">
      <w:startOverride w:val="1"/>
    </w:lvlOverride>
  </w:num>
  <w:num w:numId="42">
    <w:abstractNumId w:val="39"/>
  </w:num>
  <w:num w:numId="43">
    <w:abstractNumId w:val="6"/>
  </w:num>
  <w:num w:numId="44">
    <w:abstractNumId w:val="40"/>
  </w:num>
  <w:num w:numId="45">
    <w:abstractNumId w:val="18"/>
  </w:num>
  <w:num w:numId="46">
    <w:abstractNumId w:val="31"/>
  </w:num>
  <w:num w:numId="47">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4572"/>
    <w:rsid w:val="000247D4"/>
    <w:rsid w:val="00025A6F"/>
    <w:rsid w:val="0002618D"/>
    <w:rsid w:val="00030B26"/>
    <w:rsid w:val="00030E84"/>
    <w:rsid w:val="00032C0A"/>
    <w:rsid w:val="00035257"/>
    <w:rsid w:val="00035D68"/>
    <w:rsid w:val="00054B44"/>
    <w:rsid w:val="0006228D"/>
    <w:rsid w:val="00072BD6"/>
    <w:rsid w:val="00075B78"/>
    <w:rsid w:val="000763E9"/>
    <w:rsid w:val="00077E87"/>
    <w:rsid w:val="00082CD6"/>
    <w:rsid w:val="0008437D"/>
    <w:rsid w:val="00085AFE"/>
    <w:rsid w:val="00086A96"/>
    <w:rsid w:val="00094800"/>
    <w:rsid w:val="000A41ED"/>
    <w:rsid w:val="000B0730"/>
    <w:rsid w:val="000D19F4"/>
    <w:rsid w:val="000D48EB"/>
    <w:rsid w:val="000D58DD"/>
    <w:rsid w:val="000E75F5"/>
    <w:rsid w:val="000F2AE2"/>
    <w:rsid w:val="000F2BFF"/>
    <w:rsid w:val="00102063"/>
    <w:rsid w:val="0010541C"/>
    <w:rsid w:val="00106F93"/>
    <w:rsid w:val="00111D50"/>
    <w:rsid w:val="00112CA9"/>
    <w:rsid w:val="00113B8E"/>
    <w:rsid w:val="0012053C"/>
    <w:rsid w:val="00122363"/>
    <w:rsid w:val="001342C7"/>
    <w:rsid w:val="0013585C"/>
    <w:rsid w:val="0013779F"/>
    <w:rsid w:val="00142261"/>
    <w:rsid w:val="00142954"/>
    <w:rsid w:val="001460E0"/>
    <w:rsid w:val="001472F0"/>
    <w:rsid w:val="00147F71"/>
    <w:rsid w:val="00150A6E"/>
    <w:rsid w:val="0016304B"/>
    <w:rsid w:val="0016468A"/>
    <w:rsid w:val="0018662D"/>
    <w:rsid w:val="00197427"/>
    <w:rsid w:val="001A21B4"/>
    <w:rsid w:val="001A5CF5"/>
    <w:rsid w:val="001B39D2"/>
    <w:rsid w:val="001B4BF8"/>
    <w:rsid w:val="001C4326"/>
    <w:rsid w:val="001C665E"/>
    <w:rsid w:val="001D3541"/>
    <w:rsid w:val="001D3E4E"/>
    <w:rsid w:val="001D5A36"/>
    <w:rsid w:val="001E254A"/>
    <w:rsid w:val="001E7386"/>
    <w:rsid w:val="001F45A7"/>
    <w:rsid w:val="00201A01"/>
    <w:rsid w:val="0020754B"/>
    <w:rsid w:val="002104D3"/>
    <w:rsid w:val="00213A33"/>
    <w:rsid w:val="0021763B"/>
    <w:rsid w:val="002244D1"/>
    <w:rsid w:val="00226DD6"/>
    <w:rsid w:val="00232490"/>
    <w:rsid w:val="00246DB1"/>
    <w:rsid w:val="002476B5"/>
    <w:rsid w:val="002520CC"/>
    <w:rsid w:val="00252B09"/>
    <w:rsid w:val="00253ECF"/>
    <w:rsid w:val="002546A1"/>
    <w:rsid w:val="002628F4"/>
    <w:rsid w:val="00275D08"/>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6924"/>
    <w:rsid w:val="002F4685"/>
    <w:rsid w:val="002F7213"/>
    <w:rsid w:val="0030382F"/>
    <w:rsid w:val="0030408D"/>
    <w:rsid w:val="003060E4"/>
    <w:rsid w:val="00311440"/>
    <w:rsid w:val="003160E7"/>
    <w:rsid w:val="0031739E"/>
    <w:rsid w:val="003309CA"/>
    <w:rsid w:val="00332318"/>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13C5"/>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41CB"/>
    <w:rsid w:val="00455CC9"/>
    <w:rsid w:val="00460826"/>
    <w:rsid w:val="00460EA7"/>
    <w:rsid w:val="0046195B"/>
    <w:rsid w:val="0046362D"/>
    <w:rsid w:val="0046596D"/>
    <w:rsid w:val="00487C04"/>
    <w:rsid w:val="004907E1"/>
    <w:rsid w:val="00496588"/>
    <w:rsid w:val="004A035B"/>
    <w:rsid w:val="004A2108"/>
    <w:rsid w:val="004A38D7"/>
    <w:rsid w:val="004A778C"/>
    <w:rsid w:val="004B48C7"/>
    <w:rsid w:val="004B7D84"/>
    <w:rsid w:val="004C2E6A"/>
    <w:rsid w:val="004C3AC1"/>
    <w:rsid w:val="004C64B8"/>
    <w:rsid w:val="004D2A2D"/>
    <w:rsid w:val="004D479F"/>
    <w:rsid w:val="004D5220"/>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79E5"/>
    <w:rsid w:val="005B675F"/>
    <w:rsid w:val="005D034C"/>
    <w:rsid w:val="005E226E"/>
    <w:rsid w:val="005E2636"/>
    <w:rsid w:val="005F77FC"/>
    <w:rsid w:val="006015D7"/>
    <w:rsid w:val="00601B21"/>
    <w:rsid w:val="006041F0"/>
    <w:rsid w:val="00605C6D"/>
    <w:rsid w:val="006120CA"/>
    <w:rsid w:val="00624174"/>
    <w:rsid w:val="00626CF8"/>
    <w:rsid w:val="006314AF"/>
    <w:rsid w:val="00634ED8"/>
    <w:rsid w:val="00636D7D"/>
    <w:rsid w:val="00637408"/>
    <w:rsid w:val="00640B51"/>
    <w:rsid w:val="00642868"/>
    <w:rsid w:val="00647AFE"/>
    <w:rsid w:val="006512BC"/>
    <w:rsid w:val="00651CC6"/>
    <w:rsid w:val="00653A5A"/>
    <w:rsid w:val="006554AC"/>
    <w:rsid w:val="00655936"/>
    <w:rsid w:val="006575F4"/>
    <w:rsid w:val="006579E6"/>
    <w:rsid w:val="00660682"/>
    <w:rsid w:val="00660F74"/>
    <w:rsid w:val="00663EDC"/>
    <w:rsid w:val="00667E20"/>
    <w:rsid w:val="00671078"/>
    <w:rsid w:val="006758CA"/>
    <w:rsid w:val="0067720E"/>
    <w:rsid w:val="00680A04"/>
    <w:rsid w:val="006849AB"/>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44D66"/>
    <w:rsid w:val="007570C4"/>
    <w:rsid w:val="007605B8"/>
    <w:rsid w:val="00771B1E"/>
    <w:rsid w:val="00773C95"/>
    <w:rsid w:val="0078171E"/>
    <w:rsid w:val="0078658E"/>
    <w:rsid w:val="007920E2"/>
    <w:rsid w:val="0079566E"/>
    <w:rsid w:val="00795B34"/>
    <w:rsid w:val="00796DE2"/>
    <w:rsid w:val="007A067F"/>
    <w:rsid w:val="007B1770"/>
    <w:rsid w:val="007B186C"/>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3A7D"/>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874BE"/>
    <w:rsid w:val="00890BE1"/>
    <w:rsid w:val="008924DE"/>
    <w:rsid w:val="008A3755"/>
    <w:rsid w:val="008B19DC"/>
    <w:rsid w:val="008B264F"/>
    <w:rsid w:val="008B6F83"/>
    <w:rsid w:val="008B7FD8"/>
    <w:rsid w:val="008C1108"/>
    <w:rsid w:val="008C2973"/>
    <w:rsid w:val="008C6324"/>
    <w:rsid w:val="008C64C4"/>
    <w:rsid w:val="008D2CDD"/>
    <w:rsid w:val="008D4592"/>
    <w:rsid w:val="008D74D5"/>
    <w:rsid w:val="008E0ED1"/>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2FA4"/>
    <w:rsid w:val="00964AB6"/>
    <w:rsid w:val="00966F9A"/>
    <w:rsid w:val="00977B8A"/>
    <w:rsid w:val="00982971"/>
    <w:rsid w:val="009845AD"/>
    <w:rsid w:val="00984835"/>
    <w:rsid w:val="0098639B"/>
    <w:rsid w:val="009933EF"/>
    <w:rsid w:val="00993BBE"/>
    <w:rsid w:val="00995BA0"/>
    <w:rsid w:val="009A418B"/>
    <w:rsid w:val="009A426F"/>
    <w:rsid w:val="009A42D5"/>
    <w:rsid w:val="009A4473"/>
    <w:rsid w:val="009B05C9"/>
    <w:rsid w:val="009B286C"/>
    <w:rsid w:val="009B76BD"/>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4F33"/>
    <w:rsid w:val="00A25069"/>
    <w:rsid w:val="00A26E6B"/>
    <w:rsid w:val="00A27D16"/>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B13C9"/>
    <w:rsid w:val="00AC101C"/>
    <w:rsid w:val="00AC6EBB"/>
    <w:rsid w:val="00AD4CF1"/>
    <w:rsid w:val="00AD5988"/>
    <w:rsid w:val="00AD6293"/>
    <w:rsid w:val="00AF1BA8"/>
    <w:rsid w:val="00AF7800"/>
    <w:rsid w:val="00B00CF5"/>
    <w:rsid w:val="00B072E0"/>
    <w:rsid w:val="00B1007E"/>
    <w:rsid w:val="00B253F6"/>
    <w:rsid w:val="00B26675"/>
    <w:rsid w:val="00B26F0F"/>
    <w:rsid w:val="00B305DB"/>
    <w:rsid w:val="00B332F8"/>
    <w:rsid w:val="00B3492B"/>
    <w:rsid w:val="00B4646F"/>
    <w:rsid w:val="00B55C7D"/>
    <w:rsid w:val="00B6279B"/>
    <w:rsid w:val="00B63038"/>
    <w:rsid w:val="00B64BD8"/>
    <w:rsid w:val="00B701D1"/>
    <w:rsid w:val="00B73AF2"/>
    <w:rsid w:val="00B7551A"/>
    <w:rsid w:val="00B773F1"/>
    <w:rsid w:val="00B86AB1"/>
    <w:rsid w:val="00B97F07"/>
    <w:rsid w:val="00BA7EBA"/>
    <w:rsid w:val="00BB2A06"/>
    <w:rsid w:val="00BB2CBB"/>
    <w:rsid w:val="00BB4198"/>
    <w:rsid w:val="00BC03EE"/>
    <w:rsid w:val="00BC59F1"/>
    <w:rsid w:val="00BD3747"/>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06D01"/>
    <w:rsid w:val="00D20C59"/>
    <w:rsid w:val="00D23323"/>
    <w:rsid w:val="00D2392A"/>
    <w:rsid w:val="00D25FFE"/>
    <w:rsid w:val="00D30BBE"/>
    <w:rsid w:val="00D3784E"/>
    <w:rsid w:val="00D37D80"/>
    <w:rsid w:val="00D4476F"/>
    <w:rsid w:val="00D50573"/>
    <w:rsid w:val="00D54D50"/>
    <w:rsid w:val="00D560B4"/>
    <w:rsid w:val="00D662F8"/>
    <w:rsid w:val="00D66797"/>
    <w:rsid w:val="00D7074B"/>
    <w:rsid w:val="00D7087C"/>
    <w:rsid w:val="00D70C3C"/>
    <w:rsid w:val="00D71DF7"/>
    <w:rsid w:val="00D72BE5"/>
    <w:rsid w:val="00D81462"/>
    <w:rsid w:val="00D82F26"/>
    <w:rsid w:val="00D863D0"/>
    <w:rsid w:val="00D86B00"/>
    <w:rsid w:val="00D86FB9"/>
    <w:rsid w:val="00D87C87"/>
    <w:rsid w:val="00D90361"/>
    <w:rsid w:val="00D90BB4"/>
    <w:rsid w:val="00D90E07"/>
    <w:rsid w:val="00D932C2"/>
    <w:rsid w:val="00DB39CF"/>
    <w:rsid w:val="00DB7256"/>
    <w:rsid w:val="00DC0401"/>
    <w:rsid w:val="00DC20BD"/>
    <w:rsid w:val="00DD0BCD"/>
    <w:rsid w:val="00DD447A"/>
    <w:rsid w:val="00DE3B20"/>
    <w:rsid w:val="00DE46FF"/>
    <w:rsid w:val="00DE6C94"/>
    <w:rsid w:val="00DE6FD7"/>
    <w:rsid w:val="00E23271"/>
    <w:rsid w:val="00E24F80"/>
    <w:rsid w:val="00E259F3"/>
    <w:rsid w:val="00E30985"/>
    <w:rsid w:val="00E33238"/>
    <w:rsid w:val="00E376B7"/>
    <w:rsid w:val="00E42F5D"/>
    <w:rsid w:val="00E4486C"/>
    <w:rsid w:val="00E460B6"/>
    <w:rsid w:val="00E511D5"/>
    <w:rsid w:val="00E53A9F"/>
    <w:rsid w:val="00E60249"/>
    <w:rsid w:val="00E65269"/>
    <w:rsid w:val="00E76D66"/>
    <w:rsid w:val="00EA796A"/>
    <w:rsid w:val="00EB1856"/>
    <w:rsid w:val="00EC50CE"/>
    <w:rsid w:val="00EC5B34"/>
    <w:rsid w:val="00ED021E"/>
    <w:rsid w:val="00ED1081"/>
    <w:rsid w:val="00ED323C"/>
    <w:rsid w:val="00ED72EB"/>
    <w:rsid w:val="00EE2D5C"/>
    <w:rsid w:val="00EE4ADE"/>
    <w:rsid w:val="00EE4DE8"/>
    <w:rsid w:val="00EE5CB7"/>
    <w:rsid w:val="00F024FE"/>
    <w:rsid w:val="00F05AD4"/>
    <w:rsid w:val="00F10EB6"/>
    <w:rsid w:val="00F13F07"/>
    <w:rsid w:val="00F140B2"/>
    <w:rsid w:val="00F25970"/>
    <w:rsid w:val="00F311A9"/>
    <w:rsid w:val="00F32C1D"/>
    <w:rsid w:val="00F40CE8"/>
    <w:rsid w:val="00F5180D"/>
    <w:rsid w:val="00F63781"/>
    <w:rsid w:val="00F67496"/>
    <w:rsid w:val="00F7445B"/>
    <w:rsid w:val="00F801BA"/>
    <w:rsid w:val="00F9366A"/>
    <w:rsid w:val="00F946C9"/>
    <w:rsid w:val="00F97760"/>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9"/>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ListParagraph">
    <w:name w:val="List Paragraph"/>
    <w:basedOn w:val="Normal"/>
    <w:uiPriority w:val="34"/>
    <w:qFormat/>
    <w:rsid w:val="00655936"/>
    <w:pPr>
      <w:spacing w:after="180" w:line="276" w:lineRule="auto"/>
      <w:ind w:left="720"/>
      <w:contextualSpacing/>
    </w:pPr>
    <w:rPr>
      <w:rFonts w:asciiTheme="minorHAnsi" w:hAnsiTheme="minorHAnsi"/>
      <w:sz w:val="22"/>
      <w:szCs w:val="24"/>
    </w:rPr>
  </w:style>
  <w:style w:type="paragraph" w:styleId="Caption">
    <w:name w:val="caption"/>
    <w:basedOn w:val="Normal"/>
    <w:next w:val="Normal"/>
    <w:uiPriority w:val="35"/>
    <w:unhideWhenUsed/>
    <w:qFormat/>
    <w:rsid w:val="00232490"/>
    <w:pPr>
      <w:spacing w:before="120" w:after="120" w:line="276" w:lineRule="auto"/>
    </w:pPr>
    <w:rPr>
      <w:rFonts w:asciiTheme="minorHAnsi" w:hAnsiTheme="minorHAnsi"/>
      <w:b/>
      <w:bCs/>
      <w:iCs/>
      <w:sz w:val="20"/>
      <w:szCs w:val="18"/>
    </w:rPr>
  </w:style>
  <w:style w:type="paragraph" w:customStyle="1" w:styleId="Tabletext0">
    <w:name w:val="Table text"/>
    <w:basedOn w:val="Normal"/>
    <w:qFormat/>
    <w:rsid w:val="00655936"/>
    <w:pPr>
      <w:tabs>
        <w:tab w:val="left" w:pos="0"/>
      </w:tabs>
      <w:spacing w:before="60" w:after="60" w:line="276" w:lineRule="auto"/>
    </w:pPr>
    <w:rPr>
      <w:rFonts w:ascii="Times" w:hAnsi="Times" w:cs="Arial"/>
      <w:sz w:val="22"/>
    </w:rPr>
  </w:style>
  <w:style w:type="paragraph" w:styleId="ListBullet">
    <w:name w:val="List Bullet"/>
    <w:basedOn w:val="Normal"/>
    <w:uiPriority w:val="99"/>
    <w:unhideWhenUsed/>
    <w:rsid w:val="00655936"/>
    <w:pPr>
      <w:numPr>
        <w:numId w:val="34"/>
      </w:numPr>
      <w:spacing w:after="180" w:line="276" w:lineRule="auto"/>
      <w:contextualSpacing/>
    </w:pPr>
    <w:rPr>
      <w:rFonts w:asciiTheme="minorHAnsi" w:hAnsiTheme="minorHAnsi"/>
      <w:sz w:val="22"/>
      <w:szCs w:val="24"/>
    </w:rPr>
  </w:style>
  <w:style w:type="paragraph" w:styleId="TableofFigures">
    <w:name w:val="table of figures"/>
    <w:basedOn w:val="Normal"/>
    <w:next w:val="Normal"/>
    <w:uiPriority w:val="99"/>
    <w:unhideWhenUsed/>
    <w:rsid w:val="00655936"/>
    <w:pPr>
      <w:tabs>
        <w:tab w:val="right" w:pos="7938"/>
      </w:tabs>
      <w:spacing w:before="90"/>
    </w:pPr>
  </w:style>
  <w:style w:type="paragraph" w:styleId="ListNumber">
    <w:name w:val="List Number"/>
    <w:basedOn w:val="Normal"/>
    <w:uiPriority w:val="99"/>
    <w:unhideWhenUsed/>
    <w:rsid w:val="00993BBE"/>
    <w:pPr>
      <w:numPr>
        <w:numId w:val="37"/>
      </w:numPr>
      <w:spacing w:after="160" w:line="259" w:lineRule="auto"/>
      <w:contextualSpacing/>
      <w:jc w:val="both"/>
    </w:pPr>
    <w:rPr>
      <w:rFonts w:asciiTheme="minorHAnsi" w:eastAsiaTheme="minorHAnsi" w:hAnsiTheme="minorHAnsi" w:cstheme="minorBidi"/>
      <w:sz w:val="22"/>
      <w:szCs w:val="22"/>
      <w:lang w:eastAsia="en-US"/>
    </w:rPr>
  </w:style>
  <w:style w:type="paragraph" w:styleId="ListBullet2">
    <w:name w:val="List Bullet 2"/>
    <w:basedOn w:val="Normal"/>
    <w:uiPriority w:val="99"/>
    <w:unhideWhenUsed/>
    <w:rsid w:val="00993BBE"/>
    <w:pPr>
      <w:numPr>
        <w:numId w:val="38"/>
      </w:numPr>
      <w:spacing w:after="160" w:line="259" w:lineRule="auto"/>
      <w:contextualSpacing/>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5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BFC9454AF665489687E7396D53C354" ma:contentTypeVersion="19" ma:contentTypeDescription="Create a new document." ma:contentTypeScope="" ma:versionID="ef148a0db5900000607107c2f941ac5d">
  <xsd:schema xmlns:xsd="http://www.w3.org/2001/XMLSchema" xmlns:xs="http://www.w3.org/2001/XMLSchema" xmlns:p="http://schemas.microsoft.com/office/2006/metadata/properties" xmlns:ns2="4f3c4a1c-e017-4d66-9e67-218047e46dfe" xmlns:ns3="ff804206-f34c-4cf1-a530-088e515a7286" xmlns:ns4="00a4df5b-51f4-4e7a-b755-8a381a6dfbc5" targetNamespace="http://schemas.microsoft.com/office/2006/metadata/properties" ma:root="true" ma:fieldsID="88d0b2985262702febffa62e51f94aa1" ns2:_="" ns3:_="" ns4:_="">
    <xsd:import namespace="4f3c4a1c-e017-4d66-9e67-218047e46dfe"/>
    <xsd:import namespace="ff804206-f34c-4cf1-a530-088e515a7286"/>
    <xsd:import namespace="00a4df5b-51f4-4e7a-b755-8a381a6dfbc5"/>
    <xsd:element name="properties">
      <xsd:complexType>
        <xsd:sequence>
          <xsd:element name="documentManagement">
            <xsd:complexType>
              <xsd:all>
                <xsd:element ref="ns2:Moreinformation" minOccurs="0"/>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4a1c-e017-4d66-9e67-218047e46dfe" elementFormDefault="qualified">
    <xsd:import namespace="http://schemas.microsoft.com/office/2006/documentManagement/types"/>
    <xsd:import namespace="http://schemas.microsoft.com/office/infopath/2007/PartnerControls"/>
    <xsd:element name="Moreinformation" ma:index="3" nillable="true" ma:displayName="More information" ma:default="Click the three dots, download the document then open in browser to see the insights" ma:description="Click the three dots, download the document then open in browser to see the insights" ma:format="Dropdown" ma:internalName="Moreinformation" ma:readOnly="false">
      <xsd:simpleType>
        <xsd:restriction base="dms:Note">
          <xsd:maxLength value="255"/>
        </xsd:restriction>
      </xsd:simpleType>
    </xsd:element>
    <xsd:element name="Category" ma:index="4" nillable="true" ma:displayName="Category" ma:description="Higher level category that the report sits under, based on Tatau Kahukura headings - also visible in the Report summary doc" ma:format="Dropdown" ma:internalName="Catego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04206-f34c-4cf1-a530-088e515a7286"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c91dc2-3e21-4ef4-85f4-e85750907c1f}" ma:internalName="TaxCatchAll" ma:readOnly="false" ma:showField="CatchAllData" ma:web="ff804206-f34c-4cf1-a530-088e515a72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reinformation xmlns="4f3c4a1c-e017-4d66-9e67-218047e46dfe">Click the three dots, download the document then open in browser to see the insights</Moreinformation>
    <TaxCatchAll xmlns="00a4df5b-51f4-4e7a-b755-8a381a6dfbc5" xsi:nil="true"/>
    <lcf76f155ced4ddcb4097134ff3c332f xmlns="4f3c4a1c-e017-4d66-9e67-218047e46dfe">
      <Terms xmlns="http://schemas.microsoft.com/office/infopath/2007/PartnerControls"/>
    </lcf76f155ced4ddcb4097134ff3c332f>
    <Category xmlns="4f3c4a1c-e017-4d66-9e67-218047e46dfe" xsi:nil="true"/>
  </documentManagement>
</p:properties>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7DD3C4CA-1A4B-4149-9735-043528E81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4a1c-e017-4d66-9e67-218047e46dfe"/>
    <ds:schemaRef ds:uri="ff804206-f34c-4cf1-a530-088e515a7286"/>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3c4a1c-e017-4d66-9e67-218047e46dfe"/>
    <ds:schemaRef ds:uri="00a4df5b-51f4-4e7a-b755-8a381a6dfbc5"/>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39</TotalTime>
  <Pages>22</Pages>
  <Words>6372</Words>
  <Characters>34091</Characters>
  <Application>Microsoft Office Word</Application>
  <DocSecurity>0</DocSecurity>
  <Lines>695</Lines>
  <Paragraphs>231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Equity-focused Commissioning in Three Regions –Lakes, Tairāwhiti and Hawke’s Bay</dc:title>
  <dc:creator>Ihi Consulting;Maraki J</dc:creator>
  <cp:lastModifiedBy>Ministry of Health</cp:lastModifiedBy>
  <cp:revision>39</cp:revision>
  <cp:lastPrinted>2023-01-10T02:11:00Z</cp:lastPrinted>
  <dcterms:created xsi:type="dcterms:W3CDTF">2023-01-09T21:55:00Z</dcterms:created>
  <dcterms:modified xsi:type="dcterms:W3CDTF">2023-01-16T22:00:00Z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0x0101005DBFC9454AF665489687E7396D53C354</vt:lpwstr>
  </property>
  <property fmtid="{D5CDD505-2E9C-101B-9397-08002B2CF9AE}" pid="3" name="MediaServiceImageTags">
    <vt:lpwstr/>
  </property>
</Properties>
</file>