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455161" w14:textId="4DCDCBC5" w:rsidR="00C86248" w:rsidRPr="00655936" w:rsidRDefault="00243051" w:rsidP="00926083">
      <w:pPr>
        <w:pStyle w:val="Title"/>
        <w:rPr>
          <w:sz w:val="60"/>
          <w:szCs w:val="60"/>
        </w:rPr>
      </w:pPr>
      <w:r w:rsidRPr="00243051">
        <w:rPr>
          <w:sz w:val="60"/>
          <w:szCs w:val="60"/>
        </w:rPr>
        <w:t xml:space="preserve">Mana Whaikaha - Flexible Funding as Part of a Broader Transformation to Improve Outcomes for Disabled People and </w:t>
      </w:r>
      <w:r w:rsidR="0064789C">
        <w:rPr>
          <w:sz w:val="60"/>
          <w:szCs w:val="60"/>
        </w:rPr>
        <w:t>t</w:t>
      </w:r>
      <w:r w:rsidRPr="00243051">
        <w:rPr>
          <w:sz w:val="60"/>
          <w:szCs w:val="60"/>
        </w:rPr>
        <w:t xml:space="preserve">heir Whānau: Commissioning for Pae Ora | Healthy Futures case study </w:t>
      </w:r>
    </w:p>
    <w:p w14:paraId="2A961E80" w14:textId="3A218180" w:rsidR="00531E12" w:rsidRPr="00531E12" w:rsidRDefault="00655936" w:rsidP="00531E12">
      <w:pPr>
        <w:pStyle w:val="Year"/>
      </w:pPr>
      <w:r>
        <w:t>202</w:t>
      </w:r>
      <w:r w:rsidR="00425756">
        <w:t>3</w:t>
      </w:r>
    </w:p>
    <w:p w14:paraId="5C1CCC9F" w14:textId="77777777" w:rsidR="00C05132" w:rsidRDefault="00C05132" w:rsidP="00A06BE4"/>
    <w:p w14:paraId="57E2CB79" w14:textId="77777777" w:rsidR="00142954" w:rsidRPr="00142954" w:rsidRDefault="00142954" w:rsidP="00142954">
      <w:pPr>
        <w:sectPr w:rsidR="00142954" w:rsidRPr="00142954" w:rsidSect="005A79E5">
          <w:footerReference w:type="default" r:id="rId11"/>
          <w:pgSz w:w="11907" w:h="16834" w:code="9"/>
          <w:pgMar w:top="5670" w:right="1134" w:bottom="1134" w:left="1134" w:header="567" w:footer="851" w:gutter="0"/>
          <w:pgNumType w:start="1"/>
          <w:cols w:space="720"/>
        </w:sectPr>
      </w:pPr>
    </w:p>
    <w:p w14:paraId="30959465" w14:textId="77777777" w:rsidR="00655936" w:rsidRPr="00A63DFF" w:rsidRDefault="00655936" w:rsidP="00655936">
      <w:pPr>
        <w:rPr>
          <w:rFonts w:asciiTheme="minorHAnsi" w:hAnsiTheme="minorHAnsi" w:cstheme="minorHAnsi"/>
          <w:b/>
          <w:spacing w:val="10"/>
          <w:sz w:val="36"/>
          <w:szCs w:val="36"/>
        </w:rPr>
      </w:pPr>
      <w:r w:rsidRPr="00A63DFF">
        <w:rPr>
          <w:rFonts w:asciiTheme="minorHAnsi" w:hAnsiTheme="minorHAnsi" w:cstheme="minorHAnsi"/>
          <w:b/>
          <w:spacing w:val="10"/>
          <w:sz w:val="36"/>
          <w:szCs w:val="36"/>
        </w:rPr>
        <w:lastRenderedPageBreak/>
        <w:t>Acknowledgements</w:t>
      </w:r>
    </w:p>
    <w:p w14:paraId="02662817" w14:textId="77777777" w:rsidR="00243051" w:rsidRPr="00243051" w:rsidRDefault="00243051" w:rsidP="00243051">
      <w:pPr>
        <w:spacing w:before="120"/>
        <w:rPr>
          <w:rFonts w:cs="Segoe UI"/>
          <w:sz w:val="20"/>
        </w:rPr>
      </w:pPr>
      <w:r w:rsidRPr="00243051">
        <w:rPr>
          <w:rFonts w:cs="Segoe UI"/>
          <w:sz w:val="20"/>
        </w:rPr>
        <w:t>This is one of a series of case studies funded by Manatū Hauora – the Ministry of Health (Ministry) looking at commissioning as a tool to improve health equity.</w:t>
      </w:r>
    </w:p>
    <w:p w14:paraId="1AF03883" w14:textId="7D8FFBAB" w:rsidR="00655936" w:rsidRPr="00C05132" w:rsidRDefault="00243051" w:rsidP="00243051">
      <w:pPr>
        <w:spacing w:before="120"/>
        <w:rPr>
          <w:rFonts w:cs="Segoe UI"/>
          <w:sz w:val="20"/>
        </w:rPr>
      </w:pPr>
      <w:r w:rsidRPr="00243051">
        <w:rPr>
          <w:rFonts w:cs="Segoe UI"/>
          <w:sz w:val="20"/>
        </w:rPr>
        <w:t>Interviews were undertaken by ThinkPlace. Thanks also to the staff at Mana Whaikaha and the Disability Transformation team in the Ministry of Health</w:t>
      </w:r>
      <w:r w:rsidR="00993BBE" w:rsidRPr="00993BBE">
        <w:rPr>
          <w:rFonts w:cs="Segoe UI"/>
          <w:sz w:val="20"/>
        </w:rPr>
        <w:t>.</w:t>
      </w:r>
    </w:p>
    <w:p w14:paraId="0CB4C040" w14:textId="5FF188C3" w:rsidR="00655936" w:rsidRPr="00C05132" w:rsidRDefault="00655936" w:rsidP="00655936">
      <w:pPr>
        <w:pStyle w:val="Imprint"/>
        <w:spacing w:before="1200"/>
        <w:rPr>
          <w:rFonts w:cs="Segoe UI"/>
        </w:rPr>
      </w:pPr>
      <w:r w:rsidRPr="00C05132">
        <w:rPr>
          <w:rFonts w:cs="Segoe UI"/>
        </w:rPr>
        <w:t xml:space="preserve">Citation: </w:t>
      </w:r>
      <w:r w:rsidR="00243051" w:rsidRPr="00243051">
        <w:rPr>
          <w:rFonts w:cs="Segoe UI"/>
        </w:rPr>
        <w:t>ThinkPlace; Ministry of Health (ed). 202</w:t>
      </w:r>
      <w:r w:rsidR="00425756">
        <w:rPr>
          <w:rFonts w:cs="Segoe UI"/>
        </w:rPr>
        <w:t>3</w:t>
      </w:r>
      <w:r w:rsidR="00243051" w:rsidRPr="00243051">
        <w:rPr>
          <w:rFonts w:cs="Segoe UI"/>
        </w:rPr>
        <w:t xml:space="preserve">. </w:t>
      </w:r>
      <w:r w:rsidR="00243051" w:rsidRPr="00243051">
        <w:rPr>
          <w:rFonts w:cs="Segoe UI"/>
          <w:i/>
          <w:iCs/>
        </w:rPr>
        <w:t xml:space="preserve">Mana Whaikaha Flexible Funding as Part of a Broader Transformation to Improve Outcomes for Disabled People and </w:t>
      </w:r>
      <w:r w:rsidR="0064789C">
        <w:rPr>
          <w:rFonts w:cs="Segoe UI"/>
          <w:i/>
          <w:iCs/>
        </w:rPr>
        <w:t>t</w:t>
      </w:r>
      <w:r w:rsidR="00243051" w:rsidRPr="00243051">
        <w:rPr>
          <w:rFonts w:cs="Segoe UI"/>
          <w:i/>
          <w:iCs/>
        </w:rPr>
        <w:t>heir Whānau: Commissioning for Pae Ora | Healthy Futures case study</w:t>
      </w:r>
      <w:r w:rsidR="00993BBE" w:rsidRPr="00993BBE">
        <w:rPr>
          <w:rFonts w:cs="Segoe UI"/>
        </w:rPr>
        <w:t>.</w:t>
      </w:r>
      <w:r w:rsidR="00993BBE">
        <w:rPr>
          <w:rFonts w:cs="Segoe UI"/>
        </w:rPr>
        <w:t xml:space="preserve"> Wellington:</w:t>
      </w:r>
      <w:r w:rsidRPr="00C05132">
        <w:rPr>
          <w:rFonts w:cs="Segoe UI"/>
        </w:rPr>
        <w:t xml:space="preserve"> Ministry of Health.</w:t>
      </w:r>
    </w:p>
    <w:p w14:paraId="0D4015BE" w14:textId="15437933" w:rsidR="00655936" w:rsidRPr="00425756" w:rsidRDefault="00655936" w:rsidP="00655936">
      <w:pPr>
        <w:pStyle w:val="Imprint"/>
      </w:pPr>
      <w:r w:rsidRPr="00425756">
        <w:t xml:space="preserve">Published in </w:t>
      </w:r>
      <w:r w:rsidR="00425756">
        <w:t xml:space="preserve">January 2023 </w:t>
      </w:r>
      <w:r w:rsidRPr="00425756">
        <w:t>by the Ministry of Health</w:t>
      </w:r>
      <w:r w:rsidRPr="00425756">
        <w:br/>
        <w:t>PO Box 5013, Wellington 6140, New Zealand</w:t>
      </w:r>
    </w:p>
    <w:p w14:paraId="6E8EE03B" w14:textId="7028DBC0" w:rsidR="00655936" w:rsidRPr="009C0F2D" w:rsidRDefault="00655936" w:rsidP="00655936">
      <w:pPr>
        <w:pStyle w:val="Imprint"/>
      </w:pPr>
      <w:r w:rsidRPr="00425756">
        <w:t xml:space="preserve">HP </w:t>
      </w:r>
      <w:r w:rsidR="006348FF">
        <w:t>8653</w:t>
      </w:r>
    </w:p>
    <w:p w14:paraId="48DBDA36" w14:textId="77777777" w:rsidR="00C86248" w:rsidRDefault="008C64C4" w:rsidP="00A63DFF">
      <w:r>
        <w:rPr>
          <w:noProof/>
          <w:lang w:eastAsia="en-NZ"/>
        </w:rPr>
        <w:drawing>
          <wp:inline distT="0" distB="0" distL="0" distR="0" wp14:anchorId="6EF4539D" wp14:editId="69C5E453">
            <wp:extent cx="1216825" cy="576270"/>
            <wp:effectExtent l="0" t="0" r="2540" b="0"/>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Health logo"/>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216825" cy="576270"/>
                    </a:xfrm>
                    <a:prstGeom prst="rect">
                      <a:avLst/>
                    </a:prstGeom>
                    <a:noFill/>
                    <a:ln>
                      <a:noFill/>
                    </a:ln>
                  </pic:spPr>
                </pic:pic>
              </a:graphicData>
            </a:graphic>
          </wp:inline>
        </w:drawing>
      </w:r>
    </w:p>
    <w:p w14:paraId="354F16DF" w14:textId="77777777" w:rsidR="00A63DFF" w:rsidRDefault="00A63DFF" w:rsidP="00A63DFF">
      <w:pPr>
        <w:pStyle w:val="Imprint"/>
        <w:spacing w:before="240" w:after="480"/>
      </w:pPr>
      <w:r>
        <w:t>This document is available at health.govt.nz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6061"/>
      </w:tblGrid>
      <w:tr w:rsidR="00A63DFF" w:rsidRPr="00A63DFF" w14:paraId="3FC6B2D2" w14:textId="77777777" w:rsidTr="00A63DFF">
        <w:trPr>
          <w:cantSplit/>
        </w:trPr>
        <w:tc>
          <w:tcPr>
            <w:tcW w:w="1526" w:type="dxa"/>
          </w:tcPr>
          <w:p w14:paraId="362D26E7" w14:textId="77777777" w:rsidR="00A63DFF" w:rsidRPr="00A63DFF" w:rsidRDefault="00A63DFF" w:rsidP="00A63DFF">
            <w:pPr>
              <w:rPr>
                <w:rFonts w:cs="Segoe UI"/>
                <w:sz w:val="15"/>
                <w:szCs w:val="15"/>
              </w:rPr>
            </w:pPr>
            <w:r w:rsidRPr="00A63DFF">
              <w:rPr>
                <w:rFonts w:cs="Segoe UI"/>
                <w:b/>
                <w:noProof/>
                <w:sz w:val="15"/>
                <w:szCs w:val="15"/>
                <w:lang w:eastAsia="en-NZ"/>
              </w:rPr>
              <w:drawing>
                <wp:inline distT="0" distB="0" distL="0" distR="0" wp14:anchorId="4BFD7476" wp14:editId="5569ABBB">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7D3A471A" w14:textId="77777777"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ie, copy and redistribute the material in any medium or format; adapt ie, remix, transform and build upon the material. </w:t>
            </w:r>
            <w:r w:rsidRPr="00A63DFF">
              <w:rPr>
                <w:rFonts w:cs="Segoe UI"/>
                <w:bCs/>
                <w:sz w:val="15"/>
                <w:szCs w:val="15"/>
              </w:rPr>
              <w:t>You must give appropriate credit, provide a link to the licence and indicate if changes were made.</w:t>
            </w:r>
          </w:p>
        </w:tc>
      </w:tr>
    </w:tbl>
    <w:p w14:paraId="44C6FE3A" w14:textId="77777777" w:rsidR="007E74F1" w:rsidRPr="001F45A7" w:rsidRDefault="007E74F1" w:rsidP="00A63DFF"/>
    <w:p w14:paraId="2113CC0B" w14:textId="77777777" w:rsidR="00C86248" w:rsidRDefault="00C86248">
      <w:pPr>
        <w:jc w:val="center"/>
        <w:sectPr w:rsidR="00C86248" w:rsidSect="00C05132">
          <w:footerReference w:type="even" r:id="rId14"/>
          <w:footerReference w:type="default" r:id="rId15"/>
          <w:pgSz w:w="11907" w:h="16834" w:code="9"/>
          <w:pgMar w:top="1701" w:right="2268" w:bottom="1134" w:left="2268" w:header="0" w:footer="0" w:gutter="0"/>
          <w:cols w:space="720"/>
          <w:vAlign w:val="bottom"/>
        </w:sectPr>
      </w:pPr>
    </w:p>
    <w:p w14:paraId="648D4F84" w14:textId="77777777" w:rsidR="00C86248" w:rsidRDefault="00C86248" w:rsidP="00025A6F">
      <w:pPr>
        <w:pStyle w:val="IntroHead"/>
      </w:pPr>
      <w:bookmarkStart w:id="0" w:name="_Toc405792991"/>
      <w:bookmarkStart w:id="1" w:name="_Toc405793224"/>
      <w:r>
        <w:lastRenderedPageBreak/>
        <w:t>Contents</w:t>
      </w:r>
      <w:bookmarkEnd w:id="0"/>
      <w:bookmarkEnd w:id="1"/>
    </w:p>
    <w:p w14:paraId="28945860" w14:textId="5013E429" w:rsidR="00EA0CC9" w:rsidRDefault="006348FF">
      <w:pPr>
        <w:pStyle w:val="TOC1"/>
        <w:rPr>
          <w:rFonts w:asciiTheme="minorHAnsi" w:eastAsiaTheme="minorEastAsia" w:hAnsiTheme="minorHAnsi" w:cstheme="minorBidi"/>
          <w:noProof/>
          <w:sz w:val="22"/>
          <w:szCs w:val="22"/>
          <w:lang w:val="en-AU" w:eastAsia="en-AU"/>
        </w:rPr>
      </w:pPr>
      <w:r>
        <w:rPr>
          <w:b/>
        </w:rPr>
        <w:fldChar w:fldCharType="begin"/>
      </w:r>
      <w:r>
        <w:rPr>
          <w:b/>
        </w:rPr>
        <w:instrText xml:space="preserve"> TOC \o "1-2" \h \z </w:instrText>
      </w:r>
      <w:r>
        <w:rPr>
          <w:b/>
        </w:rPr>
        <w:fldChar w:fldCharType="separate"/>
      </w:r>
      <w:hyperlink w:anchor="_Toc124832746" w:history="1">
        <w:r w:rsidR="00EA0CC9" w:rsidRPr="00AC61F0">
          <w:rPr>
            <w:rStyle w:val="Hyperlink"/>
            <w:noProof/>
          </w:rPr>
          <w:t>Purpose</w:t>
        </w:r>
        <w:r w:rsidR="00EA0CC9">
          <w:rPr>
            <w:noProof/>
            <w:webHidden/>
          </w:rPr>
          <w:tab/>
        </w:r>
        <w:r w:rsidR="00EA0CC9">
          <w:rPr>
            <w:noProof/>
            <w:webHidden/>
          </w:rPr>
          <w:fldChar w:fldCharType="begin"/>
        </w:r>
        <w:r w:rsidR="00EA0CC9">
          <w:rPr>
            <w:noProof/>
            <w:webHidden/>
          </w:rPr>
          <w:instrText xml:space="preserve"> PAGEREF _Toc124832746 \h </w:instrText>
        </w:r>
        <w:r w:rsidR="00EA0CC9">
          <w:rPr>
            <w:noProof/>
            <w:webHidden/>
          </w:rPr>
        </w:r>
        <w:r w:rsidR="00EA0CC9">
          <w:rPr>
            <w:noProof/>
            <w:webHidden/>
          </w:rPr>
          <w:fldChar w:fldCharType="separate"/>
        </w:r>
        <w:r w:rsidR="00EA0CC9">
          <w:rPr>
            <w:noProof/>
            <w:webHidden/>
          </w:rPr>
          <w:t>1</w:t>
        </w:r>
        <w:r w:rsidR="00EA0CC9">
          <w:rPr>
            <w:noProof/>
            <w:webHidden/>
          </w:rPr>
          <w:fldChar w:fldCharType="end"/>
        </w:r>
      </w:hyperlink>
    </w:p>
    <w:p w14:paraId="5E0F27E6" w14:textId="1706BDA6" w:rsidR="00EA0CC9" w:rsidRDefault="000F0A1C">
      <w:pPr>
        <w:pStyle w:val="TOC1"/>
        <w:rPr>
          <w:rFonts w:asciiTheme="minorHAnsi" w:eastAsiaTheme="minorEastAsia" w:hAnsiTheme="minorHAnsi" w:cstheme="minorBidi"/>
          <w:noProof/>
          <w:sz w:val="22"/>
          <w:szCs w:val="22"/>
          <w:lang w:val="en-AU" w:eastAsia="en-AU"/>
        </w:rPr>
      </w:pPr>
      <w:hyperlink w:anchor="_Toc124832747" w:history="1">
        <w:r w:rsidR="00EA0CC9" w:rsidRPr="00AC61F0">
          <w:rPr>
            <w:rStyle w:val="Hyperlink"/>
            <w:noProof/>
          </w:rPr>
          <w:t>Method</w:t>
        </w:r>
        <w:r w:rsidR="00EA0CC9">
          <w:rPr>
            <w:noProof/>
            <w:webHidden/>
          </w:rPr>
          <w:tab/>
        </w:r>
        <w:r w:rsidR="00EA0CC9">
          <w:rPr>
            <w:noProof/>
            <w:webHidden/>
          </w:rPr>
          <w:fldChar w:fldCharType="begin"/>
        </w:r>
        <w:r w:rsidR="00EA0CC9">
          <w:rPr>
            <w:noProof/>
            <w:webHidden/>
          </w:rPr>
          <w:instrText xml:space="preserve"> PAGEREF _Toc124832747 \h </w:instrText>
        </w:r>
        <w:r w:rsidR="00EA0CC9">
          <w:rPr>
            <w:noProof/>
            <w:webHidden/>
          </w:rPr>
        </w:r>
        <w:r w:rsidR="00EA0CC9">
          <w:rPr>
            <w:noProof/>
            <w:webHidden/>
          </w:rPr>
          <w:fldChar w:fldCharType="separate"/>
        </w:r>
        <w:r w:rsidR="00EA0CC9">
          <w:rPr>
            <w:noProof/>
            <w:webHidden/>
          </w:rPr>
          <w:t>2</w:t>
        </w:r>
        <w:r w:rsidR="00EA0CC9">
          <w:rPr>
            <w:noProof/>
            <w:webHidden/>
          </w:rPr>
          <w:fldChar w:fldCharType="end"/>
        </w:r>
      </w:hyperlink>
    </w:p>
    <w:p w14:paraId="067A9845" w14:textId="41B45F23" w:rsidR="00EA0CC9" w:rsidRDefault="000F0A1C">
      <w:pPr>
        <w:pStyle w:val="TOC1"/>
        <w:rPr>
          <w:rFonts w:asciiTheme="minorHAnsi" w:eastAsiaTheme="minorEastAsia" w:hAnsiTheme="minorHAnsi" w:cstheme="minorBidi"/>
          <w:noProof/>
          <w:sz w:val="22"/>
          <w:szCs w:val="22"/>
          <w:lang w:val="en-AU" w:eastAsia="en-AU"/>
        </w:rPr>
      </w:pPr>
      <w:hyperlink w:anchor="_Toc124832748" w:history="1">
        <w:r w:rsidR="00EA0CC9" w:rsidRPr="00AC61F0">
          <w:rPr>
            <w:rStyle w:val="Hyperlink"/>
            <w:noProof/>
          </w:rPr>
          <w:t>Enabling choice and control for disabled people: Mana Whaikaha</w:t>
        </w:r>
        <w:r w:rsidR="00EA0CC9">
          <w:rPr>
            <w:noProof/>
            <w:webHidden/>
          </w:rPr>
          <w:tab/>
        </w:r>
        <w:r w:rsidR="00EA0CC9">
          <w:rPr>
            <w:noProof/>
            <w:webHidden/>
          </w:rPr>
          <w:fldChar w:fldCharType="begin"/>
        </w:r>
        <w:r w:rsidR="00EA0CC9">
          <w:rPr>
            <w:noProof/>
            <w:webHidden/>
          </w:rPr>
          <w:instrText xml:space="preserve"> PAGEREF _Toc124832748 \h </w:instrText>
        </w:r>
        <w:r w:rsidR="00EA0CC9">
          <w:rPr>
            <w:noProof/>
            <w:webHidden/>
          </w:rPr>
        </w:r>
        <w:r w:rsidR="00EA0CC9">
          <w:rPr>
            <w:noProof/>
            <w:webHidden/>
          </w:rPr>
          <w:fldChar w:fldCharType="separate"/>
        </w:r>
        <w:r w:rsidR="00EA0CC9">
          <w:rPr>
            <w:noProof/>
            <w:webHidden/>
          </w:rPr>
          <w:t>3</w:t>
        </w:r>
        <w:r w:rsidR="00EA0CC9">
          <w:rPr>
            <w:noProof/>
            <w:webHidden/>
          </w:rPr>
          <w:fldChar w:fldCharType="end"/>
        </w:r>
      </w:hyperlink>
    </w:p>
    <w:p w14:paraId="28305041" w14:textId="35C2EA04" w:rsidR="00EA0CC9" w:rsidRDefault="000F0A1C">
      <w:pPr>
        <w:pStyle w:val="TOC1"/>
        <w:rPr>
          <w:rFonts w:asciiTheme="minorHAnsi" w:eastAsiaTheme="minorEastAsia" w:hAnsiTheme="minorHAnsi" w:cstheme="minorBidi"/>
          <w:noProof/>
          <w:sz w:val="22"/>
          <w:szCs w:val="22"/>
          <w:lang w:val="en-AU" w:eastAsia="en-AU"/>
        </w:rPr>
      </w:pPr>
      <w:hyperlink w:anchor="_Toc124832749" w:history="1">
        <w:r w:rsidR="00EA0CC9" w:rsidRPr="00AC61F0">
          <w:rPr>
            <w:rStyle w:val="Hyperlink"/>
            <w:noProof/>
          </w:rPr>
          <w:t>Vision</w:t>
        </w:r>
        <w:r w:rsidR="00EA0CC9">
          <w:rPr>
            <w:noProof/>
            <w:webHidden/>
          </w:rPr>
          <w:tab/>
        </w:r>
        <w:r w:rsidR="00EA0CC9">
          <w:rPr>
            <w:noProof/>
            <w:webHidden/>
          </w:rPr>
          <w:fldChar w:fldCharType="begin"/>
        </w:r>
        <w:r w:rsidR="00EA0CC9">
          <w:rPr>
            <w:noProof/>
            <w:webHidden/>
          </w:rPr>
          <w:instrText xml:space="preserve"> PAGEREF _Toc124832749 \h </w:instrText>
        </w:r>
        <w:r w:rsidR="00EA0CC9">
          <w:rPr>
            <w:noProof/>
            <w:webHidden/>
          </w:rPr>
        </w:r>
        <w:r w:rsidR="00EA0CC9">
          <w:rPr>
            <w:noProof/>
            <w:webHidden/>
          </w:rPr>
          <w:fldChar w:fldCharType="separate"/>
        </w:r>
        <w:r w:rsidR="00EA0CC9">
          <w:rPr>
            <w:noProof/>
            <w:webHidden/>
          </w:rPr>
          <w:t>4</w:t>
        </w:r>
        <w:r w:rsidR="00EA0CC9">
          <w:rPr>
            <w:noProof/>
            <w:webHidden/>
          </w:rPr>
          <w:fldChar w:fldCharType="end"/>
        </w:r>
      </w:hyperlink>
    </w:p>
    <w:p w14:paraId="6083A880" w14:textId="06E5D77E" w:rsidR="00EA0CC9" w:rsidRDefault="000F0A1C">
      <w:pPr>
        <w:pStyle w:val="TOC1"/>
        <w:rPr>
          <w:rFonts w:asciiTheme="minorHAnsi" w:eastAsiaTheme="minorEastAsia" w:hAnsiTheme="minorHAnsi" w:cstheme="minorBidi"/>
          <w:noProof/>
          <w:sz w:val="22"/>
          <w:szCs w:val="22"/>
          <w:lang w:val="en-AU" w:eastAsia="en-AU"/>
        </w:rPr>
      </w:pPr>
      <w:hyperlink w:anchor="_Toc124832750" w:history="1">
        <w:r w:rsidR="00EA0CC9" w:rsidRPr="00AC61F0">
          <w:rPr>
            <w:rStyle w:val="Hyperlink"/>
            <w:noProof/>
          </w:rPr>
          <w:t>Some important concepts</w:t>
        </w:r>
        <w:r w:rsidR="00EA0CC9">
          <w:rPr>
            <w:noProof/>
            <w:webHidden/>
          </w:rPr>
          <w:tab/>
        </w:r>
        <w:r w:rsidR="00EA0CC9">
          <w:rPr>
            <w:noProof/>
            <w:webHidden/>
          </w:rPr>
          <w:fldChar w:fldCharType="begin"/>
        </w:r>
        <w:r w:rsidR="00EA0CC9">
          <w:rPr>
            <w:noProof/>
            <w:webHidden/>
          </w:rPr>
          <w:instrText xml:space="preserve"> PAGEREF _Toc124832750 \h </w:instrText>
        </w:r>
        <w:r w:rsidR="00EA0CC9">
          <w:rPr>
            <w:noProof/>
            <w:webHidden/>
          </w:rPr>
        </w:r>
        <w:r w:rsidR="00EA0CC9">
          <w:rPr>
            <w:noProof/>
            <w:webHidden/>
          </w:rPr>
          <w:fldChar w:fldCharType="separate"/>
        </w:r>
        <w:r w:rsidR="00EA0CC9">
          <w:rPr>
            <w:noProof/>
            <w:webHidden/>
          </w:rPr>
          <w:t>5</w:t>
        </w:r>
        <w:r w:rsidR="00EA0CC9">
          <w:rPr>
            <w:noProof/>
            <w:webHidden/>
          </w:rPr>
          <w:fldChar w:fldCharType="end"/>
        </w:r>
      </w:hyperlink>
    </w:p>
    <w:p w14:paraId="35E41D01" w14:textId="778102A8" w:rsidR="00EA0CC9" w:rsidRDefault="000F0A1C">
      <w:pPr>
        <w:pStyle w:val="TOC2"/>
        <w:rPr>
          <w:rFonts w:asciiTheme="minorHAnsi" w:eastAsiaTheme="minorEastAsia" w:hAnsiTheme="minorHAnsi" w:cstheme="minorBidi"/>
          <w:noProof/>
          <w:szCs w:val="22"/>
          <w:lang w:val="en-AU" w:eastAsia="en-AU"/>
        </w:rPr>
      </w:pPr>
      <w:hyperlink w:anchor="_Toc124832751" w:history="1">
        <w:r w:rsidR="00EA0CC9" w:rsidRPr="00AC61F0">
          <w:rPr>
            <w:rStyle w:val="Hyperlink"/>
            <w:noProof/>
          </w:rPr>
          <w:t>Shift from ‘needs assessment’ to a strengths-based approach</w:t>
        </w:r>
        <w:r w:rsidR="00EA0CC9">
          <w:rPr>
            <w:noProof/>
            <w:webHidden/>
          </w:rPr>
          <w:tab/>
        </w:r>
        <w:r w:rsidR="00EA0CC9">
          <w:rPr>
            <w:noProof/>
            <w:webHidden/>
          </w:rPr>
          <w:fldChar w:fldCharType="begin"/>
        </w:r>
        <w:r w:rsidR="00EA0CC9">
          <w:rPr>
            <w:noProof/>
            <w:webHidden/>
          </w:rPr>
          <w:instrText xml:space="preserve"> PAGEREF _Toc124832751 \h </w:instrText>
        </w:r>
        <w:r w:rsidR="00EA0CC9">
          <w:rPr>
            <w:noProof/>
            <w:webHidden/>
          </w:rPr>
        </w:r>
        <w:r w:rsidR="00EA0CC9">
          <w:rPr>
            <w:noProof/>
            <w:webHidden/>
          </w:rPr>
          <w:fldChar w:fldCharType="separate"/>
        </w:r>
        <w:r w:rsidR="00EA0CC9">
          <w:rPr>
            <w:noProof/>
            <w:webHidden/>
          </w:rPr>
          <w:t>5</w:t>
        </w:r>
        <w:r w:rsidR="00EA0CC9">
          <w:rPr>
            <w:noProof/>
            <w:webHidden/>
          </w:rPr>
          <w:fldChar w:fldCharType="end"/>
        </w:r>
      </w:hyperlink>
    </w:p>
    <w:p w14:paraId="0B39756D" w14:textId="7936AE1E" w:rsidR="00EA0CC9" w:rsidRDefault="000F0A1C">
      <w:pPr>
        <w:pStyle w:val="TOC2"/>
        <w:rPr>
          <w:rFonts w:asciiTheme="minorHAnsi" w:eastAsiaTheme="minorEastAsia" w:hAnsiTheme="minorHAnsi" w:cstheme="minorBidi"/>
          <w:noProof/>
          <w:szCs w:val="22"/>
          <w:lang w:val="en-AU" w:eastAsia="en-AU"/>
        </w:rPr>
      </w:pPr>
      <w:hyperlink w:anchor="_Toc124832752" w:history="1">
        <w:r w:rsidR="00EA0CC9" w:rsidRPr="00AC61F0">
          <w:rPr>
            <w:rStyle w:val="Hyperlink"/>
            <w:noProof/>
          </w:rPr>
          <w:t>Are personal budgets the same for everyone?</w:t>
        </w:r>
        <w:r w:rsidR="00EA0CC9">
          <w:rPr>
            <w:noProof/>
            <w:webHidden/>
          </w:rPr>
          <w:tab/>
        </w:r>
        <w:r w:rsidR="00EA0CC9">
          <w:rPr>
            <w:noProof/>
            <w:webHidden/>
          </w:rPr>
          <w:fldChar w:fldCharType="begin"/>
        </w:r>
        <w:r w:rsidR="00EA0CC9">
          <w:rPr>
            <w:noProof/>
            <w:webHidden/>
          </w:rPr>
          <w:instrText xml:space="preserve"> PAGEREF _Toc124832752 \h </w:instrText>
        </w:r>
        <w:r w:rsidR="00EA0CC9">
          <w:rPr>
            <w:noProof/>
            <w:webHidden/>
          </w:rPr>
        </w:r>
        <w:r w:rsidR="00EA0CC9">
          <w:rPr>
            <w:noProof/>
            <w:webHidden/>
          </w:rPr>
          <w:fldChar w:fldCharType="separate"/>
        </w:r>
        <w:r w:rsidR="00EA0CC9">
          <w:rPr>
            <w:noProof/>
            <w:webHidden/>
          </w:rPr>
          <w:t>6</w:t>
        </w:r>
        <w:r w:rsidR="00EA0CC9">
          <w:rPr>
            <w:noProof/>
            <w:webHidden/>
          </w:rPr>
          <w:fldChar w:fldCharType="end"/>
        </w:r>
      </w:hyperlink>
    </w:p>
    <w:p w14:paraId="365A83B5" w14:textId="71AD7A87" w:rsidR="00EA0CC9" w:rsidRDefault="000F0A1C">
      <w:pPr>
        <w:pStyle w:val="TOC2"/>
        <w:rPr>
          <w:rFonts w:asciiTheme="minorHAnsi" w:eastAsiaTheme="minorEastAsia" w:hAnsiTheme="minorHAnsi" w:cstheme="minorBidi"/>
          <w:noProof/>
          <w:szCs w:val="22"/>
          <w:lang w:val="en-AU" w:eastAsia="en-AU"/>
        </w:rPr>
      </w:pPr>
      <w:hyperlink w:anchor="_Toc124832753" w:history="1">
        <w:r w:rsidR="00EA0CC9" w:rsidRPr="00AC61F0">
          <w:rPr>
            <w:rStyle w:val="Hyperlink"/>
            <w:noProof/>
          </w:rPr>
          <w:t>How can personal budgets be used?</w:t>
        </w:r>
        <w:r w:rsidR="00EA0CC9">
          <w:rPr>
            <w:noProof/>
            <w:webHidden/>
          </w:rPr>
          <w:tab/>
        </w:r>
        <w:r w:rsidR="00EA0CC9">
          <w:rPr>
            <w:noProof/>
            <w:webHidden/>
          </w:rPr>
          <w:fldChar w:fldCharType="begin"/>
        </w:r>
        <w:r w:rsidR="00EA0CC9">
          <w:rPr>
            <w:noProof/>
            <w:webHidden/>
          </w:rPr>
          <w:instrText xml:space="preserve"> PAGEREF _Toc124832753 \h </w:instrText>
        </w:r>
        <w:r w:rsidR="00EA0CC9">
          <w:rPr>
            <w:noProof/>
            <w:webHidden/>
          </w:rPr>
        </w:r>
        <w:r w:rsidR="00EA0CC9">
          <w:rPr>
            <w:noProof/>
            <w:webHidden/>
          </w:rPr>
          <w:fldChar w:fldCharType="separate"/>
        </w:r>
        <w:r w:rsidR="00EA0CC9">
          <w:rPr>
            <w:noProof/>
            <w:webHidden/>
          </w:rPr>
          <w:t>6</w:t>
        </w:r>
        <w:r w:rsidR="00EA0CC9">
          <w:rPr>
            <w:noProof/>
            <w:webHidden/>
          </w:rPr>
          <w:fldChar w:fldCharType="end"/>
        </w:r>
      </w:hyperlink>
    </w:p>
    <w:p w14:paraId="497B7791" w14:textId="1C4573F8" w:rsidR="00EA0CC9" w:rsidRDefault="000F0A1C">
      <w:pPr>
        <w:pStyle w:val="TOC2"/>
        <w:rPr>
          <w:rFonts w:asciiTheme="minorHAnsi" w:eastAsiaTheme="minorEastAsia" w:hAnsiTheme="minorHAnsi" w:cstheme="minorBidi"/>
          <w:noProof/>
          <w:szCs w:val="22"/>
          <w:lang w:val="en-AU" w:eastAsia="en-AU"/>
        </w:rPr>
      </w:pPr>
      <w:hyperlink w:anchor="_Toc124832754" w:history="1">
        <w:r w:rsidR="00EA0CC9" w:rsidRPr="00AC61F0">
          <w:rPr>
            <w:rStyle w:val="Hyperlink"/>
            <w:noProof/>
          </w:rPr>
          <w:t>How are the risks of personal budgets managed?</w:t>
        </w:r>
        <w:r w:rsidR="00EA0CC9">
          <w:rPr>
            <w:noProof/>
            <w:webHidden/>
          </w:rPr>
          <w:tab/>
        </w:r>
        <w:r w:rsidR="00EA0CC9">
          <w:rPr>
            <w:noProof/>
            <w:webHidden/>
          </w:rPr>
          <w:fldChar w:fldCharType="begin"/>
        </w:r>
        <w:r w:rsidR="00EA0CC9">
          <w:rPr>
            <w:noProof/>
            <w:webHidden/>
          </w:rPr>
          <w:instrText xml:space="preserve"> PAGEREF _Toc124832754 \h </w:instrText>
        </w:r>
        <w:r w:rsidR="00EA0CC9">
          <w:rPr>
            <w:noProof/>
            <w:webHidden/>
          </w:rPr>
        </w:r>
        <w:r w:rsidR="00EA0CC9">
          <w:rPr>
            <w:noProof/>
            <w:webHidden/>
          </w:rPr>
          <w:fldChar w:fldCharType="separate"/>
        </w:r>
        <w:r w:rsidR="00EA0CC9">
          <w:rPr>
            <w:noProof/>
            <w:webHidden/>
          </w:rPr>
          <w:t>6</w:t>
        </w:r>
        <w:r w:rsidR="00EA0CC9">
          <w:rPr>
            <w:noProof/>
            <w:webHidden/>
          </w:rPr>
          <w:fldChar w:fldCharType="end"/>
        </w:r>
      </w:hyperlink>
    </w:p>
    <w:p w14:paraId="20A6D416" w14:textId="644358EC" w:rsidR="00EA0CC9" w:rsidRDefault="000F0A1C">
      <w:pPr>
        <w:pStyle w:val="TOC2"/>
        <w:rPr>
          <w:rFonts w:asciiTheme="minorHAnsi" w:eastAsiaTheme="minorEastAsia" w:hAnsiTheme="minorHAnsi" w:cstheme="minorBidi"/>
          <w:noProof/>
          <w:szCs w:val="22"/>
          <w:lang w:val="en-AU" w:eastAsia="en-AU"/>
        </w:rPr>
      </w:pPr>
      <w:hyperlink w:anchor="_Toc124832755" w:history="1">
        <w:r w:rsidR="00EA0CC9" w:rsidRPr="00AC61F0">
          <w:rPr>
            <w:rStyle w:val="Hyperlink"/>
            <w:noProof/>
          </w:rPr>
          <w:t>Not everyone gets a personal budget, but they do get connected to the right support</w:t>
        </w:r>
        <w:r w:rsidR="00EA0CC9">
          <w:rPr>
            <w:noProof/>
            <w:webHidden/>
          </w:rPr>
          <w:tab/>
        </w:r>
        <w:r w:rsidR="00EA0CC9">
          <w:rPr>
            <w:noProof/>
            <w:webHidden/>
          </w:rPr>
          <w:fldChar w:fldCharType="begin"/>
        </w:r>
        <w:r w:rsidR="00EA0CC9">
          <w:rPr>
            <w:noProof/>
            <w:webHidden/>
          </w:rPr>
          <w:instrText xml:space="preserve"> PAGEREF _Toc124832755 \h </w:instrText>
        </w:r>
        <w:r w:rsidR="00EA0CC9">
          <w:rPr>
            <w:noProof/>
            <w:webHidden/>
          </w:rPr>
        </w:r>
        <w:r w:rsidR="00EA0CC9">
          <w:rPr>
            <w:noProof/>
            <w:webHidden/>
          </w:rPr>
          <w:fldChar w:fldCharType="separate"/>
        </w:r>
        <w:r w:rsidR="00EA0CC9">
          <w:rPr>
            <w:noProof/>
            <w:webHidden/>
          </w:rPr>
          <w:t>7</w:t>
        </w:r>
        <w:r w:rsidR="00EA0CC9">
          <w:rPr>
            <w:noProof/>
            <w:webHidden/>
          </w:rPr>
          <w:fldChar w:fldCharType="end"/>
        </w:r>
      </w:hyperlink>
    </w:p>
    <w:p w14:paraId="3B2324BD" w14:textId="040F5BE7" w:rsidR="00EA0CC9" w:rsidRDefault="000F0A1C">
      <w:pPr>
        <w:pStyle w:val="TOC1"/>
        <w:rPr>
          <w:rFonts w:asciiTheme="minorHAnsi" w:eastAsiaTheme="minorEastAsia" w:hAnsiTheme="minorHAnsi" w:cstheme="minorBidi"/>
          <w:noProof/>
          <w:sz w:val="22"/>
          <w:szCs w:val="22"/>
          <w:lang w:val="en-AU" w:eastAsia="en-AU"/>
        </w:rPr>
      </w:pPr>
      <w:hyperlink w:anchor="_Toc124832756" w:history="1">
        <w:r w:rsidR="00EA0CC9" w:rsidRPr="00AC61F0">
          <w:rPr>
            <w:rStyle w:val="Hyperlink"/>
            <w:noProof/>
          </w:rPr>
          <w:t>Examples of flexible funding to support choice and control</w:t>
        </w:r>
        <w:r w:rsidR="00EA0CC9">
          <w:rPr>
            <w:noProof/>
            <w:webHidden/>
          </w:rPr>
          <w:tab/>
        </w:r>
        <w:r w:rsidR="00EA0CC9">
          <w:rPr>
            <w:noProof/>
            <w:webHidden/>
          </w:rPr>
          <w:fldChar w:fldCharType="begin"/>
        </w:r>
        <w:r w:rsidR="00EA0CC9">
          <w:rPr>
            <w:noProof/>
            <w:webHidden/>
          </w:rPr>
          <w:instrText xml:space="preserve"> PAGEREF _Toc124832756 \h </w:instrText>
        </w:r>
        <w:r w:rsidR="00EA0CC9">
          <w:rPr>
            <w:noProof/>
            <w:webHidden/>
          </w:rPr>
        </w:r>
        <w:r w:rsidR="00EA0CC9">
          <w:rPr>
            <w:noProof/>
            <w:webHidden/>
          </w:rPr>
          <w:fldChar w:fldCharType="separate"/>
        </w:r>
        <w:r w:rsidR="00EA0CC9">
          <w:rPr>
            <w:noProof/>
            <w:webHidden/>
          </w:rPr>
          <w:t>8</w:t>
        </w:r>
        <w:r w:rsidR="00EA0CC9">
          <w:rPr>
            <w:noProof/>
            <w:webHidden/>
          </w:rPr>
          <w:fldChar w:fldCharType="end"/>
        </w:r>
      </w:hyperlink>
    </w:p>
    <w:p w14:paraId="4E452AD8" w14:textId="28979CF3" w:rsidR="00EA0CC9" w:rsidRDefault="000F0A1C">
      <w:pPr>
        <w:pStyle w:val="TOC1"/>
        <w:rPr>
          <w:rFonts w:asciiTheme="minorHAnsi" w:eastAsiaTheme="minorEastAsia" w:hAnsiTheme="minorHAnsi" w:cstheme="minorBidi"/>
          <w:noProof/>
          <w:sz w:val="22"/>
          <w:szCs w:val="22"/>
          <w:lang w:val="en-AU" w:eastAsia="en-AU"/>
        </w:rPr>
      </w:pPr>
      <w:hyperlink w:anchor="_Toc124832757" w:history="1">
        <w:r w:rsidR="00EA0CC9" w:rsidRPr="00AC61F0">
          <w:rPr>
            <w:rStyle w:val="Hyperlink"/>
            <w:noProof/>
          </w:rPr>
          <w:t>‘Holding the course’ while a new approach is used</w:t>
        </w:r>
        <w:r w:rsidR="00EA0CC9">
          <w:rPr>
            <w:noProof/>
            <w:webHidden/>
          </w:rPr>
          <w:tab/>
        </w:r>
        <w:r w:rsidR="00EA0CC9">
          <w:rPr>
            <w:noProof/>
            <w:webHidden/>
          </w:rPr>
          <w:fldChar w:fldCharType="begin"/>
        </w:r>
        <w:r w:rsidR="00EA0CC9">
          <w:rPr>
            <w:noProof/>
            <w:webHidden/>
          </w:rPr>
          <w:instrText xml:space="preserve"> PAGEREF _Toc124832757 \h </w:instrText>
        </w:r>
        <w:r w:rsidR="00EA0CC9">
          <w:rPr>
            <w:noProof/>
            <w:webHidden/>
          </w:rPr>
        </w:r>
        <w:r w:rsidR="00EA0CC9">
          <w:rPr>
            <w:noProof/>
            <w:webHidden/>
          </w:rPr>
          <w:fldChar w:fldCharType="separate"/>
        </w:r>
        <w:r w:rsidR="00EA0CC9">
          <w:rPr>
            <w:noProof/>
            <w:webHidden/>
          </w:rPr>
          <w:t>9</w:t>
        </w:r>
        <w:r w:rsidR="00EA0CC9">
          <w:rPr>
            <w:noProof/>
            <w:webHidden/>
          </w:rPr>
          <w:fldChar w:fldCharType="end"/>
        </w:r>
      </w:hyperlink>
    </w:p>
    <w:p w14:paraId="4E89858C" w14:textId="29E537A0" w:rsidR="00EA0CC9" w:rsidRDefault="000F0A1C">
      <w:pPr>
        <w:pStyle w:val="TOC1"/>
        <w:rPr>
          <w:rFonts w:asciiTheme="minorHAnsi" w:eastAsiaTheme="minorEastAsia" w:hAnsiTheme="minorHAnsi" w:cstheme="minorBidi"/>
          <w:noProof/>
          <w:sz w:val="22"/>
          <w:szCs w:val="22"/>
          <w:lang w:val="en-AU" w:eastAsia="en-AU"/>
        </w:rPr>
      </w:pPr>
      <w:hyperlink w:anchor="_Toc124832758" w:history="1">
        <w:r w:rsidR="00EA0CC9" w:rsidRPr="00AC61F0">
          <w:rPr>
            <w:rStyle w:val="Hyperlink"/>
            <w:noProof/>
          </w:rPr>
          <w:t>Measuring outcomes that matter</w:t>
        </w:r>
        <w:r w:rsidR="00EA0CC9">
          <w:rPr>
            <w:noProof/>
            <w:webHidden/>
          </w:rPr>
          <w:tab/>
        </w:r>
        <w:r w:rsidR="00EA0CC9">
          <w:rPr>
            <w:noProof/>
            <w:webHidden/>
          </w:rPr>
          <w:fldChar w:fldCharType="begin"/>
        </w:r>
        <w:r w:rsidR="00EA0CC9">
          <w:rPr>
            <w:noProof/>
            <w:webHidden/>
          </w:rPr>
          <w:instrText xml:space="preserve"> PAGEREF _Toc124832758 \h </w:instrText>
        </w:r>
        <w:r w:rsidR="00EA0CC9">
          <w:rPr>
            <w:noProof/>
            <w:webHidden/>
          </w:rPr>
        </w:r>
        <w:r w:rsidR="00EA0CC9">
          <w:rPr>
            <w:noProof/>
            <w:webHidden/>
          </w:rPr>
          <w:fldChar w:fldCharType="separate"/>
        </w:r>
        <w:r w:rsidR="00EA0CC9">
          <w:rPr>
            <w:noProof/>
            <w:webHidden/>
          </w:rPr>
          <w:t>10</w:t>
        </w:r>
        <w:r w:rsidR="00EA0CC9">
          <w:rPr>
            <w:noProof/>
            <w:webHidden/>
          </w:rPr>
          <w:fldChar w:fldCharType="end"/>
        </w:r>
      </w:hyperlink>
    </w:p>
    <w:p w14:paraId="0CD526FA" w14:textId="4474EBE8" w:rsidR="00EA0CC9" w:rsidRDefault="000F0A1C">
      <w:pPr>
        <w:pStyle w:val="TOC1"/>
        <w:rPr>
          <w:rFonts w:asciiTheme="minorHAnsi" w:eastAsiaTheme="minorEastAsia" w:hAnsiTheme="minorHAnsi" w:cstheme="minorBidi"/>
          <w:noProof/>
          <w:sz w:val="22"/>
          <w:szCs w:val="22"/>
          <w:lang w:val="en-AU" w:eastAsia="en-AU"/>
        </w:rPr>
      </w:pPr>
      <w:hyperlink w:anchor="_Toc124832759" w:history="1">
        <w:r w:rsidR="00EA0CC9" w:rsidRPr="00AC61F0">
          <w:rPr>
            <w:rStyle w:val="Hyperlink"/>
            <w:noProof/>
          </w:rPr>
          <w:t>Improving response to whānau</w:t>
        </w:r>
        <w:r w:rsidR="00EA0CC9">
          <w:rPr>
            <w:noProof/>
            <w:webHidden/>
          </w:rPr>
          <w:tab/>
        </w:r>
        <w:r w:rsidR="00EA0CC9">
          <w:rPr>
            <w:noProof/>
            <w:webHidden/>
          </w:rPr>
          <w:fldChar w:fldCharType="begin"/>
        </w:r>
        <w:r w:rsidR="00EA0CC9">
          <w:rPr>
            <w:noProof/>
            <w:webHidden/>
          </w:rPr>
          <w:instrText xml:space="preserve"> PAGEREF _Toc124832759 \h </w:instrText>
        </w:r>
        <w:r w:rsidR="00EA0CC9">
          <w:rPr>
            <w:noProof/>
            <w:webHidden/>
          </w:rPr>
        </w:r>
        <w:r w:rsidR="00EA0CC9">
          <w:rPr>
            <w:noProof/>
            <w:webHidden/>
          </w:rPr>
          <w:fldChar w:fldCharType="separate"/>
        </w:r>
        <w:r w:rsidR="00EA0CC9">
          <w:rPr>
            <w:noProof/>
            <w:webHidden/>
          </w:rPr>
          <w:t>11</w:t>
        </w:r>
        <w:r w:rsidR="00EA0CC9">
          <w:rPr>
            <w:noProof/>
            <w:webHidden/>
          </w:rPr>
          <w:fldChar w:fldCharType="end"/>
        </w:r>
      </w:hyperlink>
    </w:p>
    <w:p w14:paraId="6844F380" w14:textId="0CA0BAE5" w:rsidR="00EA0CC9" w:rsidRDefault="000F0A1C">
      <w:pPr>
        <w:pStyle w:val="TOC2"/>
        <w:rPr>
          <w:rFonts w:asciiTheme="minorHAnsi" w:eastAsiaTheme="minorEastAsia" w:hAnsiTheme="minorHAnsi" w:cstheme="minorBidi"/>
          <w:noProof/>
          <w:szCs w:val="22"/>
          <w:lang w:val="en-AU" w:eastAsia="en-AU"/>
        </w:rPr>
      </w:pPr>
      <w:hyperlink w:anchor="_Toc124832760" w:history="1">
        <w:r w:rsidR="00EA0CC9" w:rsidRPr="00AC61F0">
          <w:rPr>
            <w:rStyle w:val="Hyperlink"/>
            <w:noProof/>
          </w:rPr>
          <w:t>Challenges when operating in a partially transformed system</w:t>
        </w:r>
        <w:r w:rsidR="00EA0CC9">
          <w:rPr>
            <w:noProof/>
            <w:webHidden/>
          </w:rPr>
          <w:tab/>
        </w:r>
        <w:r w:rsidR="00EA0CC9">
          <w:rPr>
            <w:noProof/>
            <w:webHidden/>
          </w:rPr>
          <w:fldChar w:fldCharType="begin"/>
        </w:r>
        <w:r w:rsidR="00EA0CC9">
          <w:rPr>
            <w:noProof/>
            <w:webHidden/>
          </w:rPr>
          <w:instrText xml:space="preserve"> PAGEREF _Toc124832760 \h </w:instrText>
        </w:r>
        <w:r w:rsidR="00EA0CC9">
          <w:rPr>
            <w:noProof/>
            <w:webHidden/>
          </w:rPr>
        </w:r>
        <w:r w:rsidR="00EA0CC9">
          <w:rPr>
            <w:noProof/>
            <w:webHidden/>
          </w:rPr>
          <w:fldChar w:fldCharType="separate"/>
        </w:r>
        <w:r w:rsidR="00EA0CC9">
          <w:rPr>
            <w:noProof/>
            <w:webHidden/>
          </w:rPr>
          <w:t>11</w:t>
        </w:r>
        <w:r w:rsidR="00EA0CC9">
          <w:rPr>
            <w:noProof/>
            <w:webHidden/>
          </w:rPr>
          <w:fldChar w:fldCharType="end"/>
        </w:r>
      </w:hyperlink>
    </w:p>
    <w:p w14:paraId="383E558F" w14:textId="225631BF" w:rsidR="00EA0CC9" w:rsidRDefault="000F0A1C">
      <w:pPr>
        <w:pStyle w:val="TOC2"/>
        <w:rPr>
          <w:rFonts w:asciiTheme="minorHAnsi" w:eastAsiaTheme="minorEastAsia" w:hAnsiTheme="minorHAnsi" w:cstheme="minorBidi"/>
          <w:noProof/>
          <w:szCs w:val="22"/>
          <w:lang w:val="en-AU" w:eastAsia="en-AU"/>
        </w:rPr>
      </w:pPr>
      <w:hyperlink w:anchor="_Toc124832761" w:history="1">
        <w:r w:rsidR="00EA0CC9" w:rsidRPr="00AC61F0">
          <w:rPr>
            <w:rStyle w:val="Hyperlink"/>
            <w:noProof/>
          </w:rPr>
          <w:t>Disabled people and their whānau</w:t>
        </w:r>
        <w:r w:rsidR="00EA0CC9">
          <w:rPr>
            <w:noProof/>
            <w:webHidden/>
          </w:rPr>
          <w:tab/>
        </w:r>
        <w:r w:rsidR="00EA0CC9">
          <w:rPr>
            <w:noProof/>
            <w:webHidden/>
          </w:rPr>
          <w:fldChar w:fldCharType="begin"/>
        </w:r>
        <w:r w:rsidR="00EA0CC9">
          <w:rPr>
            <w:noProof/>
            <w:webHidden/>
          </w:rPr>
          <w:instrText xml:space="preserve"> PAGEREF _Toc124832761 \h </w:instrText>
        </w:r>
        <w:r w:rsidR="00EA0CC9">
          <w:rPr>
            <w:noProof/>
            <w:webHidden/>
          </w:rPr>
        </w:r>
        <w:r w:rsidR="00EA0CC9">
          <w:rPr>
            <w:noProof/>
            <w:webHidden/>
          </w:rPr>
          <w:fldChar w:fldCharType="separate"/>
        </w:r>
        <w:r w:rsidR="00EA0CC9">
          <w:rPr>
            <w:noProof/>
            <w:webHidden/>
          </w:rPr>
          <w:t>11</w:t>
        </w:r>
        <w:r w:rsidR="00EA0CC9">
          <w:rPr>
            <w:noProof/>
            <w:webHidden/>
          </w:rPr>
          <w:fldChar w:fldCharType="end"/>
        </w:r>
      </w:hyperlink>
    </w:p>
    <w:p w14:paraId="4A65238B" w14:textId="2B8A30E9" w:rsidR="00EA0CC9" w:rsidRDefault="000F0A1C">
      <w:pPr>
        <w:pStyle w:val="TOC1"/>
        <w:rPr>
          <w:rFonts w:asciiTheme="minorHAnsi" w:eastAsiaTheme="minorEastAsia" w:hAnsiTheme="minorHAnsi" w:cstheme="minorBidi"/>
          <w:noProof/>
          <w:sz w:val="22"/>
          <w:szCs w:val="22"/>
          <w:lang w:val="en-AU" w:eastAsia="en-AU"/>
        </w:rPr>
      </w:pPr>
      <w:hyperlink w:anchor="_Toc124832762" w:history="1">
        <w:r w:rsidR="00EA0CC9" w:rsidRPr="00AC61F0">
          <w:rPr>
            <w:rStyle w:val="Hyperlink"/>
            <w:noProof/>
          </w:rPr>
          <w:t>Key components of Mana Whaikaha</w:t>
        </w:r>
        <w:r w:rsidR="00EA0CC9">
          <w:rPr>
            <w:noProof/>
            <w:webHidden/>
          </w:rPr>
          <w:tab/>
        </w:r>
        <w:r w:rsidR="00EA0CC9">
          <w:rPr>
            <w:noProof/>
            <w:webHidden/>
          </w:rPr>
          <w:fldChar w:fldCharType="begin"/>
        </w:r>
        <w:r w:rsidR="00EA0CC9">
          <w:rPr>
            <w:noProof/>
            <w:webHidden/>
          </w:rPr>
          <w:instrText xml:space="preserve"> PAGEREF _Toc124832762 \h </w:instrText>
        </w:r>
        <w:r w:rsidR="00EA0CC9">
          <w:rPr>
            <w:noProof/>
            <w:webHidden/>
          </w:rPr>
        </w:r>
        <w:r w:rsidR="00EA0CC9">
          <w:rPr>
            <w:noProof/>
            <w:webHidden/>
          </w:rPr>
          <w:fldChar w:fldCharType="separate"/>
        </w:r>
        <w:r w:rsidR="00EA0CC9">
          <w:rPr>
            <w:noProof/>
            <w:webHidden/>
          </w:rPr>
          <w:t>13</w:t>
        </w:r>
        <w:r w:rsidR="00EA0CC9">
          <w:rPr>
            <w:noProof/>
            <w:webHidden/>
          </w:rPr>
          <w:fldChar w:fldCharType="end"/>
        </w:r>
      </w:hyperlink>
    </w:p>
    <w:p w14:paraId="2511681C" w14:textId="79BABA9F" w:rsidR="00EA0CC9" w:rsidRDefault="000F0A1C">
      <w:pPr>
        <w:pStyle w:val="TOC2"/>
        <w:rPr>
          <w:rFonts w:asciiTheme="minorHAnsi" w:eastAsiaTheme="minorEastAsia" w:hAnsiTheme="minorHAnsi" w:cstheme="minorBidi"/>
          <w:noProof/>
          <w:szCs w:val="22"/>
          <w:lang w:val="en-AU" w:eastAsia="en-AU"/>
        </w:rPr>
      </w:pPr>
      <w:hyperlink w:anchor="_Toc124832763" w:history="1">
        <w:r w:rsidR="00EA0CC9" w:rsidRPr="00AC61F0">
          <w:rPr>
            <w:rStyle w:val="Hyperlink"/>
            <w:noProof/>
          </w:rPr>
          <w:t>Flexible funding as one tool to enable self-determination</w:t>
        </w:r>
        <w:r w:rsidR="00EA0CC9">
          <w:rPr>
            <w:noProof/>
            <w:webHidden/>
          </w:rPr>
          <w:tab/>
        </w:r>
        <w:r w:rsidR="00EA0CC9">
          <w:rPr>
            <w:noProof/>
            <w:webHidden/>
          </w:rPr>
          <w:fldChar w:fldCharType="begin"/>
        </w:r>
        <w:r w:rsidR="00EA0CC9">
          <w:rPr>
            <w:noProof/>
            <w:webHidden/>
          </w:rPr>
          <w:instrText xml:space="preserve"> PAGEREF _Toc124832763 \h </w:instrText>
        </w:r>
        <w:r w:rsidR="00EA0CC9">
          <w:rPr>
            <w:noProof/>
            <w:webHidden/>
          </w:rPr>
        </w:r>
        <w:r w:rsidR="00EA0CC9">
          <w:rPr>
            <w:noProof/>
            <w:webHidden/>
          </w:rPr>
          <w:fldChar w:fldCharType="separate"/>
        </w:r>
        <w:r w:rsidR="00EA0CC9">
          <w:rPr>
            <w:noProof/>
            <w:webHidden/>
          </w:rPr>
          <w:t>13</w:t>
        </w:r>
        <w:r w:rsidR="00EA0CC9">
          <w:rPr>
            <w:noProof/>
            <w:webHidden/>
          </w:rPr>
          <w:fldChar w:fldCharType="end"/>
        </w:r>
      </w:hyperlink>
    </w:p>
    <w:p w14:paraId="27D3C121" w14:textId="1BC68C65" w:rsidR="00EA0CC9" w:rsidRDefault="000F0A1C">
      <w:pPr>
        <w:pStyle w:val="TOC2"/>
        <w:rPr>
          <w:rFonts w:asciiTheme="minorHAnsi" w:eastAsiaTheme="minorEastAsia" w:hAnsiTheme="minorHAnsi" w:cstheme="minorBidi"/>
          <w:noProof/>
          <w:szCs w:val="22"/>
          <w:lang w:val="en-AU" w:eastAsia="en-AU"/>
        </w:rPr>
      </w:pPr>
      <w:hyperlink w:anchor="_Toc124832764" w:history="1">
        <w:r w:rsidR="00EA0CC9" w:rsidRPr="00AC61F0">
          <w:rPr>
            <w:rStyle w:val="Hyperlink"/>
            <w:noProof/>
          </w:rPr>
          <w:t>Working with other providers</w:t>
        </w:r>
        <w:r w:rsidR="00EA0CC9">
          <w:rPr>
            <w:noProof/>
            <w:webHidden/>
          </w:rPr>
          <w:tab/>
        </w:r>
        <w:r w:rsidR="00EA0CC9">
          <w:rPr>
            <w:noProof/>
            <w:webHidden/>
          </w:rPr>
          <w:fldChar w:fldCharType="begin"/>
        </w:r>
        <w:r w:rsidR="00EA0CC9">
          <w:rPr>
            <w:noProof/>
            <w:webHidden/>
          </w:rPr>
          <w:instrText xml:space="preserve"> PAGEREF _Toc124832764 \h </w:instrText>
        </w:r>
        <w:r w:rsidR="00EA0CC9">
          <w:rPr>
            <w:noProof/>
            <w:webHidden/>
          </w:rPr>
        </w:r>
        <w:r w:rsidR="00EA0CC9">
          <w:rPr>
            <w:noProof/>
            <w:webHidden/>
          </w:rPr>
          <w:fldChar w:fldCharType="separate"/>
        </w:r>
        <w:r w:rsidR="00EA0CC9">
          <w:rPr>
            <w:noProof/>
            <w:webHidden/>
          </w:rPr>
          <w:t>13</w:t>
        </w:r>
        <w:r w:rsidR="00EA0CC9">
          <w:rPr>
            <w:noProof/>
            <w:webHidden/>
          </w:rPr>
          <w:fldChar w:fldCharType="end"/>
        </w:r>
      </w:hyperlink>
    </w:p>
    <w:p w14:paraId="01A4E95B" w14:textId="70AAFD61" w:rsidR="00EA0CC9" w:rsidRDefault="000F0A1C">
      <w:pPr>
        <w:pStyle w:val="TOC2"/>
        <w:rPr>
          <w:rFonts w:asciiTheme="minorHAnsi" w:eastAsiaTheme="minorEastAsia" w:hAnsiTheme="minorHAnsi" w:cstheme="minorBidi"/>
          <w:noProof/>
          <w:szCs w:val="22"/>
          <w:lang w:val="en-AU" w:eastAsia="en-AU"/>
        </w:rPr>
      </w:pPr>
      <w:hyperlink w:anchor="_Toc124832765" w:history="1">
        <w:r w:rsidR="00EA0CC9" w:rsidRPr="00AC61F0">
          <w:rPr>
            <w:rStyle w:val="Hyperlink"/>
            <w:noProof/>
          </w:rPr>
          <w:t>Leadership and commitment at all levels</w:t>
        </w:r>
        <w:r w:rsidR="00EA0CC9">
          <w:rPr>
            <w:noProof/>
            <w:webHidden/>
          </w:rPr>
          <w:tab/>
        </w:r>
        <w:r w:rsidR="00EA0CC9">
          <w:rPr>
            <w:noProof/>
            <w:webHidden/>
          </w:rPr>
          <w:fldChar w:fldCharType="begin"/>
        </w:r>
        <w:r w:rsidR="00EA0CC9">
          <w:rPr>
            <w:noProof/>
            <w:webHidden/>
          </w:rPr>
          <w:instrText xml:space="preserve"> PAGEREF _Toc124832765 \h </w:instrText>
        </w:r>
        <w:r w:rsidR="00EA0CC9">
          <w:rPr>
            <w:noProof/>
            <w:webHidden/>
          </w:rPr>
        </w:r>
        <w:r w:rsidR="00EA0CC9">
          <w:rPr>
            <w:noProof/>
            <w:webHidden/>
          </w:rPr>
          <w:fldChar w:fldCharType="separate"/>
        </w:r>
        <w:r w:rsidR="00EA0CC9">
          <w:rPr>
            <w:noProof/>
            <w:webHidden/>
          </w:rPr>
          <w:t>14</w:t>
        </w:r>
        <w:r w:rsidR="00EA0CC9">
          <w:rPr>
            <w:noProof/>
            <w:webHidden/>
          </w:rPr>
          <w:fldChar w:fldCharType="end"/>
        </w:r>
      </w:hyperlink>
    </w:p>
    <w:p w14:paraId="2E98FDC9" w14:textId="3E4BA48C" w:rsidR="00EA0CC9" w:rsidRDefault="000F0A1C">
      <w:pPr>
        <w:pStyle w:val="TOC2"/>
        <w:rPr>
          <w:rFonts w:asciiTheme="minorHAnsi" w:eastAsiaTheme="minorEastAsia" w:hAnsiTheme="minorHAnsi" w:cstheme="minorBidi"/>
          <w:noProof/>
          <w:szCs w:val="22"/>
          <w:lang w:val="en-AU" w:eastAsia="en-AU"/>
        </w:rPr>
      </w:pPr>
      <w:hyperlink w:anchor="_Toc124832766" w:history="1">
        <w:r w:rsidR="00EA0CC9" w:rsidRPr="00AC61F0">
          <w:rPr>
            <w:rStyle w:val="Hyperlink"/>
            <w:noProof/>
          </w:rPr>
          <w:t>Funding approaches</w:t>
        </w:r>
        <w:r w:rsidR="00EA0CC9">
          <w:rPr>
            <w:noProof/>
            <w:webHidden/>
          </w:rPr>
          <w:tab/>
        </w:r>
        <w:r w:rsidR="00EA0CC9">
          <w:rPr>
            <w:noProof/>
            <w:webHidden/>
          </w:rPr>
          <w:fldChar w:fldCharType="begin"/>
        </w:r>
        <w:r w:rsidR="00EA0CC9">
          <w:rPr>
            <w:noProof/>
            <w:webHidden/>
          </w:rPr>
          <w:instrText xml:space="preserve"> PAGEREF _Toc124832766 \h </w:instrText>
        </w:r>
        <w:r w:rsidR="00EA0CC9">
          <w:rPr>
            <w:noProof/>
            <w:webHidden/>
          </w:rPr>
        </w:r>
        <w:r w:rsidR="00EA0CC9">
          <w:rPr>
            <w:noProof/>
            <w:webHidden/>
          </w:rPr>
          <w:fldChar w:fldCharType="separate"/>
        </w:r>
        <w:r w:rsidR="00EA0CC9">
          <w:rPr>
            <w:noProof/>
            <w:webHidden/>
          </w:rPr>
          <w:t>14</w:t>
        </w:r>
        <w:r w:rsidR="00EA0CC9">
          <w:rPr>
            <w:noProof/>
            <w:webHidden/>
          </w:rPr>
          <w:fldChar w:fldCharType="end"/>
        </w:r>
      </w:hyperlink>
    </w:p>
    <w:p w14:paraId="3E4CC490" w14:textId="2F26775A" w:rsidR="00EA0CC9" w:rsidRDefault="000F0A1C">
      <w:pPr>
        <w:pStyle w:val="TOC2"/>
        <w:rPr>
          <w:rFonts w:asciiTheme="minorHAnsi" w:eastAsiaTheme="minorEastAsia" w:hAnsiTheme="minorHAnsi" w:cstheme="minorBidi"/>
          <w:noProof/>
          <w:szCs w:val="22"/>
          <w:lang w:val="en-AU" w:eastAsia="en-AU"/>
        </w:rPr>
      </w:pPr>
      <w:hyperlink w:anchor="_Toc124832767" w:history="1">
        <w:r w:rsidR="00EA0CC9" w:rsidRPr="00AC61F0">
          <w:rPr>
            <w:rStyle w:val="Hyperlink"/>
            <w:noProof/>
          </w:rPr>
          <w:t>System change</w:t>
        </w:r>
        <w:r w:rsidR="00EA0CC9">
          <w:rPr>
            <w:noProof/>
            <w:webHidden/>
          </w:rPr>
          <w:tab/>
        </w:r>
        <w:r w:rsidR="00EA0CC9">
          <w:rPr>
            <w:noProof/>
            <w:webHidden/>
          </w:rPr>
          <w:fldChar w:fldCharType="begin"/>
        </w:r>
        <w:r w:rsidR="00EA0CC9">
          <w:rPr>
            <w:noProof/>
            <w:webHidden/>
          </w:rPr>
          <w:instrText xml:space="preserve"> PAGEREF _Toc124832767 \h </w:instrText>
        </w:r>
        <w:r w:rsidR="00EA0CC9">
          <w:rPr>
            <w:noProof/>
            <w:webHidden/>
          </w:rPr>
        </w:r>
        <w:r w:rsidR="00EA0CC9">
          <w:rPr>
            <w:noProof/>
            <w:webHidden/>
          </w:rPr>
          <w:fldChar w:fldCharType="separate"/>
        </w:r>
        <w:r w:rsidR="00EA0CC9">
          <w:rPr>
            <w:noProof/>
            <w:webHidden/>
          </w:rPr>
          <w:t>14</w:t>
        </w:r>
        <w:r w:rsidR="00EA0CC9">
          <w:rPr>
            <w:noProof/>
            <w:webHidden/>
          </w:rPr>
          <w:fldChar w:fldCharType="end"/>
        </w:r>
      </w:hyperlink>
    </w:p>
    <w:p w14:paraId="133A9219" w14:textId="221DA4AA" w:rsidR="00C86248" w:rsidRDefault="006348FF">
      <w:r>
        <w:rPr>
          <w:rFonts w:ascii="Segoe UI Semibold" w:hAnsi="Segoe UI Semibold"/>
          <w:b/>
          <w:sz w:val="24"/>
        </w:rPr>
        <w:fldChar w:fldCharType="end"/>
      </w:r>
    </w:p>
    <w:p w14:paraId="0D248541" w14:textId="77777777" w:rsidR="002B76A7" w:rsidRDefault="002B76A7" w:rsidP="002B76A7">
      <w:pPr>
        <w:pStyle w:val="TOC1"/>
        <w:keepNext/>
      </w:pPr>
      <w:r>
        <w:t>List of Tables</w:t>
      </w:r>
    </w:p>
    <w:bookmarkStart w:id="2" w:name="_Toc122356148"/>
    <w:p w14:paraId="35349E0A" w14:textId="0503A24A" w:rsidR="00243051" w:rsidRDefault="00655936">
      <w:pPr>
        <w:pStyle w:val="TableofFigures"/>
        <w:rPr>
          <w:rFonts w:asciiTheme="minorHAnsi" w:eastAsiaTheme="minorEastAsia" w:hAnsiTheme="minorHAnsi" w:cstheme="minorBidi"/>
          <w:noProof/>
          <w:sz w:val="22"/>
          <w:szCs w:val="22"/>
          <w:lang w:val="en-AU" w:eastAsia="en-AU"/>
        </w:rPr>
      </w:pPr>
      <w:r>
        <w:fldChar w:fldCharType="begin"/>
      </w:r>
      <w:r>
        <w:instrText xml:space="preserve"> TOC \h \z \c "Table" </w:instrText>
      </w:r>
      <w:r>
        <w:fldChar w:fldCharType="separate"/>
      </w:r>
      <w:hyperlink w:anchor="_Toc122410783" w:history="1">
        <w:r w:rsidR="00243051" w:rsidRPr="004822F9">
          <w:rPr>
            <w:rStyle w:val="Hyperlink"/>
            <w:noProof/>
          </w:rPr>
          <w:t>Table 1: Key roles in the shift from ‘needs assessment’ to a strengths-based approach</w:t>
        </w:r>
        <w:r w:rsidR="00243051">
          <w:rPr>
            <w:rStyle w:val="Hyperlink"/>
            <w:noProof/>
          </w:rPr>
          <w:tab/>
        </w:r>
        <w:r w:rsidR="00243051">
          <w:rPr>
            <w:noProof/>
            <w:webHidden/>
          </w:rPr>
          <w:tab/>
        </w:r>
        <w:r w:rsidR="00243051">
          <w:rPr>
            <w:noProof/>
            <w:webHidden/>
          </w:rPr>
          <w:fldChar w:fldCharType="begin"/>
        </w:r>
        <w:r w:rsidR="00243051">
          <w:rPr>
            <w:noProof/>
            <w:webHidden/>
          </w:rPr>
          <w:instrText xml:space="preserve"> PAGEREF _Toc122410783 \h </w:instrText>
        </w:r>
        <w:r w:rsidR="00243051">
          <w:rPr>
            <w:noProof/>
            <w:webHidden/>
          </w:rPr>
        </w:r>
        <w:r w:rsidR="00243051">
          <w:rPr>
            <w:noProof/>
            <w:webHidden/>
          </w:rPr>
          <w:fldChar w:fldCharType="separate"/>
        </w:r>
        <w:r w:rsidR="00243051">
          <w:rPr>
            <w:noProof/>
            <w:webHidden/>
          </w:rPr>
          <w:t>5</w:t>
        </w:r>
        <w:r w:rsidR="00243051">
          <w:rPr>
            <w:noProof/>
            <w:webHidden/>
          </w:rPr>
          <w:fldChar w:fldCharType="end"/>
        </w:r>
      </w:hyperlink>
    </w:p>
    <w:p w14:paraId="22B05CF8" w14:textId="3E9FA89E" w:rsidR="00655936" w:rsidRPr="00655936" w:rsidRDefault="00655936" w:rsidP="00655936">
      <w:pPr>
        <w:pStyle w:val="TableofFigures"/>
        <w:sectPr w:rsidR="00655936" w:rsidRPr="00655936" w:rsidSect="00A27D16">
          <w:headerReference w:type="even" r:id="rId16"/>
          <w:headerReference w:type="default" r:id="rId17"/>
          <w:footerReference w:type="even" r:id="rId18"/>
          <w:footerReference w:type="default" r:id="rId19"/>
          <w:pgSz w:w="11901" w:h="16817"/>
          <w:pgMar w:top="1418" w:right="1701" w:bottom="1134" w:left="1843" w:header="709" w:footer="425" w:gutter="0"/>
          <w:pgNumType w:fmt="lowerRoman" w:start="3"/>
          <w:cols w:space="708"/>
          <w:docGrid w:linePitch="360"/>
        </w:sectPr>
      </w:pPr>
      <w:r>
        <w:fldChar w:fldCharType="end"/>
      </w:r>
    </w:p>
    <w:p w14:paraId="4EA5813F" w14:textId="5770A868" w:rsidR="00655936" w:rsidRPr="002733B4" w:rsidRDefault="00243051" w:rsidP="00655936">
      <w:pPr>
        <w:pStyle w:val="Heading1"/>
        <w:spacing w:before="0"/>
      </w:pPr>
      <w:bookmarkStart w:id="3" w:name="_Toc124832746"/>
      <w:bookmarkEnd w:id="2"/>
      <w:r>
        <w:lastRenderedPageBreak/>
        <w:t>Purpose</w:t>
      </w:r>
      <w:bookmarkEnd w:id="3"/>
    </w:p>
    <w:p w14:paraId="3E5C2ACC" w14:textId="18EBC4A6" w:rsidR="00655936" w:rsidRDefault="00243051" w:rsidP="00993BBE">
      <w:pPr>
        <w:autoSpaceDE w:val="0"/>
        <w:autoSpaceDN w:val="0"/>
        <w:adjustRightInd w:val="0"/>
        <w:rPr>
          <w:rFonts w:eastAsiaTheme="minorHAnsi" w:cstheme="minorHAnsi"/>
          <w:color w:val="333333"/>
          <w:lang w:val="en-GB" w:eastAsia="en-US"/>
        </w:rPr>
      </w:pPr>
      <w:r w:rsidRPr="00243051">
        <w:rPr>
          <w:rFonts w:eastAsiaTheme="minorHAnsi" w:cstheme="minorHAnsi"/>
          <w:color w:val="333333"/>
          <w:lang w:val="en-GB" w:eastAsia="en-US"/>
        </w:rPr>
        <w:t>This case study looks at how flexible funding options contribute to and promote the larger transformation of the disability support system, which aims to support disabled people and their whānau to exercise greater choice and control over their lives and supports. It also captures the challenges of trying new ways of working across a system that is in the early stages of transformation.</w:t>
      </w:r>
    </w:p>
    <w:p w14:paraId="70E2B6F0" w14:textId="77777777" w:rsidR="00655936" w:rsidRDefault="00655936" w:rsidP="00655936">
      <w:pPr>
        <w:pStyle w:val="Heading1"/>
        <w:sectPr w:rsidR="00655936" w:rsidSect="00A27D16">
          <w:pgSz w:w="11901" w:h="16817"/>
          <w:pgMar w:top="1418" w:right="1701" w:bottom="1134" w:left="1843" w:header="709" w:footer="425" w:gutter="0"/>
          <w:pgNumType w:start="1"/>
          <w:cols w:space="708"/>
          <w:docGrid w:linePitch="360"/>
        </w:sectPr>
      </w:pPr>
    </w:p>
    <w:p w14:paraId="4491056E" w14:textId="27E3D4EF" w:rsidR="00655936" w:rsidRPr="00BF3F47" w:rsidRDefault="00993BBE" w:rsidP="00655936">
      <w:pPr>
        <w:pStyle w:val="Heading1"/>
        <w:spacing w:before="0"/>
      </w:pPr>
      <w:bookmarkStart w:id="4" w:name="_Toc124832747"/>
      <w:bookmarkStart w:id="5" w:name="_Toc122356149"/>
      <w:r w:rsidRPr="00993BBE">
        <w:lastRenderedPageBreak/>
        <w:t>Method</w:t>
      </w:r>
      <w:bookmarkEnd w:id="4"/>
      <w:r w:rsidRPr="00993BBE">
        <w:t xml:space="preserve"> </w:t>
      </w:r>
      <w:bookmarkEnd w:id="5"/>
    </w:p>
    <w:p w14:paraId="77A2E00C" w14:textId="2FAB1155" w:rsidR="00243051" w:rsidRDefault="00243051" w:rsidP="00243051">
      <w:r w:rsidRPr="00E06F7B">
        <w:t xml:space="preserve">Interviews were conducted with </w:t>
      </w:r>
      <w:r>
        <w:t xml:space="preserve">current and past </w:t>
      </w:r>
      <w:r w:rsidRPr="00E06F7B">
        <w:t>Mana Whaikaha staff</w:t>
      </w:r>
      <w:r>
        <w:t xml:space="preserve"> </w:t>
      </w:r>
      <w:r w:rsidRPr="00E06F7B">
        <w:t>and Ministry of Health advis</w:t>
      </w:r>
      <w:r>
        <w:t>o</w:t>
      </w:r>
      <w:r w:rsidRPr="00E06F7B">
        <w:t xml:space="preserve">rs. The focus was on the mechanics of moving to a flexible funding approach as a key first step </w:t>
      </w:r>
      <w:r>
        <w:t>towards</w:t>
      </w:r>
      <w:r w:rsidRPr="00E06F7B">
        <w:t xml:space="preserve"> wider system transformation.</w:t>
      </w:r>
    </w:p>
    <w:p w14:paraId="50C4AF69" w14:textId="77777777" w:rsidR="00243051" w:rsidRPr="00E06F7B" w:rsidRDefault="00243051" w:rsidP="00243051"/>
    <w:p w14:paraId="3E7A370D" w14:textId="77777777" w:rsidR="00243051" w:rsidRPr="00E06F7B" w:rsidRDefault="00243051" w:rsidP="00243051">
      <w:r w:rsidRPr="00E06F7B">
        <w:t>For more details about Mana Whaikaha and the experiences of disabled people and their wh</w:t>
      </w:r>
      <w:r w:rsidRPr="00E964A4">
        <w:t xml:space="preserve">ānau, see the </w:t>
      </w:r>
      <w:r>
        <w:t>e</w:t>
      </w:r>
      <w:r w:rsidRPr="00AB3DA2">
        <w:t>valuation of Mana Whaikaha</w:t>
      </w:r>
      <w:r w:rsidRPr="00E06F7B">
        <w:rPr>
          <w:i/>
          <w:iCs/>
        </w:rPr>
        <w:t>.</w:t>
      </w:r>
      <w:r w:rsidRPr="00E06F7B">
        <w:rPr>
          <w:rStyle w:val="FootnoteReference"/>
          <w:color w:val="000000" w:themeColor="text1"/>
        </w:rPr>
        <w:footnoteReference w:id="1"/>
      </w:r>
      <w:r w:rsidRPr="00E06F7B">
        <w:rPr>
          <w:i/>
          <w:iCs/>
        </w:rPr>
        <w:t xml:space="preserve"> </w:t>
      </w:r>
    </w:p>
    <w:p w14:paraId="721F28CA" w14:textId="77777777" w:rsidR="00655936" w:rsidRDefault="00655936" w:rsidP="00243051">
      <w:pPr>
        <w:rPr>
          <w:szCs w:val="22"/>
        </w:rPr>
      </w:pPr>
      <w:r w:rsidRPr="00A00F16">
        <w:rPr>
          <w:szCs w:val="22"/>
        </w:rPr>
        <w:t xml:space="preserve"> </w:t>
      </w:r>
    </w:p>
    <w:p w14:paraId="4DB37765" w14:textId="77777777" w:rsidR="00243051" w:rsidRDefault="00243051" w:rsidP="00243051">
      <w:pPr>
        <w:pStyle w:val="Heading1"/>
        <w:sectPr w:rsidR="00243051" w:rsidSect="00A27D16">
          <w:pgSz w:w="11901" w:h="16817"/>
          <w:pgMar w:top="1418" w:right="1701" w:bottom="1134" w:left="1843" w:header="709" w:footer="425" w:gutter="0"/>
          <w:cols w:space="708"/>
          <w:docGrid w:linePitch="360"/>
        </w:sectPr>
      </w:pPr>
    </w:p>
    <w:p w14:paraId="306CC6FE" w14:textId="05B6B7BD" w:rsidR="00243051" w:rsidRPr="00E06F7B" w:rsidRDefault="00243051" w:rsidP="00243051">
      <w:pPr>
        <w:pStyle w:val="Heading1"/>
        <w:spacing w:before="0"/>
      </w:pPr>
      <w:bookmarkStart w:id="6" w:name="_Toc124832748"/>
      <w:r w:rsidRPr="00E06F7B">
        <w:lastRenderedPageBreak/>
        <w:t>Enabling choice and control for disabled people: Mana Whaikaha</w:t>
      </w:r>
      <w:bookmarkEnd w:id="6"/>
    </w:p>
    <w:p w14:paraId="581AD09E" w14:textId="6DB29B4F" w:rsidR="00243051" w:rsidRDefault="00243051" w:rsidP="00243051">
      <w:r w:rsidRPr="00E06F7B">
        <w:t>Mana Whaikaha is a Ministry of Health funded prototype of a transformed disability support system in the MidCentral District Health Board region</w:t>
      </w:r>
      <w:r w:rsidR="00C073D8">
        <w:t xml:space="preserve"> (now part of Te Whatu Ora)</w:t>
      </w:r>
      <w:r w:rsidR="00EE6367">
        <w:t xml:space="preserve">. </w:t>
      </w:r>
      <w:r w:rsidRPr="00E06F7B">
        <w:t xml:space="preserve">The service concept was co-designed with disabled people using the Enabling Good Lives philosophy </w:t>
      </w:r>
      <w:r w:rsidRPr="002C04FA">
        <w:t>(</w:t>
      </w:r>
      <w:r>
        <w:t>‘T</w:t>
      </w:r>
      <w:r w:rsidRPr="00AB3DA2">
        <w:t xml:space="preserve">hrough Enabling Good Lives, </w:t>
      </w:r>
      <w:bookmarkStart w:id="7" w:name="_Hlk66198327"/>
      <w:r w:rsidRPr="00AB3DA2">
        <w:t>disabled people and their whānau can choose to increase the choice and control they have in their lives and supports</w:t>
      </w:r>
      <w:r>
        <w:t>’</w:t>
      </w:r>
      <w:r>
        <w:rPr>
          <w:rStyle w:val="FootnoteReference"/>
        </w:rPr>
        <w:footnoteReference w:id="2"/>
      </w:r>
      <w:r w:rsidRPr="00AB3DA2">
        <w:t>).</w:t>
      </w:r>
      <w:bookmarkEnd w:id="7"/>
    </w:p>
    <w:p w14:paraId="43E1CDA6" w14:textId="77777777" w:rsidR="00243051" w:rsidRPr="00E06F7B" w:rsidRDefault="00243051" w:rsidP="00243051"/>
    <w:p w14:paraId="17C22F24" w14:textId="77777777" w:rsidR="00243051" w:rsidRPr="00E06F7B" w:rsidRDefault="00243051" w:rsidP="00243051">
      <w:r w:rsidRPr="005438FF">
        <w:t xml:space="preserve">The </w:t>
      </w:r>
      <w:r>
        <w:t xml:space="preserve">initial </w:t>
      </w:r>
      <w:r w:rsidRPr="005438FF">
        <w:t xml:space="preserve">Mana Whaikaha prototype </w:t>
      </w:r>
      <w:r>
        <w:t xml:space="preserve">in late 2018 </w:t>
      </w:r>
      <w:r w:rsidRPr="005438FF">
        <w:t>employed about 40</w:t>
      </w:r>
      <w:r w:rsidRPr="00E06F7B">
        <w:t xml:space="preserve"> staff</w:t>
      </w:r>
      <w:r>
        <w:t>.</w:t>
      </w:r>
      <w:r w:rsidRPr="00E06F7B">
        <w:t xml:space="preserve"> At this time, it was envisaged that the new system would include: </w:t>
      </w:r>
    </w:p>
    <w:p w14:paraId="0F974795" w14:textId="77777777" w:rsidR="00243051" w:rsidRPr="00E06F7B" w:rsidRDefault="00243051" w:rsidP="00243051">
      <w:pPr>
        <w:pStyle w:val="Bullet"/>
      </w:pPr>
      <w:r w:rsidRPr="00E06F7B">
        <w:t xml:space="preserve">access to independent facilitation to assist people to be aspirational and feel connected to their community </w:t>
      </w:r>
    </w:p>
    <w:p w14:paraId="39A1C7E4" w14:textId="77777777" w:rsidR="00243051" w:rsidRPr="00E06F7B" w:rsidRDefault="00243051" w:rsidP="00243051">
      <w:pPr>
        <w:pStyle w:val="Bullet"/>
      </w:pPr>
      <w:r w:rsidRPr="00E06F7B">
        <w:t xml:space="preserve">a strengths-based </w:t>
      </w:r>
      <w:r>
        <w:t>process for people to identify their needs and goals</w:t>
      </w:r>
    </w:p>
    <w:p w14:paraId="0E7E487A" w14:textId="77777777" w:rsidR="00243051" w:rsidRPr="00E06F7B" w:rsidRDefault="00243051" w:rsidP="00243051">
      <w:pPr>
        <w:pStyle w:val="Bullet"/>
      </w:pPr>
      <w:r w:rsidRPr="00E06F7B">
        <w:t xml:space="preserve">a personal budget for disability support with funding from multiple government agencies </w:t>
      </w:r>
    </w:p>
    <w:p w14:paraId="1DAF3136" w14:textId="77777777" w:rsidR="00243051" w:rsidRPr="00E06F7B" w:rsidRDefault="00243051" w:rsidP="00243051">
      <w:pPr>
        <w:pStyle w:val="Bullet"/>
      </w:pPr>
      <w:r w:rsidRPr="00E06F7B">
        <w:t xml:space="preserve">flexibility and choice about how to use the personal budget and a range of options to assist its management </w:t>
      </w:r>
    </w:p>
    <w:p w14:paraId="64FFA3A1" w14:textId="77777777" w:rsidR="00243051" w:rsidRPr="00E06F7B" w:rsidRDefault="00243051" w:rsidP="00243051">
      <w:pPr>
        <w:pStyle w:val="Bullet"/>
      </w:pPr>
      <w:r w:rsidRPr="00E06F7B">
        <w:t>capacity</w:t>
      </w:r>
      <w:r>
        <w:t>-</w:t>
      </w:r>
      <w:r w:rsidRPr="00E06F7B">
        <w:t xml:space="preserve">building opportunities for disabled people and their families, as well as the sector and providers </w:t>
      </w:r>
    </w:p>
    <w:p w14:paraId="3E354E7A" w14:textId="77777777" w:rsidR="00243051" w:rsidRPr="00E06F7B" w:rsidRDefault="00243051" w:rsidP="00243051">
      <w:pPr>
        <w:pStyle w:val="Bullet"/>
      </w:pPr>
      <w:r w:rsidRPr="00E06F7B">
        <w:t>referrals to other agencies for additional services including learning and income support, with the new system streamlining the process for disabled people.</w:t>
      </w:r>
      <w:r>
        <w:rPr>
          <w:rStyle w:val="FootnoteReference"/>
          <w:color w:val="000000" w:themeColor="text1"/>
        </w:rPr>
        <w:footnoteReference w:id="3"/>
      </w:r>
    </w:p>
    <w:p w14:paraId="66770291" w14:textId="77777777" w:rsidR="00243051" w:rsidRDefault="00243051" w:rsidP="00243051">
      <w:pPr>
        <w:pStyle w:val="Heading1"/>
        <w:sectPr w:rsidR="00243051" w:rsidSect="00A27D16">
          <w:pgSz w:w="11901" w:h="16817"/>
          <w:pgMar w:top="1418" w:right="1701" w:bottom="1134" w:left="1843" w:header="709" w:footer="425" w:gutter="0"/>
          <w:cols w:space="708"/>
          <w:docGrid w:linePitch="360"/>
        </w:sectPr>
      </w:pPr>
    </w:p>
    <w:p w14:paraId="1E1062E2" w14:textId="78F83E32" w:rsidR="00243051" w:rsidRPr="00E06F7B" w:rsidRDefault="00243051" w:rsidP="00243051">
      <w:pPr>
        <w:pStyle w:val="Heading1"/>
        <w:spacing w:before="0"/>
      </w:pPr>
      <w:bookmarkStart w:id="8" w:name="_Toc124832749"/>
      <w:r w:rsidRPr="00E06F7B">
        <w:lastRenderedPageBreak/>
        <w:t>Vision</w:t>
      </w:r>
      <w:bookmarkEnd w:id="8"/>
    </w:p>
    <w:p w14:paraId="75AE334B" w14:textId="77777777" w:rsidR="00243051" w:rsidRPr="00E06F7B" w:rsidRDefault="00243051" w:rsidP="00243051">
      <w:r w:rsidRPr="00E06F7B">
        <w:t>Mana Whaikaha is underpinned by the Enabling Good Lives (EGL) vision and principles, which were developed by a working group from the disability community.</w:t>
      </w:r>
    </w:p>
    <w:p w14:paraId="36F2B11E" w14:textId="66BA88E0" w:rsidR="00243051" w:rsidRDefault="00243051" w:rsidP="00243051">
      <w:r w:rsidRPr="00E06F7B">
        <w:t>The E</w:t>
      </w:r>
      <w:r>
        <w:t>GL</w:t>
      </w:r>
      <w:r w:rsidRPr="00E06F7B">
        <w:t xml:space="preserve"> vision is of a future where:</w:t>
      </w:r>
    </w:p>
    <w:p w14:paraId="630390A7" w14:textId="77777777" w:rsidR="00243051" w:rsidRPr="00E06F7B" w:rsidRDefault="00243051" w:rsidP="00243051"/>
    <w:p w14:paraId="1781A2E5" w14:textId="77777777" w:rsidR="00243051" w:rsidRPr="00243051" w:rsidRDefault="00243051" w:rsidP="00243051">
      <w:pPr>
        <w:pStyle w:val="Quote"/>
        <w:spacing w:before="0"/>
        <w:rPr>
          <w:i/>
          <w:iCs/>
        </w:rPr>
      </w:pPr>
      <w:r w:rsidRPr="00243051">
        <w:rPr>
          <w:i/>
          <w:iCs/>
        </w:rPr>
        <w:t>… disabled children and disabled people and their families will have greater choice, control and responsibility over their lives and supports and make more use of existing and universally available supports.</w:t>
      </w:r>
    </w:p>
    <w:p w14:paraId="62EE21B0" w14:textId="77777777" w:rsidR="00243051" w:rsidRDefault="00243051" w:rsidP="00243051"/>
    <w:p w14:paraId="6352DA3F" w14:textId="648F581E" w:rsidR="00243051" w:rsidRDefault="00243051" w:rsidP="00243051">
      <w:r w:rsidRPr="00E06F7B">
        <w:t xml:space="preserve">In essence, Mana Whaikaha is enabling disabled people to have </w:t>
      </w:r>
      <w:r>
        <w:t>more</w:t>
      </w:r>
      <w:r w:rsidRPr="00E06F7B">
        <w:t xml:space="preserve"> opportunities to participate </w:t>
      </w:r>
      <w:r>
        <w:t xml:space="preserve">in </w:t>
      </w:r>
      <w:r w:rsidRPr="00E06F7B">
        <w:t xml:space="preserve">and contribute </w:t>
      </w:r>
      <w:r>
        <w:t>to</w:t>
      </w:r>
      <w:r w:rsidRPr="00E06F7B">
        <w:t xml:space="preserve"> the</w:t>
      </w:r>
      <w:r>
        <w:t xml:space="preserve"> places,</w:t>
      </w:r>
      <w:r w:rsidRPr="00E06F7B">
        <w:t xml:space="preserve"> communities</w:t>
      </w:r>
      <w:r>
        <w:t xml:space="preserve"> and people they live among. To start, disabled people are linked up with a Connector, who supports them as they explore their strengths, assets and aspirations, and steps to go about achieving these.</w:t>
      </w:r>
      <w:r w:rsidRPr="00E06F7B">
        <w:t xml:space="preserve"> People can </w:t>
      </w:r>
      <w:r>
        <w:t>then consider and choose</w:t>
      </w:r>
      <w:r w:rsidRPr="00E06F7B">
        <w:t xml:space="preserve"> wh</w:t>
      </w:r>
      <w:r>
        <w:t>ich</w:t>
      </w:r>
      <w:r w:rsidRPr="00E06F7B">
        <w:t xml:space="preserve"> support</w:t>
      </w:r>
      <w:r>
        <w:t>s</w:t>
      </w:r>
      <w:r w:rsidRPr="00E06F7B">
        <w:t xml:space="preserve"> </w:t>
      </w:r>
      <w:r>
        <w:t>could</w:t>
      </w:r>
      <w:r w:rsidRPr="00E06F7B">
        <w:t xml:space="preserve"> </w:t>
      </w:r>
      <w:r>
        <w:t xml:space="preserve">build on their strengths and </w:t>
      </w:r>
      <w:r w:rsidRPr="00E06F7B">
        <w:t>overcome the specific challenges they face as result of their disability</w:t>
      </w:r>
      <w:r>
        <w:t>.</w:t>
      </w:r>
    </w:p>
    <w:p w14:paraId="6A34686A" w14:textId="77777777" w:rsidR="00243051" w:rsidRPr="00E06F7B" w:rsidRDefault="00243051" w:rsidP="00243051"/>
    <w:p w14:paraId="7C8B7F6B" w14:textId="77968B76" w:rsidR="00243051" w:rsidRDefault="00243051" w:rsidP="00243051">
      <w:r>
        <w:t>Most support for people comes</w:t>
      </w:r>
      <w:r w:rsidRPr="00E06F7B">
        <w:t xml:space="preserve"> through </w:t>
      </w:r>
      <w:r>
        <w:t>existing</w:t>
      </w:r>
      <w:r w:rsidRPr="00E06F7B">
        <w:t xml:space="preserve"> networks</w:t>
      </w:r>
      <w:r>
        <w:t xml:space="preserve"> and local resources</w:t>
      </w:r>
      <w:r w:rsidRPr="00E06F7B">
        <w:t xml:space="preserve">, which can connect </w:t>
      </w:r>
      <w:r>
        <w:t>them</w:t>
      </w:r>
      <w:r w:rsidRPr="00E06F7B">
        <w:t xml:space="preserve"> to their community. </w:t>
      </w:r>
      <w:r>
        <w:t>However,</w:t>
      </w:r>
      <w:r w:rsidRPr="00E06F7B">
        <w:t xml:space="preserve"> funded supports are often required. One of the fundamental differences in Mana Whaikaha is shifting who holds the power over funding</w:t>
      </w:r>
      <w:r>
        <w:t xml:space="preserve"> used to access supports</w:t>
      </w:r>
      <w:r w:rsidRPr="00E06F7B">
        <w:t>. The flexible funding model is predicated on trust, with the power to decide what works best residing with the disabled person.</w:t>
      </w:r>
      <w:r>
        <w:t xml:space="preserve"> </w:t>
      </w:r>
    </w:p>
    <w:p w14:paraId="65712FB7" w14:textId="77777777" w:rsidR="00243051" w:rsidRDefault="00243051" w:rsidP="00243051"/>
    <w:p w14:paraId="0EA43897" w14:textId="60BAD65F" w:rsidR="00243051" w:rsidRPr="00E06F7B" w:rsidRDefault="00243051" w:rsidP="00243051">
      <w:r>
        <w:t>Supported decision-making is a key component of this process and an ongoing priority for Mana Whaikaha. This means that people are able to make their own informed decision</w:t>
      </w:r>
      <w:r w:rsidR="00BF6CC3">
        <w:t>s</w:t>
      </w:r>
      <w:r>
        <w:t>. Like most decisions, they may also be made in combination with whānau and with the support of relevant information.</w:t>
      </w:r>
    </w:p>
    <w:p w14:paraId="690B532C" w14:textId="77777777" w:rsidR="00243051" w:rsidRDefault="00243051" w:rsidP="00243051">
      <w:pPr>
        <w:pStyle w:val="Heading1"/>
        <w:sectPr w:rsidR="00243051" w:rsidSect="00A27D16">
          <w:pgSz w:w="11901" w:h="16817"/>
          <w:pgMar w:top="1418" w:right="1701" w:bottom="1134" w:left="1843" w:header="709" w:footer="425" w:gutter="0"/>
          <w:cols w:space="708"/>
          <w:docGrid w:linePitch="360"/>
        </w:sectPr>
      </w:pPr>
    </w:p>
    <w:p w14:paraId="4D1BB120" w14:textId="7EAA5EFF" w:rsidR="00243051" w:rsidRPr="00E06F7B" w:rsidRDefault="00243051" w:rsidP="00243051">
      <w:pPr>
        <w:pStyle w:val="Heading1"/>
        <w:spacing w:before="0"/>
      </w:pPr>
      <w:bookmarkStart w:id="9" w:name="_Toc124832750"/>
      <w:r w:rsidRPr="00E06F7B">
        <w:lastRenderedPageBreak/>
        <w:t>Some important concepts</w:t>
      </w:r>
      <w:bookmarkEnd w:id="9"/>
      <w:r w:rsidRPr="00E06F7B">
        <w:t xml:space="preserve"> </w:t>
      </w:r>
    </w:p>
    <w:p w14:paraId="3A670246" w14:textId="42407771" w:rsidR="00243051" w:rsidRDefault="00243051" w:rsidP="00243051">
      <w:r w:rsidRPr="00E06F7B">
        <w:t xml:space="preserve">Mana Whaikaha seeks to be in </w:t>
      </w:r>
      <w:r>
        <w:t xml:space="preserve">the </w:t>
      </w:r>
      <w:r w:rsidRPr="00E06F7B">
        <w:t xml:space="preserve">‘right relationship’ with disabled people, respecting their uniqueness </w:t>
      </w:r>
      <w:r>
        <w:t xml:space="preserve">and </w:t>
      </w:r>
      <w:r w:rsidRPr="00E06F7B">
        <w:t xml:space="preserve">authority to make decisions about their own life. </w:t>
      </w:r>
    </w:p>
    <w:p w14:paraId="3E32FC79" w14:textId="77777777" w:rsidR="00243051" w:rsidRPr="00E06F7B" w:rsidRDefault="00243051" w:rsidP="00243051"/>
    <w:p w14:paraId="1CCF159E" w14:textId="77777777" w:rsidR="00243051" w:rsidRPr="00E06F7B" w:rsidRDefault="00243051" w:rsidP="00243051">
      <w:r>
        <w:t xml:space="preserve">Mana Whaikaha </w:t>
      </w:r>
      <w:r w:rsidRPr="00E06F7B">
        <w:t>honours the dignity of risk,</w:t>
      </w:r>
      <w:r>
        <w:t xml:space="preserve"> which means allowing and supporting disabled people to take, and bear the consequences of, the same risks as other people.</w:t>
      </w:r>
      <w:r w:rsidRPr="00E06F7B">
        <w:t xml:space="preserve"> </w:t>
      </w:r>
    </w:p>
    <w:p w14:paraId="4F7D0E3D" w14:textId="77777777" w:rsidR="00243051" w:rsidRPr="00E06F7B" w:rsidRDefault="00243051" w:rsidP="00243051">
      <w:pPr>
        <w:pStyle w:val="Heading2"/>
      </w:pPr>
      <w:bookmarkStart w:id="10" w:name="_Toc124832751"/>
      <w:r w:rsidRPr="00E06F7B">
        <w:t>Shift from ‘needs assessment’ to a strengths-based approach</w:t>
      </w:r>
      <w:bookmarkEnd w:id="10"/>
    </w:p>
    <w:p w14:paraId="0B980AB6" w14:textId="450C804E" w:rsidR="00243051" w:rsidRDefault="00243051" w:rsidP="00243051">
      <w:r w:rsidRPr="00E06F7B">
        <w:t xml:space="preserve">Normally a disabled person would have their ‘needs assessed’ by </w:t>
      </w:r>
      <w:r>
        <w:t>a</w:t>
      </w:r>
      <w:r w:rsidRPr="00E06F7B">
        <w:t xml:space="preserve"> Needs Assessment Service Coordination agency and wait to get funding based on what they are eligible for (which is a limited range of supports, such as </w:t>
      </w:r>
      <w:r>
        <w:t xml:space="preserve">for personal care, household management, </w:t>
      </w:r>
      <w:r w:rsidRPr="00E06F7B">
        <w:t>residential care, respite care,</w:t>
      </w:r>
      <w:r>
        <w:t xml:space="preserve"> </w:t>
      </w:r>
      <w:r w:rsidRPr="00E06F7B">
        <w:t>and equipment and modifications</w:t>
      </w:r>
      <w:r>
        <w:t>).</w:t>
      </w:r>
    </w:p>
    <w:p w14:paraId="0BA2FBB8" w14:textId="77777777" w:rsidR="00243051" w:rsidRPr="00E06F7B" w:rsidRDefault="00243051" w:rsidP="00243051"/>
    <w:p w14:paraId="62DFA5B5" w14:textId="069F6AFC" w:rsidR="00243051" w:rsidRDefault="00243051" w:rsidP="00243051">
      <w:r w:rsidRPr="00E06F7B">
        <w:t>In this model, needs assessments are a deficit experience because they quantify deficiencies rather than support strengths, abilities and aspirations. The ‘choice and control’ the disabled person can exercise is also very limited.</w:t>
      </w:r>
    </w:p>
    <w:p w14:paraId="2CD7EE4F" w14:textId="77777777" w:rsidR="00243051" w:rsidRDefault="00243051" w:rsidP="00243051"/>
    <w:p w14:paraId="38E4F66F" w14:textId="72DE1F58" w:rsidR="00243051" w:rsidRDefault="00243051" w:rsidP="00243051">
      <w:r>
        <w:t xml:space="preserve">To enable choice and control, Connectors of Mana Whaikaha work with people to develop a plan for meeting their needs and goals. </w:t>
      </w:r>
      <w:r w:rsidRPr="00E06F7B">
        <w:t xml:space="preserve">It’s about </w:t>
      </w:r>
      <w:r>
        <w:t>disabled people</w:t>
      </w:r>
      <w:r w:rsidRPr="00E06F7B">
        <w:t xml:space="preserve"> deciding what is important to them and accessing the support that is best suited to them</w:t>
      </w:r>
      <w:r>
        <w:t>, with agencies and organisations supporting this as needed.</w:t>
      </w:r>
    </w:p>
    <w:p w14:paraId="4E655A38" w14:textId="77777777" w:rsidR="00243051" w:rsidRDefault="00243051" w:rsidP="00243051"/>
    <w:p w14:paraId="42CEC675" w14:textId="076389FB" w:rsidR="00243051" w:rsidRDefault="00243051" w:rsidP="00243051">
      <w:r>
        <w:t xml:space="preserve">As shown in </w:t>
      </w:r>
      <w:r>
        <w:fldChar w:fldCharType="begin"/>
      </w:r>
      <w:r>
        <w:instrText xml:space="preserve"> REF _Ref122410312 \h  \* MERGEFORMAT </w:instrText>
      </w:r>
      <w:r>
        <w:fldChar w:fldCharType="separate"/>
      </w:r>
      <w:r>
        <w:t xml:space="preserve">Table </w:t>
      </w:r>
      <w:r>
        <w:rPr>
          <w:noProof/>
        </w:rPr>
        <w:t>1</w:t>
      </w:r>
      <w:r>
        <w:fldChar w:fldCharType="end"/>
      </w:r>
      <w:r>
        <w:t>, the key roles also change to support this shift.</w:t>
      </w:r>
    </w:p>
    <w:p w14:paraId="11A050F2" w14:textId="0BB59F1E" w:rsidR="00243051" w:rsidRPr="00EA0CC9" w:rsidRDefault="00243051" w:rsidP="000F0A1C">
      <w:pPr>
        <w:pStyle w:val="Caption"/>
        <w:spacing w:before="240"/>
      </w:pPr>
      <w:bookmarkStart w:id="11" w:name="_Ref122410312"/>
      <w:bookmarkStart w:id="12" w:name="_Toc122410783"/>
      <w:r w:rsidRPr="00EA0CC9">
        <w:t xml:space="preserve">Table </w:t>
      </w:r>
      <w:r w:rsidR="000F0A1C">
        <w:fldChar w:fldCharType="begin"/>
      </w:r>
      <w:r w:rsidR="000F0A1C">
        <w:instrText xml:space="preserve"> SEQ Table \* ARABIC </w:instrText>
      </w:r>
      <w:r w:rsidR="000F0A1C">
        <w:fldChar w:fldCharType="separate"/>
      </w:r>
      <w:r w:rsidRPr="00EA0CC9">
        <w:t>1</w:t>
      </w:r>
      <w:r w:rsidR="000F0A1C">
        <w:fldChar w:fldCharType="end"/>
      </w:r>
      <w:bookmarkEnd w:id="11"/>
      <w:r w:rsidRPr="00EA0CC9">
        <w:t>: Key roles in the shift from ‘needs assessment’ to a strengths-based approach</w:t>
      </w:r>
      <w:bookmarkEnd w:id="12"/>
    </w:p>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181"/>
        <w:gridCol w:w="4176"/>
      </w:tblGrid>
      <w:tr w:rsidR="00243051" w:rsidRPr="00243051" w14:paraId="5FFE0EF0" w14:textId="77777777" w:rsidTr="00243051">
        <w:tc>
          <w:tcPr>
            <w:tcW w:w="4505" w:type="dxa"/>
            <w:tcBorders>
              <w:top w:val="nil"/>
              <w:bottom w:val="nil"/>
              <w:right w:val="nil"/>
            </w:tcBorders>
            <w:shd w:val="clear" w:color="auto" w:fill="D9D9D9" w:themeFill="background1" w:themeFillShade="D9"/>
          </w:tcPr>
          <w:p w14:paraId="4E4E109B" w14:textId="77777777" w:rsidR="00243051" w:rsidRPr="00243051" w:rsidRDefault="00243051" w:rsidP="00243051">
            <w:pPr>
              <w:pStyle w:val="TableText"/>
              <w:rPr>
                <w:b/>
                <w:bCs/>
              </w:rPr>
            </w:pPr>
            <w:r w:rsidRPr="00243051">
              <w:rPr>
                <w:b/>
                <w:bCs/>
              </w:rPr>
              <w:t>Needs assessment</w:t>
            </w:r>
          </w:p>
        </w:tc>
        <w:tc>
          <w:tcPr>
            <w:tcW w:w="4505" w:type="dxa"/>
            <w:tcBorders>
              <w:top w:val="nil"/>
              <w:left w:val="nil"/>
              <w:bottom w:val="nil"/>
            </w:tcBorders>
            <w:shd w:val="clear" w:color="auto" w:fill="D9D9D9" w:themeFill="background1" w:themeFillShade="D9"/>
          </w:tcPr>
          <w:p w14:paraId="23DFE918" w14:textId="77777777" w:rsidR="00243051" w:rsidRPr="00243051" w:rsidRDefault="00243051" w:rsidP="00243051">
            <w:pPr>
              <w:pStyle w:val="TableText"/>
              <w:rPr>
                <w:b/>
                <w:bCs/>
              </w:rPr>
            </w:pPr>
            <w:r w:rsidRPr="00243051">
              <w:rPr>
                <w:b/>
                <w:bCs/>
              </w:rPr>
              <w:t>Enabling choice and control</w:t>
            </w:r>
          </w:p>
        </w:tc>
      </w:tr>
      <w:tr w:rsidR="00243051" w:rsidRPr="00E964A4" w14:paraId="2126BA27" w14:textId="77777777" w:rsidTr="00243051">
        <w:tc>
          <w:tcPr>
            <w:tcW w:w="4505" w:type="dxa"/>
            <w:tcBorders>
              <w:top w:val="nil"/>
            </w:tcBorders>
          </w:tcPr>
          <w:p w14:paraId="3090097F" w14:textId="77777777" w:rsidR="00243051" w:rsidRPr="00E06F7B" w:rsidRDefault="00243051" w:rsidP="00243051">
            <w:pPr>
              <w:pStyle w:val="TableText"/>
            </w:pPr>
            <w:r w:rsidRPr="00E06F7B">
              <w:t xml:space="preserve">Role: Needs Assessors </w:t>
            </w:r>
          </w:p>
          <w:p w14:paraId="20C90DBA" w14:textId="77777777" w:rsidR="00243051" w:rsidRPr="00E06F7B" w:rsidRDefault="00243051" w:rsidP="00243051">
            <w:pPr>
              <w:pStyle w:val="TableText"/>
            </w:pPr>
            <w:r w:rsidRPr="00E06F7B">
              <w:t xml:space="preserve">Purpose: </w:t>
            </w:r>
            <w:r>
              <w:t>W</w:t>
            </w:r>
            <w:r w:rsidRPr="00E06F7B">
              <w:t>e assess you and tell you what’s wrong and what services and support you are eligible for.</w:t>
            </w:r>
          </w:p>
        </w:tc>
        <w:tc>
          <w:tcPr>
            <w:tcW w:w="4505" w:type="dxa"/>
            <w:tcBorders>
              <w:top w:val="nil"/>
            </w:tcBorders>
          </w:tcPr>
          <w:p w14:paraId="5C206213" w14:textId="77777777" w:rsidR="00243051" w:rsidRPr="00E06F7B" w:rsidRDefault="00243051" w:rsidP="00243051">
            <w:pPr>
              <w:pStyle w:val="TableText"/>
            </w:pPr>
            <w:r w:rsidRPr="00E06F7B">
              <w:t>Role: Connectors</w:t>
            </w:r>
          </w:p>
          <w:p w14:paraId="615F5402" w14:textId="77777777" w:rsidR="00243051" w:rsidRPr="00E06F7B" w:rsidRDefault="00243051" w:rsidP="00243051">
            <w:pPr>
              <w:pStyle w:val="TableText"/>
            </w:pPr>
            <w:r w:rsidRPr="00E06F7B">
              <w:t xml:space="preserve">Purpose: </w:t>
            </w:r>
            <w:r>
              <w:t>W</w:t>
            </w:r>
            <w:r w:rsidRPr="00E06F7B">
              <w:t>e recognise your aspirations and then support you to get there, whether it’s a funded service or something else.</w:t>
            </w:r>
          </w:p>
        </w:tc>
      </w:tr>
    </w:tbl>
    <w:p w14:paraId="65C03372" w14:textId="77777777" w:rsidR="00243051" w:rsidRPr="00C52E14" w:rsidRDefault="00243051" w:rsidP="00243051">
      <w:pPr>
        <w:pStyle w:val="Heading2"/>
      </w:pPr>
      <w:bookmarkStart w:id="13" w:name="_Toc124832752"/>
      <w:r w:rsidRPr="00E06F7B">
        <w:lastRenderedPageBreak/>
        <w:t>Are personal budgets the same for everyone?</w:t>
      </w:r>
      <w:bookmarkEnd w:id="13"/>
      <w:r w:rsidRPr="00E06F7B">
        <w:t xml:space="preserve"> </w:t>
      </w:r>
    </w:p>
    <w:p w14:paraId="19828EFB" w14:textId="0E0F4A01" w:rsidR="00243051" w:rsidRDefault="00243051" w:rsidP="00243051">
      <w:r>
        <w:t xml:space="preserve">A disabled person (or when appropriate, the whānau on behalf of their child) who is entitled to a personal budget first identifies and defines their needs and goals. This is then reflected in the level of funding they can access and use to overcome barriers they face </w:t>
      </w:r>
      <w:r w:rsidRPr="00E06F7B">
        <w:t>as a result of their disability.</w:t>
      </w:r>
      <w:r w:rsidRPr="00E06F7B">
        <w:rPr>
          <w:rStyle w:val="FootnoteReference"/>
          <w:color w:val="000000" w:themeColor="text1"/>
        </w:rPr>
        <w:footnoteReference w:id="4"/>
      </w:r>
    </w:p>
    <w:p w14:paraId="7B96B671" w14:textId="77777777" w:rsidR="00243051" w:rsidRPr="00E06F7B" w:rsidRDefault="00243051" w:rsidP="00243051"/>
    <w:p w14:paraId="40B4029C" w14:textId="77777777" w:rsidR="00243051" w:rsidRDefault="00243051" w:rsidP="00243051">
      <w:r w:rsidRPr="00E06F7B">
        <w:t>Mana Whaikaha moderates funding requests so that the available funds are allocated fairly between disabled people</w:t>
      </w:r>
      <w:r>
        <w:t>. This also ensures people receive the funding they require regardless of their experience and confidence in navigating the system</w:t>
      </w:r>
      <w:r w:rsidRPr="00E06F7B">
        <w:t xml:space="preserve">. </w:t>
      </w:r>
    </w:p>
    <w:p w14:paraId="54D4E2D4" w14:textId="77777777" w:rsidR="00243051" w:rsidRPr="00E06F7B" w:rsidRDefault="00243051" w:rsidP="00243051">
      <w:pPr>
        <w:pStyle w:val="Heading2"/>
      </w:pPr>
      <w:bookmarkStart w:id="14" w:name="_Toc124832753"/>
      <w:r w:rsidRPr="00E06F7B">
        <w:t>How can personal budgets be used</w:t>
      </w:r>
      <w:r>
        <w:t>?</w:t>
      </w:r>
      <w:bookmarkEnd w:id="14"/>
    </w:p>
    <w:p w14:paraId="060EB5C9" w14:textId="5FE20216" w:rsidR="00243051" w:rsidRDefault="00243051" w:rsidP="00243051">
      <w:r w:rsidRPr="00E06F7B">
        <w:t xml:space="preserve">A personal budget may include funding to support a disabled person to build the life they are seeking now or enable them to invest in building a better life in the future. </w:t>
      </w:r>
    </w:p>
    <w:p w14:paraId="7C76FBB3" w14:textId="77777777" w:rsidR="00243051" w:rsidRPr="00E964A4" w:rsidRDefault="00243051" w:rsidP="00243051"/>
    <w:p w14:paraId="7D60A088" w14:textId="77777777" w:rsidR="00243051" w:rsidRPr="00E06F7B" w:rsidRDefault="00243051" w:rsidP="00243051">
      <w:r w:rsidRPr="00E06F7B">
        <w:t xml:space="preserve">Disabled people and </w:t>
      </w:r>
      <w:r>
        <w:t xml:space="preserve">their </w:t>
      </w:r>
      <w:r w:rsidRPr="00E06F7B">
        <w:t>whānau can manage</w:t>
      </w:r>
      <w:r>
        <w:t xml:space="preserve"> and </w:t>
      </w:r>
      <w:r w:rsidRPr="00E06F7B">
        <w:t xml:space="preserve">buy support with their personal budget in several different ways. They can: </w:t>
      </w:r>
    </w:p>
    <w:p w14:paraId="7EFB6A4D" w14:textId="77777777" w:rsidR="00243051" w:rsidRPr="00E06F7B" w:rsidRDefault="00243051" w:rsidP="00243051">
      <w:pPr>
        <w:pStyle w:val="Bullet"/>
      </w:pPr>
      <w:r w:rsidRPr="00E06F7B">
        <w:t>manage the funding and buy support themselves</w:t>
      </w:r>
    </w:p>
    <w:p w14:paraId="0E2A1791" w14:textId="77777777" w:rsidR="00243051" w:rsidRPr="00E06F7B" w:rsidRDefault="00243051" w:rsidP="00243051">
      <w:pPr>
        <w:pStyle w:val="Bullet"/>
      </w:pPr>
      <w:r w:rsidRPr="00E06F7B">
        <w:t>get support</w:t>
      </w:r>
      <w:r>
        <w:t xml:space="preserve"> and coaching</w:t>
      </w:r>
      <w:r w:rsidRPr="00E06F7B">
        <w:t xml:space="preserve"> to manage their</w:t>
      </w:r>
      <w:r>
        <w:t xml:space="preserve"> </w:t>
      </w:r>
      <w:r w:rsidRPr="00E06F7B">
        <w:t xml:space="preserve">funding  </w:t>
      </w:r>
    </w:p>
    <w:p w14:paraId="7FD6D86F" w14:textId="77777777" w:rsidR="00243051" w:rsidRPr="00E06F7B" w:rsidRDefault="00243051" w:rsidP="00243051">
      <w:pPr>
        <w:pStyle w:val="Bullet"/>
      </w:pPr>
      <w:r w:rsidRPr="00E06F7B">
        <w:t>buy support from a government</w:t>
      </w:r>
      <w:r>
        <w:t>-</w:t>
      </w:r>
      <w:r w:rsidRPr="00E06F7B">
        <w:t>contracted provider</w:t>
      </w:r>
    </w:p>
    <w:p w14:paraId="703A1474" w14:textId="77777777" w:rsidR="00243051" w:rsidRPr="00E06F7B" w:rsidRDefault="00243051" w:rsidP="00243051">
      <w:pPr>
        <w:pStyle w:val="Bullet"/>
      </w:pPr>
      <w:r>
        <w:t>use</w:t>
      </w:r>
      <w:r w:rsidRPr="00E06F7B">
        <w:t xml:space="preserve"> a mix of these approaches.</w:t>
      </w:r>
    </w:p>
    <w:p w14:paraId="7F2FA956" w14:textId="77777777" w:rsidR="00243051" w:rsidRPr="00E06F7B" w:rsidRDefault="00243051" w:rsidP="00243051">
      <w:pPr>
        <w:pStyle w:val="Heading2"/>
      </w:pPr>
      <w:bookmarkStart w:id="15" w:name="_Toc124832754"/>
      <w:r w:rsidRPr="00E06F7B">
        <w:t>How are the risks of personal budgets managed?</w:t>
      </w:r>
      <w:bookmarkEnd w:id="15"/>
      <w:r w:rsidRPr="00E06F7B">
        <w:t xml:space="preserve"> </w:t>
      </w:r>
    </w:p>
    <w:p w14:paraId="62804A8A" w14:textId="7BA30FF0" w:rsidR="00243051" w:rsidRDefault="00243051" w:rsidP="00243051">
      <w:r w:rsidRPr="00E06F7B">
        <w:t xml:space="preserve">A central role of Connectors is supporting disabled people to develop safeguarding arrangements for managing </w:t>
      </w:r>
      <w:r>
        <w:t>any risks they may encounter</w:t>
      </w:r>
      <w:r w:rsidRPr="00E06F7B">
        <w:t xml:space="preserve">. This includes supporting them to manage the risks associated with personal budgets – especially as many </w:t>
      </w:r>
      <w:r>
        <w:t xml:space="preserve">people </w:t>
      </w:r>
      <w:r w:rsidRPr="00E06F7B">
        <w:t xml:space="preserve">have had limited opportunities to exercise this freedom of choice previously. </w:t>
      </w:r>
    </w:p>
    <w:p w14:paraId="39A76B97" w14:textId="77777777" w:rsidR="00243051" w:rsidRPr="00E06F7B" w:rsidRDefault="00243051" w:rsidP="00243051"/>
    <w:p w14:paraId="6EB88B8A" w14:textId="77777777" w:rsidR="00243051" w:rsidRPr="00E06F7B" w:rsidRDefault="00243051" w:rsidP="00243051">
      <w:r w:rsidRPr="00E06F7B">
        <w:t>The educative and preventative role of Connectors and other people working in the system may be complemented by more intensive support</w:t>
      </w:r>
      <w:r>
        <w:t xml:space="preserve"> for people when required.</w:t>
      </w:r>
      <w:r w:rsidRPr="00E06F7B">
        <w:rPr>
          <w:rStyle w:val="FootnoteReference"/>
          <w:color w:val="000000" w:themeColor="text1"/>
        </w:rPr>
        <w:footnoteReference w:id="5"/>
      </w:r>
    </w:p>
    <w:p w14:paraId="38CE0D31" w14:textId="77777777" w:rsidR="00243051" w:rsidRPr="00E06F7B" w:rsidRDefault="00243051" w:rsidP="00243051">
      <w:pPr>
        <w:pStyle w:val="Heading2"/>
      </w:pPr>
      <w:bookmarkStart w:id="16" w:name="_Toc124832755"/>
      <w:r w:rsidRPr="00E06F7B">
        <w:lastRenderedPageBreak/>
        <w:t>Not everyone gets a personal budget, but they do get connected to the right support</w:t>
      </w:r>
      <w:bookmarkEnd w:id="16"/>
      <w:r w:rsidRPr="00E06F7B">
        <w:t xml:space="preserve"> </w:t>
      </w:r>
    </w:p>
    <w:p w14:paraId="53DCE58B" w14:textId="77777777" w:rsidR="00243051" w:rsidRPr="00E06F7B" w:rsidRDefault="00243051" w:rsidP="00243051">
      <w:pPr>
        <w:rPr>
          <w:b/>
          <w:bCs/>
        </w:rPr>
      </w:pPr>
      <w:r w:rsidRPr="00E06F7B">
        <w:t xml:space="preserve">If a person isn’t eligible for a personal budget, they will be connected to someone else who can help them. </w:t>
      </w:r>
      <w:r>
        <w:t>In addition, s</w:t>
      </w:r>
      <w:r w:rsidRPr="00E06F7B">
        <w:t xml:space="preserve">ome people who are eligible for a personal budget </w:t>
      </w:r>
      <w:r>
        <w:t xml:space="preserve">may instead choose to use their own resources </w:t>
      </w:r>
      <w:r w:rsidRPr="00E06F7B">
        <w:t xml:space="preserve">to access support </w:t>
      </w:r>
      <w:r>
        <w:t xml:space="preserve">that is </w:t>
      </w:r>
      <w:r w:rsidRPr="00E06F7B">
        <w:t>generally available through the community</w:t>
      </w:r>
      <w:r>
        <w:t>.</w:t>
      </w:r>
    </w:p>
    <w:p w14:paraId="6CD86782" w14:textId="77777777" w:rsidR="00243051" w:rsidRDefault="00243051" w:rsidP="00243051">
      <w:pPr>
        <w:pStyle w:val="Heading1"/>
        <w:spacing w:before="0"/>
        <w:sectPr w:rsidR="00243051" w:rsidSect="00A27D16">
          <w:pgSz w:w="11901" w:h="16817"/>
          <w:pgMar w:top="1418" w:right="1701" w:bottom="1134" w:left="1843" w:header="709" w:footer="425" w:gutter="0"/>
          <w:cols w:space="708"/>
          <w:docGrid w:linePitch="360"/>
        </w:sectPr>
      </w:pPr>
    </w:p>
    <w:p w14:paraId="5C5EF00B" w14:textId="4507DCB0" w:rsidR="00243051" w:rsidRDefault="00243051" w:rsidP="00243051">
      <w:pPr>
        <w:pStyle w:val="Heading1"/>
        <w:spacing w:before="0"/>
      </w:pPr>
      <w:bookmarkStart w:id="17" w:name="_Toc124832756"/>
      <w:r w:rsidRPr="00E06F7B">
        <w:lastRenderedPageBreak/>
        <w:t>Examples of flexible funding to support choice and control</w:t>
      </w:r>
      <w:bookmarkEnd w:id="17"/>
    </w:p>
    <w:tbl>
      <w:tblPr>
        <w:tblStyle w:val="TableGrid"/>
        <w:tblW w:w="0" w:type="auto"/>
        <w:tblLook w:val="04A0" w:firstRow="1" w:lastRow="0" w:firstColumn="1" w:lastColumn="0" w:noHBand="0" w:noVBand="1"/>
      </w:tblPr>
      <w:tblGrid>
        <w:gridCol w:w="8347"/>
      </w:tblGrid>
      <w:tr w:rsidR="00243051" w14:paraId="56C891C9" w14:textId="77777777" w:rsidTr="00243051">
        <w:tc>
          <w:tcPr>
            <w:tcW w:w="8347" w:type="dxa"/>
          </w:tcPr>
          <w:p w14:paraId="118F01A4" w14:textId="77777777" w:rsidR="00243051" w:rsidRPr="00243051" w:rsidRDefault="00243051" w:rsidP="00243051">
            <w:pPr>
              <w:spacing w:before="120" w:after="120"/>
              <w:rPr>
                <w:b/>
                <w:bCs/>
              </w:rPr>
            </w:pPr>
            <w:r w:rsidRPr="00243051">
              <w:rPr>
                <w:b/>
                <w:bCs/>
              </w:rPr>
              <w:t>Supporting self-management and independence</w:t>
            </w:r>
          </w:p>
          <w:p w14:paraId="363EB25E" w14:textId="77777777" w:rsidR="00243051" w:rsidRDefault="00243051" w:rsidP="00243051">
            <w:pPr>
              <w:spacing w:before="120" w:after="120"/>
            </w:pPr>
            <w:r>
              <w:t xml:space="preserve">The traditional system for ‘personal care’ was typically understood to entail a personal carer coming to a person’s home and supporting them with a range of tasks for an allocated period of time. Many disabled people have used flexible funding to redefine this. Some may choose to go to the local barber for a beard shave, rather than rely on a paid carer to come in. Others have become less reliant on paid carers for daily tasks, for example, through adopting technology for and making modifications to their homes that enable independent management. </w:t>
            </w:r>
          </w:p>
          <w:p w14:paraId="762A7B49" w14:textId="1E4D860F" w:rsidR="00243051" w:rsidRDefault="00243051" w:rsidP="00243051">
            <w:pPr>
              <w:spacing w:before="120" w:after="120"/>
            </w:pPr>
            <w:r>
              <w:t>Providing choice to support outcomes that matter to disabled people and their whānau means funding will be used in new ways. This also broadens the conversation beyond purchasing services and enables self-directed ways to support whānau wellbeing and sustainability.</w:t>
            </w:r>
          </w:p>
        </w:tc>
      </w:tr>
    </w:tbl>
    <w:p w14:paraId="318A5B48" w14:textId="77777777" w:rsidR="00243051" w:rsidRPr="00243051" w:rsidRDefault="00243051" w:rsidP="00243051"/>
    <w:tbl>
      <w:tblPr>
        <w:tblStyle w:val="TableGrid"/>
        <w:tblW w:w="0" w:type="auto"/>
        <w:tblLook w:val="04A0" w:firstRow="1" w:lastRow="0" w:firstColumn="1" w:lastColumn="0" w:noHBand="0" w:noVBand="1"/>
      </w:tblPr>
      <w:tblGrid>
        <w:gridCol w:w="8347"/>
      </w:tblGrid>
      <w:tr w:rsidR="00243051" w14:paraId="3A11E84C" w14:textId="77777777" w:rsidTr="00DA3BDD">
        <w:tc>
          <w:tcPr>
            <w:tcW w:w="8347" w:type="dxa"/>
          </w:tcPr>
          <w:p w14:paraId="56543360" w14:textId="77777777" w:rsidR="00243051" w:rsidRPr="00243051" w:rsidRDefault="00243051" w:rsidP="00243051">
            <w:pPr>
              <w:spacing w:before="120" w:after="120"/>
              <w:rPr>
                <w:b/>
                <w:bCs/>
              </w:rPr>
            </w:pPr>
            <w:r w:rsidRPr="00243051">
              <w:rPr>
                <w:b/>
                <w:bCs/>
              </w:rPr>
              <w:t>Redefining taking a break</w:t>
            </w:r>
          </w:p>
          <w:p w14:paraId="7743BB9E" w14:textId="77777777" w:rsidR="00243051" w:rsidRDefault="00243051" w:rsidP="00243051">
            <w:pPr>
              <w:spacing w:before="120" w:after="120"/>
            </w:pPr>
            <w:r>
              <w:t xml:space="preserve">The ability for both disabled people and their whānau to have a break is important for many. Under the old system, whānau needed to find paid caregivers or ‘approved’ care facilities to access ‘respite care’. Under Mana Whaikaha, flexible funding allows people and their whānau to decide what works best in their own lives and access supports that are effective for them. The focus shifts from whānau being released from caregiving to the idea that everyone needs a break from everyday life, including the disabled person, so the funding can support this. </w:t>
            </w:r>
          </w:p>
          <w:p w14:paraId="7C81A31E" w14:textId="77777777" w:rsidR="00243051" w:rsidRDefault="00243051" w:rsidP="00243051">
            <w:pPr>
              <w:spacing w:before="120" w:after="120"/>
            </w:pPr>
            <w:r>
              <w:t>One example of this simply involved buying a coffee. In this case, a mother needed a break and wanted her disabled son to be around the noise of other children at the playground facilities while she rested and had a coffee. Rather than accessing traditional ‘services’, which may have been expensive and harder to access, she chose her own solution to her family’s needs at that time.</w:t>
            </w:r>
          </w:p>
          <w:p w14:paraId="60C9D58A" w14:textId="145BA685" w:rsidR="00243051" w:rsidRDefault="00243051" w:rsidP="00243051">
            <w:pPr>
              <w:spacing w:before="120" w:after="120"/>
            </w:pPr>
            <w:r>
              <w:t>Alternative and self-defined options for having a break can be very low cost. They may require a change in the way funding is allocated.</w:t>
            </w:r>
          </w:p>
        </w:tc>
      </w:tr>
    </w:tbl>
    <w:p w14:paraId="217FD932" w14:textId="77777777" w:rsidR="00243051" w:rsidRPr="00EF0AE0" w:rsidRDefault="00243051" w:rsidP="00243051">
      <w:pPr>
        <w:spacing w:before="120" w:after="120"/>
        <w:rPr>
          <w:color w:val="000000" w:themeColor="text1"/>
        </w:rPr>
      </w:pPr>
    </w:p>
    <w:p w14:paraId="18B58FB0" w14:textId="77777777" w:rsidR="00243051" w:rsidRPr="00E06F7B" w:rsidRDefault="00243051" w:rsidP="00243051">
      <w:pPr>
        <w:pStyle w:val="Heading1"/>
      </w:pPr>
      <w:bookmarkStart w:id="18" w:name="_Toc124832757"/>
      <w:r w:rsidRPr="00E06F7B">
        <w:lastRenderedPageBreak/>
        <w:t>‘Holding the course’ while a new approach is used</w:t>
      </w:r>
      <w:bookmarkEnd w:id="18"/>
    </w:p>
    <w:p w14:paraId="08560F7C" w14:textId="47C91390" w:rsidR="00243051" w:rsidRDefault="00243051" w:rsidP="00243051">
      <w:r w:rsidRPr="00E06F7B">
        <w:t xml:space="preserve">It is </w:t>
      </w:r>
      <w:r>
        <w:t xml:space="preserve">possible </w:t>
      </w:r>
      <w:r w:rsidRPr="00E06F7B">
        <w:t xml:space="preserve">that </w:t>
      </w:r>
      <w:r>
        <w:t xml:space="preserve">some </w:t>
      </w:r>
      <w:r w:rsidRPr="00E06F7B">
        <w:t xml:space="preserve">funding decisions may come under scrutiny, as </w:t>
      </w:r>
      <w:r>
        <w:t>not everyone will understand the everyday barriers some people face or the range of personal and often innovative ways to overcome them</w:t>
      </w:r>
      <w:r w:rsidRPr="00E06F7B">
        <w:t>. This can be managed by understanding how these decisions lead to improved outcomes for disabled people and whānau</w:t>
      </w:r>
      <w:r>
        <w:t xml:space="preserve"> and</w:t>
      </w:r>
      <w:r w:rsidRPr="00E06F7B">
        <w:t xml:space="preserve"> </w:t>
      </w:r>
      <w:r>
        <w:t>can</w:t>
      </w:r>
      <w:r w:rsidRPr="00E06F7B">
        <w:t xml:space="preserve"> avoid</w:t>
      </w:r>
      <w:r>
        <w:t xml:space="preserve"> </w:t>
      </w:r>
      <w:r w:rsidRPr="00E06F7B">
        <w:t xml:space="preserve">costs </w:t>
      </w:r>
      <w:r>
        <w:t>for</w:t>
      </w:r>
      <w:r w:rsidRPr="00E06F7B">
        <w:t xml:space="preserve"> services and support that </w:t>
      </w:r>
      <w:r>
        <w:t>do not work for people</w:t>
      </w:r>
      <w:r w:rsidRPr="00E06F7B">
        <w:t>.</w:t>
      </w:r>
    </w:p>
    <w:p w14:paraId="080063B1" w14:textId="77777777" w:rsidR="00243051" w:rsidRPr="00E06F7B" w:rsidRDefault="00243051" w:rsidP="00243051"/>
    <w:p w14:paraId="689CB287" w14:textId="11FD31C1" w:rsidR="00243051" w:rsidRDefault="00243051" w:rsidP="00243051">
      <w:r>
        <w:t xml:space="preserve">Warm running </w:t>
      </w:r>
      <w:r w:rsidRPr="00E06F7B">
        <w:t xml:space="preserve">water </w:t>
      </w:r>
      <w:r>
        <w:t>can calm and soothe some people with particular disabilities, by helping them to self-regulate and manage their emotions. For some, t</w:t>
      </w:r>
      <w:r w:rsidRPr="00E06F7B">
        <w:t xml:space="preserve">he ability to have funding </w:t>
      </w:r>
      <w:r>
        <w:t>to access</w:t>
      </w:r>
      <w:r w:rsidRPr="00E06F7B">
        <w:t xml:space="preserve"> a spa pool </w:t>
      </w:r>
      <w:r>
        <w:t>can also change</w:t>
      </w:r>
      <w:r w:rsidRPr="00E06F7B">
        <w:t xml:space="preserve"> the whole family dynamic</w:t>
      </w:r>
      <w:r>
        <w:t>. T</w:t>
      </w:r>
      <w:r w:rsidRPr="00E06F7B">
        <w:t>here are positive health</w:t>
      </w:r>
      <w:r>
        <w:t>-</w:t>
      </w:r>
      <w:r w:rsidRPr="00E06F7B">
        <w:t xml:space="preserve"> and wellbeing</w:t>
      </w:r>
      <w:r>
        <w:t>-</w:t>
      </w:r>
      <w:r w:rsidRPr="00E06F7B">
        <w:t xml:space="preserve">enhancing moments created by time spent in the water that might otherwise not be feasible. In the past, the same or likely more funding would have been spent on a service for the disabled child and </w:t>
      </w:r>
      <w:r>
        <w:t>traditional ‘</w:t>
      </w:r>
      <w:r w:rsidRPr="00E06F7B">
        <w:t>respite care</w:t>
      </w:r>
      <w:r>
        <w:t>’</w:t>
      </w:r>
      <w:r w:rsidRPr="00E06F7B">
        <w:t xml:space="preserve"> for whānau. </w:t>
      </w:r>
    </w:p>
    <w:p w14:paraId="396A7249" w14:textId="77777777" w:rsidR="00243051" w:rsidRDefault="00243051" w:rsidP="00243051"/>
    <w:p w14:paraId="5E79E4DE" w14:textId="77777777" w:rsidR="00243051" w:rsidRPr="00E06F7B" w:rsidRDefault="00243051" w:rsidP="00243051">
      <w:r w:rsidRPr="00E06F7B">
        <w:t>Approval for funding is based on the disabled person wanting an item, service or support to overcome barriers to living their life</w:t>
      </w:r>
      <w:r>
        <w:t xml:space="preserve"> resulting from their disability</w:t>
      </w:r>
      <w:r w:rsidRPr="00E06F7B">
        <w:t>, and what is purchased needs to be consistent with the Purchasing Guidelines.</w:t>
      </w:r>
      <w:r>
        <w:t xml:space="preserve"> While the Purchasing Guidelines ensure the purchase is made to overcome challenges resulting from their disabilities, the form this takes is decided by the person and their whānau.</w:t>
      </w:r>
    </w:p>
    <w:p w14:paraId="193E9088" w14:textId="77777777" w:rsidR="00243051" w:rsidRDefault="00243051" w:rsidP="00243051">
      <w:pPr>
        <w:pStyle w:val="Heading1"/>
        <w:sectPr w:rsidR="00243051" w:rsidSect="00A27D16">
          <w:pgSz w:w="11901" w:h="16817"/>
          <w:pgMar w:top="1418" w:right="1701" w:bottom="1134" w:left="1843" w:header="709" w:footer="425" w:gutter="0"/>
          <w:cols w:space="708"/>
          <w:docGrid w:linePitch="360"/>
        </w:sectPr>
      </w:pPr>
    </w:p>
    <w:p w14:paraId="054E1436" w14:textId="7282A69C" w:rsidR="00243051" w:rsidRPr="00E06F7B" w:rsidRDefault="00243051" w:rsidP="00243051">
      <w:pPr>
        <w:pStyle w:val="Heading1"/>
        <w:spacing w:before="0"/>
      </w:pPr>
      <w:bookmarkStart w:id="19" w:name="_Toc124832758"/>
      <w:r w:rsidRPr="00E06F7B">
        <w:lastRenderedPageBreak/>
        <w:t>Measuring outcomes that matter</w:t>
      </w:r>
      <w:bookmarkEnd w:id="19"/>
      <w:r w:rsidRPr="00E06F7B">
        <w:t xml:space="preserve"> </w:t>
      </w:r>
    </w:p>
    <w:p w14:paraId="1F69FCE3" w14:textId="43AF24B3" w:rsidR="00243051" w:rsidRDefault="00243051" w:rsidP="00243051">
      <w:r w:rsidRPr="00E06F7B">
        <w:t>Meaningful outcomes for disabled people can be ha</w:t>
      </w:r>
      <w:r>
        <w:t>r</w:t>
      </w:r>
      <w:r w:rsidRPr="00E06F7B">
        <w:t xml:space="preserve">d to measure; how do you capture or put a value on people feeling like they have choice and are part of a community? </w:t>
      </w:r>
      <w:r>
        <w:t>A</w:t>
      </w:r>
      <w:r w:rsidRPr="00E06F7B">
        <w:t xml:space="preserve">cross the disability community there will </w:t>
      </w:r>
      <w:r>
        <w:t xml:space="preserve">also </w:t>
      </w:r>
      <w:r w:rsidRPr="00E06F7B">
        <w:t xml:space="preserve">be great variety </w:t>
      </w:r>
      <w:r>
        <w:t>of views of</w:t>
      </w:r>
      <w:r w:rsidRPr="00E06F7B">
        <w:t xml:space="preserve"> what a ‘good life’ </w:t>
      </w:r>
      <w:r>
        <w:t>is. For some, this might look like a sense of belonging, pursuing one’s purpose and talents, or achieving greater independence, which can be difficult to measure.</w:t>
      </w:r>
    </w:p>
    <w:p w14:paraId="311FBA20" w14:textId="77777777" w:rsidR="00243051" w:rsidRPr="00E06F7B" w:rsidRDefault="00243051" w:rsidP="00243051"/>
    <w:p w14:paraId="40175CD1" w14:textId="509F3DB0" w:rsidR="00243051" w:rsidRDefault="00243051" w:rsidP="00243051">
      <w:r w:rsidRPr="00E06F7B">
        <w:t xml:space="preserve">As well as building ways of capturing outcomes that matter to disabled people and their </w:t>
      </w:r>
      <w:r w:rsidRPr="00C25C9E">
        <w:t>whānau, work is underway to capture system-level benefits of this new way of working.</w:t>
      </w:r>
    </w:p>
    <w:p w14:paraId="080E5EBC" w14:textId="77777777" w:rsidR="00243051" w:rsidRPr="00C25C9E" w:rsidRDefault="00243051" w:rsidP="00243051"/>
    <w:p w14:paraId="5B509B49" w14:textId="293421F6" w:rsidR="00243051" w:rsidRDefault="00243051" w:rsidP="00243051">
      <w:r w:rsidRPr="00C25C9E">
        <w:t xml:space="preserve">One type of system benefit is reducing </w:t>
      </w:r>
      <w:r>
        <w:t xml:space="preserve">any </w:t>
      </w:r>
      <w:r w:rsidRPr="00C25C9E">
        <w:t xml:space="preserve">‘wastage’ by providing </w:t>
      </w:r>
      <w:r>
        <w:t>or enabling supports</w:t>
      </w:r>
      <w:r w:rsidRPr="00C25C9E">
        <w:t xml:space="preserve"> that lead to outcomes that matter to disabled people, in contrast to continuing to provide ‘what’s always been done in the past’ even </w:t>
      </w:r>
      <w:r>
        <w:t>if</w:t>
      </w:r>
      <w:r w:rsidRPr="00C25C9E">
        <w:t xml:space="preserve"> it didn’t work well for </w:t>
      </w:r>
      <w:r>
        <w:t>all</w:t>
      </w:r>
      <w:r w:rsidRPr="00C25C9E">
        <w:t>.</w:t>
      </w:r>
    </w:p>
    <w:p w14:paraId="5007A705" w14:textId="77777777" w:rsidR="00243051" w:rsidRPr="00C25C9E" w:rsidRDefault="00243051" w:rsidP="00243051"/>
    <w:p w14:paraId="3E6225CC" w14:textId="77777777" w:rsidR="00243051" w:rsidRPr="00E06F7B" w:rsidRDefault="00243051" w:rsidP="00243051">
      <w:r w:rsidRPr="00E06F7B">
        <w:t>Over time, it is expected that the costs of providing disability support services will decrease (per head of population), as disabled people and their wh</w:t>
      </w:r>
      <w:r>
        <w:rPr>
          <w:rFonts w:cstheme="minorHAnsi"/>
        </w:rPr>
        <w:t>ā</w:t>
      </w:r>
      <w:r w:rsidRPr="00E06F7B">
        <w:t>n</w:t>
      </w:r>
      <w:r>
        <w:t>a</w:t>
      </w:r>
      <w:r w:rsidRPr="00E06F7B">
        <w:t xml:space="preserve">u are enabled to get the support that works for them, and </w:t>
      </w:r>
      <w:r>
        <w:t xml:space="preserve">can more meaningfully participate in </w:t>
      </w:r>
      <w:r w:rsidRPr="00E06F7B">
        <w:t>community supports that are part of belonging.</w:t>
      </w:r>
    </w:p>
    <w:p w14:paraId="52E774C5" w14:textId="77777777" w:rsidR="00243051" w:rsidRDefault="00243051" w:rsidP="00243051">
      <w:pPr>
        <w:pStyle w:val="Heading1"/>
        <w:sectPr w:rsidR="00243051" w:rsidSect="00A27D16">
          <w:pgSz w:w="11901" w:h="16817"/>
          <w:pgMar w:top="1418" w:right="1701" w:bottom="1134" w:left="1843" w:header="709" w:footer="425" w:gutter="0"/>
          <w:cols w:space="708"/>
          <w:docGrid w:linePitch="360"/>
        </w:sectPr>
      </w:pPr>
    </w:p>
    <w:p w14:paraId="5650DAA0" w14:textId="103B6D94" w:rsidR="00243051" w:rsidRPr="00E06F7B" w:rsidRDefault="00243051" w:rsidP="00243051">
      <w:pPr>
        <w:pStyle w:val="Heading1"/>
        <w:spacing w:before="0"/>
      </w:pPr>
      <w:bookmarkStart w:id="20" w:name="_Toc124832759"/>
      <w:r w:rsidRPr="00E06F7B">
        <w:lastRenderedPageBreak/>
        <w:t>Improving response to whānau</w:t>
      </w:r>
      <w:bookmarkEnd w:id="20"/>
    </w:p>
    <w:p w14:paraId="76E00BF5" w14:textId="77777777" w:rsidR="00243051" w:rsidRPr="00E06F7B" w:rsidRDefault="00243051" w:rsidP="00243051">
      <w:r w:rsidRPr="00E06F7B">
        <w:t>Mana Whaikaha’s focus on enabling choice and control reflects:</w:t>
      </w:r>
    </w:p>
    <w:p w14:paraId="0C379C0F" w14:textId="77777777" w:rsidR="00243051" w:rsidRPr="00E06F7B" w:rsidRDefault="00243051" w:rsidP="00243051">
      <w:pPr>
        <w:pStyle w:val="Bullet"/>
      </w:pPr>
      <w:r w:rsidRPr="00E06F7B">
        <w:t>good practice in commissioning</w:t>
      </w:r>
    </w:p>
    <w:p w14:paraId="4C6AAE36" w14:textId="77777777" w:rsidR="00243051" w:rsidRPr="00E06F7B" w:rsidRDefault="00243051" w:rsidP="00243051">
      <w:pPr>
        <w:pStyle w:val="Bullet"/>
      </w:pPr>
      <w:r w:rsidRPr="00E06F7B">
        <w:t>Whānau Ora’s vision for improving outcomes for Māori through:</w:t>
      </w:r>
    </w:p>
    <w:p w14:paraId="33AA2163" w14:textId="77777777" w:rsidR="00243051" w:rsidRPr="00E06F7B" w:rsidRDefault="00243051" w:rsidP="00243051">
      <w:pPr>
        <w:pStyle w:val="Dash"/>
      </w:pPr>
      <w:r w:rsidRPr="00E06F7B">
        <w:t>supporting whānau aspirations</w:t>
      </w:r>
    </w:p>
    <w:p w14:paraId="20CFAFA7" w14:textId="77777777" w:rsidR="00243051" w:rsidRPr="00E06F7B" w:rsidRDefault="00243051" w:rsidP="00243051">
      <w:pPr>
        <w:pStyle w:val="Dash"/>
      </w:pPr>
      <w:r w:rsidRPr="00E06F7B">
        <w:t>having flexible and holistic services and support.</w:t>
      </w:r>
    </w:p>
    <w:p w14:paraId="1AABB007" w14:textId="77777777" w:rsidR="00243051" w:rsidRDefault="00243051" w:rsidP="00243051"/>
    <w:p w14:paraId="5A926798" w14:textId="2A5504F3" w:rsidR="00243051" w:rsidRDefault="00243051" w:rsidP="00243051">
      <w:r w:rsidRPr="00E06F7B">
        <w:t xml:space="preserve">To improve </w:t>
      </w:r>
      <w:r>
        <w:t>its</w:t>
      </w:r>
      <w:r w:rsidRPr="00E06F7B">
        <w:t xml:space="preserve"> response to whānau, Mana Whaikaha now works with Te Tihi (a Whānau Ora Alliance) to help make stronger connections to whānau-centred services, which are cul</w:t>
      </w:r>
      <w:r>
        <w:t>turally</w:t>
      </w:r>
      <w:r w:rsidRPr="00E06F7B">
        <w:t xml:space="preserve"> anchored in te ao M</w:t>
      </w:r>
      <w:r w:rsidRPr="00E964A4">
        <w:t>āori and kaupapa Māori.</w:t>
      </w:r>
    </w:p>
    <w:p w14:paraId="3D9D0876" w14:textId="77777777" w:rsidR="00243051" w:rsidRPr="00E06F7B" w:rsidRDefault="00243051" w:rsidP="00243051">
      <w:pPr>
        <w:pStyle w:val="Heading2"/>
      </w:pPr>
      <w:bookmarkStart w:id="21" w:name="_Toc124832760"/>
      <w:r w:rsidRPr="00E06F7B">
        <w:t>Challenges when operating in a partially transformed system</w:t>
      </w:r>
      <w:bookmarkEnd w:id="21"/>
    </w:p>
    <w:p w14:paraId="4C5A7354" w14:textId="77777777" w:rsidR="00243051" w:rsidRPr="00E06F7B" w:rsidRDefault="00243051" w:rsidP="00243051">
      <w:r w:rsidRPr="00E06F7B">
        <w:t>System transformation starts with changing system purpose. It then takes time to make the changes needed to live out this purpose, including:</w:t>
      </w:r>
    </w:p>
    <w:p w14:paraId="45073CE6" w14:textId="77777777" w:rsidR="00243051" w:rsidRPr="00E06F7B" w:rsidRDefault="00243051" w:rsidP="00243051">
      <w:pPr>
        <w:pStyle w:val="Bullet"/>
      </w:pPr>
      <w:r w:rsidRPr="00E06F7B">
        <w:t xml:space="preserve">changing mindsets </w:t>
      </w:r>
      <w:r>
        <w:t xml:space="preserve">to understand that disabled people </w:t>
      </w:r>
      <w:r w:rsidRPr="00E06F7B">
        <w:t>are best able to say what they need</w:t>
      </w:r>
    </w:p>
    <w:p w14:paraId="41B82629" w14:textId="77777777" w:rsidR="00243051" w:rsidRPr="00E06F7B" w:rsidRDefault="00243051" w:rsidP="00243051">
      <w:pPr>
        <w:pStyle w:val="Bullet"/>
      </w:pPr>
      <w:r w:rsidRPr="00E06F7B">
        <w:t xml:space="preserve">creating policy, funding models, contracts and performance monitoring that work together to support better outcomes for disabled people and their whānau. </w:t>
      </w:r>
    </w:p>
    <w:p w14:paraId="7C43963C" w14:textId="77777777" w:rsidR="00243051" w:rsidRDefault="00243051" w:rsidP="00243051"/>
    <w:p w14:paraId="509CCE3B" w14:textId="478CB68A" w:rsidR="00243051" w:rsidRPr="00E06F7B" w:rsidRDefault="00243051" w:rsidP="00243051">
      <w:r w:rsidRPr="00E06F7B">
        <w:t xml:space="preserve">For system change </w:t>
      </w:r>
      <w:r>
        <w:t>to occur</w:t>
      </w:r>
      <w:r w:rsidRPr="00E06F7B">
        <w:t xml:space="preserve">, </w:t>
      </w:r>
      <w:r>
        <w:t>everyone in the system needs to change too.</w:t>
      </w:r>
    </w:p>
    <w:p w14:paraId="2AA09762" w14:textId="77777777" w:rsidR="00243051" w:rsidRPr="00E06F7B" w:rsidRDefault="00243051" w:rsidP="00243051">
      <w:pPr>
        <w:pStyle w:val="Heading2"/>
      </w:pPr>
      <w:bookmarkStart w:id="22" w:name="_Toc124832761"/>
      <w:r w:rsidRPr="00E06F7B">
        <w:t>Disabled people and their whānau</w:t>
      </w:r>
      <w:bookmarkEnd w:id="22"/>
    </w:p>
    <w:p w14:paraId="6DDC5E4B" w14:textId="47E76E4A" w:rsidR="00243051" w:rsidRDefault="00243051" w:rsidP="00243051">
      <w:r w:rsidRPr="00E06F7B">
        <w:t>An advisor at Mana Whaikaha described the change for disabled people and wh</w:t>
      </w:r>
      <w:r w:rsidRPr="00E964A4">
        <w:t>ānau as a shift</w:t>
      </w:r>
      <w:r w:rsidRPr="00AB3DA2">
        <w:t xml:space="preserve"> </w:t>
      </w:r>
      <w:r>
        <w:t>‘</w:t>
      </w:r>
      <w:r w:rsidRPr="00AB3DA2">
        <w:t xml:space="preserve">from </w:t>
      </w:r>
      <w:r>
        <w:t>“</w:t>
      </w:r>
      <w:r w:rsidRPr="00AB3DA2">
        <w:t>care and control</w:t>
      </w:r>
      <w:r>
        <w:t>”</w:t>
      </w:r>
      <w:r w:rsidRPr="00AB3DA2">
        <w:t xml:space="preserve"> into a social model where people can live the life they want</w:t>
      </w:r>
      <w:r>
        <w:t>’</w:t>
      </w:r>
      <w:r w:rsidRPr="00AB3DA2">
        <w:t>.</w:t>
      </w:r>
    </w:p>
    <w:p w14:paraId="147ED557" w14:textId="77777777" w:rsidR="00243051" w:rsidRPr="00E06F7B" w:rsidRDefault="00243051" w:rsidP="00243051">
      <w:pPr>
        <w:rPr>
          <w:i/>
          <w:iCs/>
        </w:rPr>
      </w:pPr>
    </w:p>
    <w:p w14:paraId="3A1A5F54" w14:textId="60CB36E1" w:rsidR="00243051" w:rsidRDefault="00243051" w:rsidP="00243051">
      <w:r w:rsidRPr="00E06F7B">
        <w:t xml:space="preserve">After years of little or no choice, people with disabilities and their whānau need to first trust in a new way of working and be supported as they acquire new mindsets and skills. Connectors can help support this process. </w:t>
      </w:r>
    </w:p>
    <w:p w14:paraId="6F05527E" w14:textId="77777777" w:rsidR="00243051" w:rsidRPr="00E06F7B" w:rsidRDefault="00243051" w:rsidP="00243051"/>
    <w:p w14:paraId="20C7EB90" w14:textId="3A3A962C" w:rsidR="00243051" w:rsidRDefault="00243051" w:rsidP="00243051">
      <w:r w:rsidRPr="00E06F7B">
        <w:t>The same advisor noted</w:t>
      </w:r>
      <w:r>
        <w:t>,</w:t>
      </w:r>
      <w:r w:rsidRPr="00E06F7B">
        <w:rPr>
          <w:i/>
          <w:iCs/>
        </w:rPr>
        <w:t xml:space="preserve"> </w:t>
      </w:r>
      <w:r>
        <w:t>‘</w:t>
      </w:r>
      <w:r w:rsidRPr="00AB3DA2">
        <w:t xml:space="preserve">We’re saying, </w:t>
      </w:r>
      <w:r>
        <w:t>“</w:t>
      </w:r>
      <w:r w:rsidRPr="00AB3DA2">
        <w:t>the funding will come to the individual</w:t>
      </w:r>
      <w:r>
        <w:t>”</w:t>
      </w:r>
      <w:r w:rsidRPr="00AB3DA2">
        <w:t>, but they are not used to the funding coming in bulk. It’s a huge mind shift.</w:t>
      </w:r>
      <w:r>
        <w:t>’</w:t>
      </w:r>
    </w:p>
    <w:p w14:paraId="749FED20" w14:textId="77777777" w:rsidR="00243051" w:rsidRPr="00E06F7B" w:rsidRDefault="00243051" w:rsidP="00243051">
      <w:pPr>
        <w:rPr>
          <w:i/>
          <w:iCs/>
        </w:rPr>
      </w:pPr>
    </w:p>
    <w:p w14:paraId="30A4C92E" w14:textId="77777777" w:rsidR="00243051" w:rsidRDefault="00243051" w:rsidP="00243051">
      <w:r w:rsidRPr="00E06F7B">
        <w:t xml:space="preserve">A Specialist Connector for Mana Whaikaha emphasised that relationships are the key to success: </w:t>
      </w:r>
      <w:r>
        <w:t>‘</w:t>
      </w:r>
      <w:r w:rsidRPr="00AB3DA2">
        <w:t>The work is relationship-based on so many levels.</w:t>
      </w:r>
      <w:r>
        <w:t>’</w:t>
      </w:r>
    </w:p>
    <w:p w14:paraId="3CC6C9B2" w14:textId="3658C7FB" w:rsidR="00243051" w:rsidRDefault="00243051" w:rsidP="00243051">
      <w:r w:rsidRPr="00E06F7B">
        <w:lastRenderedPageBreak/>
        <w:t xml:space="preserve">Relationships are built from the moment a person </w:t>
      </w:r>
      <w:r>
        <w:t>calls</w:t>
      </w:r>
      <w:r w:rsidRPr="00E06F7B">
        <w:t xml:space="preserve"> and asks for help</w:t>
      </w:r>
      <w:r>
        <w:t>.</w:t>
      </w:r>
    </w:p>
    <w:p w14:paraId="06FCBCA2" w14:textId="77777777" w:rsidR="00243051" w:rsidRDefault="00243051" w:rsidP="00243051"/>
    <w:p w14:paraId="31347F4A" w14:textId="77777777" w:rsidR="00243051" w:rsidRPr="00243051" w:rsidRDefault="00243051" w:rsidP="00243051">
      <w:pPr>
        <w:ind w:left="567"/>
        <w:rPr>
          <w:i/>
          <w:iCs/>
        </w:rPr>
      </w:pPr>
      <w:r w:rsidRPr="00243051">
        <w:rPr>
          <w:i/>
          <w:iCs/>
        </w:rPr>
        <w:t>We never say, ‘sorry not us’ because that causes great wounding for families when they go through system after system that neglects to help with their basic needs.</w:t>
      </w:r>
    </w:p>
    <w:p w14:paraId="4B011B89" w14:textId="77777777" w:rsidR="00243051" w:rsidRDefault="00243051" w:rsidP="00243051">
      <w:pPr>
        <w:pStyle w:val="Heading1"/>
        <w:sectPr w:rsidR="00243051" w:rsidSect="00A27D16">
          <w:pgSz w:w="11901" w:h="16817"/>
          <w:pgMar w:top="1418" w:right="1701" w:bottom="1134" w:left="1843" w:header="709" w:footer="425" w:gutter="0"/>
          <w:cols w:space="708"/>
          <w:docGrid w:linePitch="360"/>
        </w:sectPr>
      </w:pPr>
    </w:p>
    <w:p w14:paraId="46041A9D" w14:textId="147797A4" w:rsidR="00243051" w:rsidRPr="00E06F7B" w:rsidRDefault="00243051" w:rsidP="00243051">
      <w:pPr>
        <w:pStyle w:val="Heading1"/>
        <w:spacing w:before="0"/>
      </w:pPr>
      <w:bookmarkStart w:id="23" w:name="_Toc124832762"/>
      <w:r>
        <w:lastRenderedPageBreak/>
        <w:t xml:space="preserve">Key components of </w:t>
      </w:r>
      <w:r w:rsidRPr="00E06F7B">
        <w:t>Mana Whaikaha</w:t>
      </w:r>
      <w:bookmarkEnd w:id="23"/>
    </w:p>
    <w:p w14:paraId="267DE5FC" w14:textId="77777777" w:rsidR="00243051" w:rsidRPr="00E06F7B" w:rsidRDefault="00243051" w:rsidP="00243051">
      <w:pPr>
        <w:pStyle w:val="Heading2"/>
      </w:pPr>
      <w:bookmarkStart w:id="24" w:name="_Toc124832763"/>
      <w:r>
        <w:t>Flexible funding as one tool to enable self-determination</w:t>
      </w:r>
      <w:bookmarkEnd w:id="24"/>
    </w:p>
    <w:p w14:paraId="46ECAC12" w14:textId="3A8C29AC" w:rsidR="00243051" w:rsidRDefault="00243051" w:rsidP="00243051">
      <w:r w:rsidRPr="00E06F7B">
        <w:t xml:space="preserve">Funding flexibility is </w:t>
      </w:r>
      <w:r>
        <w:t xml:space="preserve">only </w:t>
      </w:r>
      <w:r w:rsidRPr="00E06F7B">
        <w:t>one of the first ‘on-the-ground’ changes seen as part of the larger, longer-term disability system transformation that is underway. I</w:t>
      </w:r>
      <w:r>
        <w:t>n some ways it is a catalyst for and</w:t>
      </w:r>
      <w:r w:rsidRPr="00E06F7B">
        <w:t xml:space="preserve"> </w:t>
      </w:r>
      <w:r>
        <w:t>important</w:t>
      </w:r>
      <w:r w:rsidRPr="00E06F7B">
        <w:t xml:space="preserve"> first step in </w:t>
      </w:r>
      <w:r>
        <w:t>enabling</w:t>
      </w:r>
      <w:r w:rsidRPr="00E06F7B">
        <w:t xml:space="preserve"> greater choice and control for disabled people; a key aim of Enabling Good Lives</w:t>
      </w:r>
      <w:r>
        <w:t xml:space="preserve"> and </w:t>
      </w:r>
      <w:r w:rsidRPr="00E06F7B">
        <w:t>Mana Whaikaha.</w:t>
      </w:r>
    </w:p>
    <w:p w14:paraId="2E2787CC" w14:textId="77777777" w:rsidR="00243051" w:rsidRPr="00E06F7B" w:rsidRDefault="00243051" w:rsidP="00243051"/>
    <w:p w14:paraId="0091F8DF" w14:textId="3D916E8F" w:rsidR="00243051" w:rsidRDefault="00243051" w:rsidP="00243051">
      <w:r w:rsidRPr="00E06F7B">
        <w:t>The significance of the shift to flexible funding and the</w:t>
      </w:r>
      <w:r>
        <w:t xml:space="preserve"> associated</w:t>
      </w:r>
      <w:r w:rsidRPr="00E06F7B">
        <w:t xml:space="preserve"> </w:t>
      </w:r>
      <w:r>
        <w:t>longer-term</w:t>
      </w:r>
      <w:r w:rsidRPr="00E06F7B">
        <w:t xml:space="preserve"> </w:t>
      </w:r>
      <w:r>
        <w:t xml:space="preserve">learning </w:t>
      </w:r>
      <w:r w:rsidRPr="00E06F7B">
        <w:t xml:space="preserve">opportunity </w:t>
      </w:r>
      <w:r>
        <w:t>was</w:t>
      </w:r>
      <w:r w:rsidRPr="00E06F7B">
        <w:t xml:space="preserve"> not lost on the people who contributed to this case study. The </w:t>
      </w:r>
      <w:r>
        <w:t>p</w:t>
      </w:r>
      <w:r w:rsidRPr="00E06F7B">
        <w:t xml:space="preserve">ractice </w:t>
      </w:r>
      <w:r>
        <w:t>m</w:t>
      </w:r>
      <w:r w:rsidRPr="00E06F7B">
        <w:t>anager at Mana Whaikaha told us that</w:t>
      </w:r>
      <w:r>
        <w:t>:</w:t>
      </w:r>
    </w:p>
    <w:p w14:paraId="0F4B2870" w14:textId="77777777" w:rsidR="00243051" w:rsidRPr="00E06F7B" w:rsidRDefault="00243051" w:rsidP="00243051"/>
    <w:p w14:paraId="7B053DAD" w14:textId="77777777" w:rsidR="00243051" w:rsidRPr="00243051" w:rsidRDefault="00243051" w:rsidP="00243051">
      <w:pPr>
        <w:ind w:left="567"/>
        <w:rPr>
          <w:i/>
          <w:iCs/>
        </w:rPr>
      </w:pPr>
      <w:r w:rsidRPr="00243051">
        <w:rPr>
          <w:i/>
          <w:iCs/>
        </w:rPr>
        <w:t>I feel it’s our responsibility to the whole of the country, in what is really the most significant opportunity for disabled people and their families in a generation. I feel we’ve got this sense of responsibility to this population to be able to generate as much learning as we can that then can be reflected across the country. Because I know there are people all around New Zealand, and the world, watching us thinking, ‘When do we get this flexibility?’</w:t>
      </w:r>
    </w:p>
    <w:p w14:paraId="131C1EAC" w14:textId="77777777" w:rsidR="00243051" w:rsidRPr="00E06F7B" w:rsidRDefault="00243051" w:rsidP="00243051">
      <w:pPr>
        <w:pStyle w:val="Heading2"/>
      </w:pPr>
      <w:bookmarkStart w:id="25" w:name="_Toc124832764"/>
      <w:r w:rsidRPr="00E06F7B">
        <w:t>Working with other providers</w:t>
      </w:r>
      <w:bookmarkEnd w:id="25"/>
    </w:p>
    <w:p w14:paraId="38D15F10" w14:textId="515B04E9" w:rsidR="00243051" w:rsidRDefault="00243051" w:rsidP="00243051">
      <w:r w:rsidRPr="00E06F7B">
        <w:t>Mana Whaikaha’s philosophy is about flexibility and being fully person</w:t>
      </w:r>
      <w:r>
        <w:t>-/whānau</w:t>
      </w:r>
      <w:r w:rsidRPr="00E06F7B">
        <w:t xml:space="preserve">-directed and driven. But other agencies </w:t>
      </w:r>
      <w:r>
        <w:t xml:space="preserve">may find it challenging to </w:t>
      </w:r>
      <w:r w:rsidRPr="00E06F7B">
        <w:t xml:space="preserve">work in this flexible way. </w:t>
      </w:r>
      <w:r>
        <w:t>Some</w:t>
      </w:r>
      <w:r w:rsidRPr="00E06F7B">
        <w:t xml:space="preserve"> have workforces and operating models </w:t>
      </w:r>
      <w:r>
        <w:t>that</w:t>
      </w:r>
      <w:r w:rsidRPr="00E06F7B">
        <w:t xml:space="preserve"> </w:t>
      </w:r>
      <w:r>
        <w:t>can support</w:t>
      </w:r>
      <w:r w:rsidRPr="00E06F7B">
        <w:t xml:space="preserve"> a paternalistic way of working with disabled people (</w:t>
      </w:r>
      <w:r>
        <w:t>‘W</w:t>
      </w:r>
      <w:r w:rsidRPr="00E06F7B">
        <w:t>e know what’s best for you, and it’s us</w:t>
      </w:r>
      <w:r>
        <w:t>’</w:t>
      </w:r>
      <w:r w:rsidRPr="00E06F7B">
        <w:t>).</w:t>
      </w:r>
    </w:p>
    <w:p w14:paraId="2BD84FA3" w14:textId="77777777" w:rsidR="00243051" w:rsidRPr="00E06F7B" w:rsidRDefault="00243051" w:rsidP="00243051"/>
    <w:p w14:paraId="5338B397" w14:textId="2473F6C2" w:rsidR="00243051" w:rsidRDefault="00243051" w:rsidP="00243051">
      <w:r w:rsidRPr="00E06F7B">
        <w:rPr>
          <w:color w:val="000000" w:themeColor="text1"/>
        </w:rPr>
        <w:t xml:space="preserve">A Mana Whaikaha manager highlighted the struggle by saying, </w:t>
      </w:r>
      <w:r>
        <w:rPr>
          <w:color w:val="000000" w:themeColor="text1"/>
        </w:rPr>
        <w:t>‘</w:t>
      </w:r>
      <w:r w:rsidRPr="00AB3DA2">
        <w:t>The barriers for us start when we walk out the door to do this in practice.</w:t>
      </w:r>
      <w:r>
        <w:t>’</w:t>
      </w:r>
    </w:p>
    <w:p w14:paraId="0FCE4274" w14:textId="77777777" w:rsidR="00243051" w:rsidRPr="00E06F7B" w:rsidRDefault="00243051" w:rsidP="00243051">
      <w:pPr>
        <w:rPr>
          <w:i/>
          <w:iCs/>
          <w:color w:val="000000" w:themeColor="text1"/>
        </w:rPr>
      </w:pPr>
    </w:p>
    <w:p w14:paraId="414E8C56" w14:textId="77777777" w:rsidR="00243051" w:rsidRPr="00E06F7B" w:rsidRDefault="00243051" w:rsidP="00243051">
      <w:pPr>
        <w:rPr>
          <w:color w:val="000000" w:themeColor="text1"/>
        </w:rPr>
      </w:pPr>
      <w:r w:rsidRPr="00E06F7B">
        <w:rPr>
          <w:color w:val="000000" w:themeColor="text1"/>
        </w:rPr>
        <w:t xml:space="preserve">To help navigate this, there </w:t>
      </w:r>
      <w:r>
        <w:rPr>
          <w:color w:val="000000" w:themeColor="text1"/>
        </w:rPr>
        <w:t>are now two</w:t>
      </w:r>
      <w:r w:rsidRPr="00E06F7B">
        <w:rPr>
          <w:color w:val="000000" w:themeColor="text1"/>
        </w:rPr>
        <w:t xml:space="preserve"> full-time position</w:t>
      </w:r>
      <w:r>
        <w:rPr>
          <w:color w:val="000000" w:themeColor="text1"/>
        </w:rPr>
        <w:t>s</w:t>
      </w:r>
      <w:r w:rsidRPr="00E06F7B">
        <w:rPr>
          <w:color w:val="000000" w:themeColor="text1"/>
        </w:rPr>
        <w:t xml:space="preserve"> within Mana Whaikaha to deal with cross-sector engagement</w:t>
      </w:r>
      <w:r>
        <w:rPr>
          <w:color w:val="000000" w:themeColor="text1"/>
        </w:rPr>
        <w:t xml:space="preserve"> and ensure a broader range of supports and solutions is available for people around their community and across agencies.</w:t>
      </w:r>
    </w:p>
    <w:p w14:paraId="7D6A88F8" w14:textId="77777777" w:rsidR="00243051" w:rsidRDefault="00243051" w:rsidP="00243051">
      <w:pPr>
        <w:pStyle w:val="Heading2"/>
      </w:pPr>
      <w:bookmarkStart w:id="26" w:name="_Toc124832765"/>
      <w:r>
        <w:lastRenderedPageBreak/>
        <w:t>Leadership and commitment at all levels</w:t>
      </w:r>
      <w:bookmarkEnd w:id="26"/>
    </w:p>
    <w:p w14:paraId="7B15881A" w14:textId="77777777" w:rsidR="00243051" w:rsidRPr="00656BCB" w:rsidRDefault="00243051" w:rsidP="00243051">
      <w:r>
        <w:t xml:space="preserve">Full commitment to new ways of working from senior leadership in local providers to support workers on the ground is crucial to success. This can take time, and the experience of Mana Whaikaha suggests different organisations are at different stages of their journey. Senior leadership support is critical for these changes, and those on the ground must also be enabled to shift to a new way of thinking and of enabling disabled people to exercise choice and control. </w:t>
      </w:r>
    </w:p>
    <w:p w14:paraId="041350F3" w14:textId="77777777" w:rsidR="00243051" w:rsidRPr="00E06F7B" w:rsidRDefault="00243051" w:rsidP="00243051">
      <w:pPr>
        <w:pStyle w:val="Heading2"/>
      </w:pPr>
      <w:bookmarkStart w:id="27" w:name="_Toc124832766"/>
      <w:r w:rsidRPr="00E06F7B">
        <w:t>Fund</w:t>
      </w:r>
      <w:r>
        <w:t>ing approaches</w:t>
      </w:r>
      <w:bookmarkEnd w:id="27"/>
    </w:p>
    <w:p w14:paraId="7415255C" w14:textId="76D804AC" w:rsidR="00243051" w:rsidRDefault="00243051" w:rsidP="00243051">
      <w:r w:rsidRPr="00E06F7B">
        <w:t xml:space="preserve">In the disability sector, the current contracting and funding approach can create a perverse incentive for providers to </w:t>
      </w:r>
      <w:r>
        <w:t>retain</w:t>
      </w:r>
      <w:r w:rsidRPr="00E06F7B">
        <w:t xml:space="preserve"> clients over a long period of time, as this helps ensure consistent funding. A focus on funding that rewards</w:t>
      </w:r>
      <w:r>
        <w:t xml:space="preserve"> meaningful</w:t>
      </w:r>
      <w:r w:rsidRPr="00E06F7B">
        <w:t xml:space="preserve"> outcomes and longer-term funding models could help change this dynamic</w:t>
      </w:r>
      <w:r>
        <w:t xml:space="preserve"> and ensure a focus on the people they support.</w:t>
      </w:r>
    </w:p>
    <w:p w14:paraId="583844F3" w14:textId="77777777" w:rsidR="00243051" w:rsidRPr="00E06F7B" w:rsidRDefault="00243051" w:rsidP="00243051"/>
    <w:p w14:paraId="6A472544" w14:textId="01BA11E5" w:rsidR="00243051" w:rsidRDefault="00243051" w:rsidP="00243051">
      <w:r w:rsidRPr="00E06F7B">
        <w:t xml:space="preserve">There can also be internal tensions between nationally driven funding approaches and local delivery. For example, the </w:t>
      </w:r>
      <w:r>
        <w:t>national</w:t>
      </w:r>
      <w:r w:rsidRPr="00E06F7B">
        <w:t xml:space="preserve"> model of</w:t>
      </w:r>
      <w:r>
        <w:t xml:space="preserve"> the</w:t>
      </w:r>
      <w:r w:rsidRPr="00E06F7B">
        <w:t xml:space="preserve"> Needs Assessment and Service Coordination</w:t>
      </w:r>
      <w:r>
        <w:t xml:space="preserve"> agency</w:t>
      </w:r>
      <w:r w:rsidRPr="00E06F7B">
        <w:t xml:space="preserve"> </w:t>
      </w:r>
      <w:r>
        <w:t xml:space="preserve">may not be structured to achieve the </w:t>
      </w:r>
      <w:r w:rsidRPr="00E06F7B">
        <w:t>self-d</w:t>
      </w:r>
      <w:r>
        <w:t>irection and autonomy needed for</w:t>
      </w:r>
      <w:r w:rsidRPr="00E06F7B">
        <w:t xml:space="preserve"> flexible funding arrangements. </w:t>
      </w:r>
    </w:p>
    <w:p w14:paraId="5A4D3C15" w14:textId="77777777" w:rsidR="00243051" w:rsidRDefault="00243051" w:rsidP="00243051"/>
    <w:p w14:paraId="466DA2CE" w14:textId="77777777" w:rsidR="00243051" w:rsidRPr="00E06F7B" w:rsidRDefault="00243051" w:rsidP="00243051">
      <w:r>
        <w:t xml:space="preserve">The traditional system of needs assessment and funding eligibility can result in a more rigid imposition of rules and eligibility criteria that do not fully prioritise and enable people’s will and preference. In contrast, flexible funding and personal budgets help providers to moderate the overall funding received and guide its use, with people still able to determine how best to meet their individual needs and challenges. </w:t>
      </w:r>
    </w:p>
    <w:p w14:paraId="770B9166" w14:textId="77777777" w:rsidR="00243051" w:rsidRPr="00E06F7B" w:rsidRDefault="00243051" w:rsidP="00243051">
      <w:pPr>
        <w:pStyle w:val="Heading2"/>
      </w:pPr>
      <w:bookmarkStart w:id="28" w:name="_Toc124832767"/>
      <w:r w:rsidRPr="00E06F7B">
        <w:t>System</w:t>
      </w:r>
      <w:r>
        <w:t xml:space="preserve"> change</w:t>
      </w:r>
      <w:bookmarkEnd w:id="28"/>
    </w:p>
    <w:p w14:paraId="11D5EAB9" w14:textId="77777777" w:rsidR="00243051" w:rsidRPr="00E06F7B" w:rsidRDefault="00243051" w:rsidP="00243051">
      <w:r w:rsidRPr="00E06F7B">
        <w:t xml:space="preserve">For funding flexibility to work well, wider system changes </w:t>
      </w:r>
      <w:r>
        <w:t>need to occur on many levels.</w:t>
      </w:r>
    </w:p>
    <w:p w14:paraId="569A67A3" w14:textId="77777777" w:rsidR="00243051" w:rsidRPr="00E06F7B" w:rsidRDefault="00243051" w:rsidP="00243051">
      <w:pPr>
        <w:pStyle w:val="Bullet"/>
      </w:pPr>
      <w:r w:rsidRPr="00AB3DA2">
        <w:rPr>
          <w:b/>
          <w:bCs/>
        </w:rPr>
        <w:t>Mindsets:</w:t>
      </w:r>
      <w:r>
        <w:t xml:space="preserve"> People</w:t>
      </w:r>
      <w:r w:rsidRPr="00E06F7B">
        <w:t xml:space="preserve"> </w:t>
      </w:r>
      <w:r>
        <w:t xml:space="preserve">at every level in the system </w:t>
      </w:r>
      <w:r w:rsidRPr="00E06F7B">
        <w:t>need to recogni</w:t>
      </w:r>
      <w:r>
        <w:t>s</w:t>
      </w:r>
      <w:r w:rsidRPr="00E06F7B">
        <w:t xml:space="preserve">e that disabled people (supported by their whānau) are best able to </w:t>
      </w:r>
      <w:r>
        <w:t xml:space="preserve">identify </w:t>
      </w:r>
      <w:r w:rsidRPr="00E06F7B">
        <w:t>what they need</w:t>
      </w:r>
      <w:r>
        <w:t xml:space="preserve"> and commit to enabling that change</w:t>
      </w:r>
      <w:r w:rsidRPr="00E06F7B">
        <w:t>.</w:t>
      </w:r>
    </w:p>
    <w:p w14:paraId="7C86CD66" w14:textId="77777777" w:rsidR="00243051" w:rsidRPr="00E06F7B" w:rsidRDefault="00243051" w:rsidP="00243051">
      <w:pPr>
        <w:pStyle w:val="Bullet"/>
      </w:pPr>
      <w:r w:rsidRPr="00AB3DA2">
        <w:rPr>
          <w:b/>
          <w:bCs/>
        </w:rPr>
        <w:t>Leadership:</w:t>
      </w:r>
      <w:r>
        <w:t xml:space="preserve"> </w:t>
      </w:r>
      <w:r w:rsidRPr="00E06F7B">
        <w:t>Leadership is needed to ensure the intent of the system transformation is upheld</w:t>
      </w:r>
      <w:r>
        <w:t xml:space="preserve"> at all levels: national, regional, local and provider levels.</w:t>
      </w:r>
    </w:p>
    <w:p w14:paraId="5A82C58D" w14:textId="77777777" w:rsidR="00243051" w:rsidRPr="00E06F7B" w:rsidRDefault="00243051" w:rsidP="00243051">
      <w:pPr>
        <w:pStyle w:val="Bullet"/>
      </w:pPr>
      <w:r w:rsidRPr="00AB3DA2">
        <w:rPr>
          <w:b/>
          <w:bCs/>
        </w:rPr>
        <w:t>Workforce development:</w:t>
      </w:r>
      <w:r>
        <w:t xml:space="preserve"> </w:t>
      </w:r>
      <w:r w:rsidRPr="00E06F7B">
        <w:t xml:space="preserve">The workforce coming in will need to </w:t>
      </w:r>
      <w:r>
        <w:t>be supported to challenge and shift their thinking.</w:t>
      </w:r>
      <w:r w:rsidRPr="00E06F7B">
        <w:t xml:space="preserve"> If workers are learning </w:t>
      </w:r>
      <w:r>
        <w:t xml:space="preserve">and practising </w:t>
      </w:r>
      <w:r w:rsidRPr="00E06F7B">
        <w:t xml:space="preserve">more paternalistic styles of caregiving in their formal training, it will be harder for them to </w:t>
      </w:r>
      <w:r>
        <w:t xml:space="preserve">adopt </w:t>
      </w:r>
      <w:r w:rsidRPr="00E06F7B">
        <w:t>this flexible, person</w:t>
      </w:r>
      <w:r>
        <w:t>-</w:t>
      </w:r>
      <w:r w:rsidRPr="00E06F7B">
        <w:t xml:space="preserve">/whānau-directed model when they enter the workforce. </w:t>
      </w:r>
    </w:p>
    <w:p w14:paraId="65E1AA08" w14:textId="77777777" w:rsidR="00243051" w:rsidRDefault="00243051" w:rsidP="00243051">
      <w:pPr>
        <w:pStyle w:val="Bullet"/>
      </w:pPr>
      <w:r w:rsidRPr="00AB3DA2">
        <w:rPr>
          <w:b/>
          <w:bCs/>
        </w:rPr>
        <w:t>Contracts management:</w:t>
      </w:r>
      <w:r>
        <w:t xml:space="preserve"> </w:t>
      </w:r>
      <w:r w:rsidRPr="00CC7E13">
        <w:t>Government agencies need to ensure contracts within individual agencies</w:t>
      </w:r>
      <w:r>
        <w:t xml:space="preserve"> and across</w:t>
      </w:r>
      <w:r w:rsidRPr="00CC7E13">
        <w:t xml:space="preserve"> the health and social sectors </w:t>
      </w:r>
      <w:r>
        <w:t>use</w:t>
      </w:r>
      <w:r w:rsidRPr="00CC7E13">
        <w:t xml:space="preserve"> contract</w:t>
      </w:r>
      <w:r>
        <w:t>ual arrangements</w:t>
      </w:r>
      <w:r w:rsidRPr="00CC7E13">
        <w:t xml:space="preserve"> that support shared outcomes. Providers </w:t>
      </w:r>
      <w:r>
        <w:t xml:space="preserve">need clear and unambiguous </w:t>
      </w:r>
      <w:r>
        <w:lastRenderedPageBreak/>
        <w:t>outcome-focused</w:t>
      </w:r>
      <w:r w:rsidRPr="00CC7E13">
        <w:t xml:space="preserve"> requirements in government contract</w:t>
      </w:r>
      <w:r>
        <w:t xml:space="preserve">s. For example, contracts with output-based incentives can distract from the overall outcomes sought for people. </w:t>
      </w:r>
    </w:p>
    <w:p w14:paraId="6DA57999" w14:textId="4460A361" w:rsidR="00232490" w:rsidRPr="00232490" w:rsidRDefault="00243051" w:rsidP="00243051">
      <w:pPr>
        <w:pStyle w:val="Bullet"/>
      </w:pPr>
      <w:r w:rsidRPr="00AB3DA2">
        <w:rPr>
          <w:b/>
          <w:bCs/>
        </w:rPr>
        <w:t>Geographic boundaries:</w:t>
      </w:r>
      <w:r>
        <w:t xml:space="preserve"> </w:t>
      </w:r>
      <w:r w:rsidRPr="00E06F7B">
        <w:t xml:space="preserve">Where a person lives can dictate what </w:t>
      </w:r>
      <w:r>
        <w:t>services and funding are</w:t>
      </w:r>
      <w:r w:rsidRPr="00E06F7B">
        <w:t xml:space="preserve"> available to them</w:t>
      </w:r>
      <w:r>
        <w:t xml:space="preserve">. Not </w:t>
      </w:r>
      <w:r w:rsidRPr="00E06F7B">
        <w:t xml:space="preserve">all government agencies share the same </w:t>
      </w:r>
      <w:r>
        <w:t>boundaries. For example, i</w:t>
      </w:r>
      <w:r w:rsidRPr="00E06F7B">
        <w:t xml:space="preserve">f someone </w:t>
      </w:r>
      <w:r>
        <w:t>‘</w:t>
      </w:r>
      <w:r w:rsidRPr="00E06F7B">
        <w:t>lives on the wrong side of the bridge</w:t>
      </w:r>
      <w:r>
        <w:t>’,</w:t>
      </w:r>
      <w:r w:rsidRPr="00E06F7B">
        <w:t xml:space="preserve"> they might not be eligible for something they need. This </w:t>
      </w:r>
      <w:r>
        <w:t>can result in</w:t>
      </w:r>
      <w:r w:rsidRPr="00E06F7B">
        <w:t xml:space="preserve"> inequit</w:t>
      </w:r>
      <w:r>
        <w:t>ies</w:t>
      </w:r>
      <w:r w:rsidRPr="00E06F7B">
        <w:t xml:space="preserve"> </w:t>
      </w:r>
      <w:r>
        <w:t>and make it hard for</w:t>
      </w:r>
      <w:r w:rsidRPr="00E06F7B">
        <w:t xml:space="preserve"> providers and whānau to keep track of the various rules created by these different boundaries.</w:t>
      </w:r>
      <w:r w:rsidRPr="00232490">
        <w:t xml:space="preserve"> </w:t>
      </w:r>
    </w:p>
    <w:sectPr w:rsidR="00232490" w:rsidRPr="00232490" w:rsidSect="00243051">
      <w:pgSz w:w="11901" w:h="16817"/>
      <w:pgMar w:top="1418" w:right="1701" w:bottom="1134" w:left="1843" w:header="709"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8EE0A9" w14:textId="77777777" w:rsidR="000707F2" w:rsidRDefault="000707F2">
      <w:r>
        <w:separator/>
      </w:r>
    </w:p>
    <w:p w14:paraId="7A4DA31C" w14:textId="77777777" w:rsidR="000707F2" w:rsidRDefault="000707F2"/>
  </w:endnote>
  <w:endnote w:type="continuationSeparator" w:id="0">
    <w:p w14:paraId="72156500" w14:textId="77777777" w:rsidR="000707F2" w:rsidRDefault="000707F2">
      <w:r>
        <w:continuationSeparator/>
      </w:r>
    </w:p>
    <w:p w14:paraId="39D0A2BE" w14:textId="77777777" w:rsidR="000707F2" w:rsidRDefault="000707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Mäori">
    <w:altName w:val="Arial"/>
    <w:charset w:val="00"/>
    <w:family w:val="swiss"/>
    <w:pitch w:val="variable"/>
    <w:sig w:usb0="20002A87" w:usb1="80000000" w:usb2="00000008"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Georgia">
    <w:panose1 w:val="02040502050405020303"/>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18357" w14:textId="571F7B74" w:rsidR="00232490" w:rsidRPr="00581136" w:rsidRDefault="00232490" w:rsidP="005A79E5">
    <w:pPr>
      <w:pStyle w:val="Footer"/>
      <w:pBdr>
        <w:bottom w:val="single" w:sz="4" w:space="1" w:color="auto"/>
      </w:pBdr>
      <w:tabs>
        <w:tab w:val="right" w:pos="9639"/>
      </w:tabs>
      <w:rPr>
        <w:b/>
      </w:rPr>
    </w:pPr>
    <w:r w:rsidRPr="00581136">
      <w:rPr>
        <w:b/>
      </w:rPr>
      <w:t>Released 20</w:t>
    </w:r>
    <w:r>
      <w:rPr>
        <w:b/>
      </w:rPr>
      <w:t>2</w:t>
    </w:r>
    <w:r w:rsidR="00425756">
      <w:rPr>
        <w:b/>
      </w:rPr>
      <w:t>3</w:t>
    </w:r>
    <w:r w:rsidRPr="00581136">
      <w:rPr>
        <w:b/>
      </w:rPr>
      <w:tab/>
      <w:t>health.govt.nz</w:t>
    </w:r>
  </w:p>
  <w:p w14:paraId="524869F6" w14:textId="77777777" w:rsidR="00232490" w:rsidRPr="005A79E5" w:rsidRDefault="00232490">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DDA70" w14:textId="77777777" w:rsidR="00232490" w:rsidRDefault="00232490"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B0E96" w14:textId="77777777" w:rsidR="00232490" w:rsidRDefault="0023249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232490" w14:paraId="4C3A3BF7" w14:textId="77777777" w:rsidTr="00D662F8">
      <w:trPr>
        <w:cantSplit/>
      </w:trPr>
      <w:tc>
        <w:tcPr>
          <w:tcW w:w="709" w:type="dxa"/>
          <w:vAlign w:val="center"/>
        </w:tcPr>
        <w:p w14:paraId="28F87ED7" w14:textId="77777777" w:rsidR="00232490" w:rsidRPr="00931466" w:rsidRDefault="00232490"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w:t>
          </w:r>
          <w:r w:rsidRPr="00931466">
            <w:rPr>
              <w:rStyle w:val="PageNumber"/>
            </w:rPr>
            <w:fldChar w:fldCharType="end"/>
          </w:r>
        </w:p>
      </w:tc>
      <w:tc>
        <w:tcPr>
          <w:tcW w:w="8080" w:type="dxa"/>
          <w:vAlign w:val="center"/>
        </w:tcPr>
        <w:p w14:paraId="6026D159" w14:textId="43902051" w:rsidR="00232490" w:rsidRDefault="00243051" w:rsidP="00926083">
          <w:pPr>
            <w:pStyle w:val="RectoFooter"/>
            <w:jc w:val="left"/>
          </w:pPr>
          <w:r w:rsidRPr="00243051">
            <w:t>Mana Whaikaha - Flexible Funding as Part of a Broader Transformation to Improve Outcomes for Disabled People and Their Whānau: Commissioning for Pae Ora | Healthy Futures case study</w:t>
          </w:r>
        </w:p>
      </w:tc>
    </w:tr>
  </w:tbl>
  <w:p w14:paraId="711B5D80" w14:textId="77777777" w:rsidR="00232490" w:rsidRPr="00571223" w:rsidRDefault="00232490"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232490" w14:paraId="58AAB149" w14:textId="77777777" w:rsidTr="00D662F8">
      <w:trPr>
        <w:cantSplit/>
      </w:trPr>
      <w:tc>
        <w:tcPr>
          <w:tcW w:w="8080" w:type="dxa"/>
          <w:vAlign w:val="center"/>
        </w:tcPr>
        <w:p w14:paraId="20E2F0CC" w14:textId="3AA92261" w:rsidR="00232490" w:rsidRDefault="00243051" w:rsidP="00926083">
          <w:pPr>
            <w:pStyle w:val="RectoFooter"/>
          </w:pPr>
          <w:r w:rsidRPr="00243051">
            <w:t>Mana Whaikaha - Flexible Funding as Part of a Broader Transformation to Improve Outcomes for Disabled People and Their Whānau: Commissioning for Pae Ora | Healthy Futures case study</w:t>
          </w:r>
        </w:p>
      </w:tc>
      <w:tc>
        <w:tcPr>
          <w:tcW w:w="709" w:type="dxa"/>
          <w:vAlign w:val="center"/>
        </w:tcPr>
        <w:p w14:paraId="3D3C9847" w14:textId="77777777" w:rsidR="00232490" w:rsidRPr="00931466" w:rsidRDefault="00232490"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w:t>
          </w:r>
          <w:r w:rsidRPr="00931466">
            <w:rPr>
              <w:rStyle w:val="PageNumber"/>
            </w:rPr>
            <w:fldChar w:fldCharType="end"/>
          </w:r>
        </w:p>
      </w:tc>
    </w:tr>
  </w:tbl>
  <w:p w14:paraId="27602107" w14:textId="77777777" w:rsidR="00232490" w:rsidRPr="00581EB8" w:rsidRDefault="00232490"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DDCAC2" w14:textId="77777777" w:rsidR="000707F2" w:rsidRPr="00A26E6B" w:rsidRDefault="000707F2" w:rsidP="00A26E6B"/>
  </w:footnote>
  <w:footnote w:type="continuationSeparator" w:id="0">
    <w:p w14:paraId="33DD5183" w14:textId="77777777" w:rsidR="000707F2" w:rsidRDefault="000707F2">
      <w:r>
        <w:continuationSeparator/>
      </w:r>
    </w:p>
    <w:p w14:paraId="4C8CE774" w14:textId="77777777" w:rsidR="000707F2" w:rsidRDefault="000707F2"/>
  </w:footnote>
  <w:footnote w:id="1">
    <w:p w14:paraId="719ECFF3" w14:textId="7775A435" w:rsidR="00243051" w:rsidRPr="00D9153A" w:rsidRDefault="00243051" w:rsidP="00243051">
      <w:pPr>
        <w:pStyle w:val="FootnoteText"/>
      </w:pPr>
      <w:r>
        <w:rPr>
          <w:rStyle w:val="FootnoteReference"/>
        </w:rPr>
        <w:footnoteRef/>
      </w:r>
      <w:r>
        <w:t xml:space="preserve"> Allen + Clarke. 2020. </w:t>
      </w:r>
      <w:r w:rsidRPr="000D100C">
        <w:rPr>
          <w:i/>
          <w:iCs/>
        </w:rPr>
        <w:t>Implementation Evaluation of Mana Whaikaha</w:t>
      </w:r>
      <w:r>
        <w:rPr>
          <w:i/>
          <w:iCs/>
        </w:rPr>
        <w:t xml:space="preserve"> </w:t>
      </w:r>
      <w:r w:rsidRPr="000D100C">
        <w:rPr>
          <w:i/>
          <w:iCs/>
        </w:rPr>
        <w:t>System Transformation</w:t>
      </w:r>
      <w:r>
        <w:rPr>
          <w:i/>
          <w:iCs/>
        </w:rPr>
        <w:t>.</w:t>
      </w:r>
      <w:r>
        <w:t xml:space="preserve"> Wellington: Allen + Clarke. URL: </w:t>
      </w:r>
      <w:hyperlink r:id="rId1" w:history="1">
        <w:r w:rsidRPr="00243051">
          <w:rPr>
            <w:rStyle w:val="Hyperlink"/>
          </w:rPr>
          <w:t>Mana-Whaikaha-Implementation-Evaluation-Final-Version-3-March-2020-002.pdf</w:t>
        </w:r>
      </w:hyperlink>
      <w:r w:rsidRPr="00243051">
        <w:rPr>
          <w:rStyle w:val="Hyperlink"/>
        </w:rPr>
        <w:t xml:space="preserve">  </w:t>
      </w:r>
      <w:r w:rsidRPr="00243051">
        <w:rPr>
          <w:rStyle w:val="Hyperlink"/>
          <w:b w:val="0"/>
          <w:bCs/>
          <w:color w:val="000000" w:themeColor="text1"/>
        </w:rPr>
        <w:t>(accessed 8 December 2022).</w:t>
      </w:r>
    </w:p>
  </w:footnote>
  <w:footnote w:id="2">
    <w:p w14:paraId="5E553D66" w14:textId="77777777" w:rsidR="00243051" w:rsidRDefault="00243051" w:rsidP="00243051">
      <w:pPr>
        <w:pStyle w:val="FootnoteText"/>
      </w:pPr>
      <w:r>
        <w:rPr>
          <w:rStyle w:val="FootnoteReference"/>
        </w:rPr>
        <w:footnoteRef/>
      </w:r>
      <w:r>
        <w:t xml:space="preserve"> Enabling Good Lives. URL:</w:t>
      </w:r>
      <w:r w:rsidRPr="002C04FA">
        <w:t xml:space="preserve"> </w:t>
      </w:r>
      <w:hyperlink r:id="rId2" w:history="1">
        <w:r w:rsidRPr="00C94215">
          <w:rPr>
            <w:rStyle w:val="Hyperlink"/>
          </w:rPr>
          <w:t>www.enablinggoodlives.co.nz/about-egl/</w:t>
        </w:r>
      </w:hyperlink>
      <w:r>
        <w:t xml:space="preserve"> (accessed 10 December 2022).</w:t>
      </w:r>
    </w:p>
  </w:footnote>
  <w:footnote w:id="3">
    <w:p w14:paraId="07215710" w14:textId="77777777" w:rsidR="00243051" w:rsidRPr="00C25C9E" w:rsidRDefault="00243051" w:rsidP="00243051">
      <w:pPr>
        <w:pStyle w:val="FootnoteText"/>
      </w:pPr>
      <w:r w:rsidRPr="00D9153A">
        <w:rPr>
          <w:rStyle w:val="FootnoteReference"/>
        </w:rPr>
        <w:footnoteRef/>
      </w:r>
      <w:r w:rsidRPr="00D9153A">
        <w:t xml:space="preserve"> Ibid.</w:t>
      </w:r>
    </w:p>
  </w:footnote>
  <w:footnote w:id="4">
    <w:p w14:paraId="2515AE98" w14:textId="77777777" w:rsidR="00243051" w:rsidRPr="0095668F" w:rsidRDefault="00243051" w:rsidP="00243051">
      <w:pPr>
        <w:pStyle w:val="FootnoteText"/>
        <w:rPr>
          <w:rFonts w:cstheme="minorHAnsi"/>
        </w:rPr>
      </w:pPr>
      <w:r w:rsidRPr="0095668F">
        <w:rPr>
          <w:rStyle w:val="FootnoteReference"/>
          <w:rFonts w:cstheme="minorHAnsi"/>
        </w:rPr>
        <w:footnoteRef/>
      </w:r>
      <w:r w:rsidRPr="0095668F">
        <w:rPr>
          <w:rFonts w:cstheme="minorHAnsi"/>
        </w:rPr>
        <w:t xml:space="preserve"> </w:t>
      </w:r>
      <w:r w:rsidRPr="00535B86">
        <w:rPr>
          <w:rFonts w:cstheme="minorHAnsi"/>
        </w:rPr>
        <w:t xml:space="preserve">For funding purposes, </w:t>
      </w:r>
      <w:r>
        <w:rPr>
          <w:rFonts w:cstheme="minorHAnsi"/>
          <w:b/>
          <w:bCs/>
          <w:shd w:val="clear" w:color="auto" w:fill="FFFFFF"/>
        </w:rPr>
        <w:t>d</w:t>
      </w:r>
      <w:r w:rsidRPr="00535B86">
        <w:rPr>
          <w:rFonts w:cstheme="minorHAnsi"/>
          <w:b/>
          <w:bCs/>
          <w:shd w:val="clear" w:color="auto" w:fill="FFFFFF"/>
        </w:rPr>
        <w:t>isability</w:t>
      </w:r>
      <w:r w:rsidRPr="00535B86">
        <w:rPr>
          <w:rFonts w:cstheme="minorHAnsi"/>
          <w:shd w:val="clear" w:color="auto" w:fill="FFFFFF"/>
        </w:rPr>
        <w:t xml:space="preserve"> is defined as any self-perceived limitation in activity resulting from a long-term condition or health problem lasting or expected to last </w:t>
      </w:r>
      <w:r>
        <w:rPr>
          <w:rFonts w:cstheme="minorHAnsi"/>
          <w:shd w:val="clear" w:color="auto" w:fill="FFFFFF"/>
        </w:rPr>
        <w:t>six</w:t>
      </w:r>
      <w:r w:rsidRPr="00535B86">
        <w:rPr>
          <w:rFonts w:cstheme="minorHAnsi"/>
          <w:shd w:val="clear" w:color="auto" w:fill="FFFFFF"/>
        </w:rPr>
        <w:t xml:space="preserve"> months or more and not completely eliminated by an assistive device. </w:t>
      </w:r>
    </w:p>
  </w:footnote>
  <w:footnote w:id="5">
    <w:p w14:paraId="4BD7D662" w14:textId="77777777" w:rsidR="00243051" w:rsidRPr="0095668F" w:rsidRDefault="00243051" w:rsidP="00243051">
      <w:pPr>
        <w:pStyle w:val="FootnoteText"/>
      </w:pPr>
      <w:r w:rsidRPr="0095668F">
        <w:rPr>
          <w:rStyle w:val="FootnoteReference"/>
          <w:rFonts w:cstheme="minorHAnsi"/>
          <w:sz w:val="20"/>
        </w:rPr>
        <w:footnoteRef/>
      </w:r>
      <w:r w:rsidRPr="0095668F">
        <w:t xml:space="preserve"> </w:t>
      </w:r>
      <w:r>
        <w:rPr>
          <w:lang w:val="en-US"/>
        </w:rPr>
        <w:t>At</w:t>
      </w:r>
      <w:r w:rsidRPr="00535B86">
        <w:rPr>
          <w:lang w:val="en-US"/>
        </w:rPr>
        <w:t xml:space="preserve"> times</w:t>
      </w:r>
      <w:r>
        <w:rPr>
          <w:lang w:val="en-US"/>
        </w:rPr>
        <w:t>,</w:t>
      </w:r>
      <w:r w:rsidRPr="00535B86">
        <w:rPr>
          <w:lang w:val="en-US"/>
        </w:rPr>
        <w:t xml:space="preserve"> there </w:t>
      </w:r>
      <w:r>
        <w:rPr>
          <w:lang w:val="en-US"/>
        </w:rPr>
        <w:t>has been</w:t>
      </w:r>
      <w:r w:rsidRPr="00535B86">
        <w:rPr>
          <w:lang w:val="en-US"/>
        </w:rPr>
        <w:t xml:space="preserve"> some overspend as people and whānau are learning, but this has been rare and corrects itself over time.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22E4F" w14:textId="77777777" w:rsidR="00232490" w:rsidRDefault="00232490" w:rsidP="00533B9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117B0" w14:textId="77777777" w:rsidR="00232490" w:rsidRDefault="00232490" w:rsidP="00900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9D08CED6"/>
    <w:lvl w:ilvl="0">
      <w:start w:val="1"/>
      <w:numFmt w:val="bullet"/>
      <w:pStyle w:val="ListBullet2"/>
      <w:lvlText w:val="-"/>
      <w:lvlJc w:val="left"/>
      <w:pPr>
        <w:ind w:left="717" w:hanging="360"/>
      </w:pPr>
      <w:rPr>
        <w:rFonts w:ascii="Courier New" w:hAnsi="Courier New" w:hint="default"/>
      </w:rPr>
    </w:lvl>
  </w:abstractNum>
  <w:abstractNum w:abstractNumId="1" w15:restartNumberingAfterBreak="0">
    <w:nsid w:val="FFFFFF88"/>
    <w:multiLevelType w:val="singleLevel"/>
    <w:tmpl w:val="164262E6"/>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1456979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E90FFA"/>
    <w:multiLevelType w:val="hybridMultilevel"/>
    <w:tmpl w:val="5BC2B37E"/>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5" w15:restartNumberingAfterBreak="0">
    <w:nsid w:val="052041F9"/>
    <w:multiLevelType w:val="hybridMultilevel"/>
    <w:tmpl w:val="ABAC7CB8"/>
    <w:lvl w:ilvl="0" w:tplc="614058B0">
      <w:start w:val="1"/>
      <w:numFmt w:val="decimal"/>
      <w:lvlText w:val="%1."/>
      <w:lvlJc w:val="left"/>
      <w:pPr>
        <w:ind w:left="840" w:hanging="360"/>
      </w:pPr>
      <w:rPr>
        <w:rFonts w:hint="default"/>
      </w:rPr>
    </w:lvl>
    <w:lvl w:ilvl="1" w:tplc="14090019">
      <w:start w:val="1"/>
      <w:numFmt w:val="lowerLetter"/>
      <w:lvlText w:val="%2."/>
      <w:lvlJc w:val="left"/>
      <w:pPr>
        <w:ind w:left="1560" w:hanging="360"/>
      </w:pPr>
    </w:lvl>
    <w:lvl w:ilvl="2" w:tplc="1409001B">
      <w:start w:val="1"/>
      <w:numFmt w:val="lowerRoman"/>
      <w:lvlText w:val="%3."/>
      <w:lvlJc w:val="right"/>
      <w:pPr>
        <w:ind w:left="2280" w:hanging="180"/>
      </w:pPr>
    </w:lvl>
    <w:lvl w:ilvl="3" w:tplc="1409000F" w:tentative="1">
      <w:start w:val="1"/>
      <w:numFmt w:val="decimal"/>
      <w:lvlText w:val="%4."/>
      <w:lvlJc w:val="left"/>
      <w:pPr>
        <w:ind w:left="3000" w:hanging="360"/>
      </w:pPr>
    </w:lvl>
    <w:lvl w:ilvl="4" w:tplc="14090019" w:tentative="1">
      <w:start w:val="1"/>
      <w:numFmt w:val="lowerLetter"/>
      <w:lvlText w:val="%5."/>
      <w:lvlJc w:val="left"/>
      <w:pPr>
        <w:ind w:left="3720" w:hanging="360"/>
      </w:pPr>
    </w:lvl>
    <w:lvl w:ilvl="5" w:tplc="1409001B" w:tentative="1">
      <w:start w:val="1"/>
      <w:numFmt w:val="lowerRoman"/>
      <w:lvlText w:val="%6."/>
      <w:lvlJc w:val="right"/>
      <w:pPr>
        <w:ind w:left="4440" w:hanging="180"/>
      </w:pPr>
    </w:lvl>
    <w:lvl w:ilvl="6" w:tplc="1409000F" w:tentative="1">
      <w:start w:val="1"/>
      <w:numFmt w:val="decimal"/>
      <w:lvlText w:val="%7."/>
      <w:lvlJc w:val="left"/>
      <w:pPr>
        <w:ind w:left="5160" w:hanging="360"/>
      </w:pPr>
    </w:lvl>
    <w:lvl w:ilvl="7" w:tplc="14090019" w:tentative="1">
      <w:start w:val="1"/>
      <w:numFmt w:val="lowerLetter"/>
      <w:lvlText w:val="%8."/>
      <w:lvlJc w:val="left"/>
      <w:pPr>
        <w:ind w:left="5880" w:hanging="360"/>
      </w:pPr>
    </w:lvl>
    <w:lvl w:ilvl="8" w:tplc="1409001B" w:tentative="1">
      <w:start w:val="1"/>
      <w:numFmt w:val="lowerRoman"/>
      <w:lvlText w:val="%9."/>
      <w:lvlJc w:val="right"/>
      <w:pPr>
        <w:ind w:left="6600" w:hanging="180"/>
      </w:pPr>
    </w:lvl>
  </w:abstractNum>
  <w:abstractNum w:abstractNumId="6" w15:restartNumberingAfterBreak="0">
    <w:nsid w:val="06437749"/>
    <w:multiLevelType w:val="hybridMultilevel"/>
    <w:tmpl w:val="FA901792"/>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7BA0EC1"/>
    <w:multiLevelType w:val="hybridMultilevel"/>
    <w:tmpl w:val="0FDE2E92"/>
    <w:lvl w:ilvl="0" w:tplc="9B36D550">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94C5A25"/>
    <w:multiLevelType w:val="hybridMultilevel"/>
    <w:tmpl w:val="D3840FD0"/>
    <w:lvl w:ilvl="0" w:tplc="B5C83AFA">
      <w:start w:val="1"/>
      <w:numFmt w:val="decimal"/>
      <w:lvlText w:val="%1."/>
      <w:lvlJc w:val="left"/>
      <w:pPr>
        <w:ind w:left="1500" w:hanging="11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F487000"/>
    <w:multiLevelType w:val="hybridMultilevel"/>
    <w:tmpl w:val="D1508736"/>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10" w15:restartNumberingAfterBreak="0">
    <w:nsid w:val="11023BAD"/>
    <w:multiLevelType w:val="hybridMultilevel"/>
    <w:tmpl w:val="4830DBB8"/>
    <w:lvl w:ilvl="0" w:tplc="AEE29EB8">
      <w:start w:val="1"/>
      <w:numFmt w:val="bullet"/>
      <w:lvlText w:val="•"/>
      <w:lvlJc w:val="left"/>
      <w:pPr>
        <w:ind w:left="246" w:hanging="134"/>
      </w:pPr>
      <w:rPr>
        <w:rFonts w:ascii="Arial Unicode MS" w:eastAsia="Arial Unicode MS" w:hAnsi="Arial Unicode MS" w:hint="default"/>
        <w:w w:val="107"/>
        <w:sz w:val="21"/>
        <w:szCs w:val="21"/>
      </w:rPr>
    </w:lvl>
    <w:lvl w:ilvl="1" w:tplc="A89C032A">
      <w:start w:val="1"/>
      <w:numFmt w:val="bullet"/>
      <w:lvlText w:val="•"/>
      <w:lvlJc w:val="left"/>
      <w:pPr>
        <w:ind w:left="464" w:hanging="134"/>
      </w:pPr>
      <w:rPr>
        <w:rFonts w:hint="default"/>
      </w:rPr>
    </w:lvl>
    <w:lvl w:ilvl="2" w:tplc="AFB65F98">
      <w:start w:val="1"/>
      <w:numFmt w:val="bullet"/>
      <w:lvlText w:val="•"/>
      <w:lvlJc w:val="left"/>
      <w:pPr>
        <w:ind w:left="682" w:hanging="134"/>
      </w:pPr>
      <w:rPr>
        <w:rFonts w:hint="default"/>
      </w:rPr>
    </w:lvl>
    <w:lvl w:ilvl="3" w:tplc="A148FA04">
      <w:start w:val="1"/>
      <w:numFmt w:val="bullet"/>
      <w:lvlText w:val="•"/>
      <w:lvlJc w:val="left"/>
      <w:pPr>
        <w:ind w:left="900" w:hanging="134"/>
      </w:pPr>
      <w:rPr>
        <w:rFonts w:hint="default"/>
      </w:rPr>
    </w:lvl>
    <w:lvl w:ilvl="4" w:tplc="F490CA92">
      <w:start w:val="1"/>
      <w:numFmt w:val="bullet"/>
      <w:lvlText w:val="•"/>
      <w:lvlJc w:val="left"/>
      <w:pPr>
        <w:ind w:left="1118" w:hanging="134"/>
      </w:pPr>
      <w:rPr>
        <w:rFonts w:hint="default"/>
      </w:rPr>
    </w:lvl>
    <w:lvl w:ilvl="5" w:tplc="B9903E90">
      <w:start w:val="1"/>
      <w:numFmt w:val="bullet"/>
      <w:lvlText w:val="•"/>
      <w:lvlJc w:val="left"/>
      <w:pPr>
        <w:ind w:left="1336" w:hanging="134"/>
      </w:pPr>
      <w:rPr>
        <w:rFonts w:hint="default"/>
      </w:rPr>
    </w:lvl>
    <w:lvl w:ilvl="6" w:tplc="811ED8BC">
      <w:start w:val="1"/>
      <w:numFmt w:val="bullet"/>
      <w:lvlText w:val="•"/>
      <w:lvlJc w:val="left"/>
      <w:pPr>
        <w:ind w:left="1554" w:hanging="134"/>
      </w:pPr>
      <w:rPr>
        <w:rFonts w:hint="default"/>
      </w:rPr>
    </w:lvl>
    <w:lvl w:ilvl="7" w:tplc="20BC151E">
      <w:start w:val="1"/>
      <w:numFmt w:val="bullet"/>
      <w:lvlText w:val="•"/>
      <w:lvlJc w:val="left"/>
      <w:pPr>
        <w:ind w:left="1771" w:hanging="134"/>
      </w:pPr>
      <w:rPr>
        <w:rFonts w:hint="default"/>
      </w:rPr>
    </w:lvl>
    <w:lvl w:ilvl="8" w:tplc="80AA897C">
      <w:start w:val="1"/>
      <w:numFmt w:val="bullet"/>
      <w:lvlText w:val="•"/>
      <w:lvlJc w:val="left"/>
      <w:pPr>
        <w:ind w:left="1989" w:hanging="134"/>
      </w:pPr>
      <w:rPr>
        <w:rFonts w:hint="default"/>
      </w:rPr>
    </w:lvl>
  </w:abstractNum>
  <w:abstractNum w:abstractNumId="11" w15:restartNumberingAfterBreak="0">
    <w:nsid w:val="1915754A"/>
    <w:multiLevelType w:val="hybridMultilevel"/>
    <w:tmpl w:val="BE16CB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A6C6694"/>
    <w:multiLevelType w:val="hybridMultilevel"/>
    <w:tmpl w:val="27DA59F2"/>
    <w:lvl w:ilvl="0" w:tplc="F6EEA218">
      <w:start w:val="1"/>
      <w:numFmt w:val="bullet"/>
      <w:lvlText w:val="•"/>
      <w:lvlJc w:val="left"/>
      <w:pPr>
        <w:ind w:left="559" w:hanging="134"/>
      </w:pPr>
      <w:rPr>
        <w:rFonts w:ascii="Lucida Sans Unicode" w:eastAsia="Lucida Sans Unicode" w:hAnsi="Lucida Sans Unicode" w:hint="default"/>
        <w:w w:val="59"/>
        <w:sz w:val="21"/>
        <w:szCs w:val="21"/>
      </w:rPr>
    </w:lvl>
    <w:lvl w:ilvl="1" w:tplc="002E3EAE">
      <w:start w:val="1"/>
      <w:numFmt w:val="bullet"/>
      <w:lvlText w:val="•"/>
      <w:lvlJc w:val="left"/>
      <w:pPr>
        <w:ind w:left="808" w:hanging="134"/>
      </w:pPr>
      <w:rPr>
        <w:rFonts w:hint="default"/>
      </w:rPr>
    </w:lvl>
    <w:lvl w:ilvl="2" w:tplc="2D64B7B0">
      <w:start w:val="1"/>
      <w:numFmt w:val="bullet"/>
      <w:lvlText w:val="•"/>
      <w:lvlJc w:val="left"/>
      <w:pPr>
        <w:ind w:left="1057" w:hanging="134"/>
      </w:pPr>
      <w:rPr>
        <w:rFonts w:hint="default"/>
      </w:rPr>
    </w:lvl>
    <w:lvl w:ilvl="3" w:tplc="82F22056">
      <w:start w:val="1"/>
      <w:numFmt w:val="bullet"/>
      <w:lvlText w:val="•"/>
      <w:lvlJc w:val="left"/>
      <w:pPr>
        <w:ind w:left="1306" w:hanging="134"/>
      </w:pPr>
      <w:rPr>
        <w:rFonts w:hint="default"/>
      </w:rPr>
    </w:lvl>
    <w:lvl w:ilvl="4" w:tplc="D920647A">
      <w:start w:val="1"/>
      <w:numFmt w:val="bullet"/>
      <w:lvlText w:val="•"/>
      <w:lvlJc w:val="left"/>
      <w:pPr>
        <w:ind w:left="1556" w:hanging="134"/>
      </w:pPr>
      <w:rPr>
        <w:rFonts w:hint="default"/>
      </w:rPr>
    </w:lvl>
    <w:lvl w:ilvl="5" w:tplc="24E6088C">
      <w:start w:val="1"/>
      <w:numFmt w:val="bullet"/>
      <w:lvlText w:val="•"/>
      <w:lvlJc w:val="left"/>
      <w:pPr>
        <w:ind w:left="1805" w:hanging="134"/>
      </w:pPr>
      <w:rPr>
        <w:rFonts w:hint="default"/>
      </w:rPr>
    </w:lvl>
    <w:lvl w:ilvl="6" w:tplc="273217BC">
      <w:start w:val="1"/>
      <w:numFmt w:val="bullet"/>
      <w:lvlText w:val="•"/>
      <w:lvlJc w:val="left"/>
      <w:pPr>
        <w:ind w:left="2054" w:hanging="134"/>
      </w:pPr>
      <w:rPr>
        <w:rFonts w:hint="default"/>
      </w:rPr>
    </w:lvl>
    <w:lvl w:ilvl="7" w:tplc="FCFE4A4A">
      <w:start w:val="1"/>
      <w:numFmt w:val="bullet"/>
      <w:lvlText w:val="•"/>
      <w:lvlJc w:val="left"/>
      <w:pPr>
        <w:ind w:left="2303" w:hanging="134"/>
      </w:pPr>
      <w:rPr>
        <w:rFonts w:hint="default"/>
      </w:rPr>
    </w:lvl>
    <w:lvl w:ilvl="8" w:tplc="47085256">
      <w:start w:val="1"/>
      <w:numFmt w:val="bullet"/>
      <w:lvlText w:val="•"/>
      <w:lvlJc w:val="left"/>
      <w:pPr>
        <w:ind w:left="2552" w:hanging="134"/>
      </w:pPr>
      <w:rPr>
        <w:rFonts w:hint="default"/>
      </w:rPr>
    </w:lvl>
  </w:abstractNum>
  <w:abstractNum w:abstractNumId="13" w15:restartNumberingAfterBreak="0">
    <w:nsid w:val="1AD22446"/>
    <w:multiLevelType w:val="hybridMultilevel"/>
    <w:tmpl w:val="82B031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BF65D06"/>
    <w:multiLevelType w:val="hybridMultilevel"/>
    <w:tmpl w:val="0C0C9346"/>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5" w15:restartNumberingAfterBreak="0">
    <w:nsid w:val="1E2C3CC1"/>
    <w:multiLevelType w:val="hybridMultilevel"/>
    <w:tmpl w:val="EEF8345E"/>
    <w:lvl w:ilvl="0" w:tplc="5B960B98">
      <w:start w:val="1"/>
      <w:numFmt w:val="bullet"/>
      <w:lvlText w:val="•"/>
      <w:lvlJc w:val="left"/>
      <w:pPr>
        <w:ind w:left="1984" w:hanging="284"/>
      </w:pPr>
      <w:rPr>
        <w:rFonts w:ascii="Lucida Sans Unicode" w:eastAsia="Lucida Sans Unicode" w:hAnsi="Lucida Sans Unicode" w:hint="default"/>
        <w:w w:val="59"/>
        <w:sz w:val="21"/>
        <w:szCs w:val="21"/>
      </w:rPr>
    </w:lvl>
    <w:lvl w:ilvl="1" w:tplc="3A3EAE6C">
      <w:start w:val="1"/>
      <w:numFmt w:val="bullet"/>
      <w:lvlText w:val="•"/>
      <w:lvlJc w:val="left"/>
      <w:pPr>
        <w:ind w:left="2808" w:hanging="284"/>
      </w:pPr>
      <w:rPr>
        <w:rFonts w:hint="default"/>
      </w:rPr>
    </w:lvl>
    <w:lvl w:ilvl="2" w:tplc="0E4E143C">
      <w:start w:val="1"/>
      <w:numFmt w:val="bullet"/>
      <w:lvlText w:val="•"/>
      <w:lvlJc w:val="left"/>
      <w:pPr>
        <w:ind w:left="3632" w:hanging="284"/>
      </w:pPr>
      <w:rPr>
        <w:rFonts w:hint="default"/>
      </w:rPr>
    </w:lvl>
    <w:lvl w:ilvl="3" w:tplc="B79A0BDC">
      <w:start w:val="1"/>
      <w:numFmt w:val="bullet"/>
      <w:lvlText w:val="•"/>
      <w:lvlJc w:val="left"/>
      <w:pPr>
        <w:ind w:left="4456" w:hanging="284"/>
      </w:pPr>
      <w:rPr>
        <w:rFonts w:hint="default"/>
      </w:rPr>
    </w:lvl>
    <w:lvl w:ilvl="4" w:tplc="53B018D4">
      <w:start w:val="1"/>
      <w:numFmt w:val="bullet"/>
      <w:lvlText w:val="•"/>
      <w:lvlJc w:val="left"/>
      <w:pPr>
        <w:ind w:left="5280" w:hanging="284"/>
      </w:pPr>
      <w:rPr>
        <w:rFonts w:hint="default"/>
      </w:rPr>
    </w:lvl>
    <w:lvl w:ilvl="5" w:tplc="E0EC6604">
      <w:start w:val="1"/>
      <w:numFmt w:val="bullet"/>
      <w:lvlText w:val="•"/>
      <w:lvlJc w:val="left"/>
      <w:pPr>
        <w:ind w:left="6104" w:hanging="284"/>
      </w:pPr>
      <w:rPr>
        <w:rFonts w:hint="default"/>
      </w:rPr>
    </w:lvl>
    <w:lvl w:ilvl="6" w:tplc="400A10A6">
      <w:start w:val="1"/>
      <w:numFmt w:val="bullet"/>
      <w:lvlText w:val="•"/>
      <w:lvlJc w:val="left"/>
      <w:pPr>
        <w:ind w:left="6929" w:hanging="284"/>
      </w:pPr>
      <w:rPr>
        <w:rFonts w:hint="default"/>
      </w:rPr>
    </w:lvl>
    <w:lvl w:ilvl="7" w:tplc="153C0546">
      <w:start w:val="1"/>
      <w:numFmt w:val="bullet"/>
      <w:lvlText w:val="•"/>
      <w:lvlJc w:val="left"/>
      <w:pPr>
        <w:ind w:left="7753" w:hanging="284"/>
      </w:pPr>
      <w:rPr>
        <w:rFonts w:hint="default"/>
      </w:rPr>
    </w:lvl>
    <w:lvl w:ilvl="8" w:tplc="90B4C0C6">
      <w:start w:val="1"/>
      <w:numFmt w:val="bullet"/>
      <w:lvlText w:val="•"/>
      <w:lvlJc w:val="left"/>
      <w:pPr>
        <w:ind w:left="8577" w:hanging="284"/>
      </w:pPr>
      <w:rPr>
        <w:rFonts w:hint="default"/>
      </w:rPr>
    </w:lvl>
  </w:abstractNum>
  <w:abstractNum w:abstractNumId="16" w15:restartNumberingAfterBreak="0">
    <w:nsid w:val="23DC7796"/>
    <w:multiLevelType w:val="multilevel"/>
    <w:tmpl w:val="38243F0A"/>
    <w:lvl w:ilvl="0">
      <w:start w:val="1"/>
      <w:numFmt w:val="decimal"/>
      <w:pStyle w:val="Number"/>
      <w:lvlText w:val="%1."/>
      <w:lvlJc w:val="left"/>
      <w:pPr>
        <w:ind w:left="567" w:hanging="567"/>
      </w:pPr>
      <w:rPr>
        <w:rFonts w:hint="default"/>
      </w:rPr>
    </w:lvl>
    <w:lvl w:ilvl="1">
      <w:start w:val="1"/>
      <w:numFmt w:val="lowerLetter"/>
      <w:pStyle w:val="Letter"/>
      <w:lvlText w:val="%2)"/>
      <w:lvlJc w:val="left"/>
      <w:pPr>
        <w:ind w:left="1134" w:hanging="567"/>
      </w:pPr>
      <w:rPr>
        <w:rFonts w:hint="default"/>
      </w:rPr>
    </w:lvl>
    <w:lvl w:ilvl="2">
      <w:start w:val="1"/>
      <w:numFmt w:val="lowerRoman"/>
      <w:pStyle w:val="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6B82D6F"/>
    <w:multiLevelType w:val="hybridMultilevel"/>
    <w:tmpl w:val="6C186060"/>
    <w:lvl w:ilvl="0" w:tplc="C15451FC">
      <w:start w:val="1"/>
      <w:numFmt w:val="bullet"/>
      <w:lvlText w:val="•"/>
      <w:lvlJc w:val="left"/>
      <w:pPr>
        <w:ind w:left="2267" w:hanging="284"/>
      </w:pPr>
      <w:rPr>
        <w:rFonts w:ascii="Lucida Sans Unicode" w:eastAsia="Lucida Sans Unicode" w:hAnsi="Lucida Sans Unicode" w:hint="default"/>
        <w:w w:val="59"/>
        <w:sz w:val="21"/>
        <w:szCs w:val="21"/>
      </w:rPr>
    </w:lvl>
    <w:lvl w:ilvl="1" w:tplc="C2804FC4">
      <w:start w:val="1"/>
      <w:numFmt w:val="bullet"/>
      <w:lvlText w:val="•"/>
      <w:lvlJc w:val="left"/>
      <w:pPr>
        <w:ind w:left="3231" w:hanging="284"/>
      </w:pPr>
      <w:rPr>
        <w:rFonts w:hint="default"/>
      </w:rPr>
    </w:lvl>
    <w:lvl w:ilvl="2" w:tplc="7B56FBF2">
      <w:start w:val="1"/>
      <w:numFmt w:val="bullet"/>
      <w:lvlText w:val="•"/>
      <w:lvlJc w:val="left"/>
      <w:pPr>
        <w:ind w:left="4195" w:hanging="284"/>
      </w:pPr>
      <w:rPr>
        <w:rFonts w:hint="default"/>
      </w:rPr>
    </w:lvl>
    <w:lvl w:ilvl="3" w:tplc="FF5C1366">
      <w:start w:val="1"/>
      <w:numFmt w:val="bullet"/>
      <w:lvlText w:val="•"/>
      <w:lvlJc w:val="left"/>
      <w:pPr>
        <w:ind w:left="5159" w:hanging="284"/>
      </w:pPr>
      <w:rPr>
        <w:rFonts w:hint="default"/>
      </w:rPr>
    </w:lvl>
    <w:lvl w:ilvl="4" w:tplc="B2CA8238">
      <w:start w:val="1"/>
      <w:numFmt w:val="bullet"/>
      <w:lvlText w:val="•"/>
      <w:lvlJc w:val="left"/>
      <w:pPr>
        <w:ind w:left="6122" w:hanging="284"/>
      </w:pPr>
      <w:rPr>
        <w:rFonts w:hint="default"/>
      </w:rPr>
    </w:lvl>
    <w:lvl w:ilvl="5" w:tplc="3378E1CC">
      <w:start w:val="1"/>
      <w:numFmt w:val="bullet"/>
      <w:lvlText w:val="•"/>
      <w:lvlJc w:val="left"/>
      <w:pPr>
        <w:ind w:left="7086" w:hanging="284"/>
      </w:pPr>
      <w:rPr>
        <w:rFonts w:hint="default"/>
      </w:rPr>
    </w:lvl>
    <w:lvl w:ilvl="6" w:tplc="DDFA6B44">
      <w:start w:val="1"/>
      <w:numFmt w:val="bullet"/>
      <w:lvlText w:val="•"/>
      <w:lvlJc w:val="left"/>
      <w:pPr>
        <w:ind w:left="8050" w:hanging="284"/>
      </w:pPr>
      <w:rPr>
        <w:rFonts w:hint="default"/>
      </w:rPr>
    </w:lvl>
    <w:lvl w:ilvl="7" w:tplc="7CA08396">
      <w:start w:val="1"/>
      <w:numFmt w:val="bullet"/>
      <w:lvlText w:val="•"/>
      <w:lvlJc w:val="left"/>
      <w:pPr>
        <w:ind w:left="9014" w:hanging="284"/>
      </w:pPr>
      <w:rPr>
        <w:rFonts w:hint="default"/>
      </w:rPr>
    </w:lvl>
    <w:lvl w:ilvl="8" w:tplc="A386EF5E">
      <w:start w:val="1"/>
      <w:numFmt w:val="bullet"/>
      <w:lvlText w:val="•"/>
      <w:lvlJc w:val="left"/>
      <w:pPr>
        <w:ind w:left="9977" w:hanging="284"/>
      </w:pPr>
      <w:rPr>
        <w:rFonts w:hint="default"/>
      </w:rPr>
    </w:lvl>
  </w:abstractNum>
  <w:abstractNum w:abstractNumId="18" w15:restartNumberingAfterBreak="0">
    <w:nsid w:val="27285840"/>
    <w:multiLevelType w:val="hybridMultilevel"/>
    <w:tmpl w:val="BD8E7C4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28F57520"/>
    <w:multiLevelType w:val="singleLevel"/>
    <w:tmpl w:val="F3FE0FEA"/>
    <w:lvl w:ilvl="0">
      <w:start w:val="1"/>
      <w:numFmt w:val="bullet"/>
      <w:lvlText w:val="–"/>
      <w:lvlJc w:val="left"/>
      <w:pPr>
        <w:tabs>
          <w:tab w:val="num" w:pos="644"/>
        </w:tabs>
        <w:ind w:left="567" w:hanging="283"/>
      </w:pPr>
      <w:rPr>
        <w:rFonts w:ascii="Times New Roman" w:hAnsi="Times New Roman" w:hint="default"/>
        <w:sz w:val="20"/>
      </w:rPr>
    </w:lvl>
  </w:abstractNum>
  <w:abstractNum w:abstractNumId="20" w15:restartNumberingAfterBreak="0">
    <w:nsid w:val="2D94347D"/>
    <w:multiLevelType w:val="hybridMultilevel"/>
    <w:tmpl w:val="CDC0E688"/>
    <w:lvl w:ilvl="0" w:tplc="AAE49842">
      <w:start w:val="1"/>
      <w:numFmt w:val="bullet"/>
      <w:lvlText w:val="•"/>
      <w:lvlJc w:val="left"/>
      <w:pPr>
        <w:ind w:left="1984" w:hanging="284"/>
      </w:pPr>
      <w:rPr>
        <w:rFonts w:ascii="Lucida Sans Unicode" w:eastAsia="Lucida Sans Unicode" w:hAnsi="Lucida Sans Unicode" w:hint="default"/>
        <w:w w:val="59"/>
        <w:sz w:val="21"/>
        <w:szCs w:val="21"/>
      </w:rPr>
    </w:lvl>
    <w:lvl w:ilvl="1" w:tplc="A3103622">
      <w:start w:val="1"/>
      <w:numFmt w:val="bullet"/>
      <w:lvlText w:val="•"/>
      <w:lvlJc w:val="left"/>
      <w:pPr>
        <w:ind w:left="2808" w:hanging="284"/>
      </w:pPr>
      <w:rPr>
        <w:rFonts w:hint="default"/>
      </w:rPr>
    </w:lvl>
    <w:lvl w:ilvl="2" w:tplc="2CC6F326">
      <w:start w:val="1"/>
      <w:numFmt w:val="bullet"/>
      <w:lvlText w:val="•"/>
      <w:lvlJc w:val="left"/>
      <w:pPr>
        <w:ind w:left="3632" w:hanging="284"/>
      </w:pPr>
      <w:rPr>
        <w:rFonts w:hint="default"/>
      </w:rPr>
    </w:lvl>
    <w:lvl w:ilvl="3" w:tplc="C026F318">
      <w:start w:val="1"/>
      <w:numFmt w:val="bullet"/>
      <w:lvlText w:val="•"/>
      <w:lvlJc w:val="left"/>
      <w:pPr>
        <w:ind w:left="4456" w:hanging="284"/>
      </w:pPr>
      <w:rPr>
        <w:rFonts w:hint="default"/>
      </w:rPr>
    </w:lvl>
    <w:lvl w:ilvl="4" w:tplc="8E1C6BD0">
      <w:start w:val="1"/>
      <w:numFmt w:val="bullet"/>
      <w:lvlText w:val="•"/>
      <w:lvlJc w:val="left"/>
      <w:pPr>
        <w:ind w:left="5280" w:hanging="284"/>
      </w:pPr>
      <w:rPr>
        <w:rFonts w:hint="default"/>
      </w:rPr>
    </w:lvl>
    <w:lvl w:ilvl="5" w:tplc="96EA3796">
      <w:start w:val="1"/>
      <w:numFmt w:val="bullet"/>
      <w:lvlText w:val="•"/>
      <w:lvlJc w:val="left"/>
      <w:pPr>
        <w:ind w:left="6104" w:hanging="284"/>
      </w:pPr>
      <w:rPr>
        <w:rFonts w:hint="default"/>
      </w:rPr>
    </w:lvl>
    <w:lvl w:ilvl="6" w:tplc="DF52DE2A">
      <w:start w:val="1"/>
      <w:numFmt w:val="bullet"/>
      <w:lvlText w:val="•"/>
      <w:lvlJc w:val="left"/>
      <w:pPr>
        <w:ind w:left="6929" w:hanging="284"/>
      </w:pPr>
      <w:rPr>
        <w:rFonts w:hint="default"/>
      </w:rPr>
    </w:lvl>
    <w:lvl w:ilvl="7" w:tplc="7D3E5354">
      <w:start w:val="1"/>
      <w:numFmt w:val="bullet"/>
      <w:lvlText w:val="•"/>
      <w:lvlJc w:val="left"/>
      <w:pPr>
        <w:ind w:left="7753" w:hanging="284"/>
      </w:pPr>
      <w:rPr>
        <w:rFonts w:hint="default"/>
      </w:rPr>
    </w:lvl>
    <w:lvl w:ilvl="8" w:tplc="0FE8A7AA">
      <w:start w:val="1"/>
      <w:numFmt w:val="bullet"/>
      <w:lvlText w:val="•"/>
      <w:lvlJc w:val="left"/>
      <w:pPr>
        <w:ind w:left="8577" w:hanging="284"/>
      </w:pPr>
      <w:rPr>
        <w:rFonts w:hint="default"/>
      </w:rPr>
    </w:lvl>
  </w:abstractNum>
  <w:abstractNum w:abstractNumId="21" w15:restartNumberingAfterBreak="0">
    <w:nsid w:val="31430E4A"/>
    <w:multiLevelType w:val="hybridMultilevel"/>
    <w:tmpl w:val="C4BE4BD4"/>
    <w:lvl w:ilvl="0" w:tplc="54ACCB78">
      <w:start w:val="1"/>
      <w:numFmt w:val="bullet"/>
      <w:lvlText w:val="•"/>
      <w:lvlJc w:val="left"/>
      <w:pPr>
        <w:ind w:left="623" w:hanging="284"/>
      </w:pPr>
      <w:rPr>
        <w:rFonts w:ascii="Arial Unicode MS" w:eastAsia="Arial Unicode MS" w:hAnsi="Arial Unicode MS" w:hint="default"/>
        <w:color w:val="FFFFFF"/>
        <w:w w:val="107"/>
        <w:sz w:val="21"/>
        <w:szCs w:val="21"/>
      </w:rPr>
    </w:lvl>
    <w:lvl w:ilvl="1" w:tplc="6EE81F12">
      <w:start w:val="1"/>
      <w:numFmt w:val="bullet"/>
      <w:lvlText w:val="•"/>
      <w:lvlJc w:val="left"/>
      <w:pPr>
        <w:ind w:left="926" w:hanging="284"/>
      </w:pPr>
      <w:rPr>
        <w:rFonts w:hint="default"/>
      </w:rPr>
    </w:lvl>
    <w:lvl w:ilvl="2" w:tplc="3D880680">
      <w:start w:val="1"/>
      <w:numFmt w:val="bullet"/>
      <w:lvlText w:val="•"/>
      <w:lvlJc w:val="left"/>
      <w:pPr>
        <w:ind w:left="1230" w:hanging="284"/>
      </w:pPr>
      <w:rPr>
        <w:rFonts w:hint="default"/>
      </w:rPr>
    </w:lvl>
    <w:lvl w:ilvl="3" w:tplc="B010C610">
      <w:start w:val="1"/>
      <w:numFmt w:val="bullet"/>
      <w:lvlText w:val="•"/>
      <w:lvlJc w:val="left"/>
      <w:pPr>
        <w:ind w:left="1533" w:hanging="284"/>
      </w:pPr>
      <w:rPr>
        <w:rFonts w:hint="default"/>
      </w:rPr>
    </w:lvl>
    <w:lvl w:ilvl="4" w:tplc="E6120074">
      <w:start w:val="1"/>
      <w:numFmt w:val="bullet"/>
      <w:lvlText w:val="•"/>
      <w:lvlJc w:val="left"/>
      <w:pPr>
        <w:ind w:left="1836" w:hanging="284"/>
      </w:pPr>
      <w:rPr>
        <w:rFonts w:hint="default"/>
      </w:rPr>
    </w:lvl>
    <w:lvl w:ilvl="5" w:tplc="CBC8627C">
      <w:start w:val="1"/>
      <w:numFmt w:val="bullet"/>
      <w:lvlText w:val="•"/>
      <w:lvlJc w:val="left"/>
      <w:pPr>
        <w:ind w:left="2140" w:hanging="284"/>
      </w:pPr>
      <w:rPr>
        <w:rFonts w:hint="default"/>
      </w:rPr>
    </w:lvl>
    <w:lvl w:ilvl="6" w:tplc="B9380D56">
      <w:start w:val="1"/>
      <w:numFmt w:val="bullet"/>
      <w:lvlText w:val="•"/>
      <w:lvlJc w:val="left"/>
      <w:pPr>
        <w:ind w:left="2443" w:hanging="284"/>
      </w:pPr>
      <w:rPr>
        <w:rFonts w:hint="default"/>
      </w:rPr>
    </w:lvl>
    <w:lvl w:ilvl="7" w:tplc="21BEC842">
      <w:start w:val="1"/>
      <w:numFmt w:val="bullet"/>
      <w:lvlText w:val="•"/>
      <w:lvlJc w:val="left"/>
      <w:pPr>
        <w:ind w:left="2746" w:hanging="284"/>
      </w:pPr>
      <w:rPr>
        <w:rFonts w:hint="default"/>
      </w:rPr>
    </w:lvl>
    <w:lvl w:ilvl="8" w:tplc="43B03AC2">
      <w:start w:val="1"/>
      <w:numFmt w:val="bullet"/>
      <w:lvlText w:val="•"/>
      <w:lvlJc w:val="left"/>
      <w:pPr>
        <w:ind w:left="3050" w:hanging="284"/>
      </w:pPr>
      <w:rPr>
        <w:rFonts w:hint="default"/>
      </w:rPr>
    </w:lvl>
  </w:abstractNum>
  <w:abstractNum w:abstractNumId="22"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FB4939"/>
    <w:multiLevelType w:val="hybridMultilevel"/>
    <w:tmpl w:val="B560C9E0"/>
    <w:lvl w:ilvl="0" w:tplc="5358D1F4">
      <w:start w:val="1"/>
      <w:numFmt w:val="bullet"/>
      <w:lvlText w:val="–"/>
      <w:lvlJc w:val="left"/>
      <w:pPr>
        <w:ind w:left="701" w:hanging="284"/>
      </w:pPr>
      <w:rPr>
        <w:rFonts w:ascii="Arial Black" w:eastAsia="Arial Black" w:hAnsi="Arial Black" w:hint="default"/>
        <w:b/>
        <w:bCs/>
        <w:sz w:val="21"/>
        <w:szCs w:val="21"/>
      </w:rPr>
    </w:lvl>
    <w:lvl w:ilvl="1" w:tplc="2D0A247C">
      <w:start w:val="1"/>
      <w:numFmt w:val="bullet"/>
      <w:lvlText w:val="•"/>
      <w:lvlJc w:val="left"/>
      <w:pPr>
        <w:ind w:left="1149" w:hanging="284"/>
      </w:pPr>
      <w:rPr>
        <w:rFonts w:hint="default"/>
      </w:rPr>
    </w:lvl>
    <w:lvl w:ilvl="2" w:tplc="014E8A48">
      <w:start w:val="1"/>
      <w:numFmt w:val="bullet"/>
      <w:lvlText w:val="•"/>
      <w:lvlJc w:val="left"/>
      <w:pPr>
        <w:ind w:left="1596" w:hanging="284"/>
      </w:pPr>
      <w:rPr>
        <w:rFonts w:hint="default"/>
      </w:rPr>
    </w:lvl>
    <w:lvl w:ilvl="3" w:tplc="62E68792">
      <w:start w:val="1"/>
      <w:numFmt w:val="bullet"/>
      <w:lvlText w:val="•"/>
      <w:lvlJc w:val="left"/>
      <w:pPr>
        <w:ind w:left="2044" w:hanging="284"/>
      </w:pPr>
      <w:rPr>
        <w:rFonts w:hint="default"/>
      </w:rPr>
    </w:lvl>
    <w:lvl w:ilvl="4" w:tplc="6BC03800">
      <w:start w:val="1"/>
      <w:numFmt w:val="bullet"/>
      <w:lvlText w:val="•"/>
      <w:lvlJc w:val="left"/>
      <w:pPr>
        <w:ind w:left="2492" w:hanging="284"/>
      </w:pPr>
      <w:rPr>
        <w:rFonts w:hint="default"/>
      </w:rPr>
    </w:lvl>
    <w:lvl w:ilvl="5" w:tplc="D62CF1AE">
      <w:start w:val="1"/>
      <w:numFmt w:val="bullet"/>
      <w:lvlText w:val="•"/>
      <w:lvlJc w:val="left"/>
      <w:pPr>
        <w:ind w:left="2940" w:hanging="284"/>
      </w:pPr>
      <w:rPr>
        <w:rFonts w:hint="default"/>
      </w:rPr>
    </w:lvl>
    <w:lvl w:ilvl="6" w:tplc="4AF656FE">
      <w:start w:val="1"/>
      <w:numFmt w:val="bullet"/>
      <w:lvlText w:val="•"/>
      <w:lvlJc w:val="left"/>
      <w:pPr>
        <w:ind w:left="3388" w:hanging="284"/>
      </w:pPr>
      <w:rPr>
        <w:rFonts w:hint="default"/>
      </w:rPr>
    </w:lvl>
    <w:lvl w:ilvl="7" w:tplc="B11C28E0">
      <w:start w:val="1"/>
      <w:numFmt w:val="bullet"/>
      <w:lvlText w:val="•"/>
      <w:lvlJc w:val="left"/>
      <w:pPr>
        <w:ind w:left="3836" w:hanging="284"/>
      </w:pPr>
      <w:rPr>
        <w:rFonts w:hint="default"/>
      </w:rPr>
    </w:lvl>
    <w:lvl w:ilvl="8" w:tplc="A2F2C1E6">
      <w:start w:val="1"/>
      <w:numFmt w:val="bullet"/>
      <w:lvlText w:val="•"/>
      <w:lvlJc w:val="left"/>
      <w:pPr>
        <w:ind w:left="4284" w:hanging="284"/>
      </w:pPr>
      <w:rPr>
        <w:rFonts w:hint="default"/>
      </w:rPr>
    </w:lvl>
  </w:abstractNum>
  <w:abstractNum w:abstractNumId="25" w15:restartNumberingAfterBreak="0">
    <w:nsid w:val="4D6856C8"/>
    <w:multiLevelType w:val="hybridMultilevel"/>
    <w:tmpl w:val="0338F8C0"/>
    <w:lvl w:ilvl="0" w:tplc="73FE36DE">
      <w:start w:val="1"/>
      <w:numFmt w:val="bullet"/>
      <w:lvlText w:val="•"/>
      <w:lvlJc w:val="left"/>
      <w:pPr>
        <w:ind w:left="245" w:hanging="134"/>
      </w:pPr>
      <w:rPr>
        <w:rFonts w:ascii="Arial Unicode MS" w:eastAsia="Arial Unicode MS" w:hAnsi="Arial Unicode MS" w:hint="default"/>
        <w:w w:val="107"/>
        <w:sz w:val="21"/>
        <w:szCs w:val="21"/>
      </w:rPr>
    </w:lvl>
    <w:lvl w:ilvl="1" w:tplc="3F32CFCA">
      <w:start w:val="1"/>
      <w:numFmt w:val="bullet"/>
      <w:lvlText w:val="•"/>
      <w:lvlJc w:val="left"/>
      <w:pPr>
        <w:ind w:left="494" w:hanging="134"/>
      </w:pPr>
      <w:rPr>
        <w:rFonts w:hint="default"/>
      </w:rPr>
    </w:lvl>
    <w:lvl w:ilvl="2" w:tplc="025CEB60">
      <w:start w:val="1"/>
      <w:numFmt w:val="bullet"/>
      <w:lvlText w:val="•"/>
      <w:lvlJc w:val="left"/>
      <w:pPr>
        <w:ind w:left="743" w:hanging="134"/>
      </w:pPr>
      <w:rPr>
        <w:rFonts w:hint="default"/>
      </w:rPr>
    </w:lvl>
    <w:lvl w:ilvl="3" w:tplc="5E0EC12A">
      <w:start w:val="1"/>
      <w:numFmt w:val="bullet"/>
      <w:lvlText w:val="•"/>
      <w:lvlJc w:val="left"/>
      <w:pPr>
        <w:ind w:left="993" w:hanging="134"/>
      </w:pPr>
      <w:rPr>
        <w:rFonts w:hint="default"/>
      </w:rPr>
    </w:lvl>
    <w:lvl w:ilvl="4" w:tplc="E8B04864">
      <w:start w:val="1"/>
      <w:numFmt w:val="bullet"/>
      <w:lvlText w:val="•"/>
      <w:lvlJc w:val="left"/>
      <w:pPr>
        <w:ind w:left="1242" w:hanging="134"/>
      </w:pPr>
      <w:rPr>
        <w:rFonts w:hint="default"/>
      </w:rPr>
    </w:lvl>
    <w:lvl w:ilvl="5" w:tplc="7EF0585E">
      <w:start w:val="1"/>
      <w:numFmt w:val="bullet"/>
      <w:lvlText w:val="•"/>
      <w:lvlJc w:val="left"/>
      <w:pPr>
        <w:ind w:left="1491" w:hanging="134"/>
      </w:pPr>
      <w:rPr>
        <w:rFonts w:hint="default"/>
      </w:rPr>
    </w:lvl>
    <w:lvl w:ilvl="6" w:tplc="7EC6F446">
      <w:start w:val="1"/>
      <w:numFmt w:val="bullet"/>
      <w:lvlText w:val="•"/>
      <w:lvlJc w:val="left"/>
      <w:pPr>
        <w:ind w:left="1740" w:hanging="134"/>
      </w:pPr>
      <w:rPr>
        <w:rFonts w:hint="default"/>
      </w:rPr>
    </w:lvl>
    <w:lvl w:ilvl="7" w:tplc="B4E0707E">
      <w:start w:val="1"/>
      <w:numFmt w:val="bullet"/>
      <w:lvlText w:val="•"/>
      <w:lvlJc w:val="left"/>
      <w:pPr>
        <w:ind w:left="1989" w:hanging="134"/>
      </w:pPr>
      <w:rPr>
        <w:rFonts w:hint="default"/>
      </w:rPr>
    </w:lvl>
    <w:lvl w:ilvl="8" w:tplc="30DCDC0C">
      <w:start w:val="1"/>
      <w:numFmt w:val="bullet"/>
      <w:lvlText w:val="•"/>
      <w:lvlJc w:val="left"/>
      <w:pPr>
        <w:ind w:left="2239" w:hanging="134"/>
      </w:pPr>
      <w:rPr>
        <w:rFonts w:hint="default"/>
      </w:rPr>
    </w:lvl>
  </w:abstractNum>
  <w:abstractNum w:abstractNumId="26" w15:restartNumberingAfterBreak="0">
    <w:nsid w:val="59206C51"/>
    <w:multiLevelType w:val="hybridMultilevel"/>
    <w:tmpl w:val="7EF29962"/>
    <w:lvl w:ilvl="0" w:tplc="14090001">
      <w:start w:val="1"/>
      <w:numFmt w:val="bullet"/>
      <w:lvlText w:val=""/>
      <w:lvlJc w:val="left"/>
      <w:pPr>
        <w:ind w:left="749" w:hanging="360"/>
      </w:pPr>
      <w:rPr>
        <w:rFonts w:ascii="Symbol" w:hAnsi="Symbol" w:hint="default"/>
      </w:rPr>
    </w:lvl>
    <w:lvl w:ilvl="1" w:tplc="14090003" w:tentative="1">
      <w:start w:val="1"/>
      <w:numFmt w:val="bullet"/>
      <w:lvlText w:val="o"/>
      <w:lvlJc w:val="left"/>
      <w:pPr>
        <w:ind w:left="1469" w:hanging="360"/>
      </w:pPr>
      <w:rPr>
        <w:rFonts w:ascii="Courier New" w:hAnsi="Courier New" w:cs="Courier New" w:hint="default"/>
      </w:rPr>
    </w:lvl>
    <w:lvl w:ilvl="2" w:tplc="14090005" w:tentative="1">
      <w:start w:val="1"/>
      <w:numFmt w:val="bullet"/>
      <w:lvlText w:val=""/>
      <w:lvlJc w:val="left"/>
      <w:pPr>
        <w:ind w:left="2189" w:hanging="360"/>
      </w:pPr>
      <w:rPr>
        <w:rFonts w:ascii="Wingdings" w:hAnsi="Wingdings" w:hint="default"/>
      </w:rPr>
    </w:lvl>
    <w:lvl w:ilvl="3" w:tplc="14090001" w:tentative="1">
      <w:start w:val="1"/>
      <w:numFmt w:val="bullet"/>
      <w:lvlText w:val=""/>
      <w:lvlJc w:val="left"/>
      <w:pPr>
        <w:ind w:left="2909" w:hanging="360"/>
      </w:pPr>
      <w:rPr>
        <w:rFonts w:ascii="Symbol" w:hAnsi="Symbol" w:hint="default"/>
      </w:rPr>
    </w:lvl>
    <w:lvl w:ilvl="4" w:tplc="14090003" w:tentative="1">
      <w:start w:val="1"/>
      <w:numFmt w:val="bullet"/>
      <w:lvlText w:val="o"/>
      <w:lvlJc w:val="left"/>
      <w:pPr>
        <w:ind w:left="3629" w:hanging="360"/>
      </w:pPr>
      <w:rPr>
        <w:rFonts w:ascii="Courier New" w:hAnsi="Courier New" w:cs="Courier New" w:hint="default"/>
      </w:rPr>
    </w:lvl>
    <w:lvl w:ilvl="5" w:tplc="14090005" w:tentative="1">
      <w:start w:val="1"/>
      <w:numFmt w:val="bullet"/>
      <w:lvlText w:val=""/>
      <w:lvlJc w:val="left"/>
      <w:pPr>
        <w:ind w:left="4349" w:hanging="360"/>
      </w:pPr>
      <w:rPr>
        <w:rFonts w:ascii="Wingdings" w:hAnsi="Wingdings" w:hint="default"/>
      </w:rPr>
    </w:lvl>
    <w:lvl w:ilvl="6" w:tplc="14090001" w:tentative="1">
      <w:start w:val="1"/>
      <w:numFmt w:val="bullet"/>
      <w:lvlText w:val=""/>
      <w:lvlJc w:val="left"/>
      <w:pPr>
        <w:ind w:left="5069" w:hanging="360"/>
      </w:pPr>
      <w:rPr>
        <w:rFonts w:ascii="Symbol" w:hAnsi="Symbol" w:hint="default"/>
      </w:rPr>
    </w:lvl>
    <w:lvl w:ilvl="7" w:tplc="14090003" w:tentative="1">
      <w:start w:val="1"/>
      <w:numFmt w:val="bullet"/>
      <w:lvlText w:val="o"/>
      <w:lvlJc w:val="left"/>
      <w:pPr>
        <w:ind w:left="5789" w:hanging="360"/>
      </w:pPr>
      <w:rPr>
        <w:rFonts w:ascii="Courier New" w:hAnsi="Courier New" w:cs="Courier New" w:hint="default"/>
      </w:rPr>
    </w:lvl>
    <w:lvl w:ilvl="8" w:tplc="14090005" w:tentative="1">
      <w:start w:val="1"/>
      <w:numFmt w:val="bullet"/>
      <w:lvlText w:val=""/>
      <w:lvlJc w:val="left"/>
      <w:pPr>
        <w:ind w:left="6509" w:hanging="360"/>
      </w:pPr>
      <w:rPr>
        <w:rFonts w:ascii="Wingdings" w:hAnsi="Wingdings" w:hint="default"/>
      </w:rPr>
    </w:lvl>
  </w:abstractNum>
  <w:abstractNum w:abstractNumId="27" w15:restartNumberingAfterBreak="0">
    <w:nsid w:val="5B09314A"/>
    <w:multiLevelType w:val="multilevel"/>
    <w:tmpl w:val="7720957A"/>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567" w:hanging="567"/>
      </w:pPr>
      <w:rPr>
        <w:rFonts w:hint="default"/>
      </w:rPr>
    </w:lvl>
    <w:lvl w:ilvl="4">
      <w:start w:val="1"/>
      <w:numFmt w:val="lowerLetter"/>
      <w:lvlText w:val="%5)"/>
      <w:lvlJc w:val="left"/>
      <w:pPr>
        <w:tabs>
          <w:tab w:val="num" w:pos="1134"/>
        </w:tabs>
        <w:ind w:left="1134"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C724B65"/>
    <w:multiLevelType w:val="hybridMultilevel"/>
    <w:tmpl w:val="46E4FFEE"/>
    <w:lvl w:ilvl="0" w:tplc="EB0A854E">
      <w:start w:val="1"/>
      <w:numFmt w:val="bullet"/>
      <w:lvlText w:val="•"/>
      <w:lvlJc w:val="left"/>
      <w:pPr>
        <w:ind w:left="559" w:hanging="134"/>
      </w:pPr>
      <w:rPr>
        <w:rFonts w:ascii="Arial Unicode MS" w:eastAsia="Arial Unicode MS" w:hAnsi="Arial Unicode MS" w:hint="default"/>
        <w:w w:val="107"/>
        <w:sz w:val="21"/>
        <w:szCs w:val="21"/>
      </w:rPr>
    </w:lvl>
    <w:lvl w:ilvl="1" w:tplc="85E65D22">
      <w:start w:val="1"/>
      <w:numFmt w:val="bullet"/>
      <w:lvlText w:val="•"/>
      <w:lvlJc w:val="left"/>
      <w:pPr>
        <w:ind w:left="808" w:hanging="134"/>
      </w:pPr>
      <w:rPr>
        <w:rFonts w:hint="default"/>
      </w:rPr>
    </w:lvl>
    <w:lvl w:ilvl="2" w:tplc="69460D26">
      <w:start w:val="1"/>
      <w:numFmt w:val="bullet"/>
      <w:lvlText w:val="•"/>
      <w:lvlJc w:val="left"/>
      <w:pPr>
        <w:ind w:left="1058" w:hanging="134"/>
      </w:pPr>
      <w:rPr>
        <w:rFonts w:hint="default"/>
      </w:rPr>
    </w:lvl>
    <w:lvl w:ilvl="3" w:tplc="CD6AEA72">
      <w:start w:val="1"/>
      <w:numFmt w:val="bullet"/>
      <w:lvlText w:val="•"/>
      <w:lvlJc w:val="left"/>
      <w:pPr>
        <w:ind w:left="1307" w:hanging="134"/>
      </w:pPr>
      <w:rPr>
        <w:rFonts w:hint="default"/>
      </w:rPr>
    </w:lvl>
    <w:lvl w:ilvl="4" w:tplc="DCE6E408">
      <w:start w:val="1"/>
      <w:numFmt w:val="bullet"/>
      <w:lvlText w:val="•"/>
      <w:lvlJc w:val="left"/>
      <w:pPr>
        <w:ind w:left="1556" w:hanging="134"/>
      </w:pPr>
      <w:rPr>
        <w:rFonts w:hint="default"/>
      </w:rPr>
    </w:lvl>
    <w:lvl w:ilvl="5" w:tplc="C3182234">
      <w:start w:val="1"/>
      <w:numFmt w:val="bullet"/>
      <w:lvlText w:val="•"/>
      <w:lvlJc w:val="left"/>
      <w:pPr>
        <w:ind w:left="1805" w:hanging="134"/>
      </w:pPr>
      <w:rPr>
        <w:rFonts w:hint="default"/>
      </w:rPr>
    </w:lvl>
    <w:lvl w:ilvl="6" w:tplc="85C2C604">
      <w:start w:val="1"/>
      <w:numFmt w:val="bullet"/>
      <w:lvlText w:val="•"/>
      <w:lvlJc w:val="left"/>
      <w:pPr>
        <w:ind w:left="2054" w:hanging="134"/>
      </w:pPr>
      <w:rPr>
        <w:rFonts w:hint="default"/>
      </w:rPr>
    </w:lvl>
    <w:lvl w:ilvl="7" w:tplc="3B5A4DA6">
      <w:start w:val="1"/>
      <w:numFmt w:val="bullet"/>
      <w:lvlText w:val="•"/>
      <w:lvlJc w:val="left"/>
      <w:pPr>
        <w:ind w:left="2303" w:hanging="134"/>
      </w:pPr>
      <w:rPr>
        <w:rFonts w:hint="default"/>
      </w:rPr>
    </w:lvl>
    <w:lvl w:ilvl="8" w:tplc="37AAE036">
      <w:start w:val="1"/>
      <w:numFmt w:val="bullet"/>
      <w:lvlText w:val="•"/>
      <w:lvlJc w:val="left"/>
      <w:pPr>
        <w:ind w:left="2552" w:hanging="134"/>
      </w:pPr>
      <w:rPr>
        <w:rFonts w:hint="default"/>
      </w:rPr>
    </w:lvl>
  </w:abstractNum>
  <w:abstractNum w:abstractNumId="29" w15:restartNumberingAfterBreak="0">
    <w:nsid w:val="5D9A15C3"/>
    <w:multiLevelType w:val="hybridMultilevel"/>
    <w:tmpl w:val="1E9823CC"/>
    <w:lvl w:ilvl="0" w:tplc="AA18F162">
      <w:start w:val="1"/>
      <w:numFmt w:val="bullet"/>
      <w:lvlText w:val="•"/>
      <w:lvlJc w:val="left"/>
      <w:pPr>
        <w:ind w:left="245" w:hanging="134"/>
      </w:pPr>
      <w:rPr>
        <w:rFonts w:ascii="Arial Unicode MS" w:eastAsia="Arial Unicode MS" w:hAnsi="Arial Unicode MS" w:hint="default"/>
        <w:w w:val="107"/>
        <w:sz w:val="21"/>
        <w:szCs w:val="21"/>
      </w:rPr>
    </w:lvl>
    <w:lvl w:ilvl="1" w:tplc="D886110C">
      <w:start w:val="1"/>
      <w:numFmt w:val="bullet"/>
      <w:lvlText w:val="•"/>
      <w:lvlJc w:val="left"/>
      <w:pPr>
        <w:ind w:left="494" w:hanging="134"/>
      </w:pPr>
      <w:rPr>
        <w:rFonts w:hint="default"/>
      </w:rPr>
    </w:lvl>
    <w:lvl w:ilvl="2" w:tplc="5C048F26">
      <w:start w:val="1"/>
      <w:numFmt w:val="bullet"/>
      <w:lvlText w:val="•"/>
      <w:lvlJc w:val="left"/>
      <w:pPr>
        <w:ind w:left="744" w:hanging="134"/>
      </w:pPr>
      <w:rPr>
        <w:rFonts w:hint="default"/>
      </w:rPr>
    </w:lvl>
    <w:lvl w:ilvl="3" w:tplc="44DACB5A">
      <w:start w:val="1"/>
      <w:numFmt w:val="bullet"/>
      <w:lvlText w:val="•"/>
      <w:lvlJc w:val="left"/>
      <w:pPr>
        <w:ind w:left="993" w:hanging="134"/>
      </w:pPr>
      <w:rPr>
        <w:rFonts w:hint="default"/>
      </w:rPr>
    </w:lvl>
    <w:lvl w:ilvl="4" w:tplc="B8B465F0">
      <w:start w:val="1"/>
      <w:numFmt w:val="bullet"/>
      <w:lvlText w:val="•"/>
      <w:lvlJc w:val="left"/>
      <w:pPr>
        <w:ind w:left="1242" w:hanging="134"/>
      </w:pPr>
      <w:rPr>
        <w:rFonts w:hint="default"/>
      </w:rPr>
    </w:lvl>
    <w:lvl w:ilvl="5" w:tplc="1FDCA722">
      <w:start w:val="1"/>
      <w:numFmt w:val="bullet"/>
      <w:lvlText w:val="•"/>
      <w:lvlJc w:val="left"/>
      <w:pPr>
        <w:ind w:left="1491" w:hanging="134"/>
      </w:pPr>
      <w:rPr>
        <w:rFonts w:hint="default"/>
      </w:rPr>
    </w:lvl>
    <w:lvl w:ilvl="6" w:tplc="62501116">
      <w:start w:val="1"/>
      <w:numFmt w:val="bullet"/>
      <w:lvlText w:val="•"/>
      <w:lvlJc w:val="left"/>
      <w:pPr>
        <w:ind w:left="1740" w:hanging="134"/>
      </w:pPr>
      <w:rPr>
        <w:rFonts w:hint="default"/>
      </w:rPr>
    </w:lvl>
    <w:lvl w:ilvl="7" w:tplc="EA9AA01C">
      <w:start w:val="1"/>
      <w:numFmt w:val="bullet"/>
      <w:lvlText w:val="•"/>
      <w:lvlJc w:val="left"/>
      <w:pPr>
        <w:ind w:left="1989" w:hanging="134"/>
      </w:pPr>
      <w:rPr>
        <w:rFonts w:hint="default"/>
      </w:rPr>
    </w:lvl>
    <w:lvl w:ilvl="8" w:tplc="005E787C">
      <w:start w:val="1"/>
      <w:numFmt w:val="bullet"/>
      <w:lvlText w:val="•"/>
      <w:lvlJc w:val="left"/>
      <w:pPr>
        <w:ind w:left="2239" w:hanging="134"/>
      </w:pPr>
      <w:rPr>
        <w:rFonts w:hint="default"/>
      </w:rPr>
    </w:lvl>
  </w:abstractNum>
  <w:abstractNum w:abstractNumId="30" w15:restartNumberingAfterBreak="0">
    <w:nsid w:val="61222206"/>
    <w:multiLevelType w:val="hybridMultilevel"/>
    <w:tmpl w:val="B086A22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503651B"/>
    <w:multiLevelType w:val="hybridMultilevel"/>
    <w:tmpl w:val="EBF25B2E"/>
    <w:lvl w:ilvl="0" w:tplc="1C98554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6230B49"/>
    <w:multiLevelType w:val="hybridMultilevel"/>
    <w:tmpl w:val="E6FAC602"/>
    <w:lvl w:ilvl="0" w:tplc="E85C9D7A">
      <w:numFmt w:val="bullet"/>
      <w:lvlText w:val="-"/>
      <w:lvlJc w:val="left"/>
      <w:pPr>
        <w:ind w:left="1800" w:hanging="360"/>
      </w:pPr>
      <w:rPr>
        <w:rFonts w:ascii="Calibri" w:eastAsiaTheme="minorHAnsi" w:hAnsi="Calibri" w:cs="Calibri"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33" w15:restartNumberingAfterBreak="0">
    <w:nsid w:val="688D2C9E"/>
    <w:multiLevelType w:val="singleLevel"/>
    <w:tmpl w:val="976C8326"/>
    <w:lvl w:ilvl="0">
      <w:start w:val="1"/>
      <w:numFmt w:val="bullet"/>
      <w:lvlText w:val=""/>
      <w:lvlJc w:val="left"/>
      <w:pPr>
        <w:tabs>
          <w:tab w:val="num" w:pos="360"/>
        </w:tabs>
        <w:ind w:left="284" w:hanging="284"/>
      </w:pPr>
      <w:rPr>
        <w:rFonts w:ascii="Symbol" w:hAnsi="Symbol" w:hint="default"/>
        <w:sz w:val="18"/>
      </w:rPr>
    </w:lvl>
  </w:abstractNum>
  <w:abstractNum w:abstractNumId="34" w15:restartNumberingAfterBreak="0">
    <w:nsid w:val="6A493BA7"/>
    <w:multiLevelType w:val="hybridMultilevel"/>
    <w:tmpl w:val="54A49246"/>
    <w:lvl w:ilvl="0" w:tplc="32401D94">
      <w:start w:val="1"/>
      <w:numFmt w:val="bullet"/>
      <w:lvlText w:val="–"/>
      <w:lvlJc w:val="left"/>
      <w:pPr>
        <w:ind w:left="701" w:hanging="284"/>
      </w:pPr>
      <w:rPr>
        <w:rFonts w:ascii="Arial Black" w:eastAsia="Arial Black" w:hAnsi="Arial Black" w:hint="default"/>
        <w:b/>
        <w:bCs/>
        <w:sz w:val="21"/>
        <w:szCs w:val="21"/>
      </w:rPr>
    </w:lvl>
    <w:lvl w:ilvl="1" w:tplc="2702D4F0">
      <w:start w:val="1"/>
      <w:numFmt w:val="bullet"/>
      <w:lvlText w:val="•"/>
      <w:lvlJc w:val="left"/>
      <w:pPr>
        <w:ind w:left="1149" w:hanging="284"/>
      </w:pPr>
      <w:rPr>
        <w:rFonts w:hint="default"/>
      </w:rPr>
    </w:lvl>
    <w:lvl w:ilvl="2" w:tplc="7E12EC3E">
      <w:start w:val="1"/>
      <w:numFmt w:val="bullet"/>
      <w:lvlText w:val="•"/>
      <w:lvlJc w:val="left"/>
      <w:pPr>
        <w:ind w:left="1596" w:hanging="284"/>
      </w:pPr>
      <w:rPr>
        <w:rFonts w:hint="default"/>
      </w:rPr>
    </w:lvl>
    <w:lvl w:ilvl="3" w:tplc="8AE0534C">
      <w:start w:val="1"/>
      <w:numFmt w:val="bullet"/>
      <w:lvlText w:val="•"/>
      <w:lvlJc w:val="left"/>
      <w:pPr>
        <w:ind w:left="2044" w:hanging="284"/>
      </w:pPr>
      <w:rPr>
        <w:rFonts w:hint="default"/>
      </w:rPr>
    </w:lvl>
    <w:lvl w:ilvl="4" w:tplc="23967D3A">
      <w:start w:val="1"/>
      <w:numFmt w:val="bullet"/>
      <w:lvlText w:val="•"/>
      <w:lvlJc w:val="left"/>
      <w:pPr>
        <w:ind w:left="2492" w:hanging="284"/>
      </w:pPr>
      <w:rPr>
        <w:rFonts w:hint="default"/>
      </w:rPr>
    </w:lvl>
    <w:lvl w:ilvl="5" w:tplc="A1105360">
      <w:start w:val="1"/>
      <w:numFmt w:val="bullet"/>
      <w:lvlText w:val="•"/>
      <w:lvlJc w:val="left"/>
      <w:pPr>
        <w:ind w:left="2940" w:hanging="284"/>
      </w:pPr>
      <w:rPr>
        <w:rFonts w:hint="default"/>
      </w:rPr>
    </w:lvl>
    <w:lvl w:ilvl="6" w:tplc="1D5A8006">
      <w:start w:val="1"/>
      <w:numFmt w:val="bullet"/>
      <w:lvlText w:val="•"/>
      <w:lvlJc w:val="left"/>
      <w:pPr>
        <w:ind w:left="3388" w:hanging="284"/>
      </w:pPr>
      <w:rPr>
        <w:rFonts w:hint="default"/>
      </w:rPr>
    </w:lvl>
    <w:lvl w:ilvl="7" w:tplc="CAD8527E">
      <w:start w:val="1"/>
      <w:numFmt w:val="bullet"/>
      <w:lvlText w:val="•"/>
      <w:lvlJc w:val="left"/>
      <w:pPr>
        <w:ind w:left="3836" w:hanging="284"/>
      </w:pPr>
      <w:rPr>
        <w:rFonts w:hint="default"/>
      </w:rPr>
    </w:lvl>
    <w:lvl w:ilvl="8" w:tplc="2DAA237C">
      <w:start w:val="1"/>
      <w:numFmt w:val="bullet"/>
      <w:lvlText w:val="•"/>
      <w:lvlJc w:val="left"/>
      <w:pPr>
        <w:ind w:left="4284" w:hanging="284"/>
      </w:pPr>
      <w:rPr>
        <w:rFonts w:hint="default"/>
      </w:rPr>
    </w:lvl>
  </w:abstractNum>
  <w:abstractNum w:abstractNumId="35" w15:restartNumberingAfterBreak="0">
    <w:nsid w:val="6A871412"/>
    <w:multiLevelType w:val="hybridMultilevel"/>
    <w:tmpl w:val="679EAFA2"/>
    <w:lvl w:ilvl="0" w:tplc="59822F40">
      <w:start w:val="1"/>
      <w:numFmt w:val="bullet"/>
      <w:lvlText w:val="•"/>
      <w:lvlJc w:val="left"/>
      <w:pPr>
        <w:ind w:left="1984" w:hanging="284"/>
      </w:pPr>
      <w:rPr>
        <w:rFonts w:ascii="Lucida Sans Unicode" w:eastAsia="Lucida Sans Unicode" w:hAnsi="Lucida Sans Unicode" w:hint="default"/>
        <w:w w:val="59"/>
        <w:sz w:val="21"/>
        <w:szCs w:val="21"/>
      </w:rPr>
    </w:lvl>
    <w:lvl w:ilvl="1" w:tplc="0298ED54">
      <w:start w:val="1"/>
      <w:numFmt w:val="bullet"/>
      <w:lvlText w:val="•"/>
      <w:lvlJc w:val="left"/>
      <w:pPr>
        <w:ind w:left="2808" w:hanging="284"/>
      </w:pPr>
      <w:rPr>
        <w:rFonts w:hint="default"/>
      </w:rPr>
    </w:lvl>
    <w:lvl w:ilvl="2" w:tplc="3ACE3B56">
      <w:start w:val="1"/>
      <w:numFmt w:val="bullet"/>
      <w:lvlText w:val="•"/>
      <w:lvlJc w:val="left"/>
      <w:pPr>
        <w:ind w:left="3632" w:hanging="284"/>
      </w:pPr>
      <w:rPr>
        <w:rFonts w:hint="default"/>
      </w:rPr>
    </w:lvl>
    <w:lvl w:ilvl="3" w:tplc="AA96C0BE">
      <w:start w:val="1"/>
      <w:numFmt w:val="bullet"/>
      <w:lvlText w:val="•"/>
      <w:lvlJc w:val="left"/>
      <w:pPr>
        <w:ind w:left="4456" w:hanging="284"/>
      </w:pPr>
      <w:rPr>
        <w:rFonts w:hint="default"/>
      </w:rPr>
    </w:lvl>
    <w:lvl w:ilvl="4" w:tplc="CA98A634">
      <w:start w:val="1"/>
      <w:numFmt w:val="bullet"/>
      <w:lvlText w:val="•"/>
      <w:lvlJc w:val="left"/>
      <w:pPr>
        <w:ind w:left="5280" w:hanging="284"/>
      </w:pPr>
      <w:rPr>
        <w:rFonts w:hint="default"/>
      </w:rPr>
    </w:lvl>
    <w:lvl w:ilvl="5" w:tplc="AA4A5076">
      <w:start w:val="1"/>
      <w:numFmt w:val="bullet"/>
      <w:lvlText w:val="•"/>
      <w:lvlJc w:val="left"/>
      <w:pPr>
        <w:ind w:left="6104" w:hanging="284"/>
      </w:pPr>
      <w:rPr>
        <w:rFonts w:hint="default"/>
      </w:rPr>
    </w:lvl>
    <w:lvl w:ilvl="6" w:tplc="44422EEC">
      <w:start w:val="1"/>
      <w:numFmt w:val="bullet"/>
      <w:lvlText w:val="•"/>
      <w:lvlJc w:val="left"/>
      <w:pPr>
        <w:ind w:left="6929" w:hanging="284"/>
      </w:pPr>
      <w:rPr>
        <w:rFonts w:hint="default"/>
      </w:rPr>
    </w:lvl>
    <w:lvl w:ilvl="7" w:tplc="91644454">
      <w:start w:val="1"/>
      <w:numFmt w:val="bullet"/>
      <w:lvlText w:val="•"/>
      <w:lvlJc w:val="left"/>
      <w:pPr>
        <w:ind w:left="7753" w:hanging="284"/>
      </w:pPr>
      <w:rPr>
        <w:rFonts w:hint="default"/>
      </w:rPr>
    </w:lvl>
    <w:lvl w:ilvl="8" w:tplc="99B2DCF6">
      <w:start w:val="1"/>
      <w:numFmt w:val="bullet"/>
      <w:lvlText w:val="•"/>
      <w:lvlJc w:val="left"/>
      <w:pPr>
        <w:ind w:left="8577" w:hanging="284"/>
      </w:pPr>
      <w:rPr>
        <w:rFonts w:hint="default"/>
      </w:rPr>
    </w:lvl>
  </w:abstractNum>
  <w:abstractNum w:abstractNumId="36" w15:restartNumberingAfterBreak="0">
    <w:nsid w:val="6AB61074"/>
    <w:multiLevelType w:val="hybridMultilevel"/>
    <w:tmpl w:val="E9D8A206"/>
    <w:lvl w:ilvl="0" w:tplc="32DEC6B8">
      <w:start w:val="1"/>
      <w:numFmt w:val="bullet"/>
      <w:lvlText w:val="–"/>
      <w:lvlJc w:val="left"/>
      <w:pPr>
        <w:ind w:left="662" w:hanging="284"/>
      </w:pPr>
      <w:rPr>
        <w:rFonts w:ascii="Arial Black" w:eastAsia="Arial Black" w:hAnsi="Arial Black" w:hint="default"/>
        <w:b/>
        <w:bCs/>
        <w:sz w:val="21"/>
        <w:szCs w:val="21"/>
      </w:rPr>
    </w:lvl>
    <w:lvl w:ilvl="1" w:tplc="040C801C">
      <w:start w:val="1"/>
      <w:numFmt w:val="bullet"/>
      <w:lvlText w:val="•"/>
      <w:lvlJc w:val="left"/>
      <w:pPr>
        <w:ind w:left="1109" w:hanging="284"/>
      </w:pPr>
      <w:rPr>
        <w:rFonts w:hint="default"/>
      </w:rPr>
    </w:lvl>
    <w:lvl w:ilvl="2" w:tplc="1250F1EE">
      <w:start w:val="1"/>
      <w:numFmt w:val="bullet"/>
      <w:lvlText w:val="•"/>
      <w:lvlJc w:val="left"/>
      <w:pPr>
        <w:ind w:left="1557" w:hanging="284"/>
      </w:pPr>
      <w:rPr>
        <w:rFonts w:hint="default"/>
      </w:rPr>
    </w:lvl>
    <w:lvl w:ilvl="3" w:tplc="EED03DEA">
      <w:start w:val="1"/>
      <w:numFmt w:val="bullet"/>
      <w:lvlText w:val="•"/>
      <w:lvlJc w:val="left"/>
      <w:pPr>
        <w:ind w:left="2005" w:hanging="284"/>
      </w:pPr>
      <w:rPr>
        <w:rFonts w:hint="default"/>
      </w:rPr>
    </w:lvl>
    <w:lvl w:ilvl="4" w:tplc="C2526822">
      <w:start w:val="1"/>
      <w:numFmt w:val="bullet"/>
      <w:lvlText w:val="•"/>
      <w:lvlJc w:val="left"/>
      <w:pPr>
        <w:ind w:left="2453" w:hanging="284"/>
      </w:pPr>
      <w:rPr>
        <w:rFonts w:hint="default"/>
      </w:rPr>
    </w:lvl>
    <w:lvl w:ilvl="5" w:tplc="3B98B002">
      <w:start w:val="1"/>
      <w:numFmt w:val="bullet"/>
      <w:lvlText w:val="•"/>
      <w:lvlJc w:val="left"/>
      <w:pPr>
        <w:ind w:left="2901" w:hanging="284"/>
      </w:pPr>
      <w:rPr>
        <w:rFonts w:hint="default"/>
      </w:rPr>
    </w:lvl>
    <w:lvl w:ilvl="6" w:tplc="E2B4B88C">
      <w:start w:val="1"/>
      <w:numFmt w:val="bullet"/>
      <w:lvlText w:val="•"/>
      <w:lvlJc w:val="left"/>
      <w:pPr>
        <w:ind w:left="3349" w:hanging="284"/>
      </w:pPr>
      <w:rPr>
        <w:rFonts w:hint="default"/>
      </w:rPr>
    </w:lvl>
    <w:lvl w:ilvl="7" w:tplc="716A8E58">
      <w:start w:val="1"/>
      <w:numFmt w:val="bullet"/>
      <w:lvlText w:val="•"/>
      <w:lvlJc w:val="left"/>
      <w:pPr>
        <w:ind w:left="3797" w:hanging="284"/>
      </w:pPr>
      <w:rPr>
        <w:rFonts w:hint="default"/>
      </w:rPr>
    </w:lvl>
    <w:lvl w:ilvl="8" w:tplc="31BAFC90">
      <w:start w:val="1"/>
      <w:numFmt w:val="bullet"/>
      <w:lvlText w:val="•"/>
      <w:lvlJc w:val="left"/>
      <w:pPr>
        <w:ind w:left="4245" w:hanging="284"/>
      </w:pPr>
      <w:rPr>
        <w:rFonts w:hint="default"/>
      </w:rPr>
    </w:lvl>
  </w:abstractNum>
  <w:abstractNum w:abstractNumId="37" w15:restartNumberingAfterBreak="0">
    <w:nsid w:val="761C54D3"/>
    <w:multiLevelType w:val="hybridMultilevel"/>
    <w:tmpl w:val="6F1E4EBE"/>
    <w:lvl w:ilvl="0" w:tplc="14090001">
      <w:start w:val="1"/>
      <w:numFmt w:val="bullet"/>
      <w:lvlText w:val=""/>
      <w:lvlJc w:val="left"/>
      <w:pPr>
        <w:tabs>
          <w:tab w:val="num" w:pos="360"/>
        </w:tabs>
        <w:ind w:left="360" w:hanging="360"/>
      </w:pPr>
      <w:rPr>
        <w:rFonts w:ascii="Symbol" w:hAnsi="Symbol" w:hint="default"/>
      </w:rPr>
    </w:lvl>
    <w:lvl w:ilvl="1" w:tplc="1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790B609F"/>
    <w:multiLevelType w:val="hybridMultilevel"/>
    <w:tmpl w:val="DADE0218"/>
    <w:lvl w:ilvl="0" w:tplc="B80C461A">
      <w:start w:val="1"/>
      <w:numFmt w:val="bullet"/>
      <w:lvlText w:val="•"/>
      <w:lvlJc w:val="left"/>
      <w:pPr>
        <w:ind w:left="587" w:hanging="284"/>
      </w:pPr>
      <w:rPr>
        <w:rFonts w:ascii="Lucida Sans Unicode" w:eastAsia="Lucida Sans Unicode" w:hAnsi="Lucida Sans Unicode" w:hint="default"/>
        <w:w w:val="59"/>
        <w:sz w:val="21"/>
        <w:szCs w:val="21"/>
      </w:rPr>
    </w:lvl>
    <w:lvl w:ilvl="1" w:tplc="DA12774A">
      <w:start w:val="1"/>
      <w:numFmt w:val="bullet"/>
      <w:lvlText w:val="•"/>
      <w:lvlJc w:val="left"/>
      <w:pPr>
        <w:ind w:left="2267" w:hanging="284"/>
      </w:pPr>
      <w:rPr>
        <w:rFonts w:ascii="Lucida Sans Unicode" w:eastAsia="Lucida Sans Unicode" w:hAnsi="Lucida Sans Unicode" w:hint="default"/>
        <w:w w:val="59"/>
        <w:sz w:val="21"/>
        <w:szCs w:val="21"/>
      </w:rPr>
    </w:lvl>
    <w:lvl w:ilvl="2" w:tplc="C6E244EC">
      <w:start w:val="1"/>
      <w:numFmt w:val="bullet"/>
      <w:lvlText w:val="•"/>
      <w:lvlJc w:val="left"/>
      <w:pPr>
        <w:ind w:left="2689" w:hanging="284"/>
      </w:pPr>
      <w:rPr>
        <w:rFonts w:hint="default"/>
      </w:rPr>
    </w:lvl>
    <w:lvl w:ilvl="3" w:tplc="8ADA74DA">
      <w:start w:val="1"/>
      <w:numFmt w:val="bullet"/>
      <w:lvlText w:val="•"/>
      <w:lvlJc w:val="left"/>
      <w:pPr>
        <w:ind w:left="3111" w:hanging="284"/>
      </w:pPr>
      <w:rPr>
        <w:rFonts w:hint="default"/>
      </w:rPr>
    </w:lvl>
    <w:lvl w:ilvl="4" w:tplc="4FC0E628">
      <w:start w:val="1"/>
      <w:numFmt w:val="bullet"/>
      <w:lvlText w:val="•"/>
      <w:lvlJc w:val="left"/>
      <w:pPr>
        <w:ind w:left="3532" w:hanging="284"/>
      </w:pPr>
      <w:rPr>
        <w:rFonts w:hint="default"/>
      </w:rPr>
    </w:lvl>
    <w:lvl w:ilvl="5" w:tplc="531CD59C">
      <w:start w:val="1"/>
      <w:numFmt w:val="bullet"/>
      <w:lvlText w:val="•"/>
      <w:lvlJc w:val="left"/>
      <w:pPr>
        <w:ind w:left="3954" w:hanging="284"/>
      </w:pPr>
      <w:rPr>
        <w:rFonts w:hint="default"/>
      </w:rPr>
    </w:lvl>
    <w:lvl w:ilvl="6" w:tplc="53CAE810">
      <w:start w:val="1"/>
      <w:numFmt w:val="bullet"/>
      <w:lvlText w:val="•"/>
      <w:lvlJc w:val="left"/>
      <w:pPr>
        <w:ind w:left="4376" w:hanging="284"/>
      </w:pPr>
      <w:rPr>
        <w:rFonts w:hint="default"/>
      </w:rPr>
    </w:lvl>
    <w:lvl w:ilvl="7" w:tplc="4F583E0A">
      <w:start w:val="1"/>
      <w:numFmt w:val="bullet"/>
      <w:lvlText w:val="•"/>
      <w:lvlJc w:val="left"/>
      <w:pPr>
        <w:ind w:left="4798" w:hanging="284"/>
      </w:pPr>
      <w:rPr>
        <w:rFonts w:hint="default"/>
      </w:rPr>
    </w:lvl>
    <w:lvl w:ilvl="8" w:tplc="4E8A9C6C">
      <w:start w:val="1"/>
      <w:numFmt w:val="bullet"/>
      <w:lvlText w:val="•"/>
      <w:lvlJc w:val="left"/>
      <w:pPr>
        <w:ind w:left="5219" w:hanging="284"/>
      </w:pPr>
      <w:rPr>
        <w:rFonts w:hint="default"/>
      </w:rPr>
    </w:lvl>
  </w:abstractNum>
  <w:abstractNum w:abstractNumId="39" w15:restartNumberingAfterBreak="0">
    <w:nsid w:val="7A46122C"/>
    <w:multiLevelType w:val="hybridMultilevel"/>
    <w:tmpl w:val="5888C120"/>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0" w15:restartNumberingAfterBreak="0">
    <w:nsid w:val="7AAB3941"/>
    <w:multiLevelType w:val="hybridMultilevel"/>
    <w:tmpl w:val="5638297E"/>
    <w:lvl w:ilvl="0" w:tplc="151AD1D0">
      <w:start w:val="1"/>
      <w:numFmt w:val="decimal"/>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C02374A"/>
    <w:multiLevelType w:val="hybridMultilevel"/>
    <w:tmpl w:val="8442407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2"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abstractNum w:abstractNumId="43" w15:restartNumberingAfterBreak="0">
    <w:nsid w:val="7C970E9C"/>
    <w:multiLevelType w:val="hybridMultilevel"/>
    <w:tmpl w:val="4384984A"/>
    <w:lvl w:ilvl="0" w:tplc="C93A288C">
      <w:start w:val="1"/>
      <w:numFmt w:val="bullet"/>
      <w:lvlText w:val="•"/>
      <w:lvlJc w:val="left"/>
      <w:pPr>
        <w:ind w:left="246" w:hanging="134"/>
      </w:pPr>
      <w:rPr>
        <w:rFonts w:ascii="Arial Unicode MS" w:eastAsia="Arial Unicode MS" w:hAnsi="Arial Unicode MS" w:hint="default"/>
        <w:w w:val="107"/>
        <w:sz w:val="21"/>
        <w:szCs w:val="21"/>
      </w:rPr>
    </w:lvl>
    <w:lvl w:ilvl="1" w:tplc="DA5E0414">
      <w:start w:val="1"/>
      <w:numFmt w:val="bullet"/>
      <w:lvlText w:val="•"/>
      <w:lvlJc w:val="left"/>
      <w:pPr>
        <w:ind w:left="464" w:hanging="134"/>
      </w:pPr>
      <w:rPr>
        <w:rFonts w:hint="default"/>
      </w:rPr>
    </w:lvl>
    <w:lvl w:ilvl="2" w:tplc="E29E55C8">
      <w:start w:val="1"/>
      <w:numFmt w:val="bullet"/>
      <w:lvlText w:val="•"/>
      <w:lvlJc w:val="left"/>
      <w:pPr>
        <w:ind w:left="682" w:hanging="134"/>
      </w:pPr>
      <w:rPr>
        <w:rFonts w:hint="default"/>
      </w:rPr>
    </w:lvl>
    <w:lvl w:ilvl="3" w:tplc="38AA3A8C">
      <w:start w:val="1"/>
      <w:numFmt w:val="bullet"/>
      <w:lvlText w:val="•"/>
      <w:lvlJc w:val="left"/>
      <w:pPr>
        <w:ind w:left="900" w:hanging="134"/>
      </w:pPr>
      <w:rPr>
        <w:rFonts w:hint="default"/>
      </w:rPr>
    </w:lvl>
    <w:lvl w:ilvl="4" w:tplc="6280268C">
      <w:start w:val="1"/>
      <w:numFmt w:val="bullet"/>
      <w:lvlText w:val="•"/>
      <w:lvlJc w:val="left"/>
      <w:pPr>
        <w:ind w:left="1118" w:hanging="134"/>
      </w:pPr>
      <w:rPr>
        <w:rFonts w:hint="default"/>
      </w:rPr>
    </w:lvl>
    <w:lvl w:ilvl="5" w:tplc="41CA4FC0">
      <w:start w:val="1"/>
      <w:numFmt w:val="bullet"/>
      <w:lvlText w:val="•"/>
      <w:lvlJc w:val="left"/>
      <w:pPr>
        <w:ind w:left="1336" w:hanging="134"/>
      </w:pPr>
      <w:rPr>
        <w:rFonts w:hint="default"/>
      </w:rPr>
    </w:lvl>
    <w:lvl w:ilvl="6" w:tplc="F828CB0C">
      <w:start w:val="1"/>
      <w:numFmt w:val="bullet"/>
      <w:lvlText w:val="•"/>
      <w:lvlJc w:val="left"/>
      <w:pPr>
        <w:ind w:left="1554" w:hanging="134"/>
      </w:pPr>
      <w:rPr>
        <w:rFonts w:hint="default"/>
      </w:rPr>
    </w:lvl>
    <w:lvl w:ilvl="7" w:tplc="21BEBEB6">
      <w:start w:val="1"/>
      <w:numFmt w:val="bullet"/>
      <w:lvlText w:val="•"/>
      <w:lvlJc w:val="left"/>
      <w:pPr>
        <w:ind w:left="1771" w:hanging="134"/>
      </w:pPr>
      <w:rPr>
        <w:rFonts w:hint="default"/>
      </w:rPr>
    </w:lvl>
    <w:lvl w:ilvl="8" w:tplc="D11CBA8E">
      <w:start w:val="1"/>
      <w:numFmt w:val="bullet"/>
      <w:lvlText w:val="•"/>
      <w:lvlJc w:val="left"/>
      <w:pPr>
        <w:ind w:left="1989" w:hanging="134"/>
      </w:pPr>
      <w:rPr>
        <w:rFonts w:hint="default"/>
      </w:rPr>
    </w:lvl>
  </w:abstractNum>
  <w:abstractNum w:abstractNumId="44" w15:restartNumberingAfterBreak="0">
    <w:nsid w:val="7CC72B21"/>
    <w:multiLevelType w:val="multilevel"/>
    <w:tmpl w:val="273EF2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42"/>
  </w:num>
  <w:num w:numId="2">
    <w:abstractNumId w:val="33"/>
  </w:num>
  <w:num w:numId="3">
    <w:abstractNumId w:val="22"/>
  </w:num>
  <w:num w:numId="4">
    <w:abstractNumId w:val="23"/>
  </w:num>
  <w:num w:numId="5">
    <w:abstractNumId w:val="4"/>
  </w:num>
  <w:num w:numId="6">
    <w:abstractNumId w:val="44"/>
  </w:num>
  <w:num w:numId="7">
    <w:abstractNumId w:val="19"/>
  </w:num>
  <w:num w:numId="8">
    <w:abstractNumId w:val="7"/>
  </w:num>
  <w:num w:numId="9">
    <w:abstractNumId w:val="39"/>
  </w:num>
  <w:num w:numId="10">
    <w:abstractNumId w:val="5"/>
  </w:num>
  <w:num w:numId="11">
    <w:abstractNumId w:val="37"/>
  </w:num>
  <w:num w:numId="12">
    <w:abstractNumId w:val="9"/>
  </w:num>
  <w:num w:numId="13">
    <w:abstractNumId w:val="13"/>
  </w:num>
  <w:num w:numId="14">
    <w:abstractNumId w:val="11"/>
  </w:num>
  <w:num w:numId="15">
    <w:abstractNumId w:val="14"/>
  </w:num>
  <w:num w:numId="16">
    <w:abstractNumId w:val="27"/>
  </w:num>
  <w:num w:numId="17">
    <w:abstractNumId w:val="16"/>
  </w:num>
  <w:num w:numId="18">
    <w:abstractNumId w:val="35"/>
  </w:num>
  <w:num w:numId="19">
    <w:abstractNumId w:val="17"/>
  </w:num>
  <w:num w:numId="20">
    <w:abstractNumId w:val="25"/>
  </w:num>
  <w:num w:numId="21">
    <w:abstractNumId w:val="12"/>
  </w:num>
  <w:num w:numId="22">
    <w:abstractNumId w:val="10"/>
  </w:num>
  <w:num w:numId="23">
    <w:abstractNumId w:val="29"/>
  </w:num>
  <w:num w:numId="24">
    <w:abstractNumId w:val="28"/>
  </w:num>
  <w:num w:numId="25">
    <w:abstractNumId w:val="43"/>
  </w:num>
  <w:num w:numId="26">
    <w:abstractNumId w:val="20"/>
  </w:num>
  <w:num w:numId="27">
    <w:abstractNumId w:val="36"/>
  </w:num>
  <w:num w:numId="28">
    <w:abstractNumId w:val="34"/>
  </w:num>
  <w:num w:numId="29">
    <w:abstractNumId w:val="24"/>
  </w:num>
  <w:num w:numId="30">
    <w:abstractNumId w:val="15"/>
  </w:num>
  <w:num w:numId="31">
    <w:abstractNumId w:val="38"/>
  </w:num>
  <w:num w:numId="32">
    <w:abstractNumId w:val="21"/>
  </w:num>
  <w:num w:numId="33">
    <w:abstractNumId w:val="30"/>
  </w:num>
  <w:num w:numId="34">
    <w:abstractNumId w:val="2"/>
  </w:num>
  <w:num w:numId="35">
    <w:abstractNumId w:val="8"/>
  </w:num>
  <w:num w:numId="36">
    <w:abstractNumId w:val="3"/>
  </w:num>
  <w:num w:numId="37">
    <w:abstractNumId w:val="1"/>
  </w:num>
  <w:num w:numId="38">
    <w:abstractNumId w:val="0"/>
  </w:num>
  <w:num w:numId="39">
    <w:abstractNumId w:val="26"/>
  </w:num>
  <w:num w:numId="40">
    <w:abstractNumId w:val="1"/>
    <w:lvlOverride w:ilvl="0">
      <w:startOverride w:val="1"/>
    </w:lvlOverride>
  </w:num>
  <w:num w:numId="41">
    <w:abstractNumId w:val="1"/>
    <w:lvlOverride w:ilvl="0">
      <w:startOverride w:val="1"/>
    </w:lvlOverride>
  </w:num>
  <w:num w:numId="42">
    <w:abstractNumId w:val="40"/>
  </w:num>
  <w:num w:numId="43">
    <w:abstractNumId w:val="6"/>
  </w:num>
  <w:num w:numId="44">
    <w:abstractNumId w:val="41"/>
  </w:num>
  <w:num w:numId="45">
    <w:abstractNumId w:val="18"/>
  </w:num>
  <w:num w:numId="46">
    <w:abstractNumId w:val="31"/>
  </w:num>
  <w:num w:numId="47">
    <w:abstractNumId w:val="3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025B8"/>
    <w:rsid w:val="00005BB5"/>
    <w:rsid w:val="00025A6F"/>
    <w:rsid w:val="0002618D"/>
    <w:rsid w:val="00030B26"/>
    <w:rsid w:val="00030E84"/>
    <w:rsid w:val="00032C0A"/>
    <w:rsid w:val="00035257"/>
    <w:rsid w:val="00035D68"/>
    <w:rsid w:val="00054B44"/>
    <w:rsid w:val="0006228D"/>
    <w:rsid w:val="000707F2"/>
    <w:rsid w:val="00072BD6"/>
    <w:rsid w:val="00075B78"/>
    <w:rsid w:val="000763E9"/>
    <w:rsid w:val="00082CD6"/>
    <w:rsid w:val="0008437D"/>
    <w:rsid w:val="00085AFE"/>
    <w:rsid w:val="00094800"/>
    <w:rsid w:val="000A41ED"/>
    <w:rsid w:val="000B0730"/>
    <w:rsid w:val="000D19F4"/>
    <w:rsid w:val="000D58DD"/>
    <w:rsid w:val="000F0A1C"/>
    <w:rsid w:val="000F2AE2"/>
    <w:rsid w:val="000F2BFF"/>
    <w:rsid w:val="00102063"/>
    <w:rsid w:val="0010541C"/>
    <w:rsid w:val="00106F93"/>
    <w:rsid w:val="00111D50"/>
    <w:rsid w:val="00113B8E"/>
    <w:rsid w:val="0012053C"/>
    <w:rsid w:val="00122363"/>
    <w:rsid w:val="001342C7"/>
    <w:rsid w:val="0013585C"/>
    <w:rsid w:val="00142261"/>
    <w:rsid w:val="00142954"/>
    <w:rsid w:val="001460E0"/>
    <w:rsid w:val="001472F0"/>
    <w:rsid w:val="00147F71"/>
    <w:rsid w:val="00150A6E"/>
    <w:rsid w:val="0016304B"/>
    <w:rsid w:val="0016468A"/>
    <w:rsid w:val="0018662D"/>
    <w:rsid w:val="00197427"/>
    <w:rsid w:val="001A21B4"/>
    <w:rsid w:val="001A5CF5"/>
    <w:rsid w:val="001B39D2"/>
    <w:rsid w:val="001B4BF8"/>
    <w:rsid w:val="001C4326"/>
    <w:rsid w:val="001C665E"/>
    <w:rsid w:val="001D3541"/>
    <w:rsid w:val="001D3E4E"/>
    <w:rsid w:val="001E254A"/>
    <w:rsid w:val="001E4905"/>
    <w:rsid w:val="001E7386"/>
    <w:rsid w:val="001F45A7"/>
    <w:rsid w:val="00201A01"/>
    <w:rsid w:val="0020754B"/>
    <w:rsid w:val="002104D3"/>
    <w:rsid w:val="00213A33"/>
    <w:rsid w:val="0021763B"/>
    <w:rsid w:val="00232490"/>
    <w:rsid w:val="00243051"/>
    <w:rsid w:val="00246DB1"/>
    <w:rsid w:val="002476B5"/>
    <w:rsid w:val="002520CC"/>
    <w:rsid w:val="00252B09"/>
    <w:rsid w:val="00253ECF"/>
    <w:rsid w:val="002546A1"/>
    <w:rsid w:val="002628F4"/>
    <w:rsid w:val="00275D08"/>
    <w:rsid w:val="002858E3"/>
    <w:rsid w:val="00286A2A"/>
    <w:rsid w:val="0029190A"/>
    <w:rsid w:val="00292C5A"/>
    <w:rsid w:val="00295241"/>
    <w:rsid w:val="002A4DFC"/>
    <w:rsid w:val="002B047D"/>
    <w:rsid w:val="002B732B"/>
    <w:rsid w:val="002B76A7"/>
    <w:rsid w:val="002C2219"/>
    <w:rsid w:val="002C2552"/>
    <w:rsid w:val="002C380A"/>
    <w:rsid w:val="002D0DF2"/>
    <w:rsid w:val="002D23BD"/>
    <w:rsid w:val="002E0B47"/>
    <w:rsid w:val="002F4685"/>
    <w:rsid w:val="002F7213"/>
    <w:rsid w:val="0030382F"/>
    <w:rsid w:val="0030408D"/>
    <w:rsid w:val="003060E4"/>
    <w:rsid w:val="003160E7"/>
    <w:rsid w:val="0031739E"/>
    <w:rsid w:val="003309CA"/>
    <w:rsid w:val="00332318"/>
    <w:rsid w:val="003325AB"/>
    <w:rsid w:val="003332D1"/>
    <w:rsid w:val="0033412B"/>
    <w:rsid w:val="00341161"/>
    <w:rsid w:val="00343365"/>
    <w:rsid w:val="003445F4"/>
    <w:rsid w:val="00353501"/>
    <w:rsid w:val="00353734"/>
    <w:rsid w:val="003606F8"/>
    <w:rsid w:val="003648EF"/>
    <w:rsid w:val="003673E6"/>
    <w:rsid w:val="00377264"/>
    <w:rsid w:val="003779D2"/>
    <w:rsid w:val="00385E38"/>
    <w:rsid w:val="003A26A5"/>
    <w:rsid w:val="003A3761"/>
    <w:rsid w:val="003A512D"/>
    <w:rsid w:val="003A5FEA"/>
    <w:rsid w:val="003B1D10"/>
    <w:rsid w:val="003C76D4"/>
    <w:rsid w:val="003D137D"/>
    <w:rsid w:val="003D2CC5"/>
    <w:rsid w:val="003E04C1"/>
    <w:rsid w:val="003E0887"/>
    <w:rsid w:val="003E74C8"/>
    <w:rsid w:val="003E7C46"/>
    <w:rsid w:val="003F2106"/>
    <w:rsid w:val="003F52A7"/>
    <w:rsid w:val="003F7013"/>
    <w:rsid w:val="0040240C"/>
    <w:rsid w:val="00413021"/>
    <w:rsid w:val="00425756"/>
    <w:rsid w:val="004301C6"/>
    <w:rsid w:val="0043478F"/>
    <w:rsid w:val="0043602B"/>
    <w:rsid w:val="00440BE0"/>
    <w:rsid w:val="00442C1C"/>
    <w:rsid w:val="0044584B"/>
    <w:rsid w:val="00447CB7"/>
    <w:rsid w:val="004541CB"/>
    <w:rsid w:val="00455CC9"/>
    <w:rsid w:val="00460826"/>
    <w:rsid w:val="00460EA7"/>
    <w:rsid w:val="0046195B"/>
    <w:rsid w:val="0046362D"/>
    <w:rsid w:val="0046596D"/>
    <w:rsid w:val="00487C04"/>
    <w:rsid w:val="004907E1"/>
    <w:rsid w:val="004A035B"/>
    <w:rsid w:val="004A2108"/>
    <w:rsid w:val="004A38D7"/>
    <w:rsid w:val="004A778C"/>
    <w:rsid w:val="004B48C7"/>
    <w:rsid w:val="004C2E6A"/>
    <w:rsid w:val="004C64B8"/>
    <w:rsid w:val="004D2A2D"/>
    <w:rsid w:val="004D479F"/>
    <w:rsid w:val="004D6689"/>
    <w:rsid w:val="004E1D1D"/>
    <w:rsid w:val="004E7AC8"/>
    <w:rsid w:val="004F0C94"/>
    <w:rsid w:val="005019AE"/>
    <w:rsid w:val="00503749"/>
    <w:rsid w:val="00504CF4"/>
    <w:rsid w:val="0050635B"/>
    <w:rsid w:val="005151C2"/>
    <w:rsid w:val="0053199F"/>
    <w:rsid w:val="00531E12"/>
    <w:rsid w:val="00533B90"/>
    <w:rsid w:val="005410F8"/>
    <w:rsid w:val="005448EC"/>
    <w:rsid w:val="00545963"/>
    <w:rsid w:val="00550256"/>
    <w:rsid w:val="00553165"/>
    <w:rsid w:val="00553958"/>
    <w:rsid w:val="00556BB7"/>
    <w:rsid w:val="0055763D"/>
    <w:rsid w:val="00561516"/>
    <w:rsid w:val="005621F2"/>
    <w:rsid w:val="005665FD"/>
    <w:rsid w:val="00567B58"/>
    <w:rsid w:val="00571223"/>
    <w:rsid w:val="005763E0"/>
    <w:rsid w:val="00581136"/>
    <w:rsid w:val="00581EB8"/>
    <w:rsid w:val="005A27CA"/>
    <w:rsid w:val="005A43BD"/>
    <w:rsid w:val="005A79E5"/>
    <w:rsid w:val="005D034C"/>
    <w:rsid w:val="005E226E"/>
    <w:rsid w:val="005E2636"/>
    <w:rsid w:val="005F77FC"/>
    <w:rsid w:val="006015D7"/>
    <w:rsid w:val="00601B21"/>
    <w:rsid w:val="006041F0"/>
    <w:rsid w:val="00605C6D"/>
    <w:rsid w:val="006120CA"/>
    <w:rsid w:val="00624174"/>
    <w:rsid w:val="00626CF8"/>
    <w:rsid w:val="006314AF"/>
    <w:rsid w:val="006348FF"/>
    <w:rsid w:val="00634ED8"/>
    <w:rsid w:val="00636D7D"/>
    <w:rsid w:val="00637408"/>
    <w:rsid w:val="00642868"/>
    <w:rsid w:val="0064789C"/>
    <w:rsid w:val="00647AFE"/>
    <w:rsid w:val="006512BC"/>
    <w:rsid w:val="00651CC6"/>
    <w:rsid w:val="00653A5A"/>
    <w:rsid w:val="006554AC"/>
    <w:rsid w:val="00655936"/>
    <w:rsid w:val="006575F4"/>
    <w:rsid w:val="006579E6"/>
    <w:rsid w:val="00660682"/>
    <w:rsid w:val="00660F74"/>
    <w:rsid w:val="00663EDC"/>
    <w:rsid w:val="00667E20"/>
    <w:rsid w:val="00671078"/>
    <w:rsid w:val="006758CA"/>
    <w:rsid w:val="0067720E"/>
    <w:rsid w:val="00680A04"/>
    <w:rsid w:val="00686D80"/>
    <w:rsid w:val="00694895"/>
    <w:rsid w:val="00697E2E"/>
    <w:rsid w:val="006A25A2"/>
    <w:rsid w:val="006A3B87"/>
    <w:rsid w:val="006B0E73"/>
    <w:rsid w:val="006B1E3D"/>
    <w:rsid w:val="006B4A4D"/>
    <w:rsid w:val="006B5695"/>
    <w:rsid w:val="006B7B2E"/>
    <w:rsid w:val="006C78EB"/>
    <w:rsid w:val="006D1660"/>
    <w:rsid w:val="006D63E5"/>
    <w:rsid w:val="006E1753"/>
    <w:rsid w:val="006E3911"/>
    <w:rsid w:val="006F1B67"/>
    <w:rsid w:val="006F4D9C"/>
    <w:rsid w:val="0070091D"/>
    <w:rsid w:val="00702854"/>
    <w:rsid w:val="0071741C"/>
    <w:rsid w:val="00742B90"/>
    <w:rsid w:val="0074434D"/>
    <w:rsid w:val="007570C4"/>
    <w:rsid w:val="007605B8"/>
    <w:rsid w:val="00771B1E"/>
    <w:rsid w:val="00773C95"/>
    <w:rsid w:val="0078171E"/>
    <w:rsid w:val="0078658E"/>
    <w:rsid w:val="007920E2"/>
    <w:rsid w:val="0079566E"/>
    <w:rsid w:val="00795B34"/>
    <w:rsid w:val="007A067F"/>
    <w:rsid w:val="007B1770"/>
    <w:rsid w:val="007B4D3E"/>
    <w:rsid w:val="007B7C70"/>
    <w:rsid w:val="007B7DEB"/>
    <w:rsid w:val="007C0449"/>
    <w:rsid w:val="007D2151"/>
    <w:rsid w:val="007D3B90"/>
    <w:rsid w:val="007D42CC"/>
    <w:rsid w:val="007D5DE4"/>
    <w:rsid w:val="007D7C3A"/>
    <w:rsid w:val="007E0777"/>
    <w:rsid w:val="007E1341"/>
    <w:rsid w:val="007E1B41"/>
    <w:rsid w:val="007E1EC4"/>
    <w:rsid w:val="007E30B9"/>
    <w:rsid w:val="007E74F1"/>
    <w:rsid w:val="007F0F0C"/>
    <w:rsid w:val="007F1288"/>
    <w:rsid w:val="00800A8A"/>
    <w:rsid w:val="0080155C"/>
    <w:rsid w:val="008052E1"/>
    <w:rsid w:val="00822F2C"/>
    <w:rsid w:val="00823DEE"/>
    <w:rsid w:val="008305E8"/>
    <w:rsid w:val="00836165"/>
    <w:rsid w:val="0084640C"/>
    <w:rsid w:val="00856088"/>
    <w:rsid w:val="00860826"/>
    <w:rsid w:val="00860E21"/>
    <w:rsid w:val="00863117"/>
    <w:rsid w:val="0086388B"/>
    <w:rsid w:val="008642E5"/>
    <w:rsid w:val="00864488"/>
    <w:rsid w:val="00870A36"/>
    <w:rsid w:val="00872D93"/>
    <w:rsid w:val="00880470"/>
    <w:rsid w:val="00880D94"/>
    <w:rsid w:val="00886F64"/>
    <w:rsid w:val="008924DE"/>
    <w:rsid w:val="008A3755"/>
    <w:rsid w:val="008B19DC"/>
    <w:rsid w:val="008B264F"/>
    <w:rsid w:val="008B6F83"/>
    <w:rsid w:val="008B7FD8"/>
    <w:rsid w:val="008C1108"/>
    <w:rsid w:val="008C2973"/>
    <w:rsid w:val="008C6324"/>
    <w:rsid w:val="008C64C4"/>
    <w:rsid w:val="008D2CDD"/>
    <w:rsid w:val="008D4592"/>
    <w:rsid w:val="008D74D5"/>
    <w:rsid w:val="008E0ED1"/>
    <w:rsid w:val="008E3A07"/>
    <w:rsid w:val="008E537B"/>
    <w:rsid w:val="008F29BE"/>
    <w:rsid w:val="008F2B72"/>
    <w:rsid w:val="008F4AE5"/>
    <w:rsid w:val="008F51EB"/>
    <w:rsid w:val="00900197"/>
    <w:rsid w:val="00902F55"/>
    <w:rsid w:val="0090582B"/>
    <w:rsid w:val="009060C0"/>
    <w:rsid w:val="009114A2"/>
    <w:rsid w:val="009133F5"/>
    <w:rsid w:val="0091756F"/>
    <w:rsid w:val="00920A27"/>
    <w:rsid w:val="00921216"/>
    <w:rsid w:val="009216CC"/>
    <w:rsid w:val="00926083"/>
    <w:rsid w:val="00930D08"/>
    <w:rsid w:val="00931466"/>
    <w:rsid w:val="00932D69"/>
    <w:rsid w:val="00935589"/>
    <w:rsid w:val="00940F16"/>
    <w:rsid w:val="00944647"/>
    <w:rsid w:val="00947965"/>
    <w:rsid w:val="0095565C"/>
    <w:rsid w:val="00964AB6"/>
    <w:rsid w:val="00966F9A"/>
    <w:rsid w:val="00977B8A"/>
    <w:rsid w:val="00982971"/>
    <w:rsid w:val="009845AD"/>
    <w:rsid w:val="00984835"/>
    <w:rsid w:val="0098639B"/>
    <w:rsid w:val="009933EF"/>
    <w:rsid w:val="00993BBE"/>
    <w:rsid w:val="00995BA0"/>
    <w:rsid w:val="009A418B"/>
    <w:rsid w:val="009A426F"/>
    <w:rsid w:val="009A42D5"/>
    <w:rsid w:val="009A4473"/>
    <w:rsid w:val="009B05C9"/>
    <w:rsid w:val="009B286C"/>
    <w:rsid w:val="009C151C"/>
    <w:rsid w:val="009C440A"/>
    <w:rsid w:val="009D5125"/>
    <w:rsid w:val="009D60B8"/>
    <w:rsid w:val="009D7D4B"/>
    <w:rsid w:val="009E36ED"/>
    <w:rsid w:val="009E3C8C"/>
    <w:rsid w:val="009E6B77"/>
    <w:rsid w:val="009F460A"/>
    <w:rsid w:val="00A043FB"/>
    <w:rsid w:val="00A06BE4"/>
    <w:rsid w:val="00A0729C"/>
    <w:rsid w:val="00A07779"/>
    <w:rsid w:val="00A1166A"/>
    <w:rsid w:val="00A20B2E"/>
    <w:rsid w:val="00A24F33"/>
    <w:rsid w:val="00A25069"/>
    <w:rsid w:val="00A26E6B"/>
    <w:rsid w:val="00A27D16"/>
    <w:rsid w:val="00A3068F"/>
    <w:rsid w:val="00A3145B"/>
    <w:rsid w:val="00A339D0"/>
    <w:rsid w:val="00A41002"/>
    <w:rsid w:val="00A4201A"/>
    <w:rsid w:val="00A5465D"/>
    <w:rsid w:val="00A553CE"/>
    <w:rsid w:val="00A5677A"/>
    <w:rsid w:val="00A56DCC"/>
    <w:rsid w:val="00A625E8"/>
    <w:rsid w:val="00A63DFF"/>
    <w:rsid w:val="00A6490D"/>
    <w:rsid w:val="00A7415D"/>
    <w:rsid w:val="00A80363"/>
    <w:rsid w:val="00A80939"/>
    <w:rsid w:val="00A83E9D"/>
    <w:rsid w:val="00A87C05"/>
    <w:rsid w:val="00A9169D"/>
    <w:rsid w:val="00AA240C"/>
    <w:rsid w:val="00AC101C"/>
    <w:rsid w:val="00AD4CF1"/>
    <w:rsid w:val="00AD5988"/>
    <w:rsid w:val="00AD6293"/>
    <w:rsid w:val="00AF1BA8"/>
    <w:rsid w:val="00AF7800"/>
    <w:rsid w:val="00B00CF5"/>
    <w:rsid w:val="00B072E0"/>
    <w:rsid w:val="00B1007E"/>
    <w:rsid w:val="00B253F6"/>
    <w:rsid w:val="00B26675"/>
    <w:rsid w:val="00B26F0F"/>
    <w:rsid w:val="00B305DB"/>
    <w:rsid w:val="00B332F8"/>
    <w:rsid w:val="00B3492B"/>
    <w:rsid w:val="00B4646F"/>
    <w:rsid w:val="00B55C7D"/>
    <w:rsid w:val="00B63038"/>
    <w:rsid w:val="00B64BD8"/>
    <w:rsid w:val="00B701D1"/>
    <w:rsid w:val="00B71811"/>
    <w:rsid w:val="00B73AF2"/>
    <w:rsid w:val="00B7551A"/>
    <w:rsid w:val="00B773F1"/>
    <w:rsid w:val="00B86AB1"/>
    <w:rsid w:val="00B97F07"/>
    <w:rsid w:val="00BA7EBA"/>
    <w:rsid w:val="00BB2A06"/>
    <w:rsid w:val="00BB2CBB"/>
    <w:rsid w:val="00BB4198"/>
    <w:rsid w:val="00BC03EE"/>
    <w:rsid w:val="00BC59F1"/>
    <w:rsid w:val="00BF3DE1"/>
    <w:rsid w:val="00BF4843"/>
    <w:rsid w:val="00BF5205"/>
    <w:rsid w:val="00BF6CC3"/>
    <w:rsid w:val="00C05132"/>
    <w:rsid w:val="00C073D8"/>
    <w:rsid w:val="00C12508"/>
    <w:rsid w:val="00C23728"/>
    <w:rsid w:val="00C3026C"/>
    <w:rsid w:val="00C313A9"/>
    <w:rsid w:val="00C441CF"/>
    <w:rsid w:val="00C45AA2"/>
    <w:rsid w:val="00C4792C"/>
    <w:rsid w:val="00C55BEF"/>
    <w:rsid w:val="00C601AF"/>
    <w:rsid w:val="00C61A63"/>
    <w:rsid w:val="00C66296"/>
    <w:rsid w:val="00C7394D"/>
    <w:rsid w:val="00C77282"/>
    <w:rsid w:val="00C84DE5"/>
    <w:rsid w:val="00C86248"/>
    <w:rsid w:val="00C90B31"/>
    <w:rsid w:val="00CA0D6F"/>
    <w:rsid w:val="00CA4C33"/>
    <w:rsid w:val="00CA6F4A"/>
    <w:rsid w:val="00CB6427"/>
    <w:rsid w:val="00CC0FBE"/>
    <w:rsid w:val="00CD2119"/>
    <w:rsid w:val="00CD237A"/>
    <w:rsid w:val="00CD36AC"/>
    <w:rsid w:val="00CE13A3"/>
    <w:rsid w:val="00CE36BC"/>
    <w:rsid w:val="00CE61C7"/>
    <w:rsid w:val="00CF1747"/>
    <w:rsid w:val="00CF60ED"/>
    <w:rsid w:val="00D05D74"/>
    <w:rsid w:val="00D20C59"/>
    <w:rsid w:val="00D23323"/>
    <w:rsid w:val="00D2392A"/>
    <w:rsid w:val="00D25FFE"/>
    <w:rsid w:val="00D30BBE"/>
    <w:rsid w:val="00D37D80"/>
    <w:rsid w:val="00D4476F"/>
    <w:rsid w:val="00D50573"/>
    <w:rsid w:val="00D54D50"/>
    <w:rsid w:val="00D560B4"/>
    <w:rsid w:val="00D662F8"/>
    <w:rsid w:val="00D66797"/>
    <w:rsid w:val="00D7074B"/>
    <w:rsid w:val="00D7087C"/>
    <w:rsid w:val="00D70C3C"/>
    <w:rsid w:val="00D71DF7"/>
    <w:rsid w:val="00D72BE5"/>
    <w:rsid w:val="00D81462"/>
    <w:rsid w:val="00D82F26"/>
    <w:rsid w:val="00D863D0"/>
    <w:rsid w:val="00D86B00"/>
    <w:rsid w:val="00D86FB9"/>
    <w:rsid w:val="00D87C87"/>
    <w:rsid w:val="00D90BB4"/>
    <w:rsid w:val="00D90E07"/>
    <w:rsid w:val="00D932C2"/>
    <w:rsid w:val="00DB39CF"/>
    <w:rsid w:val="00DB7256"/>
    <w:rsid w:val="00DC0401"/>
    <w:rsid w:val="00DC20BD"/>
    <w:rsid w:val="00DD0BCD"/>
    <w:rsid w:val="00DD447A"/>
    <w:rsid w:val="00DE3B20"/>
    <w:rsid w:val="00DE6C94"/>
    <w:rsid w:val="00DE6FD7"/>
    <w:rsid w:val="00E23271"/>
    <w:rsid w:val="00E24F80"/>
    <w:rsid w:val="00E259F3"/>
    <w:rsid w:val="00E30985"/>
    <w:rsid w:val="00E33238"/>
    <w:rsid w:val="00E376B7"/>
    <w:rsid w:val="00E42F5D"/>
    <w:rsid w:val="00E4486C"/>
    <w:rsid w:val="00E460B6"/>
    <w:rsid w:val="00E511D5"/>
    <w:rsid w:val="00E53A9F"/>
    <w:rsid w:val="00E60249"/>
    <w:rsid w:val="00E65269"/>
    <w:rsid w:val="00E76D66"/>
    <w:rsid w:val="00EA0CC9"/>
    <w:rsid w:val="00EA796A"/>
    <w:rsid w:val="00EB1856"/>
    <w:rsid w:val="00EC50CE"/>
    <w:rsid w:val="00EC5B34"/>
    <w:rsid w:val="00ED021E"/>
    <w:rsid w:val="00ED323C"/>
    <w:rsid w:val="00EE2D5C"/>
    <w:rsid w:val="00EE4ADE"/>
    <w:rsid w:val="00EE4DE8"/>
    <w:rsid w:val="00EE5CB7"/>
    <w:rsid w:val="00EE6367"/>
    <w:rsid w:val="00F024FE"/>
    <w:rsid w:val="00F05AD4"/>
    <w:rsid w:val="00F10EB6"/>
    <w:rsid w:val="00F13F07"/>
    <w:rsid w:val="00F140B2"/>
    <w:rsid w:val="00F25970"/>
    <w:rsid w:val="00F311A9"/>
    <w:rsid w:val="00F32C1D"/>
    <w:rsid w:val="00F5180D"/>
    <w:rsid w:val="00F63781"/>
    <w:rsid w:val="00F67496"/>
    <w:rsid w:val="00F801BA"/>
    <w:rsid w:val="00F9366A"/>
    <w:rsid w:val="00F946C9"/>
    <w:rsid w:val="00FA0EA5"/>
    <w:rsid w:val="00FA74EE"/>
    <w:rsid w:val="00FC3711"/>
    <w:rsid w:val="00FC46E7"/>
    <w:rsid w:val="00FC5D25"/>
    <w:rsid w:val="00FD0D7E"/>
    <w:rsid w:val="00FD4FFB"/>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EEEB9C"/>
  <w15:docId w15:val="{76CBE254-8ACF-4B34-B292-E85591241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1" w:qFormat="1"/>
    <w:lsdException w:name="heading 4" w:uiPriority="1" w:qFormat="1"/>
    <w:lsdException w:name="heading 5"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uiPriority w:val="9"/>
    <w:qFormat/>
    <w:rsid w:val="00D86B00"/>
    <w:pPr>
      <w:keepNext/>
      <w:spacing w:before="600" w:after="360"/>
      <w:outlineLvl w:val="0"/>
    </w:pPr>
    <w:rPr>
      <w:b/>
      <w:color w:val="23305D"/>
      <w:spacing w:val="-10"/>
      <w:sz w:val="72"/>
    </w:rPr>
  </w:style>
  <w:style w:type="paragraph" w:styleId="Heading2">
    <w:name w:val="heading 2"/>
    <w:basedOn w:val="Normal"/>
    <w:next w:val="Normal"/>
    <w:link w:val="Heading2Char"/>
    <w:uiPriority w:val="9"/>
    <w:qFormat/>
    <w:rsid w:val="00030E84"/>
    <w:pPr>
      <w:keepNext/>
      <w:spacing w:before="480" w:after="180"/>
      <w:outlineLvl w:val="1"/>
    </w:pPr>
    <w:rPr>
      <w:b/>
      <w:color w:val="0A6AB4"/>
      <w:spacing w:val="-5"/>
      <w:sz w:val="48"/>
    </w:rPr>
  </w:style>
  <w:style w:type="paragraph" w:styleId="Heading3">
    <w:name w:val="heading 3"/>
    <w:basedOn w:val="Normal"/>
    <w:next w:val="Normal"/>
    <w:link w:val="Heading3Char"/>
    <w:uiPriority w:val="1"/>
    <w:qFormat/>
    <w:rsid w:val="00030E84"/>
    <w:pPr>
      <w:keepNext/>
      <w:spacing w:before="360" w:after="180"/>
      <w:outlineLvl w:val="2"/>
    </w:pPr>
    <w:rPr>
      <w:color w:val="0A6AB4"/>
      <w:spacing w:val="-5"/>
      <w:sz w:val="36"/>
    </w:rPr>
  </w:style>
  <w:style w:type="paragraph" w:styleId="Heading4">
    <w:name w:val="heading 4"/>
    <w:basedOn w:val="Normal"/>
    <w:next w:val="Normal"/>
    <w:link w:val="Heading4Char"/>
    <w:uiPriority w:val="1"/>
    <w:qFormat/>
    <w:rsid w:val="00030E84"/>
    <w:pPr>
      <w:keepNext/>
      <w:spacing w:before="240" w:after="120"/>
      <w:outlineLvl w:val="3"/>
    </w:pPr>
    <w:rPr>
      <w:color w:val="0A6AB4"/>
      <w:sz w:val="28"/>
    </w:rPr>
  </w:style>
  <w:style w:type="paragraph" w:styleId="Heading5">
    <w:name w:val="heading 5"/>
    <w:basedOn w:val="Normal"/>
    <w:next w:val="Normal"/>
    <w:link w:val="Heading5Char"/>
    <w:uiPriority w:val="1"/>
    <w:qFormat/>
    <w:rsid w:val="00B00CF5"/>
    <w:pPr>
      <w:keepNext/>
      <w:spacing w:before="120" w:after="120"/>
      <w:outlineLvl w:val="4"/>
    </w:pPr>
    <w:rPr>
      <w:color w:val="0A6AB4"/>
      <w:sz w:val="24"/>
    </w:rPr>
  </w:style>
  <w:style w:type="paragraph" w:styleId="Heading6">
    <w:name w:val="heading 6"/>
    <w:basedOn w:val="Normal"/>
    <w:next w:val="Normal"/>
    <w:link w:val="Heading6Char"/>
    <w:uiPriority w:val="1"/>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1"/>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1"/>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1"/>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1D3E4E"/>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2B76A7"/>
    <w:pPr>
      <w:tabs>
        <w:tab w:val="right" w:pos="8080"/>
      </w:tabs>
      <w:spacing w:before="60"/>
      <w:ind w:left="284" w:right="567"/>
    </w:pPr>
    <w:rPr>
      <w:sz w:val="22"/>
    </w:rPr>
  </w:style>
  <w:style w:type="paragraph" w:styleId="TOC3">
    <w:name w:val="toc 3"/>
    <w:basedOn w:val="Normal"/>
    <w:next w:val="Normal"/>
    <w:rsid w:val="002B76A7"/>
    <w:pPr>
      <w:tabs>
        <w:tab w:val="right" w:pos="8080"/>
      </w:tabs>
      <w:spacing w:before="120"/>
      <w:ind w:left="1276" w:right="567" w:hanging="1276"/>
    </w:pPr>
  </w:style>
  <w:style w:type="paragraph" w:customStyle="1" w:styleId="Bullet">
    <w:name w:val="Bullet"/>
    <w:basedOn w:val="Normal"/>
    <w:qFormat/>
    <w:rsid w:val="00FA0EA5"/>
    <w:pPr>
      <w:numPr>
        <w:numId w:val="1"/>
      </w:numPr>
      <w:tabs>
        <w:tab w:val="clear" w:pos="284"/>
      </w:tabs>
      <w:spacing w:before="90"/>
    </w:pPr>
  </w:style>
  <w:style w:type="paragraph" w:styleId="Quote">
    <w:name w:val="Quote"/>
    <w:basedOn w:val="Normal"/>
    <w:next w:val="Normal"/>
    <w:link w:val="QuoteChar"/>
    <w:uiPriority w:val="29"/>
    <w:qFormat/>
    <w:pPr>
      <w:spacing w:before="120"/>
      <w:ind w:left="284" w:right="284"/>
    </w:pPr>
  </w:style>
  <w:style w:type="paragraph" w:styleId="FootnoteText">
    <w:name w:val="footnote text"/>
    <w:basedOn w:val="Normal"/>
    <w:link w:val="FootnoteTextChar"/>
    <w:uiPriority w:val="99"/>
    <w:rsid w:val="00A7415D"/>
    <w:pPr>
      <w:spacing w:before="60" w:line="228" w:lineRule="auto"/>
      <w:ind w:left="284" w:hanging="284"/>
    </w:pPr>
    <w:rPr>
      <w:sz w:val="17"/>
    </w:rPr>
  </w:style>
  <w:style w:type="paragraph" w:styleId="Header">
    <w:name w:val="header"/>
    <w:basedOn w:val="Normal"/>
    <w:link w:val="HeaderChar"/>
    <w:qFormat/>
    <w:rsid w:val="00D25FFE"/>
  </w:style>
  <w:style w:type="paragraph" w:styleId="Title">
    <w:name w:val="Title"/>
    <w:basedOn w:val="Normal"/>
    <w:next w:val="Normal"/>
    <w:link w:val="TitleChar"/>
    <w:uiPriority w:val="99"/>
    <w:qFormat/>
    <w:rsid w:val="005A79E5"/>
    <w:pPr>
      <w:spacing w:line="216" w:lineRule="auto"/>
      <w:ind w:right="3402"/>
    </w:pPr>
    <w:rPr>
      <w:rFonts w:ascii="Segoe UI Black" w:hAnsi="Segoe UI Black" w:cs="Lucida Sans Unicode"/>
      <w:b/>
      <w:sz w:val="72"/>
      <w:szCs w:val="72"/>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qFormat/>
    <w:rsid w:val="007A067F"/>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uiPriority w:val="99"/>
    <w:qFormat/>
    <w:rsid w:val="009C440A"/>
    <w:pPr>
      <w:spacing w:before="60" w:after="60"/>
    </w:pPr>
    <w:rPr>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E30985"/>
    <w:pPr>
      <w:spacing w:line="264" w:lineRule="auto"/>
    </w:pPr>
    <w:rPr>
      <w:color w:val="FFFFFF" w:themeColor="background1"/>
    </w:rPr>
  </w:style>
  <w:style w:type="paragraph" w:customStyle="1" w:styleId="IntroHead">
    <w:name w:val="IntroHead"/>
    <w:basedOn w:val="Heading1"/>
    <w:next w:val="Normal"/>
    <w:qFormat/>
    <w:rsid w:val="001D3E4E"/>
    <w:pPr>
      <w:spacing w:before="0"/>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4"/>
      </w:numPr>
      <w:spacing w:before="40" w:after="0"/>
    </w:pPr>
    <w:rPr>
      <w:szCs w:val="22"/>
    </w:rPr>
  </w:style>
  <w:style w:type="character" w:customStyle="1" w:styleId="NoteChar">
    <w:name w:val="Note Char"/>
    <w:link w:val="Note"/>
    <w:rsid w:val="00A87C05"/>
    <w:rPr>
      <w:rFonts w:ascii="Segoe UI" w:hAnsi="Segoe UI"/>
      <w:sz w:val="17"/>
      <w:lang w:eastAsia="en-GB"/>
    </w:rPr>
  </w:style>
  <w:style w:type="character" w:customStyle="1" w:styleId="FootnoteTextChar">
    <w:name w:val="Footnote Text Char"/>
    <w:link w:val="FootnoteText"/>
    <w:uiPriority w:val="99"/>
    <w:rsid w:val="00A7415D"/>
    <w:rPr>
      <w:rFonts w:ascii="Segoe UI" w:hAnsi="Segoe UI"/>
      <w:sz w:val="17"/>
      <w:lang w:eastAsia="en-GB"/>
    </w:rPr>
  </w:style>
  <w:style w:type="table" w:styleId="TableGrid">
    <w:name w:val="Table Grid"/>
    <w:basedOn w:val="TableNormal"/>
    <w:uiPriority w:val="3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rsid w:val="007A067F"/>
    <w:rPr>
      <w:rFonts w:ascii="Segoe UI" w:hAnsi="Segoe UI"/>
      <w:sz w:val="21"/>
      <w:lang w:eastAsia="en-GB"/>
    </w:rPr>
  </w:style>
  <w:style w:type="character" w:customStyle="1" w:styleId="Heading1Char">
    <w:name w:val="Heading 1 Char"/>
    <w:link w:val="Heading1"/>
    <w:uiPriority w:val="9"/>
    <w:rsid w:val="00D86B00"/>
    <w:rPr>
      <w:rFonts w:ascii="Segoe UI" w:hAnsi="Segoe UI"/>
      <w:b/>
      <w:color w:val="23305D"/>
      <w:spacing w:val="-10"/>
      <w:sz w:val="72"/>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uiPriority w:val="9"/>
    <w:rsid w:val="00030E84"/>
    <w:rPr>
      <w:rFonts w:ascii="Segoe UI" w:hAnsi="Segoe UI"/>
      <w:b/>
      <w:color w:val="0A6AB4"/>
      <w:spacing w:val="-5"/>
      <w:sz w:val="48"/>
      <w:lang w:eastAsia="en-GB"/>
    </w:rPr>
  </w:style>
  <w:style w:type="character" w:customStyle="1" w:styleId="Heading3Char">
    <w:name w:val="Heading 3 Char"/>
    <w:link w:val="Heading3"/>
    <w:uiPriority w:val="9"/>
    <w:rsid w:val="00030E84"/>
    <w:rPr>
      <w:rFonts w:ascii="Segoe UI" w:hAnsi="Segoe UI"/>
      <w:color w:val="0A6AB4"/>
      <w:spacing w:val="-5"/>
      <w:sz w:val="36"/>
      <w:lang w:eastAsia="en-GB"/>
    </w:rPr>
  </w:style>
  <w:style w:type="paragraph" w:customStyle="1" w:styleId="Year">
    <w:name w:val="Year"/>
    <w:basedOn w:val="Subhead"/>
    <w:next w:val="Subhead"/>
    <w:qFormat/>
    <w:rsid w:val="00531E12"/>
    <w:rPr>
      <w:sz w:val="28"/>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1"/>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character" w:customStyle="1" w:styleId="Heading4Char">
    <w:name w:val="Heading 4 Char"/>
    <w:link w:val="Heading4"/>
    <w:uiPriority w:val="1"/>
    <w:rsid w:val="00030E84"/>
    <w:rPr>
      <w:rFonts w:ascii="Segoe UI" w:hAnsi="Segoe UI"/>
      <w:color w:val="0A6AB4"/>
      <w:sz w:val="28"/>
      <w:lang w:eastAsia="en-GB"/>
    </w:rPr>
  </w:style>
  <w:style w:type="character" w:customStyle="1" w:styleId="Heading5Char">
    <w:name w:val="Heading 5 Char"/>
    <w:link w:val="Heading5"/>
    <w:uiPriority w:val="1"/>
    <w:rsid w:val="00B00CF5"/>
    <w:rPr>
      <w:rFonts w:ascii="Segoe UI" w:hAnsi="Segoe UI"/>
      <w:color w:val="0A6AB4"/>
      <w:sz w:val="24"/>
      <w:lang w:eastAsia="en-GB"/>
    </w:rPr>
  </w:style>
  <w:style w:type="character" w:customStyle="1" w:styleId="QuoteChar">
    <w:name w:val="Quote Char"/>
    <w:link w:val="Quote"/>
    <w:uiPriority w:val="29"/>
    <w:rsid w:val="00122363"/>
    <w:rPr>
      <w:rFonts w:ascii="Georgia" w:hAnsi="Georgia"/>
      <w:sz w:val="22"/>
      <w:lang w:eastAsia="en-GB"/>
    </w:rPr>
  </w:style>
  <w:style w:type="character" w:customStyle="1" w:styleId="TitleChar">
    <w:name w:val="Title Char"/>
    <w:link w:val="Title"/>
    <w:uiPriority w:val="99"/>
    <w:rsid w:val="005A79E5"/>
    <w:rPr>
      <w:rFonts w:ascii="Segoe UI Black" w:hAnsi="Segoe UI Black" w:cs="Lucida Sans Unicode"/>
      <w:b/>
      <w:sz w:val="72"/>
      <w:szCs w:val="72"/>
      <w:lang w:eastAsia="en-GB"/>
    </w:rPr>
  </w:style>
  <w:style w:type="paragraph" w:customStyle="1" w:styleId="Number">
    <w:name w:val="Number"/>
    <w:basedOn w:val="Normal"/>
    <w:rsid w:val="00F140B2"/>
    <w:pPr>
      <w:numPr>
        <w:numId w:val="17"/>
      </w:numPr>
      <w:spacing w:before="180"/>
    </w:pPr>
    <w:rPr>
      <w:szCs w:val="24"/>
    </w:rPr>
  </w:style>
  <w:style w:type="paragraph" w:customStyle="1" w:styleId="Letter">
    <w:name w:val="Letter"/>
    <w:basedOn w:val="Normal"/>
    <w:qFormat/>
    <w:rsid w:val="00F140B2"/>
    <w:pPr>
      <w:numPr>
        <w:ilvl w:val="1"/>
        <w:numId w:val="17"/>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AD6293"/>
    <w:pPr>
      <w:numPr>
        <w:ilvl w:val="2"/>
        <w:numId w:val="17"/>
      </w:numPr>
      <w:spacing w:before="90"/>
    </w:pPr>
    <w:rPr>
      <w:rFonts w:eastAsia="Arial Unicode MS"/>
    </w:rPr>
  </w:style>
  <w:style w:type="paragraph" w:styleId="ListParagraph">
    <w:name w:val="List Paragraph"/>
    <w:basedOn w:val="Normal"/>
    <w:uiPriority w:val="34"/>
    <w:qFormat/>
    <w:rsid w:val="00655936"/>
    <w:pPr>
      <w:spacing w:after="180" w:line="276" w:lineRule="auto"/>
      <w:ind w:left="720"/>
      <w:contextualSpacing/>
    </w:pPr>
    <w:rPr>
      <w:rFonts w:asciiTheme="minorHAnsi" w:hAnsiTheme="minorHAnsi"/>
      <w:sz w:val="22"/>
      <w:szCs w:val="24"/>
    </w:rPr>
  </w:style>
  <w:style w:type="paragraph" w:styleId="Caption">
    <w:name w:val="caption"/>
    <w:basedOn w:val="Normal"/>
    <w:next w:val="Normal"/>
    <w:uiPriority w:val="35"/>
    <w:unhideWhenUsed/>
    <w:qFormat/>
    <w:rsid w:val="00232490"/>
    <w:pPr>
      <w:spacing w:before="120" w:after="120" w:line="276" w:lineRule="auto"/>
    </w:pPr>
    <w:rPr>
      <w:rFonts w:asciiTheme="minorHAnsi" w:hAnsiTheme="minorHAnsi"/>
      <w:b/>
      <w:bCs/>
      <w:iCs/>
      <w:sz w:val="20"/>
      <w:szCs w:val="18"/>
    </w:rPr>
  </w:style>
  <w:style w:type="paragraph" w:customStyle="1" w:styleId="Tabletext0">
    <w:name w:val="Table text"/>
    <w:basedOn w:val="Normal"/>
    <w:qFormat/>
    <w:rsid w:val="00655936"/>
    <w:pPr>
      <w:tabs>
        <w:tab w:val="left" w:pos="0"/>
      </w:tabs>
      <w:spacing w:before="60" w:after="60" w:line="276" w:lineRule="auto"/>
    </w:pPr>
    <w:rPr>
      <w:rFonts w:ascii="Times" w:hAnsi="Times" w:cs="Arial"/>
      <w:sz w:val="22"/>
    </w:rPr>
  </w:style>
  <w:style w:type="paragraph" w:styleId="ListBullet">
    <w:name w:val="List Bullet"/>
    <w:basedOn w:val="Normal"/>
    <w:uiPriority w:val="99"/>
    <w:unhideWhenUsed/>
    <w:rsid w:val="00655936"/>
    <w:pPr>
      <w:numPr>
        <w:numId w:val="34"/>
      </w:numPr>
      <w:spacing w:after="180" w:line="276" w:lineRule="auto"/>
      <w:contextualSpacing/>
    </w:pPr>
    <w:rPr>
      <w:rFonts w:asciiTheme="minorHAnsi" w:hAnsiTheme="minorHAnsi"/>
      <w:sz w:val="22"/>
      <w:szCs w:val="24"/>
    </w:rPr>
  </w:style>
  <w:style w:type="paragraph" w:styleId="TableofFigures">
    <w:name w:val="table of figures"/>
    <w:basedOn w:val="Normal"/>
    <w:next w:val="Normal"/>
    <w:uiPriority w:val="99"/>
    <w:unhideWhenUsed/>
    <w:rsid w:val="00655936"/>
    <w:pPr>
      <w:tabs>
        <w:tab w:val="right" w:pos="7938"/>
      </w:tabs>
      <w:spacing w:before="90"/>
    </w:pPr>
  </w:style>
  <w:style w:type="paragraph" w:styleId="ListNumber">
    <w:name w:val="List Number"/>
    <w:basedOn w:val="Normal"/>
    <w:uiPriority w:val="99"/>
    <w:unhideWhenUsed/>
    <w:rsid w:val="00993BBE"/>
    <w:pPr>
      <w:numPr>
        <w:numId w:val="37"/>
      </w:numPr>
      <w:spacing w:after="160" w:line="259" w:lineRule="auto"/>
      <w:contextualSpacing/>
      <w:jc w:val="both"/>
    </w:pPr>
    <w:rPr>
      <w:rFonts w:asciiTheme="minorHAnsi" w:eastAsiaTheme="minorHAnsi" w:hAnsiTheme="minorHAnsi" w:cstheme="minorBidi"/>
      <w:sz w:val="22"/>
      <w:szCs w:val="22"/>
      <w:lang w:eastAsia="en-US"/>
    </w:rPr>
  </w:style>
  <w:style w:type="paragraph" w:styleId="ListBullet2">
    <w:name w:val="List Bullet 2"/>
    <w:basedOn w:val="Normal"/>
    <w:uiPriority w:val="99"/>
    <w:unhideWhenUsed/>
    <w:rsid w:val="00993BBE"/>
    <w:pPr>
      <w:numPr>
        <w:numId w:val="38"/>
      </w:numPr>
      <w:spacing w:after="160" w:line="259" w:lineRule="auto"/>
      <w:contextualSpacing/>
      <w:jc w:val="both"/>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enablinggoodlives.co.nz/about-egl/" TargetMode="External"/><Relationship Id="rId1" Type="http://schemas.openxmlformats.org/officeDocument/2006/relationships/hyperlink" Target="https://manawhaikaha.co.nz/assets/Uploads/Mana-Whaikaha-Implementation-Evaluation-Final-Version-3-March-2020-00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oreinformation xmlns="4f3c4a1c-e017-4d66-9e67-218047e46dfe">Click the three dots, download the document then open in browser to see the insights</Moreinformation>
    <TaxCatchAll xmlns="00a4df5b-51f4-4e7a-b755-8a381a6dfbc5" xsi:nil="true"/>
    <lcf76f155ced4ddcb4097134ff3c332f xmlns="4f3c4a1c-e017-4d66-9e67-218047e46dfe">
      <Terms xmlns="http://schemas.microsoft.com/office/infopath/2007/PartnerControls"/>
    </lcf76f155ced4ddcb4097134ff3c332f>
    <Category xmlns="4f3c4a1c-e017-4d66-9e67-218047e46df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BFC9454AF665489687E7396D53C354" ma:contentTypeVersion="19" ma:contentTypeDescription="Create a new document." ma:contentTypeScope="" ma:versionID="ef148a0db5900000607107c2f941ac5d">
  <xsd:schema xmlns:xsd="http://www.w3.org/2001/XMLSchema" xmlns:xs="http://www.w3.org/2001/XMLSchema" xmlns:p="http://schemas.microsoft.com/office/2006/metadata/properties" xmlns:ns2="4f3c4a1c-e017-4d66-9e67-218047e46dfe" xmlns:ns3="ff804206-f34c-4cf1-a530-088e515a7286" xmlns:ns4="00a4df5b-51f4-4e7a-b755-8a381a6dfbc5" targetNamespace="http://schemas.microsoft.com/office/2006/metadata/properties" ma:root="true" ma:fieldsID="88d0b2985262702febffa62e51f94aa1" ns2:_="" ns3:_="" ns4:_="">
    <xsd:import namespace="4f3c4a1c-e017-4d66-9e67-218047e46dfe"/>
    <xsd:import namespace="ff804206-f34c-4cf1-a530-088e515a7286"/>
    <xsd:import namespace="00a4df5b-51f4-4e7a-b755-8a381a6dfbc5"/>
    <xsd:element name="properties">
      <xsd:complexType>
        <xsd:sequence>
          <xsd:element name="documentManagement">
            <xsd:complexType>
              <xsd:all>
                <xsd:element ref="ns2:Moreinformation" minOccurs="0"/>
                <xsd:element ref="ns2:Category"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3c4a1c-e017-4d66-9e67-218047e46dfe" elementFormDefault="qualified">
    <xsd:import namespace="http://schemas.microsoft.com/office/2006/documentManagement/types"/>
    <xsd:import namespace="http://schemas.microsoft.com/office/infopath/2007/PartnerControls"/>
    <xsd:element name="Moreinformation" ma:index="3" nillable="true" ma:displayName="More information" ma:default="Click the three dots, download the document then open in browser to see the insights" ma:description="Click the three dots, download the document then open in browser to see the insights" ma:format="Dropdown" ma:internalName="Moreinformation" ma:readOnly="false">
      <xsd:simpleType>
        <xsd:restriction base="dms:Note">
          <xsd:maxLength value="255"/>
        </xsd:restriction>
      </xsd:simpleType>
    </xsd:element>
    <xsd:element name="Category" ma:index="4" nillable="true" ma:displayName="Category" ma:description="Higher level category that the report sits under, based on Tatau Kahukura headings - also visible in the Report summary doc" ma:format="Dropdown" ma:internalName="Category"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hidden="true"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hidden="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804206-f34c-4cf1-a530-088e515a7286"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4df5b-51f4-4e7a-b755-8a381a6dfbc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8c91dc2-3e21-4ef4-85f4-e85750907c1f}" ma:internalName="TaxCatchAll" ma:readOnly="false" ma:showField="CatchAllData" ma:web="ff804206-f34c-4cf1-a530-088e515a72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7FFB0-260E-4BEB-AB23-5A43F0263A51}">
  <ds:schemaRefs>
    <ds:schemaRef ds:uri="4f3c4a1c-e017-4d66-9e67-218047e46dfe"/>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purl.org/dc/dcmitype/"/>
    <ds:schemaRef ds:uri="00a4df5b-51f4-4e7a-b755-8a381a6dfbc5"/>
    <ds:schemaRef ds:uri="ff804206-f34c-4cf1-a530-088e515a7286"/>
    <ds:schemaRef ds:uri="http://www.w3.org/XML/1998/namespace"/>
  </ds:schemaRefs>
</ds:datastoreItem>
</file>

<file path=customXml/itemProps2.xml><?xml version="1.0" encoding="utf-8"?>
<ds:datastoreItem xmlns:ds="http://schemas.openxmlformats.org/officeDocument/2006/customXml" ds:itemID="{BFDE10D4-B04D-46BB-8458-050322E51106}">
  <ds:schemaRefs>
    <ds:schemaRef ds:uri="http://schemas.microsoft.com/sharepoint/v3/contenttype/forms"/>
  </ds:schemaRefs>
</ds:datastoreItem>
</file>

<file path=customXml/itemProps3.xml><?xml version="1.0" encoding="utf-8"?>
<ds:datastoreItem xmlns:ds="http://schemas.openxmlformats.org/officeDocument/2006/customXml" ds:itemID="{E1AC5536-5B03-4A85-8935-A506439AD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3c4a1c-e017-4d66-9e67-218047e46dfe"/>
    <ds:schemaRef ds:uri="ff804206-f34c-4cf1-a530-088e515a7286"/>
    <ds:schemaRef ds:uri="00a4df5b-51f4-4e7a-b755-8a381a6dfb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47F67D-389C-427D-8AD9-389F83D09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12</TotalTime>
  <Pages>19</Pages>
  <Words>3405</Words>
  <Characters>19526</Characters>
  <Application>Microsoft Office Word</Application>
  <DocSecurity>0</DocSecurity>
  <Lines>433</Lines>
  <Paragraphs>183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 Whaikaha Flexible Funding as Part of a Broader Transformation to Improve Outcomes for Disabled People and their Whānau</dc:title>
  <dc:creator>ThinkPlace</dc:creator>
  <cp:lastModifiedBy>Megan BELL</cp:lastModifiedBy>
  <cp:revision>14</cp:revision>
  <cp:lastPrinted>2015-11-17T05:02:00Z</cp:lastPrinted>
  <dcterms:created xsi:type="dcterms:W3CDTF">2023-01-09T21:56:00Z</dcterms:created>
  <dcterms:modified xsi:type="dcterms:W3CDTF">2023-01-16T20:45:00Z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0x0101005DBFC9454AF665489687E7396D53C354</vt:lpwstr>
  </property>
  <property fmtid="{D5CDD505-2E9C-101B-9397-08002B2CF9AE}" pid="3" name="MediaServiceImageTags">
    <vt:lpwstr/>
  </property>
</Properties>
</file>