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5161" w14:textId="435BC91D" w:rsidR="00C86248" w:rsidRPr="00655936" w:rsidRDefault="00B319E1" w:rsidP="00C00583">
      <w:pPr>
        <w:pStyle w:val="Title"/>
        <w:ind w:right="3260"/>
        <w:rPr>
          <w:sz w:val="60"/>
          <w:szCs w:val="60"/>
        </w:rPr>
      </w:pPr>
      <w:r w:rsidRPr="00B319E1">
        <w:rPr>
          <w:sz w:val="60"/>
          <w:szCs w:val="60"/>
        </w:rPr>
        <w:t xml:space="preserve">Healthy Families NZ ‘Community Up’ Approach to Improving Wellbeing and Equity: Commissioning for </w:t>
      </w:r>
      <w:proofErr w:type="spellStart"/>
      <w:r w:rsidRPr="00B319E1">
        <w:rPr>
          <w:sz w:val="60"/>
          <w:szCs w:val="60"/>
        </w:rPr>
        <w:t>Pae</w:t>
      </w:r>
      <w:proofErr w:type="spellEnd"/>
      <w:r w:rsidRPr="00B319E1">
        <w:rPr>
          <w:sz w:val="60"/>
          <w:szCs w:val="60"/>
        </w:rPr>
        <w:t xml:space="preserve"> Ora | Healthy Futures case study</w:t>
      </w:r>
      <w:r>
        <w:rPr>
          <w:sz w:val="60"/>
          <w:szCs w:val="60"/>
        </w:rPr>
        <w:t xml:space="preserve"> </w:t>
      </w:r>
    </w:p>
    <w:p w14:paraId="2A961E80" w14:textId="60DBDE31" w:rsidR="00531E12" w:rsidRPr="00531E12" w:rsidRDefault="00655936" w:rsidP="00531E12">
      <w:pPr>
        <w:pStyle w:val="Year"/>
      </w:pPr>
      <w:r>
        <w:t>202</w:t>
      </w:r>
      <w:r w:rsidR="001155F9">
        <w:t>3</w:t>
      </w:r>
    </w:p>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0CB4C040" w14:textId="46E8689C" w:rsidR="00655936" w:rsidRPr="00C05132" w:rsidRDefault="00655936" w:rsidP="00655936">
      <w:pPr>
        <w:pStyle w:val="Imprint"/>
        <w:spacing w:before="1200"/>
        <w:rPr>
          <w:rFonts w:cs="Segoe UI"/>
        </w:rPr>
      </w:pPr>
      <w:r w:rsidRPr="00C05132">
        <w:rPr>
          <w:rFonts w:cs="Segoe UI"/>
        </w:rPr>
        <w:lastRenderedPageBreak/>
        <w:t xml:space="preserve">Citation: </w:t>
      </w:r>
      <w:r w:rsidR="00B319E1" w:rsidRPr="00B319E1">
        <w:rPr>
          <w:rFonts w:cs="Segoe UI"/>
        </w:rPr>
        <w:t>Healthy Families NZ; Ministry of Health (ed). 202</w:t>
      </w:r>
      <w:r w:rsidR="00B66DEE">
        <w:rPr>
          <w:rFonts w:cs="Segoe UI"/>
        </w:rPr>
        <w:t>3</w:t>
      </w:r>
      <w:r w:rsidR="00B319E1" w:rsidRPr="00B319E1">
        <w:rPr>
          <w:rFonts w:cs="Segoe UI"/>
        </w:rPr>
        <w:t xml:space="preserve">. </w:t>
      </w:r>
      <w:r w:rsidR="00B319E1" w:rsidRPr="00B319E1">
        <w:rPr>
          <w:rFonts w:cs="Segoe UI"/>
          <w:i/>
          <w:iCs/>
        </w:rPr>
        <w:t xml:space="preserve">Healthy Families NZ ‘Community Up’ Approach to Improving Wellbeing and Equity: Commissioning for </w:t>
      </w:r>
      <w:proofErr w:type="spellStart"/>
      <w:r w:rsidR="00B319E1" w:rsidRPr="00B319E1">
        <w:rPr>
          <w:rFonts w:cs="Segoe UI"/>
          <w:i/>
          <w:iCs/>
        </w:rPr>
        <w:t>Pae</w:t>
      </w:r>
      <w:proofErr w:type="spellEnd"/>
      <w:r w:rsidR="00B319E1" w:rsidRPr="00B319E1">
        <w:rPr>
          <w:rFonts w:cs="Segoe UI"/>
          <w:i/>
          <w:iCs/>
        </w:rPr>
        <w:t xml:space="preserve"> Ora | Healthy Futures case study</w:t>
      </w:r>
      <w:r w:rsidR="00B319E1" w:rsidRPr="00B319E1">
        <w:rPr>
          <w:rFonts w:cs="Segoe UI"/>
        </w:rPr>
        <w:t>. Wellington</w:t>
      </w:r>
      <w:r w:rsidR="00993BBE">
        <w:rPr>
          <w:rFonts w:cs="Segoe UI"/>
        </w:rPr>
        <w:t>:</w:t>
      </w:r>
      <w:r w:rsidRPr="00C05132">
        <w:rPr>
          <w:rFonts w:cs="Segoe UI"/>
        </w:rPr>
        <w:t xml:space="preserve"> Ministry of Health.</w:t>
      </w:r>
    </w:p>
    <w:p w14:paraId="0D4015BE" w14:textId="20B8FA46" w:rsidR="00655936" w:rsidRPr="00B66DEE" w:rsidRDefault="00655936" w:rsidP="00655936">
      <w:pPr>
        <w:pStyle w:val="Imprint"/>
      </w:pPr>
      <w:r w:rsidRPr="00B66DEE">
        <w:t xml:space="preserve">Published in </w:t>
      </w:r>
      <w:r w:rsidR="00B66DEE">
        <w:t>January 2023</w:t>
      </w:r>
      <w:r w:rsidRPr="00B66DEE">
        <w:t xml:space="preserve"> by the Ministry of Health</w:t>
      </w:r>
      <w:r w:rsidRPr="00B66DEE">
        <w:br/>
        <w:t>PO Box 5013, Wellington 6140, New Zealand</w:t>
      </w:r>
    </w:p>
    <w:p w14:paraId="6E8EE03B" w14:textId="678068E5" w:rsidR="00655936" w:rsidRPr="009C0F2D" w:rsidRDefault="00655936" w:rsidP="00655936">
      <w:pPr>
        <w:pStyle w:val="Imprint"/>
      </w:pPr>
      <w:r w:rsidRPr="00B66DEE">
        <w:t xml:space="preserve">HP </w:t>
      </w:r>
      <w:r w:rsidR="005548B4">
        <w:t>8653</w:t>
      </w:r>
    </w:p>
    <w:p w14:paraId="48DBDA36" w14:textId="77777777" w:rsidR="00C86248" w:rsidRDefault="008C64C4" w:rsidP="00A63DFF">
      <w:r>
        <w:rPr>
          <w:noProof/>
          <w:lang w:eastAsia="en-NZ"/>
        </w:rPr>
        <w:drawing>
          <wp:inline distT="0" distB="0" distL="0" distR="0" wp14:anchorId="6EF4539D" wp14:editId="22D6CF61">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15C47ED1" w14:textId="760174E3" w:rsidR="00C00583" w:rsidRDefault="009C2CCB">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24832982" w:history="1">
        <w:r w:rsidR="00C00583" w:rsidRPr="000607F4">
          <w:rPr>
            <w:rStyle w:val="Hyperlink"/>
            <w:noProof/>
          </w:rPr>
          <w:t>Purpose</w:t>
        </w:r>
        <w:r w:rsidR="00C00583">
          <w:rPr>
            <w:noProof/>
            <w:webHidden/>
          </w:rPr>
          <w:tab/>
        </w:r>
        <w:r w:rsidR="00C00583">
          <w:rPr>
            <w:noProof/>
            <w:webHidden/>
          </w:rPr>
          <w:fldChar w:fldCharType="begin"/>
        </w:r>
        <w:r w:rsidR="00C00583">
          <w:rPr>
            <w:noProof/>
            <w:webHidden/>
          </w:rPr>
          <w:instrText xml:space="preserve"> PAGEREF _Toc124832982 \h </w:instrText>
        </w:r>
        <w:r w:rsidR="00C00583">
          <w:rPr>
            <w:noProof/>
            <w:webHidden/>
          </w:rPr>
        </w:r>
        <w:r w:rsidR="00C00583">
          <w:rPr>
            <w:noProof/>
            <w:webHidden/>
          </w:rPr>
          <w:fldChar w:fldCharType="separate"/>
        </w:r>
        <w:r w:rsidR="00C00583">
          <w:rPr>
            <w:noProof/>
            <w:webHidden/>
          </w:rPr>
          <w:t>1</w:t>
        </w:r>
        <w:r w:rsidR="00C00583">
          <w:rPr>
            <w:noProof/>
            <w:webHidden/>
          </w:rPr>
          <w:fldChar w:fldCharType="end"/>
        </w:r>
      </w:hyperlink>
    </w:p>
    <w:p w14:paraId="2E41CAF4" w14:textId="5E74FAB0" w:rsidR="00C00583" w:rsidRDefault="0055657D">
      <w:pPr>
        <w:pStyle w:val="TOC1"/>
        <w:rPr>
          <w:rFonts w:asciiTheme="minorHAnsi" w:eastAsiaTheme="minorEastAsia" w:hAnsiTheme="minorHAnsi" w:cstheme="minorBidi"/>
          <w:noProof/>
          <w:sz w:val="22"/>
          <w:szCs w:val="22"/>
          <w:lang w:val="en-AU" w:eastAsia="en-AU"/>
        </w:rPr>
      </w:pPr>
      <w:hyperlink w:anchor="_Toc124832983" w:history="1">
        <w:r w:rsidR="00C00583" w:rsidRPr="000607F4">
          <w:rPr>
            <w:rStyle w:val="Hyperlink"/>
            <w:noProof/>
          </w:rPr>
          <w:t>Healthy Families NZ</w:t>
        </w:r>
        <w:r w:rsidR="00C00583">
          <w:rPr>
            <w:noProof/>
            <w:webHidden/>
          </w:rPr>
          <w:tab/>
        </w:r>
        <w:r w:rsidR="00C00583">
          <w:rPr>
            <w:noProof/>
            <w:webHidden/>
          </w:rPr>
          <w:fldChar w:fldCharType="begin"/>
        </w:r>
        <w:r w:rsidR="00C00583">
          <w:rPr>
            <w:noProof/>
            <w:webHidden/>
          </w:rPr>
          <w:instrText xml:space="preserve"> PAGEREF _Toc124832983 \h </w:instrText>
        </w:r>
        <w:r w:rsidR="00C00583">
          <w:rPr>
            <w:noProof/>
            <w:webHidden/>
          </w:rPr>
        </w:r>
        <w:r w:rsidR="00C00583">
          <w:rPr>
            <w:noProof/>
            <w:webHidden/>
          </w:rPr>
          <w:fldChar w:fldCharType="separate"/>
        </w:r>
        <w:r w:rsidR="00C00583">
          <w:rPr>
            <w:noProof/>
            <w:webHidden/>
          </w:rPr>
          <w:t>2</w:t>
        </w:r>
        <w:r w:rsidR="00C00583">
          <w:rPr>
            <w:noProof/>
            <w:webHidden/>
          </w:rPr>
          <w:fldChar w:fldCharType="end"/>
        </w:r>
      </w:hyperlink>
    </w:p>
    <w:p w14:paraId="2D13C0DE" w14:textId="3592B4DE" w:rsidR="00C00583" w:rsidRDefault="0055657D">
      <w:pPr>
        <w:pStyle w:val="TOC2"/>
        <w:rPr>
          <w:rFonts w:asciiTheme="minorHAnsi" w:eastAsiaTheme="minorEastAsia" w:hAnsiTheme="minorHAnsi" w:cstheme="minorBidi"/>
          <w:noProof/>
          <w:szCs w:val="22"/>
          <w:lang w:val="en-AU" w:eastAsia="en-AU"/>
        </w:rPr>
      </w:pPr>
      <w:hyperlink w:anchor="_Toc124832984" w:history="1">
        <w:r w:rsidR="00C00583" w:rsidRPr="000607F4">
          <w:rPr>
            <w:rStyle w:val="Hyperlink"/>
            <w:noProof/>
          </w:rPr>
          <w:t>The Healthy Families NZ locations</w:t>
        </w:r>
        <w:r w:rsidR="00C00583">
          <w:rPr>
            <w:noProof/>
            <w:webHidden/>
          </w:rPr>
          <w:tab/>
        </w:r>
        <w:r w:rsidR="00C00583">
          <w:rPr>
            <w:noProof/>
            <w:webHidden/>
          </w:rPr>
          <w:fldChar w:fldCharType="begin"/>
        </w:r>
        <w:r w:rsidR="00C00583">
          <w:rPr>
            <w:noProof/>
            <w:webHidden/>
          </w:rPr>
          <w:instrText xml:space="preserve"> PAGEREF _Toc124832984 \h </w:instrText>
        </w:r>
        <w:r w:rsidR="00C00583">
          <w:rPr>
            <w:noProof/>
            <w:webHidden/>
          </w:rPr>
        </w:r>
        <w:r w:rsidR="00C00583">
          <w:rPr>
            <w:noProof/>
            <w:webHidden/>
          </w:rPr>
          <w:fldChar w:fldCharType="separate"/>
        </w:r>
        <w:r w:rsidR="00C00583">
          <w:rPr>
            <w:noProof/>
            <w:webHidden/>
          </w:rPr>
          <w:t>2</w:t>
        </w:r>
        <w:r w:rsidR="00C00583">
          <w:rPr>
            <w:noProof/>
            <w:webHidden/>
          </w:rPr>
          <w:fldChar w:fldCharType="end"/>
        </w:r>
      </w:hyperlink>
    </w:p>
    <w:p w14:paraId="69DAD066" w14:textId="531DC388" w:rsidR="00C00583" w:rsidRDefault="0055657D">
      <w:pPr>
        <w:pStyle w:val="TOC2"/>
        <w:rPr>
          <w:rFonts w:asciiTheme="minorHAnsi" w:eastAsiaTheme="minorEastAsia" w:hAnsiTheme="minorHAnsi" w:cstheme="minorBidi"/>
          <w:noProof/>
          <w:szCs w:val="22"/>
          <w:lang w:val="en-AU" w:eastAsia="en-AU"/>
        </w:rPr>
      </w:pPr>
      <w:hyperlink w:anchor="_Toc124832985" w:history="1">
        <w:r w:rsidR="00C00583" w:rsidRPr="000607F4">
          <w:rPr>
            <w:rStyle w:val="Hyperlink"/>
            <w:noProof/>
          </w:rPr>
          <w:t>Healthy Families NZ prevention workforce</w:t>
        </w:r>
        <w:r w:rsidR="00C00583">
          <w:rPr>
            <w:noProof/>
            <w:webHidden/>
          </w:rPr>
          <w:tab/>
        </w:r>
        <w:r w:rsidR="00C00583">
          <w:rPr>
            <w:noProof/>
            <w:webHidden/>
          </w:rPr>
          <w:fldChar w:fldCharType="begin"/>
        </w:r>
        <w:r w:rsidR="00C00583">
          <w:rPr>
            <w:noProof/>
            <w:webHidden/>
          </w:rPr>
          <w:instrText xml:space="preserve"> PAGEREF _Toc124832985 \h </w:instrText>
        </w:r>
        <w:r w:rsidR="00C00583">
          <w:rPr>
            <w:noProof/>
            <w:webHidden/>
          </w:rPr>
        </w:r>
        <w:r w:rsidR="00C00583">
          <w:rPr>
            <w:noProof/>
            <w:webHidden/>
          </w:rPr>
          <w:fldChar w:fldCharType="separate"/>
        </w:r>
        <w:r w:rsidR="00C00583">
          <w:rPr>
            <w:noProof/>
            <w:webHidden/>
          </w:rPr>
          <w:t>3</w:t>
        </w:r>
        <w:r w:rsidR="00C00583">
          <w:rPr>
            <w:noProof/>
            <w:webHidden/>
          </w:rPr>
          <w:fldChar w:fldCharType="end"/>
        </w:r>
      </w:hyperlink>
    </w:p>
    <w:p w14:paraId="0A79CB66" w14:textId="692F1BF4" w:rsidR="00C00583" w:rsidRDefault="0055657D">
      <w:pPr>
        <w:pStyle w:val="TOC2"/>
        <w:rPr>
          <w:rFonts w:asciiTheme="minorHAnsi" w:eastAsiaTheme="minorEastAsia" w:hAnsiTheme="minorHAnsi" w:cstheme="minorBidi"/>
          <w:noProof/>
          <w:szCs w:val="22"/>
          <w:lang w:val="en-AU" w:eastAsia="en-AU"/>
        </w:rPr>
      </w:pPr>
      <w:hyperlink w:anchor="_Toc124832986" w:history="1">
        <w:r w:rsidR="00C00583" w:rsidRPr="000607F4">
          <w:rPr>
            <w:rStyle w:val="Hyperlink"/>
            <w:noProof/>
          </w:rPr>
          <w:t>Te ao Māori approach</w:t>
        </w:r>
        <w:r w:rsidR="00C00583">
          <w:rPr>
            <w:noProof/>
            <w:webHidden/>
          </w:rPr>
          <w:tab/>
        </w:r>
        <w:r w:rsidR="00C00583">
          <w:rPr>
            <w:noProof/>
            <w:webHidden/>
          </w:rPr>
          <w:fldChar w:fldCharType="begin"/>
        </w:r>
        <w:r w:rsidR="00C00583">
          <w:rPr>
            <w:noProof/>
            <w:webHidden/>
          </w:rPr>
          <w:instrText xml:space="preserve"> PAGEREF _Toc124832986 \h </w:instrText>
        </w:r>
        <w:r w:rsidR="00C00583">
          <w:rPr>
            <w:noProof/>
            <w:webHidden/>
          </w:rPr>
        </w:r>
        <w:r w:rsidR="00C00583">
          <w:rPr>
            <w:noProof/>
            <w:webHidden/>
          </w:rPr>
          <w:fldChar w:fldCharType="separate"/>
        </w:r>
        <w:r w:rsidR="00C00583">
          <w:rPr>
            <w:noProof/>
            <w:webHidden/>
          </w:rPr>
          <w:t>3</w:t>
        </w:r>
        <w:r w:rsidR="00C00583">
          <w:rPr>
            <w:noProof/>
            <w:webHidden/>
          </w:rPr>
          <w:fldChar w:fldCharType="end"/>
        </w:r>
      </w:hyperlink>
    </w:p>
    <w:p w14:paraId="7D7CC292" w14:textId="5C01A6A6" w:rsidR="00C00583" w:rsidRDefault="0055657D">
      <w:pPr>
        <w:pStyle w:val="TOC1"/>
        <w:rPr>
          <w:rFonts w:asciiTheme="minorHAnsi" w:eastAsiaTheme="minorEastAsia" w:hAnsiTheme="minorHAnsi" w:cstheme="minorBidi"/>
          <w:noProof/>
          <w:sz w:val="22"/>
          <w:szCs w:val="22"/>
          <w:lang w:val="en-AU" w:eastAsia="en-AU"/>
        </w:rPr>
      </w:pPr>
      <w:hyperlink w:anchor="_Toc124832987" w:history="1">
        <w:r w:rsidR="00C00583" w:rsidRPr="000607F4">
          <w:rPr>
            <w:rStyle w:val="Hyperlink"/>
            <w:noProof/>
          </w:rPr>
          <w:t>Systems-based approaches</w:t>
        </w:r>
        <w:r w:rsidR="00C00583">
          <w:rPr>
            <w:noProof/>
            <w:webHidden/>
          </w:rPr>
          <w:tab/>
        </w:r>
        <w:r w:rsidR="00C00583">
          <w:rPr>
            <w:noProof/>
            <w:webHidden/>
          </w:rPr>
          <w:fldChar w:fldCharType="begin"/>
        </w:r>
        <w:r w:rsidR="00C00583">
          <w:rPr>
            <w:noProof/>
            <w:webHidden/>
          </w:rPr>
          <w:instrText xml:space="preserve"> PAGEREF _Toc124832987 \h </w:instrText>
        </w:r>
        <w:r w:rsidR="00C00583">
          <w:rPr>
            <w:noProof/>
            <w:webHidden/>
          </w:rPr>
        </w:r>
        <w:r w:rsidR="00C00583">
          <w:rPr>
            <w:noProof/>
            <w:webHidden/>
          </w:rPr>
          <w:fldChar w:fldCharType="separate"/>
        </w:r>
        <w:r w:rsidR="00C00583">
          <w:rPr>
            <w:noProof/>
            <w:webHidden/>
          </w:rPr>
          <w:t>5</w:t>
        </w:r>
        <w:r w:rsidR="00C00583">
          <w:rPr>
            <w:noProof/>
            <w:webHidden/>
          </w:rPr>
          <w:fldChar w:fldCharType="end"/>
        </w:r>
      </w:hyperlink>
    </w:p>
    <w:p w14:paraId="364155EC" w14:textId="43113A9B" w:rsidR="00C00583" w:rsidRDefault="0055657D">
      <w:pPr>
        <w:pStyle w:val="TOC2"/>
        <w:rPr>
          <w:rFonts w:asciiTheme="minorHAnsi" w:eastAsiaTheme="minorEastAsia" w:hAnsiTheme="minorHAnsi" w:cstheme="minorBidi"/>
          <w:noProof/>
          <w:szCs w:val="22"/>
          <w:lang w:val="en-AU" w:eastAsia="en-AU"/>
        </w:rPr>
      </w:pPr>
      <w:hyperlink w:anchor="_Toc124832988" w:history="1">
        <w:r w:rsidR="00C00583" w:rsidRPr="000607F4">
          <w:rPr>
            <w:rStyle w:val="Hyperlink"/>
            <w:noProof/>
          </w:rPr>
          <w:t>New context and changes sought from the new health system</w:t>
        </w:r>
        <w:r w:rsidR="00C00583">
          <w:rPr>
            <w:noProof/>
            <w:webHidden/>
          </w:rPr>
          <w:tab/>
        </w:r>
        <w:r w:rsidR="00C00583">
          <w:rPr>
            <w:noProof/>
            <w:webHidden/>
          </w:rPr>
          <w:fldChar w:fldCharType="begin"/>
        </w:r>
        <w:r w:rsidR="00C00583">
          <w:rPr>
            <w:noProof/>
            <w:webHidden/>
          </w:rPr>
          <w:instrText xml:space="preserve"> PAGEREF _Toc124832988 \h </w:instrText>
        </w:r>
        <w:r w:rsidR="00C00583">
          <w:rPr>
            <w:noProof/>
            <w:webHidden/>
          </w:rPr>
        </w:r>
        <w:r w:rsidR="00C00583">
          <w:rPr>
            <w:noProof/>
            <w:webHidden/>
          </w:rPr>
          <w:fldChar w:fldCharType="separate"/>
        </w:r>
        <w:r w:rsidR="00C00583">
          <w:rPr>
            <w:noProof/>
            <w:webHidden/>
          </w:rPr>
          <w:t>6</w:t>
        </w:r>
        <w:r w:rsidR="00C00583">
          <w:rPr>
            <w:noProof/>
            <w:webHidden/>
          </w:rPr>
          <w:fldChar w:fldCharType="end"/>
        </w:r>
      </w:hyperlink>
    </w:p>
    <w:p w14:paraId="038A1462" w14:textId="1139E55E" w:rsidR="00C00583" w:rsidRDefault="0055657D">
      <w:pPr>
        <w:pStyle w:val="TOC2"/>
        <w:rPr>
          <w:rFonts w:asciiTheme="minorHAnsi" w:eastAsiaTheme="minorEastAsia" w:hAnsiTheme="minorHAnsi" w:cstheme="minorBidi"/>
          <w:noProof/>
          <w:szCs w:val="22"/>
          <w:lang w:val="en-AU" w:eastAsia="en-AU"/>
        </w:rPr>
      </w:pPr>
      <w:hyperlink w:anchor="_Toc124832989" w:history="1">
        <w:r w:rsidR="00C00583" w:rsidRPr="000607F4">
          <w:rPr>
            <w:rStyle w:val="Hyperlink"/>
            <w:noProof/>
          </w:rPr>
          <w:t>Principles and Conditions of Systems Change</w:t>
        </w:r>
        <w:r w:rsidR="00C00583">
          <w:rPr>
            <w:noProof/>
            <w:webHidden/>
          </w:rPr>
          <w:tab/>
        </w:r>
        <w:r w:rsidR="00C00583">
          <w:rPr>
            <w:noProof/>
            <w:webHidden/>
          </w:rPr>
          <w:fldChar w:fldCharType="begin"/>
        </w:r>
        <w:r w:rsidR="00C00583">
          <w:rPr>
            <w:noProof/>
            <w:webHidden/>
          </w:rPr>
          <w:instrText xml:space="preserve"> PAGEREF _Toc124832989 \h </w:instrText>
        </w:r>
        <w:r w:rsidR="00C00583">
          <w:rPr>
            <w:noProof/>
            <w:webHidden/>
          </w:rPr>
        </w:r>
        <w:r w:rsidR="00C00583">
          <w:rPr>
            <w:noProof/>
            <w:webHidden/>
          </w:rPr>
          <w:fldChar w:fldCharType="separate"/>
        </w:r>
        <w:r w:rsidR="00C00583">
          <w:rPr>
            <w:noProof/>
            <w:webHidden/>
          </w:rPr>
          <w:t>6</w:t>
        </w:r>
        <w:r w:rsidR="00C00583">
          <w:rPr>
            <w:noProof/>
            <w:webHidden/>
          </w:rPr>
          <w:fldChar w:fldCharType="end"/>
        </w:r>
      </w:hyperlink>
    </w:p>
    <w:p w14:paraId="633C9851" w14:textId="26BA70F4" w:rsidR="00C00583" w:rsidRDefault="0055657D">
      <w:pPr>
        <w:pStyle w:val="TOC2"/>
        <w:rPr>
          <w:rFonts w:asciiTheme="minorHAnsi" w:eastAsiaTheme="minorEastAsia" w:hAnsiTheme="minorHAnsi" w:cstheme="minorBidi"/>
          <w:noProof/>
          <w:szCs w:val="22"/>
          <w:lang w:val="en-AU" w:eastAsia="en-AU"/>
        </w:rPr>
      </w:pPr>
      <w:hyperlink w:anchor="_Toc124832990" w:history="1">
        <w:r w:rsidR="00C00583" w:rsidRPr="000607F4">
          <w:rPr>
            <w:rStyle w:val="Hyperlink"/>
            <w:noProof/>
          </w:rPr>
          <w:t>Locally shaped and connected to the broader system</w:t>
        </w:r>
        <w:r w:rsidR="00C00583">
          <w:rPr>
            <w:noProof/>
            <w:webHidden/>
          </w:rPr>
          <w:tab/>
        </w:r>
        <w:r w:rsidR="00C00583">
          <w:rPr>
            <w:noProof/>
            <w:webHidden/>
          </w:rPr>
          <w:fldChar w:fldCharType="begin"/>
        </w:r>
        <w:r w:rsidR="00C00583">
          <w:rPr>
            <w:noProof/>
            <w:webHidden/>
          </w:rPr>
          <w:instrText xml:space="preserve"> PAGEREF _Toc124832990 \h </w:instrText>
        </w:r>
        <w:r w:rsidR="00C00583">
          <w:rPr>
            <w:noProof/>
            <w:webHidden/>
          </w:rPr>
        </w:r>
        <w:r w:rsidR="00C00583">
          <w:rPr>
            <w:noProof/>
            <w:webHidden/>
          </w:rPr>
          <w:fldChar w:fldCharType="separate"/>
        </w:r>
        <w:r w:rsidR="00C00583">
          <w:rPr>
            <w:noProof/>
            <w:webHidden/>
          </w:rPr>
          <w:t>7</w:t>
        </w:r>
        <w:r w:rsidR="00C00583">
          <w:rPr>
            <w:noProof/>
            <w:webHidden/>
          </w:rPr>
          <w:fldChar w:fldCharType="end"/>
        </w:r>
      </w:hyperlink>
    </w:p>
    <w:p w14:paraId="26AC356B" w14:textId="295D1467" w:rsidR="00C00583" w:rsidRDefault="0055657D">
      <w:pPr>
        <w:pStyle w:val="TOC1"/>
        <w:rPr>
          <w:rFonts w:asciiTheme="minorHAnsi" w:eastAsiaTheme="minorEastAsia" w:hAnsiTheme="minorHAnsi" w:cstheme="minorBidi"/>
          <w:noProof/>
          <w:sz w:val="22"/>
          <w:szCs w:val="22"/>
          <w:lang w:val="en-AU" w:eastAsia="en-AU"/>
        </w:rPr>
      </w:pPr>
      <w:hyperlink w:anchor="_Toc124832991" w:history="1">
        <w:r w:rsidR="00C00583" w:rsidRPr="000607F4">
          <w:rPr>
            <w:rStyle w:val="Hyperlink"/>
            <w:noProof/>
          </w:rPr>
          <w:t>How success is measured and the outcomes to date</w:t>
        </w:r>
        <w:r w:rsidR="00C00583">
          <w:rPr>
            <w:noProof/>
            <w:webHidden/>
          </w:rPr>
          <w:tab/>
        </w:r>
        <w:r w:rsidR="00C00583">
          <w:rPr>
            <w:noProof/>
            <w:webHidden/>
          </w:rPr>
          <w:fldChar w:fldCharType="begin"/>
        </w:r>
        <w:r w:rsidR="00C00583">
          <w:rPr>
            <w:noProof/>
            <w:webHidden/>
          </w:rPr>
          <w:instrText xml:space="preserve"> PAGEREF _Toc124832991 \h </w:instrText>
        </w:r>
        <w:r w:rsidR="00C00583">
          <w:rPr>
            <w:noProof/>
            <w:webHidden/>
          </w:rPr>
        </w:r>
        <w:r w:rsidR="00C00583">
          <w:rPr>
            <w:noProof/>
            <w:webHidden/>
          </w:rPr>
          <w:fldChar w:fldCharType="separate"/>
        </w:r>
        <w:r w:rsidR="00C00583">
          <w:rPr>
            <w:noProof/>
            <w:webHidden/>
          </w:rPr>
          <w:t>8</w:t>
        </w:r>
        <w:r w:rsidR="00C00583">
          <w:rPr>
            <w:noProof/>
            <w:webHidden/>
          </w:rPr>
          <w:fldChar w:fldCharType="end"/>
        </w:r>
      </w:hyperlink>
    </w:p>
    <w:p w14:paraId="378A031E" w14:textId="484D16A9" w:rsidR="00C00583" w:rsidRDefault="0055657D">
      <w:pPr>
        <w:pStyle w:val="TOC2"/>
        <w:rPr>
          <w:rFonts w:asciiTheme="minorHAnsi" w:eastAsiaTheme="minorEastAsia" w:hAnsiTheme="minorHAnsi" w:cstheme="minorBidi"/>
          <w:noProof/>
          <w:szCs w:val="22"/>
          <w:lang w:val="en-AU" w:eastAsia="en-AU"/>
        </w:rPr>
      </w:pPr>
      <w:hyperlink w:anchor="_Toc124832992" w:history="1">
        <w:r w:rsidR="00C00583" w:rsidRPr="000607F4">
          <w:rPr>
            <w:rStyle w:val="Hyperlink"/>
            <w:noProof/>
            <w:lang w:val="en-GB"/>
          </w:rPr>
          <w:t>Outcomes to date</w:t>
        </w:r>
        <w:r w:rsidR="00C00583">
          <w:rPr>
            <w:noProof/>
            <w:webHidden/>
          </w:rPr>
          <w:tab/>
        </w:r>
        <w:r w:rsidR="00C00583">
          <w:rPr>
            <w:noProof/>
            <w:webHidden/>
          </w:rPr>
          <w:fldChar w:fldCharType="begin"/>
        </w:r>
        <w:r w:rsidR="00C00583">
          <w:rPr>
            <w:noProof/>
            <w:webHidden/>
          </w:rPr>
          <w:instrText xml:space="preserve"> PAGEREF _Toc124832992 \h </w:instrText>
        </w:r>
        <w:r w:rsidR="00C00583">
          <w:rPr>
            <w:noProof/>
            <w:webHidden/>
          </w:rPr>
        </w:r>
        <w:r w:rsidR="00C00583">
          <w:rPr>
            <w:noProof/>
            <w:webHidden/>
          </w:rPr>
          <w:fldChar w:fldCharType="separate"/>
        </w:r>
        <w:r w:rsidR="00C00583">
          <w:rPr>
            <w:noProof/>
            <w:webHidden/>
          </w:rPr>
          <w:t>9</w:t>
        </w:r>
        <w:r w:rsidR="00C00583">
          <w:rPr>
            <w:noProof/>
            <w:webHidden/>
          </w:rPr>
          <w:fldChar w:fldCharType="end"/>
        </w:r>
      </w:hyperlink>
    </w:p>
    <w:p w14:paraId="44A6670C" w14:textId="5C70444B" w:rsidR="00C00583" w:rsidRDefault="0055657D">
      <w:pPr>
        <w:pStyle w:val="TOC1"/>
        <w:rPr>
          <w:rFonts w:asciiTheme="minorHAnsi" w:eastAsiaTheme="minorEastAsia" w:hAnsiTheme="minorHAnsi" w:cstheme="minorBidi"/>
          <w:noProof/>
          <w:sz w:val="22"/>
          <w:szCs w:val="22"/>
          <w:lang w:val="en-AU" w:eastAsia="en-AU"/>
        </w:rPr>
      </w:pPr>
      <w:hyperlink w:anchor="_Toc124832993" w:history="1">
        <w:r w:rsidR="00C00583" w:rsidRPr="000607F4">
          <w:rPr>
            <w:rStyle w:val="Hyperlink"/>
            <w:noProof/>
          </w:rPr>
          <w:t>Examples of Healthy Families NZ initiatives</w:t>
        </w:r>
        <w:r w:rsidR="00C00583">
          <w:rPr>
            <w:noProof/>
            <w:webHidden/>
          </w:rPr>
          <w:tab/>
        </w:r>
        <w:r w:rsidR="00C00583">
          <w:rPr>
            <w:noProof/>
            <w:webHidden/>
          </w:rPr>
          <w:fldChar w:fldCharType="begin"/>
        </w:r>
        <w:r w:rsidR="00C00583">
          <w:rPr>
            <w:noProof/>
            <w:webHidden/>
          </w:rPr>
          <w:instrText xml:space="preserve"> PAGEREF _Toc124832993 \h </w:instrText>
        </w:r>
        <w:r w:rsidR="00C00583">
          <w:rPr>
            <w:noProof/>
            <w:webHidden/>
          </w:rPr>
        </w:r>
        <w:r w:rsidR="00C00583">
          <w:rPr>
            <w:noProof/>
            <w:webHidden/>
          </w:rPr>
          <w:fldChar w:fldCharType="separate"/>
        </w:r>
        <w:r w:rsidR="00C00583">
          <w:rPr>
            <w:noProof/>
            <w:webHidden/>
          </w:rPr>
          <w:t>10</w:t>
        </w:r>
        <w:r w:rsidR="00C00583">
          <w:rPr>
            <w:noProof/>
            <w:webHidden/>
          </w:rPr>
          <w:fldChar w:fldCharType="end"/>
        </w:r>
      </w:hyperlink>
    </w:p>
    <w:p w14:paraId="3ECC0656" w14:textId="7E16D27E" w:rsidR="00C00583" w:rsidRDefault="0055657D">
      <w:pPr>
        <w:pStyle w:val="TOC1"/>
        <w:rPr>
          <w:rFonts w:asciiTheme="minorHAnsi" w:eastAsiaTheme="minorEastAsia" w:hAnsiTheme="minorHAnsi" w:cstheme="minorBidi"/>
          <w:noProof/>
          <w:sz w:val="22"/>
          <w:szCs w:val="22"/>
          <w:lang w:val="en-AU" w:eastAsia="en-AU"/>
        </w:rPr>
      </w:pPr>
      <w:hyperlink w:anchor="_Toc124832994" w:history="1">
        <w:r w:rsidR="00C00583" w:rsidRPr="000607F4">
          <w:rPr>
            <w:rStyle w:val="Hyperlink"/>
            <w:noProof/>
          </w:rPr>
          <w:t>Appendix 1: Healthy Families NZ Principles</w:t>
        </w:r>
        <w:r w:rsidR="00C00583">
          <w:rPr>
            <w:noProof/>
            <w:webHidden/>
          </w:rPr>
          <w:tab/>
        </w:r>
        <w:r w:rsidR="00C00583">
          <w:rPr>
            <w:noProof/>
            <w:webHidden/>
          </w:rPr>
          <w:fldChar w:fldCharType="begin"/>
        </w:r>
        <w:r w:rsidR="00C00583">
          <w:rPr>
            <w:noProof/>
            <w:webHidden/>
          </w:rPr>
          <w:instrText xml:space="preserve"> PAGEREF _Toc124832994 \h </w:instrText>
        </w:r>
        <w:r w:rsidR="00C00583">
          <w:rPr>
            <w:noProof/>
            <w:webHidden/>
          </w:rPr>
        </w:r>
        <w:r w:rsidR="00C00583">
          <w:rPr>
            <w:noProof/>
            <w:webHidden/>
          </w:rPr>
          <w:fldChar w:fldCharType="separate"/>
        </w:r>
        <w:r w:rsidR="00C00583">
          <w:rPr>
            <w:noProof/>
            <w:webHidden/>
          </w:rPr>
          <w:t>11</w:t>
        </w:r>
        <w:r w:rsidR="00C00583">
          <w:rPr>
            <w:noProof/>
            <w:webHidden/>
          </w:rPr>
          <w:fldChar w:fldCharType="end"/>
        </w:r>
      </w:hyperlink>
    </w:p>
    <w:p w14:paraId="341BD5F4" w14:textId="3950B9F9" w:rsidR="00C00583" w:rsidRDefault="0055657D">
      <w:pPr>
        <w:pStyle w:val="TOC1"/>
        <w:rPr>
          <w:rFonts w:asciiTheme="minorHAnsi" w:eastAsiaTheme="minorEastAsia" w:hAnsiTheme="minorHAnsi" w:cstheme="minorBidi"/>
          <w:noProof/>
          <w:sz w:val="22"/>
          <w:szCs w:val="22"/>
          <w:lang w:val="en-AU" w:eastAsia="en-AU"/>
        </w:rPr>
      </w:pPr>
      <w:hyperlink w:anchor="_Toc124832995" w:history="1">
        <w:r w:rsidR="00C00583" w:rsidRPr="000607F4">
          <w:rPr>
            <w:rStyle w:val="Hyperlink"/>
            <w:noProof/>
          </w:rPr>
          <w:t>Appendix 2: Conditions of systems change</w:t>
        </w:r>
        <w:r w:rsidR="00C00583">
          <w:rPr>
            <w:noProof/>
            <w:webHidden/>
          </w:rPr>
          <w:tab/>
        </w:r>
        <w:r w:rsidR="00C00583">
          <w:rPr>
            <w:noProof/>
            <w:webHidden/>
          </w:rPr>
          <w:fldChar w:fldCharType="begin"/>
        </w:r>
        <w:r w:rsidR="00C00583">
          <w:rPr>
            <w:noProof/>
            <w:webHidden/>
          </w:rPr>
          <w:instrText xml:space="preserve"> PAGEREF _Toc124832995 \h </w:instrText>
        </w:r>
        <w:r w:rsidR="00C00583">
          <w:rPr>
            <w:noProof/>
            <w:webHidden/>
          </w:rPr>
        </w:r>
        <w:r w:rsidR="00C00583">
          <w:rPr>
            <w:noProof/>
            <w:webHidden/>
          </w:rPr>
          <w:fldChar w:fldCharType="separate"/>
        </w:r>
        <w:r w:rsidR="00C00583">
          <w:rPr>
            <w:noProof/>
            <w:webHidden/>
          </w:rPr>
          <w:t>12</w:t>
        </w:r>
        <w:r w:rsidR="00C00583">
          <w:rPr>
            <w:noProof/>
            <w:webHidden/>
          </w:rPr>
          <w:fldChar w:fldCharType="end"/>
        </w:r>
      </w:hyperlink>
    </w:p>
    <w:p w14:paraId="2AEBBAC6" w14:textId="7F4D4152" w:rsidR="00C00583" w:rsidRDefault="0055657D">
      <w:pPr>
        <w:pStyle w:val="TOC1"/>
        <w:rPr>
          <w:rFonts w:asciiTheme="minorHAnsi" w:eastAsiaTheme="minorEastAsia" w:hAnsiTheme="minorHAnsi" w:cstheme="minorBidi"/>
          <w:noProof/>
          <w:sz w:val="22"/>
          <w:szCs w:val="22"/>
          <w:lang w:val="en-AU" w:eastAsia="en-AU"/>
        </w:rPr>
      </w:pPr>
      <w:hyperlink w:anchor="_Toc124832996" w:history="1">
        <w:r w:rsidR="00C00583" w:rsidRPr="000607F4">
          <w:rPr>
            <w:rStyle w:val="Hyperlink"/>
            <w:noProof/>
          </w:rPr>
          <w:t>Appendix 3: Types of outcomes from Healthy Families NZ</w:t>
        </w:r>
        <w:r w:rsidR="00C00583">
          <w:rPr>
            <w:noProof/>
            <w:webHidden/>
          </w:rPr>
          <w:tab/>
        </w:r>
        <w:r w:rsidR="00C00583">
          <w:rPr>
            <w:noProof/>
            <w:webHidden/>
          </w:rPr>
          <w:fldChar w:fldCharType="begin"/>
        </w:r>
        <w:r w:rsidR="00C00583">
          <w:rPr>
            <w:noProof/>
            <w:webHidden/>
          </w:rPr>
          <w:instrText xml:space="preserve"> PAGEREF _Toc124832996 \h </w:instrText>
        </w:r>
        <w:r w:rsidR="00C00583">
          <w:rPr>
            <w:noProof/>
            <w:webHidden/>
          </w:rPr>
        </w:r>
        <w:r w:rsidR="00C00583">
          <w:rPr>
            <w:noProof/>
            <w:webHidden/>
          </w:rPr>
          <w:fldChar w:fldCharType="separate"/>
        </w:r>
        <w:r w:rsidR="00C00583">
          <w:rPr>
            <w:noProof/>
            <w:webHidden/>
          </w:rPr>
          <w:t>13</w:t>
        </w:r>
        <w:r w:rsidR="00C00583">
          <w:rPr>
            <w:noProof/>
            <w:webHidden/>
          </w:rPr>
          <w:fldChar w:fldCharType="end"/>
        </w:r>
      </w:hyperlink>
    </w:p>
    <w:p w14:paraId="133A9219" w14:textId="3068FC32" w:rsidR="00C86248" w:rsidRDefault="009C2CCB">
      <w:r>
        <w:rPr>
          <w:rFonts w:ascii="Segoe UI Semibold" w:hAnsi="Segoe UI Semibold"/>
          <w:b/>
          <w:sz w:val="24"/>
        </w:rPr>
        <w:fldChar w:fldCharType="end"/>
      </w:r>
    </w:p>
    <w:p w14:paraId="22B05CF8" w14:textId="046BC551" w:rsidR="00655936" w:rsidRPr="00655936" w:rsidRDefault="00655936" w:rsidP="00655936">
      <w:pPr>
        <w:pStyle w:val="TableofFigures"/>
        <w:sectPr w:rsidR="00655936" w:rsidRPr="00655936" w:rsidSect="00A27D16">
          <w:headerReference w:type="even" r:id="rId16"/>
          <w:headerReference w:type="default" r:id="rId17"/>
          <w:footerReference w:type="even" r:id="rId18"/>
          <w:footerReference w:type="default" r:id="rId19"/>
          <w:pgSz w:w="11901" w:h="16817"/>
          <w:pgMar w:top="1418" w:right="1701" w:bottom="1134" w:left="1843" w:header="709" w:footer="425" w:gutter="0"/>
          <w:pgNumType w:fmt="lowerRoman" w:start="3"/>
          <w:cols w:space="708"/>
          <w:docGrid w:linePitch="360"/>
        </w:sectPr>
      </w:pPr>
      <w:bookmarkStart w:id="2" w:name="_Toc122356148"/>
    </w:p>
    <w:p w14:paraId="4EA5813F" w14:textId="43273F24" w:rsidR="00655936" w:rsidRPr="002733B4" w:rsidRDefault="00B319E1" w:rsidP="00655936">
      <w:pPr>
        <w:pStyle w:val="Heading1"/>
        <w:spacing w:before="0"/>
      </w:pPr>
      <w:bookmarkStart w:id="3" w:name="_Toc124832982"/>
      <w:bookmarkEnd w:id="2"/>
      <w:r>
        <w:lastRenderedPageBreak/>
        <w:t>Purpose</w:t>
      </w:r>
      <w:bookmarkEnd w:id="3"/>
    </w:p>
    <w:p w14:paraId="3E5C2ACC" w14:textId="7E2E213F" w:rsidR="00655936" w:rsidRDefault="00B319E1" w:rsidP="00993BBE">
      <w:pPr>
        <w:autoSpaceDE w:val="0"/>
        <w:autoSpaceDN w:val="0"/>
        <w:adjustRightInd w:val="0"/>
        <w:rPr>
          <w:rFonts w:eastAsiaTheme="minorHAnsi" w:cstheme="minorHAnsi"/>
          <w:color w:val="333333"/>
          <w:lang w:val="en-GB" w:eastAsia="en-US"/>
        </w:rPr>
      </w:pPr>
      <w:r w:rsidRPr="00B319E1">
        <w:rPr>
          <w:rFonts w:eastAsiaTheme="minorHAnsi" w:cstheme="minorHAnsi"/>
          <w:color w:val="333333"/>
          <w:lang w:val="en-GB" w:eastAsia="en-US"/>
        </w:rPr>
        <w:t>Healthy Families NZ recognises that communities are best placed to understand and prioritise their own health and wellbeing. This initiative aims to mobilise local action to prevent chronic disease in the places where people live, learn, work and play.</w:t>
      </w:r>
    </w:p>
    <w:p w14:paraId="70E2B6F0" w14:textId="77777777" w:rsidR="00655936" w:rsidRDefault="00655936" w:rsidP="00655936">
      <w:pPr>
        <w:pStyle w:val="Heading1"/>
        <w:sectPr w:rsidR="00655936" w:rsidSect="009F4D27">
          <w:pgSz w:w="11901" w:h="16817"/>
          <w:pgMar w:top="1418" w:right="1701" w:bottom="1134" w:left="1843" w:header="709" w:footer="425" w:gutter="0"/>
          <w:pgNumType w:start="1"/>
          <w:cols w:space="708"/>
          <w:docGrid w:linePitch="360"/>
        </w:sectPr>
      </w:pPr>
    </w:p>
    <w:p w14:paraId="0F549258" w14:textId="77777777" w:rsidR="00B319E1" w:rsidRDefault="00B319E1" w:rsidP="00C00583">
      <w:pPr>
        <w:pStyle w:val="Heading1"/>
        <w:spacing w:before="0"/>
      </w:pPr>
      <w:bookmarkStart w:id="4" w:name="_Toc124832983"/>
      <w:r w:rsidRPr="00266424">
        <w:lastRenderedPageBreak/>
        <w:t>Healthy Families NZ</w:t>
      </w:r>
      <w:bookmarkEnd w:id="4"/>
    </w:p>
    <w:p w14:paraId="3A7EF9E2" w14:textId="77777777" w:rsidR="00B319E1" w:rsidRDefault="00B319E1" w:rsidP="00B319E1">
      <w:pPr>
        <w:rPr>
          <w:rFonts w:cstheme="minorHAnsi"/>
        </w:rPr>
      </w:pPr>
      <w:r w:rsidRPr="00266424">
        <w:rPr>
          <w:color w:val="000000" w:themeColor="text1"/>
        </w:rPr>
        <w:t>Healthy Families NZ takes a</w:t>
      </w:r>
      <w:r>
        <w:rPr>
          <w:color w:val="000000" w:themeColor="text1"/>
        </w:rPr>
        <w:t xml:space="preserve"> </w:t>
      </w:r>
      <w:r w:rsidRPr="00B319E1">
        <w:rPr>
          <w:b/>
          <w:bCs/>
        </w:rPr>
        <w:t>systems-based,</w:t>
      </w:r>
      <w:r w:rsidRPr="00B319E1">
        <w:rPr>
          <w:rFonts w:cstheme="minorHAnsi"/>
          <w:b/>
          <w:bCs/>
        </w:rPr>
        <w:t xml:space="preserve"> community-centric approach</w:t>
      </w:r>
      <w:r w:rsidRPr="001B236F">
        <w:rPr>
          <w:rFonts w:cstheme="minorHAnsi"/>
        </w:rPr>
        <w:t xml:space="preserve"> </w:t>
      </w:r>
      <w:r>
        <w:rPr>
          <w:rFonts w:cstheme="minorHAnsi"/>
        </w:rPr>
        <w:t>to:</w:t>
      </w:r>
    </w:p>
    <w:p w14:paraId="34452A9E" w14:textId="77777777" w:rsidR="00B319E1" w:rsidRPr="00266424" w:rsidRDefault="00B319E1" w:rsidP="00B319E1">
      <w:pPr>
        <w:pStyle w:val="Bullet"/>
      </w:pPr>
      <w:r>
        <w:t>e</w:t>
      </w:r>
      <w:r w:rsidRPr="00266424">
        <w:t>nabl</w:t>
      </w:r>
      <w:r>
        <w:t xml:space="preserve">e people, </w:t>
      </w:r>
      <w:proofErr w:type="spellStart"/>
      <w:r>
        <w:t>whānau</w:t>
      </w:r>
      <w:proofErr w:type="spellEnd"/>
      <w:r>
        <w:t xml:space="preserve"> and </w:t>
      </w:r>
      <w:r w:rsidRPr="00266424">
        <w:t xml:space="preserve">communities to increase </w:t>
      </w:r>
      <w:r>
        <w:t xml:space="preserve">their </w:t>
      </w:r>
      <w:r w:rsidRPr="00266424">
        <w:t xml:space="preserve">control over their </w:t>
      </w:r>
      <w:r>
        <w:t xml:space="preserve">own </w:t>
      </w:r>
      <w:r w:rsidRPr="00266424">
        <w:t>lives</w:t>
      </w:r>
    </w:p>
    <w:p w14:paraId="5C80CF3B" w14:textId="77777777" w:rsidR="00B319E1" w:rsidRPr="00266424" w:rsidRDefault="00B319E1" w:rsidP="00B319E1">
      <w:pPr>
        <w:pStyle w:val="Bullet"/>
      </w:pPr>
      <w:r>
        <w:t>a</w:t>
      </w:r>
      <w:r w:rsidRPr="00266424">
        <w:t>ddress the social, cultural, political and economic determinants that underpin health and wellbeing</w:t>
      </w:r>
    </w:p>
    <w:p w14:paraId="549AF07C" w14:textId="77777777" w:rsidR="00B319E1" w:rsidRPr="00266424" w:rsidRDefault="00B319E1" w:rsidP="00B319E1">
      <w:pPr>
        <w:pStyle w:val="Bullet"/>
        <w:rPr>
          <w:color w:val="000000" w:themeColor="text1"/>
        </w:rPr>
      </w:pPr>
      <w:r>
        <w:t>b</w:t>
      </w:r>
      <w:r w:rsidRPr="00266424">
        <w:t xml:space="preserve">uild partnerships with other </w:t>
      </w:r>
      <w:r>
        <w:t xml:space="preserve">systems and </w:t>
      </w:r>
      <w:r w:rsidRPr="00266424">
        <w:t>sectors</w:t>
      </w:r>
      <w:r>
        <w:t>,</w:t>
      </w:r>
      <w:r w:rsidRPr="00266424">
        <w:t xml:space="preserve"> like welfare, </w:t>
      </w:r>
      <w:r>
        <w:t>sport</w:t>
      </w:r>
      <w:r w:rsidRPr="00266424">
        <w:t>, employment</w:t>
      </w:r>
      <w:r>
        <w:t xml:space="preserve"> and</w:t>
      </w:r>
      <w:r w:rsidRPr="00266424">
        <w:t xml:space="preserve"> education, in finding solutions.</w:t>
      </w:r>
      <w:r w:rsidRPr="00266424">
        <w:rPr>
          <w:rStyle w:val="FootnoteReference"/>
          <w:rFonts w:cstheme="minorHAnsi"/>
        </w:rPr>
        <w:footnoteReference w:id="1"/>
      </w:r>
    </w:p>
    <w:p w14:paraId="6D531FF7" w14:textId="77777777" w:rsidR="00B319E1" w:rsidRDefault="00B319E1" w:rsidP="00B319E1"/>
    <w:p w14:paraId="5708AE05" w14:textId="28FE26B7" w:rsidR="00B319E1" w:rsidRDefault="00B319E1" w:rsidP="00B319E1">
      <w:r>
        <w:t>Investing in community leadership and empowerment means</w:t>
      </w:r>
      <w:r w:rsidRPr="00C44D16">
        <w:t xml:space="preserve"> people</w:t>
      </w:r>
      <w:r>
        <w:t xml:space="preserve">, </w:t>
      </w:r>
      <w:proofErr w:type="spellStart"/>
      <w:r w:rsidRPr="00C44D16">
        <w:t>whānau</w:t>
      </w:r>
      <w:proofErr w:type="spellEnd"/>
      <w:r w:rsidRPr="00C44D16">
        <w:t xml:space="preserve"> </w:t>
      </w:r>
      <w:r>
        <w:t xml:space="preserve">and communities </w:t>
      </w:r>
      <w:r w:rsidRPr="00C44D16">
        <w:t>can do more for themselves earlier</w:t>
      </w:r>
      <w:r>
        <w:t xml:space="preserve"> and reduce the need for escalation of issues to </w:t>
      </w:r>
      <w:r w:rsidRPr="00C44D16">
        <w:t>a more formal ‘service’ response</w:t>
      </w:r>
      <w:r>
        <w:t>.</w:t>
      </w:r>
      <w:r>
        <w:rPr>
          <w:rStyle w:val="FootnoteReference"/>
        </w:rPr>
        <w:footnoteReference w:id="2"/>
      </w:r>
      <w:r>
        <w:t xml:space="preserve">   </w:t>
      </w:r>
    </w:p>
    <w:p w14:paraId="3920082F" w14:textId="77777777" w:rsidR="00B319E1" w:rsidRDefault="00B319E1" w:rsidP="00B319E1"/>
    <w:p w14:paraId="0308E204" w14:textId="77777777" w:rsidR="00B319E1" w:rsidRDefault="00B319E1" w:rsidP="00B319E1">
      <w:pPr>
        <w:rPr>
          <w:rFonts w:cstheme="minorHAnsi"/>
          <w:kern w:val="24"/>
          <w:lang w:eastAsia="en-NZ"/>
        </w:rPr>
      </w:pPr>
      <w:r>
        <w:t xml:space="preserve">Community-led </w:t>
      </w:r>
      <w:r w:rsidRPr="00C3349F">
        <w:t xml:space="preserve">COVID-19 responses </w:t>
      </w:r>
      <w:r>
        <w:t xml:space="preserve">also </w:t>
      </w:r>
      <w:r w:rsidRPr="00C3349F">
        <w:t>demonstrate</w:t>
      </w:r>
      <w:r>
        <w:t>d the power of having strong, resilient communities that could quickly mobilise to support others and reach people who weren’t already connected to build trust in government services.</w:t>
      </w:r>
      <w:r w:rsidRPr="006858B0">
        <w:rPr>
          <w:rStyle w:val="FootnoteReference"/>
          <w:rFonts w:cstheme="minorHAnsi"/>
          <w:kern w:val="24"/>
          <w:lang w:eastAsia="en-NZ"/>
        </w:rPr>
        <w:footnoteReference w:id="3"/>
      </w:r>
      <w:r w:rsidRPr="006858B0">
        <w:rPr>
          <w:rFonts w:cstheme="minorHAnsi"/>
          <w:kern w:val="24"/>
          <w:lang w:eastAsia="en-NZ"/>
        </w:rPr>
        <w:t xml:space="preserve">  </w:t>
      </w:r>
    </w:p>
    <w:p w14:paraId="06D37206" w14:textId="77777777" w:rsidR="00B319E1" w:rsidRPr="00D70F33" w:rsidRDefault="00B319E1" w:rsidP="00B319E1">
      <w:pPr>
        <w:pStyle w:val="Heading2"/>
      </w:pPr>
      <w:bookmarkStart w:id="5" w:name="_Toc124832984"/>
      <w:r>
        <w:t>The</w:t>
      </w:r>
      <w:r w:rsidRPr="00D70F33">
        <w:t xml:space="preserve"> Healthy Families NZ </w:t>
      </w:r>
      <w:r>
        <w:t>locations</w:t>
      </w:r>
      <w:bookmarkEnd w:id="5"/>
      <w:r>
        <w:t xml:space="preserve"> </w:t>
      </w:r>
    </w:p>
    <w:p w14:paraId="78C9F6FE" w14:textId="1CE6B46A" w:rsidR="00B319E1" w:rsidRDefault="00B319E1" w:rsidP="00B319E1">
      <w:r>
        <w:t xml:space="preserve">There are 10 Healthy Families NZ communities across Aotearoa, and 11 lead providers that include iwi, </w:t>
      </w:r>
      <w:proofErr w:type="spellStart"/>
      <w:r>
        <w:t>Whānau</w:t>
      </w:r>
      <w:proofErr w:type="spellEnd"/>
      <w:r>
        <w:t xml:space="preserve"> Ora, local government, regional sports trusts and Pacific-led social change organisations. </w:t>
      </w:r>
      <w:r w:rsidRPr="00535A18">
        <w:rPr>
          <w:rFonts w:cstheme="minorHAnsi"/>
          <w:lang w:eastAsia="en-NZ"/>
        </w:rPr>
        <w:t xml:space="preserve">This deliberate design has allowed organisations that may not traditionally work in health or </w:t>
      </w:r>
      <w:proofErr w:type="spellStart"/>
      <w:r>
        <w:rPr>
          <w:rFonts w:cstheme="minorHAnsi"/>
          <w:lang w:eastAsia="en-NZ"/>
        </w:rPr>
        <w:t>k</w:t>
      </w:r>
      <w:r w:rsidRPr="00535A18">
        <w:rPr>
          <w:rFonts w:cstheme="minorHAnsi"/>
          <w:lang w:eastAsia="en-NZ"/>
        </w:rPr>
        <w:t>aupapa</w:t>
      </w:r>
      <w:proofErr w:type="spellEnd"/>
      <w:r w:rsidRPr="00535A18">
        <w:rPr>
          <w:rFonts w:cstheme="minorHAnsi"/>
          <w:lang w:eastAsia="en-NZ"/>
        </w:rPr>
        <w:t xml:space="preserve"> Māori</w:t>
      </w:r>
      <w:r>
        <w:rPr>
          <w:rFonts w:cstheme="minorHAnsi"/>
          <w:lang w:eastAsia="en-NZ"/>
        </w:rPr>
        <w:t xml:space="preserve"> spaces</w:t>
      </w:r>
      <w:r w:rsidRPr="00535A18">
        <w:rPr>
          <w:rFonts w:cstheme="minorHAnsi"/>
          <w:lang w:eastAsia="en-NZ"/>
        </w:rPr>
        <w:t xml:space="preserve"> to expand their own practice, and vice versa, </w:t>
      </w:r>
      <w:r>
        <w:rPr>
          <w:rFonts w:cstheme="minorHAnsi"/>
          <w:lang w:eastAsia="en-NZ"/>
        </w:rPr>
        <w:t>bringing</w:t>
      </w:r>
      <w:r w:rsidRPr="00535A18">
        <w:rPr>
          <w:rFonts w:cstheme="minorHAnsi"/>
          <w:lang w:eastAsia="en-NZ"/>
        </w:rPr>
        <w:t xml:space="preserve"> new ideas to the table.</w:t>
      </w:r>
      <w:r>
        <w:t xml:space="preserve"> </w:t>
      </w:r>
    </w:p>
    <w:p w14:paraId="59A408F8" w14:textId="77777777" w:rsidR="00B319E1" w:rsidRDefault="00B319E1" w:rsidP="00B319E1"/>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81"/>
        <w:gridCol w:w="4181"/>
      </w:tblGrid>
      <w:tr w:rsidR="00B319E1" w:rsidRPr="00B319E1" w14:paraId="6BBE76AC" w14:textId="77777777" w:rsidTr="00C00583">
        <w:trPr>
          <w:tblHeader/>
        </w:trPr>
        <w:tc>
          <w:tcPr>
            <w:tcW w:w="4181" w:type="dxa"/>
            <w:tcBorders>
              <w:top w:val="nil"/>
              <w:bottom w:val="nil"/>
              <w:right w:val="nil"/>
            </w:tcBorders>
            <w:shd w:val="clear" w:color="auto" w:fill="D9D9D9" w:themeFill="background1" w:themeFillShade="D9"/>
          </w:tcPr>
          <w:p w14:paraId="7715628D" w14:textId="77777777" w:rsidR="00B319E1" w:rsidRPr="00B319E1" w:rsidRDefault="00B319E1" w:rsidP="00B319E1">
            <w:pPr>
              <w:pStyle w:val="TableText"/>
              <w:rPr>
                <w:b/>
                <w:bCs/>
                <w:lang w:eastAsia="en-NZ"/>
              </w:rPr>
            </w:pPr>
            <w:r w:rsidRPr="00B319E1">
              <w:rPr>
                <w:b/>
                <w:bCs/>
                <w:lang w:eastAsia="en-NZ"/>
              </w:rPr>
              <w:t>Locations</w:t>
            </w:r>
          </w:p>
        </w:tc>
        <w:tc>
          <w:tcPr>
            <w:tcW w:w="4181" w:type="dxa"/>
            <w:tcBorders>
              <w:top w:val="nil"/>
              <w:left w:val="nil"/>
              <w:bottom w:val="nil"/>
            </w:tcBorders>
            <w:shd w:val="clear" w:color="auto" w:fill="D9D9D9" w:themeFill="background1" w:themeFillShade="D9"/>
          </w:tcPr>
          <w:p w14:paraId="0A72A8B2" w14:textId="77777777" w:rsidR="00B319E1" w:rsidRPr="00B319E1" w:rsidRDefault="00B319E1" w:rsidP="00B319E1">
            <w:pPr>
              <w:pStyle w:val="TableText"/>
              <w:rPr>
                <w:b/>
                <w:bCs/>
                <w:lang w:eastAsia="en-NZ"/>
              </w:rPr>
            </w:pPr>
            <w:r w:rsidRPr="00B319E1">
              <w:rPr>
                <w:b/>
                <w:bCs/>
                <w:lang w:eastAsia="en-NZ"/>
              </w:rPr>
              <w:t>Local lead</w:t>
            </w:r>
            <w:r w:rsidRPr="00B319E1">
              <w:rPr>
                <w:rStyle w:val="FootnoteReference"/>
                <w:rFonts w:cstheme="minorHAnsi"/>
                <w:b/>
                <w:bCs/>
                <w:lang w:eastAsia="en-NZ"/>
              </w:rPr>
              <w:footnoteReference w:id="4"/>
            </w:r>
          </w:p>
        </w:tc>
      </w:tr>
      <w:tr w:rsidR="00B319E1" w14:paraId="37C22BA4" w14:textId="77777777" w:rsidTr="00C00583">
        <w:tc>
          <w:tcPr>
            <w:tcW w:w="4181" w:type="dxa"/>
            <w:tcBorders>
              <w:top w:val="nil"/>
            </w:tcBorders>
            <w:shd w:val="clear" w:color="auto" w:fill="auto"/>
          </w:tcPr>
          <w:p w14:paraId="04DBA5AA" w14:textId="77777777" w:rsidR="00B319E1" w:rsidRPr="00C00583" w:rsidRDefault="00B319E1" w:rsidP="00C00583">
            <w:pPr>
              <w:pStyle w:val="TableText"/>
            </w:pPr>
            <w:r w:rsidRPr="00C00583">
              <w:t>Far North</w:t>
            </w:r>
          </w:p>
        </w:tc>
        <w:tc>
          <w:tcPr>
            <w:tcW w:w="4181" w:type="dxa"/>
            <w:tcBorders>
              <w:top w:val="nil"/>
            </w:tcBorders>
            <w:shd w:val="clear" w:color="auto" w:fill="auto"/>
          </w:tcPr>
          <w:p w14:paraId="796F23ED" w14:textId="77777777" w:rsidR="00B319E1" w:rsidRPr="00C00583" w:rsidRDefault="00B319E1" w:rsidP="00C00583">
            <w:pPr>
              <w:pStyle w:val="TableText"/>
            </w:pPr>
            <w:proofErr w:type="spellStart"/>
            <w:r w:rsidRPr="00C00583">
              <w:t>Te</w:t>
            </w:r>
            <w:proofErr w:type="spellEnd"/>
            <w:r w:rsidRPr="00C00583">
              <w:t xml:space="preserve"> </w:t>
            </w:r>
            <w:proofErr w:type="spellStart"/>
            <w:r w:rsidRPr="00C00583">
              <w:t>Rūnanga</w:t>
            </w:r>
            <w:proofErr w:type="spellEnd"/>
            <w:r w:rsidRPr="00C00583">
              <w:t xml:space="preserve"> o </w:t>
            </w:r>
            <w:proofErr w:type="spellStart"/>
            <w:r w:rsidRPr="00C00583">
              <w:t>Whaingaroa</w:t>
            </w:r>
            <w:proofErr w:type="spellEnd"/>
          </w:p>
        </w:tc>
      </w:tr>
      <w:tr w:rsidR="00B319E1" w14:paraId="5302E582" w14:textId="77777777" w:rsidTr="00C00583">
        <w:tc>
          <w:tcPr>
            <w:tcW w:w="4181" w:type="dxa"/>
            <w:shd w:val="clear" w:color="auto" w:fill="auto"/>
          </w:tcPr>
          <w:p w14:paraId="2F1105D3" w14:textId="77777777" w:rsidR="00B319E1" w:rsidRPr="00C00583" w:rsidRDefault="00B319E1" w:rsidP="00C00583">
            <w:pPr>
              <w:pStyle w:val="TableText"/>
            </w:pPr>
            <w:proofErr w:type="spellStart"/>
            <w:r w:rsidRPr="00C00583">
              <w:t>Waitākere</w:t>
            </w:r>
            <w:proofErr w:type="spellEnd"/>
          </w:p>
        </w:tc>
        <w:tc>
          <w:tcPr>
            <w:tcW w:w="4181" w:type="dxa"/>
            <w:shd w:val="clear" w:color="auto" w:fill="auto"/>
          </w:tcPr>
          <w:p w14:paraId="3B1941ED" w14:textId="77777777" w:rsidR="00B319E1" w:rsidRPr="00C00583" w:rsidRDefault="00B319E1" w:rsidP="00C00583">
            <w:pPr>
              <w:pStyle w:val="TableText"/>
            </w:pPr>
            <w:r w:rsidRPr="00C00583">
              <w:t xml:space="preserve">Sport </w:t>
            </w:r>
            <w:proofErr w:type="spellStart"/>
            <w:r w:rsidRPr="00C00583">
              <w:t>Waitākere</w:t>
            </w:r>
            <w:proofErr w:type="spellEnd"/>
          </w:p>
        </w:tc>
      </w:tr>
      <w:tr w:rsidR="00B319E1" w14:paraId="2DD6084C" w14:textId="77777777" w:rsidTr="00C00583">
        <w:tc>
          <w:tcPr>
            <w:tcW w:w="4181" w:type="dxa"/>
            <w:shd w:val="clear" w:color="auto" w:fill="auto"/>
          </w:tcPr>
          <w:p w14:paraId="312B7FD9" w14:textId="77777777" w:rsidR="00B319E1" w:rsidRPr="00C00583" w:rsidRDefault="00B319E1" w:rsidP="00C00583">
            <w:pPr>
              <w:pStyle w:val="TableText"/>
            </w:pPr>
            <w:r w:rsidRPr="00C00583">
              <w:t>South Auckland</w:t>
            </w:r>
          </w:p>
        </w:tc>
        <w:tc>
          <w:tcPr>
            <w:tcW w:w="4181" w:type="dxa"/>
            <w:shd w:val="clear" w:color="auto" w:fill="auto"/>
          </w:tcPr>
          <w:p w14:paraId="6CD47694" w14:textId="77777777" w:rsidR="00B319E1" w:rsidRPr="00C00583" w:rsidRDefault="00B319E1" w:rsidP="00C00583">
            <w:pPr>
              <w:pStyle w:val="TableText"/>
            </w:pPr>
            <w:r w:rsidRPr="00C00583">
              <w:t>The Southern Initiative (Auckland Council) and The Cause Collective</w:t>
            </w:r>
          </w:p>
        </w:tc>
      </w:tr>
      <w:tr w:rsidR="00B319E1" w14:paraId="2D0EB14B" w14:textId="77777777" w:rsidTr="00C00583">
        <w:tc>
          <w:tcPr>
            <w:tcW w:w="4181" w:type="dxa"/>
            <w:shd w:val="clear" w:color="auto" w:fill="auto"/>
          </w:tcPr>
          <w:p w14:paraId="07092142" w14:textId="77777777" w:rsidR="00B319E1" w:rsidRPr="00C00583" w:rsidRDefault="00B319E1" w:rsidP="00C00583">
            <w:pPr>
              <w:pStyle w:val="TableText"/>
            </w:pPr>
            <w:r w:rsidRPr="00C00583">
              <w:t>Waikato</w:t>
            </w:r>
          </w:p>
        </w:tc>
        <w:tc>
          <w:tcPr>
            <w:tcW w:w="4181" w:type="dxa"/>
            <w:shd w:val="clear" w:color="auto" w:fill="auto"/>
          </w:tcPr>
          <w:p w14:paraId="044D85B2" w14:textId="77777777" w:rsidR="00B319E1" w:rsidRPr="00C00583" w:rsidRDefault="00B319E1" w:rsidP="00C00583">
            <w:pPr>
              <w:pStyle w:val="TableText"/>
            </w:pPr>
            <w:proofErr w:type="spellStart"/>
            <w:r w:rsidRPr="00C00583">
              <w:t>Te</w:t>
            </w:r>
            <w:proofErr w:type="spellEnd"/>
            <w:r w:rsidRPr="00C00583">
              <w:t xml:space="preserve"> </w:t>
            </w:r>
            <w:proofErr w:type="spellStart"/>
            <w:r w:rsidRPr="00C00583">
              <w:t>Kōhao</w:t>
            </w:r>
            <w:proofErr w:type="spellEnd"/>
            <w:r w:rsidRPr="00C00583">
              <w:t xml:space="preserve"> Health</w:t>
            </w:r>
          </w:p>
        </w:tc>
      </w:tr>
      <w:tr w:rsidR="00B319E1" w14:paraId="691F71B5" w14:textId="77777777" w:rsidTr="00C00583">
        <w:tc>
          <w:tcPr>
            <w:tcW w:w="4181" w:type="dxa"/>
            <w:shd w:val="clear" w:color="auto" w:fill="auto"/>
          </w:tcPr>
          <w:p w14:paraId="27B4437E" w14:textId="77777777" w:rsidR="00B319E1" w:rsidRPr="00C00583" w:rsidRDefault="00B319E1" w:rsidP="00C00583">
            <w:pPr>
              <w:pStyle w:val="TableText"/>
            </w:pPr>
            <w:r w:rsidRPr="00C00583">
              <w:t>Rotorua</w:t>
            </w:r>
          </w:p>
        </w:tc>
        <w:tc>
          <w:tcPr>
            <w:tcW w:w="4181" w:type="dxa"/>
            <w:shd w:val="clear" w:color="auto" w:fill="auto"/>
          </w:tcPr>
          <w:p w14:paraId="498E09EC" w14:textId="77777777" w:rsidR="00B319E1" w:rsidRPr="00C00583" w:rsidRDefault="00B319E1" w:rsidP="00C00583">
            <w:pPr>
              <w:pStyle w:val="TableText"/>
            </w:pPr>
            <w:proofErr w:type="spellStart"/>
            <w:r w:rsidRPr="00C00583">
              <w:t>Te</w:t>
            </w:r>
            <w:proofErr w:type="spellEnd"/>
            <w:r w:rsidRPr="00C00583">
              <w:t xml:space="preserve"> </w:t>
            </w:r>
            <w:proofErr w:type="spellStart"/>
            <w:r w:rsidRPr="00C00583">
              <w:t>Arawa</w:t>
            </w:r>
            <w:proofErr w:type="spellEnd"/>
            <w:r w:rsidRPr="00C00583">
              <w:t xml:space="preserve"> </w:t>
            </w:r>
            <w:proofErr w:type="spellStart"/>
            <w:r w:rsidRPr="00C00583">
              <w:t>Whānau</w:t>
            </w:r>
            <w:proofErr w:type="spellEnd"/>
            <w:r w:rsidRPr="00C00583">
              <w:t xml:space="preserve"> Ora </w:t>
            </w:r>
          </w:p>
        </w:tc>
      </w:tr>
      <w:tr w:rsidR="00B319E1" w14:paraId="300D1512" w14:textId="77777777" w:rsidTr="00C00583">
        <w:tc>
          <w:tcPr>
            <w:tcW w:w="4181" w:type="dxa"/>
            <w:shd w:val="clear" w:color="auto" w:fill="auto"/>
          </w:tcPr>
          <w:p w14:paraId="765A17D3" w14:textId="77777777" w:rsidR="00B319E1" w:rsidRPr="00C00583" w:rsidRDefault="00B319E1" w:rsidP="00C00583">
            <w:pPr>
              <w:pStyle w:val="TableText"/>
            </w:pPr>
            <w:r w:rsidRPr="00C00583">
              <w:t>East Cape</w:t>
            </w:r>
          </w:p>
        </w:tc>
        <w:tc>
          <w:tcPr>
            <w:tcW w:w="4181" w:type="dxa"/>
            <w:shd w:val="clear" w:color="auto" w:fill="auto"/>
          </w:tcPr>
          <w:p w14:paraId="7950E924" w14:textId="77777777" w:rsidR="00B319E1" w:rsidRPr="00C00583" w:rsidRDefault="00B319E1" w:rsidP="00C00583">
            <w:pPr>
              <w:pStyle w:val="TableText"/>
            </w:pPr>
            <w:proofErr w:type="spellStart"/>
            <w:r w:rsidRPr="00C00583">
              <w:t>Te</w:t>
            </w:r>
            <w:proofErr w:type="spellEnd"/>
            <w:r w:rsidRPr="00C00583">
              <w:t xml:space="preserve"> </w:t>
            </w:r>
            <w:proofErr w:type="spellStart"/>
            <w:r w:rsidRPr="00C00583">
              <w:t>Ao</w:t>
            </w:r>
            <w:proofErr w:type="spellEnd"/>
            <w:r w:rsidRPr="00C00583">
              <w:t xml:space="preserve"> Hou Trust</w:t>
            </w:r>
          </w:p>
        </w:tc>
      </w:tr>
      <w:tr w:rsidR="00B319E1" w14:paraId="19023619" w14:textId="77777777" w:rsidTr="00C00583">
        <w:tc>
          <w:tcPr>
            <w:tcW w:w="4181" w:type="dxa"/>
            <w:shd w:val="clear" w:color="auto" w:fill="auto"/>
          </w:tcPr>
          <w:p w14:paraId="00EE2B49" w14:textId="77777777" w:rsidR="00B319E1" w:rsidRPr="0032169D" w:rsidRDefault="00B319E1" w:rsidP="00C00583">
            <w:pPr>
              <w:pStyle w:val="TableText"/>
              <w:rPr>
                <w:lang w:eastAsia="en-NZ"/>
              </w:rPr>
            </w:pPr>
            <w:r w:rsidRPr="0032169D">
              <w:rPr>
                <w:lang w:eastAsia="en-NZ"/>
              </w:rPr>
              <w:t xml:space="preserve">Whanganui, </w:t>
            </w:r>
            <w:proofErr w:type="spellStart"/>
            <w:r w:rsidRPr="0032169D">
              <w:rPr>
                <w:lang w:eastAsia="en-NZ"/>
              </w:rPr>
              <w:t>Rangitīkei</w:t>
            </w:r>
            <w:proofErr w:type="spellEnd"/>
            <w:r w:rsidRPr="0032169D">
              <w:rPr>
                <w:lang w:eastAsia="en-NZ"/>
              </w:rPr>
              <w:t xml:space="preserve"> Ruapehu</w:t>
            </w:r>
          </w:p>
        </w:tc>
        <w:tc>
          <w:tcPr>
            <w:tcW w:w="4181" w:type="dxa"/>
            <w:shd w:val="clear" w:color="auto" w:fill="auto"/>
          </w:tcPr>
          <w:p w14:paraId="4BFF3788" w14:textId="77777777" w:rsidR="00B319E1" w:rsidRPr="00167461" w:rsidRDefault="00B319E1" w:rsidP="00C00583">
            <w:pPr>
              <w:pStyle w:val="TableText"/>
              <w:rPr>
                <w:lang w:eastAsia="en-NZ"/>
              </w:rPr>
            </w:pPr>
            <w:proofErr w:type="spellStart"/>
            <w:r w:rsidRPr="00167461">
              <w:rPr>
                <w:lang w:eastAsia="en-NZ"/>
              </w:rPr>
              <w:t>Te</w:t>
            </w:r>
            <w:proofErr w:type="spellEnd"/>
            <w:r w:rsidRPr="00167461">
              <w:rPr>
                <w:lang w:eastAsia="en-NZ"/>
              </w:rPr>
              <w:t xml:space="preserve"> </w:t>
            </w:r>
            <w:proofErr w:type="spellStart"/>
            <w:r w:rsidRPr="00167461">
              <w:rPr>
                <w:lang w:eastAsia="en-NZ"/>
              </w:rPr>
              <w:t>Oranganui</w:t>
            </w:r>
            <w:proofErr w:type="spellEnd"/>
            <w:r w:rsidRPr="00167461">
              <w:rPr>
                <w:lang w:eastAsia="en-NZ"/>
              </w:rPr>
              <w:t xml:space="preserve"> </w:t>
            </w:r>
          </w:p>
        </w:tc>
      </w:tr>
      <w:tr w:rsidR="00B319E1" w14:paraId="19032BB3" w14:textId="77777777" w:rsidTr="00C00583">
        <w:tc>
          <w:tcPr>
            <w:tcW w:w="4181" w:type="dxa"/>
            <w:shd w:val="clear" w:color="auto" w:fill="auto"/>
          </w:tcPr>
          <w:p w14:paraId="04E22C49" w14:textId="77777777" w:rsidR="00B319E1" w:rsidRPr="0032169D" w:rsidRDefault="00B319E1" w:rsidP="00C00583">
            <w:pPr>
              <w:pStyle w:val="TableText"/>
              <w:rPr>
                <w:lang w:eastAsia="en-NZ"/>
              </w:rPr>
            </w:pPr>
            <w:r w:rsidRPr="0032169D">
              <w:rPr>
                <w:lang w:eastAsia="en-NZ"/>
              </w:rPr>
              <w:lastRenderedPageBreak/>
              <w:t>Hutt Valley</w:t>
            </w:r>
          </w:p>
        </w:tc>
        <w:tc>
          <w:tcPr>
            <w:tcW w:w="4181" w:type="dxa"/>
            <w:shd w:val="clear" w:color="auto" w:fill="auto"/>
          </w:tcPr>
          <w:p w14:paraId="73C99FC5" w14:textId="77777777" w:rsidR="00B319E1" w:rsidRPr="00167461" w:rsidRDefault="00B319E1" w:rsidP="00C00583">
            <w:pPr>
              <w:pStyle w:val="TableText"/>
              <w:rPr>
                <w:lang w:eastAsia="en-NZ"/>
              </w:rPr>
            </w:pPr>
            <w:r w:rsidRPr="00167461">
              <w:rPr>
                <w:lang w:eastAsia="en-NZ"/>
              </w:rPr>
              <w:t>Hutt City Council</w:t>
            </w:r>
          </w:p>
        </w:tc>
      </w:tr>
      <w:tr w:rsidR="00B319E1" w14:paraId="09136AAB" w14:textId="77777777" w:rsidTr="00C00583">
        <w:tc>
          <w:tcPr>
            <w:tcW w:w="4181" w:type="dxa"/>
            <w:shd w:val="clear" w:color="auto" w:fill="auto"/>
          </w:tcPr>
          <w:p w14:paraId="29B0317E" w14:textId="77777777" w:rsidR="00B319E1" w:rsidRPr="0032169D" w:rsidRDefault="00B319E1" w:rsidP="00C00583">
            <w:pPr>
              <w:pStyle w:val="TableText"/>
              <w:rPr>
                <w:lang w:eastAsia="en-NZ"/>
              </w:rPr>
            </w:pPr>
            <w:r w:rsidRPr="0032169D">
              <w:rPr>
                <w:lang w:eastAsia="en-NZ"/>
              </w:rPr>
              <w:t>Christchurch</w:t>
            </w:r>
          </w:p>
        </w:tc>
        <w:tc>
          <w:tcPr>
            <w:tcW w:w="4181" w:type="dxa"/>
            <w:shd w:val="clear" w:color="auto" w:fill="auto"/>
          </w:tcPr>
          <w:p w14:paraId="676782D7" w14:textId="77777777" w:rsidR="00B319E1" w:rsidRPr="00167461" w:rsidRDefault="00B319E1" w:rsidP="00C00583">
            <w:pPr>
              <w:pStyle w:val="TableText"/>
              <w:rPr>
                <w:lang w:eastAsia="en-NZ"/>
              </w:rPr>
            </w:pPr>
            <w:r w:rsidRPr="00167461">
              <w:rPr>
                <w:lang w:eastAsia="en-NZ"/>
              </w:rPr>
              <w:t>Sport Canterbury</w:t>
            </w:r>
          </w:p>
        </w:tc>
      </w:tr>
      <w:tr w:rsidR="00B319E1" w14:paraId="4F913A76" w14:textId="77777777" w:rsidTr="00C00583">
        <w:tc>
          <w:tcPr>
            <w:tcW w:w="4181" w:type="dxa"/>
            <w:shd w:val="clear" w:color="auto" w:fill="auto"/>
          </w:tcPr>
          <w:p w14:paraId="48EFDF90" w14:textId="77777777" w:rsidR="00B319E1" w:rsidRPr="0032169D" w:rsidRDefault="00B319E1" w:rsidP="00C00583">
            <w:pPr>
              <w:pStyle w:val="TableText"/>
              <w:rPr>
                <w:lang w:eastAsia="en-NZ"/>
              </w:rPr>
            </w:pPr>
            <w:r w:rsidRPr="0032169D">
              <w:rPr>
                <w:lang w:eastAsia="en-NZ"/>
              </w:rPr>
              <w:t>Invercargill</w:t>
            </w:r>
          </w:p>
        </w:tc>
        <w:tc>
          <w:tcPr>
            <w:tcW w:w="4181" w:type="dxa"/>
            <w:shd w:val="clear" w:color="auto" w:fill="auto"/>
          </w:tcPr>
          <w:p w14:paraId="35606F0E" w14:textId="77777777" w:rsidR="00B319E1" w:rsidRPr="00167461" w:rsidRDefault="00B319E1" w:rsidP="00C00583">
            <w:pPr>
              <w:pStyle w:val="TableText"/>
              <w:rPr>
                <w:lang w:eastAsia="en-NZ"/>
              </w:rPr>
            </w:pPr>
            <w:r w:rsidRPr="00167461">
              <w:rPr>
                <w:lang w:eastAsia="en-NZ"/>
              </w:rPr>
              <w:t>Active Southland</w:t>
            </w:r>
          </w:p>
        </w:tc>
      </w:tr>
    </w:tbl>
    <w:p w14:paraId="286E9C4E" w14:textId="77777777" w:rsidR="00B319E1" w:rsidRDefault="00B319E1" w:rsidP="00B319E1"/>
    <w:p w14:paraId="117C9A8F" w14:textId="7C6E242C" w:rsidR="00B319E1" w:rsidRDefault="00B319E1" w:rsidP="00B319E1">
      <w:pPr>
        <w:rPr>
          <w:lang w:eastAsia="en-NZ"/>
        </w:rPr>
      </w:pPr>
      <w:r>
        <w:t xml:space="preserve">The </w:t>
      </w:r>
      <w:r>
        <w:rPr>
          <w:lang w:eastAsia="en-NZ"/>
        </w:rPr>
        <w:t>locations are geographically spread and come from areas with:</w:t>
      </w:r>
    </w:p>
    <w:p w14:paraId="744223AE" w14:textId="77777777" w:rsidR="00B319E1" w:rsidRPr="00794DBE" w:rsidRDefault="00B319E1" w:rsidP="00B319E1">
      <w:pPr>
        <w:pStyle w:val="Bullet"/>
        <w:rPr>
          <w:lang w:eastAsia="en-NZ"/>
        </w:rPr>
      </w:pPr>
      <w:r>
        <w:rPr>
          <w:lang w:eastAsia="en-NZ"/>
        </w:rPr>
        <w:t>h</w:t>
      </w:r>
      <w:r w:rsidRPr="00794DBE">
        <w:rPr>
          <w:lang w:eastAsia="en-NZ"/>
        </w:rPr>
        <w:t>igher</w:t>
      </w:r>
      <w:r>
        <w:rPr>
          <w:lang w:eastAsia="en-NZ"/>
        </w:rPr>
        <w:t xml:space="preserve"> </w:t>
      </w:r>
      <w:r w:rsidRPr="00794DBE">
        <w:rPr>
          <w:lang w:eastAsia="en-NZ"/>
        </w:rPr>
        <w:t>than</w:t>
      </w:r>
      <w:r>
        <w:rPr>
          <w:lang w:eastAsia="en-NZ"/>
        </w:rPr>
        <w:t xml:space="preserve"> </w:t>
      </w:r>
      <w:r w:rsidRPr="00794DBE">
        <w:rPr>
          <w:lang w:eastAsia="en-NZ"/>
        </w:rPr>
        <w:t>average rates of preventable chronic diseases (such as diabetes)</w:t>
      </w:r>
    </w:p>
    <w:p w14:paraId="285FD235" w14:textId="77777777" w:rsidR="00B319E1" w:rsidRPr="00794DBE" w:rsidRDefault="00B319E1" w:rsidP="00B319E1">
      <w:pPr>
        <w:pStyle w:val="Bullet"/>
        <w:rPr>
          <w:lang w:eastAsia="en-NZ"/>
        </w:rPr>
      </w:pPr>
      <w:r>
        <w:rPr>
          <w:lang w:eastAsia="en-NZ"/>
        </w:rPr>
        <w:t>h</w:t>
      </w:r>
      <w:r w:rsidRPr="00794DBE">
        <w:rPr>
          <w:lang w:eastAsia="en-NZ"/>
        </w:rPr>
        <w:t>igher</w:t>
      </w:r>
      <w:r>
        <w:rPr>
          <w:lang w:eastAsia="en-NZ"/>
        </w:rPr>
        <w:t xml:space="preserve"> </w:t>
      </w:r>
      <w:r w:rsidRPr="00794DBE">
        <w:rPr>
          <w:lang w:eastAsia="en-NZ"/>
        </w:rPr>
        <w:t>than</w:t>
      </w:r>
      <w:r>
        <w:rPr>
          <w:lang w:eastAsia="en-NZ"/>
        </w:rPr>
        <w:t xml:space="preserve"> </w:t>
      </w:r>
      <w:r w:rsidRPr="00794DBE">
        <w:rPr>
          <w:lang w:eastAsia="en-NZ"/>
        </w:rPr>
        <w:t>average rates of risk factors for these diseases (such as smoking), and/or</w:t>
      </w:r>
    </w:p>
    <w:p w14:paraId="7F1008CD" w14:textId="5CD60CA5" w:rsidR="00B319E1" w:rsidRDefault="00B319E1" w:rsidP="00B319E1">
      <w:pPr>
        <w:pStyle w:val="Bullet"/>
        <w:rPr>
          <w:lang w:eastAsia="en-NZ"/>
        </w:rPr>
      </w:pPr>
      <w:r>
        <w:rPr>
          <w:lang w:eastAsia="en-NZ"/>
        </w:rPr>
        <w:t>h</w:t>
      </w:r>
      <w:r w:rsidRPr="00794DBE">
        <w:rPr>
          <w:lang w:eastAsia="en-NZ"/>
        </w:rPr>
        <w:t>igh levels of economic deprivation.</w:t>
      </w:r>
    </w:p>
    <w:p w14:paraId="61750A8E" w14:textId="77777777" w:rsidR="00B319E1" w:rsidRPr="00FD6034" w:rsidRDefault="00B319E1" w:rsidP="00B319E1">
      <w:pPr>
        <w:pStyle w:val="Heading2"/>
      </w:pPr>
      <w:bookmarkStart w:id="6" w:name="_Toc124832985"/>
      <w:r w:rsidRPr="00FD6034">
        <w:t>Healthy Families NZ prevention workforce</w:t>
      </w:r>
      <w:bookmarkEnd w:id="6"/>
    </w:p>
    <w:p w14:paraId="6222DFF9" w14:textId="75801770" w:rsidR="00B319E1" w:rsidRDefault="00B319E1" w:rsidP="00B319E1">
      <w:r>
        <w:t xml:space="preserve">The Healthy Families NZ workforce consists of approximately 70 full-time equivalent staff across the country. As the initiative has evolved, lessons have been learned about what kinds of workforce skills and focus are needed. These lessons have informed changes to roles to better match skills and emphasise strategic systems change and community co-design approaches. </w:t>
      </w:r>
    </w:p>
    <w:p w14:paraId="4E1027DC" w14:textId="77777777" w:rsidR="00B319E1" w:rsidRPr="00FD6034" w:rsidRDefault="00B319E1" w:rsidP="00B319E1"/>
    <w:p w14:paraId="6EF72CFE" w14:textId="366F1A9A" w:rsidR="00B319E1" w:rsidRDefault="00B319E1" w:rsidP="00B319E1">
      <w:r>
        <w:t xml:space="preserve">The workforce includes managers, strategic communication managers, systems innovators, Māori systems innovators, strategic relationships managers, system activators, people and practice leads, system designers and </w:t>
      </w:r>
      <w:proofErr w:type="spellStart"/>
      <w:r>
        <w:t>kaiārahi</w:t>
      </w:r>
      <w:proofErr w:type="spellEnd"/>
      <w:r>
        <w:t xml:space="preserve"> Māori. </w:t>
      </w:r>
    </w:p>
    <w:p w14:paraId="5F5C5D9C" w14:textId="77777777" w:rsidR="00B319E1" w:rsidRDefault="00B319E1" w:rsidP="00B319E1"/>
    <w:p w14:paraId="1B860ECD" w14:textId="77777777" w:rsidR="00B319E1" w:rsidRDefault="00B319E1" w:rsidP="00B319E1">
      <w:pPr>
        <w:rPr>
          <w:lang w:eastAsia="en-NZ"/>
        </w:rPr>
      </w:pPr>
      <w:r w:rsidRPr="670788D2">
        <w:rPr>
          <w:lang w:eastAsia="en-NZ"/>
        </w:rPr>
        <w:t>Ensuring Healthy Families NZ can provide valuable evidence from across its different location</w:t>
      </w:r>
      <w:r>
        <w:rPr>
          <w:lang w:eastAsia="en-NZ"/>
        </w:rPr>
        <w:t>s</w:t>
      </w:r>
      <w:r w:rsidRPr="670788D2">
        <w:rPr>
          <w:lang w:eastAsia="en-NZ"/>
        </w:rPr>
        <w:t xml:space="preserve"> on what works for a diverse range of communities will potentially impact the lives of over a million New Zealanders.</w:t>
      </w:r>
    </w:p>
    <w:p w14:paraId="00F29223" w14:textId="77777777" w:rsidR="00B319E1" w:rsidRDefault="00B319E1" w:rsidP="00B319E1">
      <w:pPr>
        <w:pStyle w:val="Heading2"/>
        <w:rPr>
          <w:kern w:val="24"/>
        </w:rPr>
      </w:pPr>
      <w:bookmarkStart w:id="7" w:name="_Toc124832986"/>
      <w:proofErr w:type="spellStart"/>
      <w:r w:rsidRPr="670788D2">
        <w:t>Te</w:t>
      </w:r>
      <w:proofErr w:type="spellEnd"/>
      <w:r w:rsidRPr="670788D2">
        <w:t xml:space="preserve"> </w:t>
      </w:r>
      <w:proofErr w:type="spellStart"/>
      <w:r w:rsidRPr="670788D2">
        <w:t>ao</w:t>
      </w:r>
      <w:proofErr w:type="spellEnd"/>
      <w:r w:rsidRPr="670788D2">
        <w:t xml:space="preserve"> Māori approach</w:t>
      </w:r>
      <w:bookmarkEnd w:id="7"/>
    </w:p>
    <w:p w14:paraId="74DCFD03" w14:textId="279C7D65" w:rsidR="00B319E1" w:rsidRDefault="00B319E1" w:rsidP="00B319E1">
      <w:r w:rsidRPr="008305F7">
        <w:rPr>
          <w:lang w:eastAsia="en-NZ"/>
        </w:rPr>
        <w:t xml:space="preserve">Healthy Families NZ has an explicit focus on improving equity and health and wellbeing outcomes for Māori. The design of Healthy Families NZ ensures Māori are prioritised. </w:t>
      </w:r>
      <w:r>
        <w:rPr>
          <w:lang w:eastAsia="en-NZ"/>
        </w:rPr>
        <w:t xml:space="preserve">Having </w:t>
      </w:r>
      <w:r w:rsidRPr="008305F7">
        <w:rPr>
          <w:lang w:eastAsia="en-NZ"/>
        </w:rPr>
        <w:t xml:space="preserve">Māori participation and decision-making at all levels of planning and implementation is critical. </w:t>
      </w:r>
      <w:r w:rsidRPr="00184D48">
        <w:t xml:space="preserve">Healthy Families NZ teams are taking the lead in their wider community networks on promoting </w:t>
      </w:r>
      <w:proofErr w:type="spellStart"/>
      <w:r>
        <w:t>k</w:t>
      </w:r>
      <w:r w:rsidRPr="00184D48">
        <w:t>aupapa</w:t>
      </w:r>
      <w:proofErr w:type="spellEnd"/>
      <w:r w:rsidRPr="00184D48">
        <w:t xml:space="preserve"> Māori (normalising Māori ways of knowing and being), </w:t>
      </w:r>
      <w:proofErr w:type="spellStart"/>
      <w:r w:rsidRPr="00184D48">
        <w:t>mātauranga</w:t>
      </w:r>
      <w:proofErr w:type="spellEnd"/>
      <w:r w:rsidRPr="00184D48">
        <w:t xml:space="preserve"> Māori and the use of traditional knowledge such as </w:t>
      </w:r>
      <w:r>
        <w:t xml:space="preserve">the </w:t>
      </w:r>
      <w:proofErr w:type="spellStart"/>
      <w:r>
        <w:t>m</w:t>
      </w:r>
      <w:r w:rsidRPr="00184D48">
        <w:t>aramataka</w:t>
      </w:r>
      <w:proofErr w:type="spellEnd"/>
      <w:r>
        <w:t>.</w:t>
      </w:r>
      <w:r>
        <w:rPr>
          <w:rStyle w:val="FootnoteReference"/>
        </w:rPr>
        <w:footnoteReference w:id="5"/>
      </w:r>
    </w:p>
    <w:p w14:paraId="39835FFD" w14:textId="38194841" w:rsidR="00C00583" w:rsidRDefault="00C00583" w:rsidP="00B319E1"/>
    <w:p w14:paraId="3CF5B714" w14:textId="77777777" w:rsidR="00C00583" w:rsidRDefault="00C00583" w:rsidP="00B319E1">
      <w:pPr>
        <w:rPr>
          <w:lang w:eastAsia="en-NZ"/>
        </w:rPr>
      </w:pPr>
    </w:p>
    <w:p w14:paraId="5CE3540D" w14:textId="77777777" w:rsidR="00B319E1" w:rsidRPr="008305F7" w:rsidRDefault="00B319E1" w:rsidP="00B319E1"/>
    <w:tbl>
      <w:tblPr>
        <w:tblStyle w:val="TableGrid"/>
        <w:tblW w:w="0" w:type="auto"/>
        <w:tblLook w:val="04A0" w:firstRow="1" w:lastRow="0" w:firstColumn="1" w:lastColumn="0" w:noHBand="0" w:noVBand="1"/>
      </w:tblPr>
      <w:tblGrid>
        <w:gridCol w:w="8352"/>
      </w:tblGrid>
      <w:tr w:rsidR="00B319E1" w14:paraId="11EC6EBF" w14:textId="77777777" w:rsidTr="00B319E1">
        <w:tc>
          <w:tcPr>
            <w:tcW w:w="9016" w:type="dxa"/>
          </w:tcPr>
          <w:p w14:paraId="181C54C3" w14:textId="59EFB7FD" w:rsidR="00B319E1" w:rsidRPr="00B319E1" w:rsidRDefault="00B319E1" w:rsidP="00B319E1">
            <w:pPr>
              <w:spacing w:before="120" w:after="120"/>
              <w:rPr>
                <w:i/>
                <w:iCs/>
                <w:color w:val="1C1D1E"/>
              </w:rPr>
            </w:pPr>
            <w:r w:rsidRPr="00B319E1">
              <w:rPr>
                <w:i/>
                <w:iCs/>
              </w:rPr>
              <w:lastRenderedPageBreak/>
              <w:t xml:space="preserve">Instead of focusing solely on those most at risk for a specific disease, an indigenous perspective considers individuals and their </w:t>
            </w:r>
            <w:proofErr w:type="spellStart"/>
            <w:r w:rsidRPr="00B319E1">
              <w:rPr>
                <w:i/>
                <w:iCs/>
              </w:rPr>
              <w:t>whānau</w:t>
            </w:r>
            <w:proofErr w:type="spellEnd"/>
            <w:r w:rsidRPr="00B319E1">
              <w:rPr>
                <w:i/>
                <w:iCs/>
              </w:rPr>
              <w:t xml:space="preserve"> (extended family) within their social and everyday circumstances. In contrast to individual health promotion, which is dominated by an emphasis on individual lifestyle choices, community and settings-based health promotion incorporates participatory community-level interventions. This type of approach respects that people and communities have the right to define what health means for them and are empowered to have control over decision-making processes which impact their health</w:t>
            </w:r>
            <w:r w:rsidR="009F4D27">
              <w:rPr>
                <w:rStyle w:val="FootnoteReference"/>
                <w:i/>
                <w:iCs/>
              </w:rPr>
              <w:footnoteReference w:id="6"/>
            </w:r>
          </w:p>
        </w:tc>
      </w:tr>
    </w:tbl>
    <w:p w14:paraId="5FFDC801" w14:textId="77777777" w:rsidR="00B319E1" w:rsidRDefault="00B319E1" w:rsidP="00B319E1">
      <w:pPr>
        <w:pStyle w:val="Heading1"/>
        <w:sectPr w:rsidR="00B319E1" w:rsidSect="009F4D27">
          <w:footerReference w:type="default" r:id="rId20"/>
          <w:pgSz w:w="11906" w:h="16838"/>
          <w:pgMar w:top="1418" w:right="1701" w:bottom="1134" w:left="1843" w:header="708" w:footer="425" w:gutter="0"/>
          <w:cols w:space="708"/>
          <w:docGrid w:linePitch="360"/>
        </w:sectPr>
      </w:pPr>
    </w:p>
    <w:p w14:paraId="366147D0" w14:textId="254B9772" w:rsidR="00B319E1" w:rsidRDefault="00B319E1" w:rsidP="00B319E1">
      <w:pPr>
        <w:pStyle w:val="Heading1"/>
        <w:spacing w:before="0"/>
      </w:pPr>
      <w:bookmarkStart w:id="8" w:name="_Toc124832987"/>
      <w:r>
        <w:lastRenderedPageBreak/>
        <w:t>Systems-based approaches</w:t>
      </w:r>
      <w:bookmarkEnd w:id="8"/>
    </w:p>
    <w:p w14:paraId="4D0CD9C4" w14:textId="7817544B" w:rsidR="00B319E1" w:rsidRDefault="00B319E1" w:rsidP="00B319E1">
      <w:pPr>
        <w:rPr>
          <w:i/>
          <w:iCs/>
        </w:rPr>
      </w:pPr>
      <w:r>
        <w:t>A research report from the Young Foundation reinforces the need for more investment in approaches like Healthy Families NZ, where the focus shifts</w:t>
      </w:r>
      <w:r w:rsidRPr="003C251A">
        <w:t xml:space="preserve"> </w:t>
      </w:r>
      <w:r>
        <w:t>‘</w:t>
      </w:r>
      <w:r w:rsidRPr="00636C15">
        <w:t xml:space="preserve">… </w:t>
      </w:r>
      <w:r w:rsidRPr="0032169D">
        <w:t xml:space="preserve">to systems that create health instead of just mitigating illness </w:t>
      </w:r>
      <w:r w:rsidRPr="00636C15">
        <w:t>–</w:t>
      </w:r>
      <w:r w:rsidRPr="0032169D">
        <w:t xml:space="preserve"> Health Creation</w:t>
      </w:r>
      <w:r>
        <w:t>’</w:t>
      </w:r>
      <w:r w:rsidRPr="0032169D">
        <w:t>.</w:t>
      </w:r>
      <w:r w:rsidRPr="00636C15">
        <w:rPr>
          <w:i/>
          <w:iCs/>
        </w:rPr>
        <w:t xml:space="preserve"> </w:t>
      </w:r>
    </w:p>
    <w:p w14:paraId="3209A859" w14:textId="77777777" w:rsidR="00B319E1" w:rsidRDefault="00B319E1" w:rsidP="00B319E1"/>
    <w:tbl>
      <w:tblPr>
        <w:tblStyle w:val="TableGrid"/>
        <w:tblW w:w="0" w:type="auto"/>
        <w:tblLook w:val="04A0" w:firstRow="1" w:lastRow="0" w:firstColumn="1" w:lastColumn="0" w:noHBand="0" w:noVBand="1"/>
      </w:tblPr>
      <w:tblGrid>
        <w:gridCol w:w="8352"/>
      </w:tblGrid>
      <w:tr w:rsidR="00B319E1" w14:paraId="22FAED14" w14:textId="77777777" w:rsidTr="00B319E1">
        <w:tc>
          <w:tcPr>
            <w:tcW w:w="9016" w:type="dxa"/>
          </w:tcPr>
          <w:p w14:paraId="010B20EE" w14:textId="78A9EFD3" w:rsidR="00B319E1" w:rsidRPr="00B319E1" w:rsidRDefault="00B319E1" w:rsidP="00B319E1">
            <w:pPr>
              <w:spacing w:before="120" w:after="120"/>
              <w:rPr>
                <w:i/>
                <w:iCs/>
              </w:rPr>
            </w:pPr>
            <w:r w:rsidRPr="00B319E1">
              <w:rPr>
                <w:i/>
                <w:iCs/>
              </w:rPr>
              <w:t>Health creation isn’t about ‘doing health to people’, nor is it about telling them what to do in order to be healthy and prevent disease. It’s about empowerment and fostering community agency. Health creation is about walking alongside people with humility and at their pace to discover the realities of their lives in relation to their health. Using a health creation approach means working with them to generate new ideas that they will drive to create better health. It’s radical because it isn’t easy or straightforward, but it’s important and necessary. We believe that with the right support and facilitation, the answers to our health crisis lie with communities themselves.</w:t>
            </w:r>
            <w:r w:rsidR="009F4D27">
              <w:rPr>
                <w:rStyle w:val="FootnoteReference"/>
                <w:i/>
                <w:iCs/>
              </w:rPr>
              <w:footnoteReference w:id="7"/>
            </w:r>
          </w:p>
        </w:tc>
      </w:tr>
    </w:tbl>
    <w:p w14:paraId="50605AE9" w14:textId="77777777" w:rsidR="00B319E1" w:rsidRDefault="00B319E1" w:rsidP="00B319E1">
      <w:pPr>
        <w:rPr>
          <w:lang w:eastAsia="en-NZ"/>
        </w:rPr>
      </w:pPr>
    </w:p>
    <w:p w14:paraId="0F65EEF6" w14:textId="1CC27A39" w:rsidR="00B319E1" w:rsidRDefault="00B319E1" w:rsidP="009F4D27">
      <w:r w:rsidRPr="00266424">
        <w:rPr>
          <w:lang w:eastAsia="en-NZ"/>
        </w:rPr>
        <w:t xml:space="preserve">Healthy Families NZ has historically been an ‘outlier’ in </w:t>
      </w:r>
      <w:r>
        <w:rPr>
          <w:lang w:eastAsia="en-NZ"/>
        </w:rPr>
        <w:t xml:space="preserve">a health </w:t>
      </w:r>
      <w:r w:rsidRPr="00266424">
        <w:rPr>
          <w:lang w:eastAsia="en-NZ"/>
        </w:rPr>
        <w:t>system that has tended to focus</w:t>
      </w:r>
      <w:r>
        <w:rPr>
          <w:lang w:eastAsia="en-NZ"/>
        </w:rPr>
        <w:t xml:space="preserve"> </w:t>
      </w:r>
      <w:r w:rsidRPr="00266424">
        <w:rPr>
          <w:lang w:eastAsia="en-NZ"/>
        </w:rPr>
        <w:t xml:space="preserve">on </w:t>
      </w:r>
      <w:r>
        <w:rPr>
          <w:lang w:eastAsia="en-NZ"/>
        </w:rPr>
        <w:t xml:space="preserve">providing targeted interventions, programmes or </w:t>
      </w:r>
      <w:r w:rsidRPr="00266424">
        <w:rPr>
          <w:lang w:eastAsia="en-NZ"/>
        </w:rPr>
        <w:t>services</w:t>
      </w:r>
      <w:r>
        <w:rPr>
          <w:lang w:eastAsia="en-NZ"/>
        </w:rPr>
        <w:t xml:space="preserve">. Focusing prevention efforts solely </w:t>
      </w:r>
      <w:r>
        <w:t>at the individual or household level</w:t>
      </w:r>
      <w:r>
        <w:rPr>
          <w:lang w:eastAsia="en-NZ"/>
        </w:rPr>
        <w:t xml:space="preserve">, or on one issue or focus area </w:t>
      </w:r>
      <w:r w:rsidRPr="00266424">
        <w:rPr>
          <w:color w:val="000000" w:themeColor="text1"/>
        </w:rPr>
        <w:t xml:space="preserve">can create and perpetuate a passive attitude among people, </w:t>
      </w:r>
      <w:proofErr w:type="spellStart"/>
      <w:r w:rsidRPr="00266424">
        <w:rPr>
          <w:color w:val="000000" w:themeColor="text1"/>
        </w:rPr>
        <w:t>whānau</w:t>
      </w:r>
      <w:proofErr w:type="spellEnd"/>
      <w:r w:rsidRPr="00266424">
        <w:rPr>
          <w:color w:val="000000" w:themeColor="text1"/>
        </w:rPr>
        <w:t xml:space="preserve"> and communitie</w:t>
      </w:r>
      <w:r>
        <w:rPr>
          <w:color w:val="000000" w:themeColor="text1"/>
        </w:rPr>
        <w:t>s</w:t>
      </w:r>
      <w:r w:rsidRPr="00266424">
        <w:rPr>
          <w:color w:val="000000" w:themeColor="text1"/>
        </w:rPr>
        <w:t>.</w:t>
      </w:r>
      <w:r>
        <w:rPr>
          <w:color w:val="000000" w:themeColor="text1"/>
        </w:rPr>
        <w:t xml:space="preserve"> </w:t>
      </w:r>
      <w:r>
        <w:t xml:space="preserve">Prevention in a Healthy Families NZ context focuses on addressing the underlying conditions that impact health and wellbeing. </w:t>
      </w:r>
    </w:p>
    <w:p w14:paraId="6BD78E28" w14:textId="77777777" w:rsidR="009F4D27" w:rsidRDefault="009F4D27" w:rsidP="00B319E1"/>
    <w:p w14:paraId="548D186A" w14:textId="77777777" w:rsidR="00B319E1" w:rsidRPr="00B319E1" w:rsidRDefault="00B319E1" w:rsidP="009F4D27">
      <w:pPr>
        <w:pStyle w:val="Quote"/>
        <w:spacing w:before="0" w:after="120"/>
        <w:rPr>
          <w:i/>
          <w:iCs/>
        </w:rPr>
      </w:pPr>
      <w:r w:rsidRPr="00B319E1">
        <w:rPr>
          <w:i/>
          <w:iCs/>
        </w:rPr>
        <w:t>We want to strengthen community leaders and to see that they’re not outside of this prevention system. They are at the very heart of it. In fact, their role and influence is more powerful than ours in some situations because they influence people in a way that we can’t.</w:t>
      </w:r>
    </w:p>
    <w:p w14:paraId="042B49CF" w14:textId="3D11430D" w:rsidR="009F4D27" w:rsidRPr="004F1A4D" w:rsidRDefault="00B319E1" w:rsidP="004F1A4D">
      <w:pPr>
        <w:pStyle w:val="Quote"/>
        <w:spacing w:before="0"/>
        <w:rPr>
          <w:i/>
          <w:iCs/>
        </w:rPr>
        <w:sectPr w:rsidR="009F4D27" w:rsidRPr="004F1A4D" w:rsidSect="009F4D27">
          <w:pgSz w:w="11906" w:h="16838"/>
          <w:pgMar w:top="1418" w:right="1701" w:bottom="1134" w:left="1843" w:header="708" w:footer="425" w:gutter="0"/>
          <w:cols w:space="708"/>
          <w:docGrid w:linePitch="360"/>
        </w:sectPr>
      </w:pPr>
      <w:r w:rsidRPr="00B319E1">
        <w:rPr>
          <w:i/>
          <w:iCs/>
        </w:rPr>
        <w:t>Workforce member</w:t>
      </w:r>
      <w:r>
        <w:rPr>
          <w:rStyle w:val="FootnoteReference"/>
          <w:i/>
          <w:iCs/>
        </w:rPr>
        <w:footnoteReference w:id="8"/>
      </w:r>
    </w:p>
    <w:p w14:paraId="2D4463DE" w14:textId="4775903D" w:rsidR="00B319E1" w:rsidRPr="00BE38E3" w:rsidRDefault="00B319E1" w:rsidP="009F4D27">
      <w:pPr>
        <w:pStyle w:val="Heading2"/>
        <w:spacing w:before="0"/>
      </w:pPr>
      <w:bookmarkStart w:id="9" w:name="_Toc124832988"/>
      <w:r>
        <w:lastRenderedPageBreak/>
        <w:t>New context and changes sought from the new health system</w:t>
      </w:r>
      <w:bookmarkEnd w:id="9"/>
    </w:p>
    <w:tbl>
      <w:tblPr>
        <w:tblStyle w:val="TableGrid"/>
        <w:tblW w:w="0" w:type="auto"/>
        <w:tblLook w:val="04A0" w:firstRow="1" w:lastRow="0" w:firstColumn="1" w:lastColumn="0" w:noHBand="0" w:noVBand="1"/>
      </w:tblPr>
      <w:tblGrid>
        <w:gridCol w:w="8352"/>
      </w:tblGrid>
      <w:tr w:rsidR="00B319E1" w14:paraId="7332A33E" w14:textId="77777777" w:rsidTr="00B319E1">
        <w:tc>
          <w:tcPr>
            <w:tcW w:w="9016" w:type="dxa"/>
          </w:tcPr>
          <w:p w14:paraId="33B8054E" w14:textId="6F1EB74D" w:rsidR="00B319E1" w:rsidRPr="009F4D27" w:rsidRDefault="00B319E1" w:rsidP="00C00583">
            <w:pPr>
              <w:spacing w:before="120"/>
            </w:pPr>
            <w:r w:rsidRPr="009F4D27">
              <w:rPr>
                <w:lang w:eastAsia="en-NZ"/>
              </w:rPr>
              <w:t xml:space="preserve">The changes sought from the </w:t>
            </w:r>
            <w:proofErr w:type="spellStart"/>
            <w:r w:rsidRPr="009F4D27">
              <w:rPr>
                <w:lang w:eastAsia="en-NZ"/>
              </w:rPr>
              <w:t>Pae</w:t>
            </w:r>
            <w:proofErr w:type="spellEnd"/>
            <w:r w:rsidRPr="009F4D27">
              <w:rPr>
                <w:lang w:eastAsia="en-NZ"/>
              </w:rPr>
              <w:t xml:space="preserve"> Ora (Healthy Futures) Act 2022 are for a more </w:t>
            </w:r>
            <w:proofErr w:type="spellStart"/>
            <w:r w:rsidRPr="009F4D27">
              <w:rPr>
                <w:lang w:eastAsia="en-NZ"/>
              </w:rPr>
              <w:t>Te</w:t>
            </w:r>
            <w:proofErr w:type="spellEnd"/>
            <w:r w:rsidRPr="009F4D27">
              <w:rPr>
                <w:lang w:eastAsia="en-NZ"/>
              </w:rPr>
              <w:t xml:space="preserve"> </w:t>
            </w:r>
            <w:proofErr w:type="spellStart"/>
            <w:r w:rsidRPr="009F4D27">
              <w:rPr>
                <w:lang w:eastAsia="en-NZ"/>
              </w:rPr>
              <w:t>Tiriti</w:t>
            </w:r>
            <w:proofErr w:type="spellEnd"/>
            <w:r w:rsidRPr="009F4D27">
              <w:rPr>
                <w:lang w:eastAsia="en-NZ"/>
              </w:rPr>
              <w:t xml:space="preserve"> o Waitangi grounded, people-centred and equitable health system, with better integration of services and stronger public health responses. </w:t>
            </w:r>
            <w:r w:rsidRPr="009F4D27">
              <w:t xml:space="preserve">The new </w:t>
            </w:r>
            <w:proofErr w:type="spellStart"/>
            <w:r w:rsidRPr="009F4D27">
              <w:t>Pae</w:t>
            </w:r>
            <w:proofErr w:type="spellEnd"/>
            <w:r w:rsidRPr="009F4D27">
              <w:t xml:space="preserve"> Ora Act also introduces the </w:t>
            </w:r>
            <w:r w:rsidRPr="009F4D27">
              <w:rPr>
                <w:b/>
                <w:bCs/>
              </w:rPr>
              <w:t>locality model</w:t>
            </w:r>
            <w:r w:rsidRPr="009F4D27">
              <w:t xml:space="preserve"> which, along with </w:t>
            </w:r>
            <w:r w:rsidRPr="009F4D27">
              <w:rPr>
                <w:b/>
                <w:bCs/>
              </w:rPr>
              <w:t>Iwi-M</w:t>
            </w:r>
            <w:r w:rsidRPr="009F4D27">
              <w:rPr>
                <w:rFonts w:cstheme="minorHAnsi"/>
                <w:b/>
                <w:bCs/>
              </w:rPr>
              <w:t>ā</w:t>
            </w:r>
            <w:r w:rsidRPr="009F4D27">
              <w:rPr>
                <w:b/>
                <w:bCs/>
              </w:rPr>
              <w:t>ori Partnership Boards</w:t>
            </w:r>
            <w:r w:rsidRPr="009F4D27">
              <w:t>, enables:</w:t>
            </w:r>
          </w:p>
          <w:p w14:paraId="35B04A04" w14:textId="77777777" w:rsidR="00B319E1" w:rsidRPr="009F4D27" w:rsidRDefault="00B319E1" w:rsidP="00C00583">
            <w:pPr>
              <w:pStyle w:val="Bullet"/>
            </w:pPr>
            <w:r w:rsidRPr="009F4D27">
              <w:t>a stronger voice for iwi and communities in deciding what’s needed in their local area</w:t>
            </w:r>
          </w:p>
          <w:p w14:paraId="47145CA3" w14:textId="77777777" w:rsidR="00B319E1" w:rsidRPr="009D07CD" w:rsidRDefault="00B319E1" w:rsidP="00C00583">
            <w:pPr>
              <w:pStyle w:val="Bullet"/>
              <w:spacing w:after="120"/>
            </w:pPr>
            <w:r w:rsidRPr="009F4D27">
              <w:t>collaboration across health and wellbeing organisations to improve people’s experiences of health care and address broader determinants of health</w:t>
            </w:r>
            <w:r w:rsidRPr="009F4D27">
              <w:rPr>
                <w:shd w:val="clear" w:color="auto" w:fill="FFFFFF"/>
              </w:rPr>
              <w:t>.</w:t>
            </w:r>
            <w:r w:rsidRPr="009F4D27">
              <w:rPr>
                <w:rStyle w:val="FootnoteReference"/>
                <w:shd w:val="clear" w:color="auto" w:fill="FFFFFF"/>
              </w:rPr>
              <w:footnoteReference w:id="9"/>
            </w:r>
            <w:r w:rsidRPr="009F4D27">
              <w:rPr>
                <w:shd w:val="clear" w:color="auto" w:fill="FFFFFF"/>
              </w:rPr>
              <w:t> </w:t>
            </w:r>
          </w:p>
        </w:tc>
      </w:tr>
    </w:tbl>
    <w:p w14:paraId="7E25651A" w14:textId="77777777" w:rsidR="009F4D27" w:rsidRDefault="009F4D27" w:rsidP="009F4D27"/>
    <w:p w14:paraId="78AD6D0B" w14:textId="794C45F9" w:rsidR="00B319E1" w:rsidRDefault="00B319E1" w:rsidP="009F4D27">
      <w:r>
        <w:t>Healthy Families NZ already operates</w:t>
      </w:r>
      <w:r>
        <w:rPr>
          <w:rStyle w:val="FootnoteReference"/>
        </w:rPr>
        <w:footnoteReference w:id="10"/>
      </w:r>
      <w:r>
        <w:t xml:space="preserve"> in ways that the </w:t>
      </w:r>
      <w:proofErr w:type="spellStart"/>
      <w:r>
        <w:t>Pae</w:t>
      </w:r>
      <w:proofErr w:type="spellEnd"/>
      <w:r>
        <w:t xml:space="preserve"> Ora Act 2022 is seeking to support, as it:</w:t>
      </w:r>
    </w:p>
    <w:p w14:paraId="303D3203" w14:textId="77777777" w:rsidR="00B319E1" w:rsidRDefault="00B319E1" w:rsidP="009F4D27">
      <w:pPr>
        <w:pStyle w:val="Bullet"/>
      </w:pPr>
      <w:r>
        <w:t xml:space="preserve">reflects the unique context of Aotearoa New Zealand communities, and the special relationship between Māori and the Crown, including obligations under </w:t>
      </w:r>
      <w:proofErr w:type="spellStart"/>
      <w:r>
        <w:t>Te</w:t>
      </w:r>
      <w:proofErr w:type="spellEnd"/>
      <w:r>
        <w:t xml:space="preserve"> </w:t>
      </w:r>
      <w:proofErr w:type="spellStart"/>
      <w:r>
        <w:t>Tiriti</w:t>
      </w:r>
      <w:proofErr w:type="spellEnd"/>
      <w:r>
        <w:t xml:space="preserve"> o Waitangi</w:t>
      </w:r>
    </w:p>
    <w:p w14:paraId="36B47009" w14:textId="77777777" w:rsidR="00B319E1" w:rsidRDefault="00B319E1" w:rsidP="009F4D27">
      <w:pPr>
        <w:pStyle w:val="Bullet"/>
      </w:pPr>
      <w:r>
        <w:t>has an explicit focus on equity, improving Māori health and improving health equity for groups at increased risk of chronic diseases</w:t>
      </w:r>
    </w:p>
    <w:p w14:paraId="433AE608" w14:textId="77777777" w:rsidR="00B319E1" w:rsidRDefault="00B319E1" w:rsidP="009F4D27">
      <w:pPr>
        <w:pStyle w:val="Bullet"/>
        <w:rPr>
          <w:b/>
          <w:bCs/>
        </w:rPr>
      </w:pPr>
      <w:r>
        <w:t xml:space="preserve">takes a locality approach. </w:t>
      </w:r>
    </w:p>
    <w:p w14:paraId="459795CD" w14:textId="77777777" w:rsidR="00B319E1" w:rsidRPr="001227C8" w:rsidRDefault="00B319E1" w:rsidP="00B319E1">
      <w:pPr>
        <w:pStyle w:val="Heading2"/>
      </w:pPr>
      <w:bookmarkStart w:id="10" w:name="_Toc124832989"/>
      <w:r w:rsidRPr="001227C8">
        <w:t xml:space="preserve">Principles and </w:t>
      </w:r>
      <w:r>
        <w:t>C</w:t>
      </w:r>
      <w:r w:rsidRPr="001227C8">
        <w:t xml:space="preserve">onditions of </w:t>
      </w:r>
      <w:r>
        <w:t>S</w:t>
      </w:r>
      <w:r w:rsidRPr="001227C8">
        <w:t xml:space="preserve">ystems </w:t>
      </w:r>
      <w:r>
        <w:t>C</w:t>
      </w:r>
      <w:r w:rsidRPr="001227C8">
        <w:t>hange</w:t>
      </w:r>
      <w:bookmarkEnd w:id="10"/>
    </w:p>
    <w:p w14:paraId="635AAB98" w14:textId="7BA49C30" w:rsidR="00B319E1" w:rsidRDefault="00B319E1" w:rsidP="009F4D27">
      <w:r>
        <w:t xml:space="preserve">There are two key practice frameworks that structure the implementation of Healthy Families NZ across the lead provider teams: </w:t>
      </w:r>
      <w:proofErr w:type="gramStart"/>
      <w:r>
        <w:t>the</w:t>
      </w:r>
      <w:proofErr w:type="gramEnd"/>
      <w:r>
        <w:t xml:space="preserve"> Healthy Families NZ Principles and the Healthy Families NZ Conditions of Systems Change.</w:t>
      </w:r>
      <w:r w:rsidRPr="001227C8">
        <w:rPr>
          <w:rStyle w:val="FootnoteReference"/>
          <w:rFonts w:cstheme="minorHAnsi"/>
        </w:rPr>
        <w:footnoteReference w:id="11"/>
      </w:r>
    </w:p>
    <w:p w14:paraId="7508E67A" w14:textId="77777777" w:rsidR="009F4D27" w:rsidRDefault="009F4D27" w:rsidP="009F4D27"/>
    <w:p w14:paraId="2875C30F" w14:textId="77777777" w:rsidR="00B319E1" w:rsidRPr="001227C8" w:rsidRDefault="00B319E1" w:rsidP="009F4D27">
      <w:r>
        <w:t xml:space="preserve">The Healthy Families NZ </w:t>
      </w:r>
      <w:r w:rsidRPr="001227C8">
        <w:t>Principles</w:t>
      </w:r>
      <w:r>
        <w:t xml:space="preserve"> guide action across the 11 location teams. In Phases 1 and 2 of the initiative, the Principles were an effective mechanism for guiding both the workforce and leadership on what systems change activities teams should be prioritising. The Principles ensure integrity to the whole-of-system approach to prevention.</w:t>
      </w:r>
    </w:p>
    <w:p w14:paraId="48C8CBF3" w14:textId="77777777" w:rsidR="00B319E1" w:rsidRDefault="00B319E1" w:rsidP="00B319E1">
      <w:r>
        <w:t xml:space="preserve">The </w:t>
      </w:r>
      <w:r w:rsidRPr="006A3C48">
        <w:t>Conditions of Systems Change</w:t>
      </w:r>
      <w:r>
        <w:t xml:space="preserve"> recognise that there are ‘conditions’ that make it harder to be happy and healthy. These conditions might be structural – for example, policies or regulations, practices (how things are done) or where resources (money, people, knowledge and assets) are or are not available. The conditions could also be </w:t>
      </w:r>
      <w:r>
        <w:lastRenderedPageBreak/>
        <w:t>relational – for example, the relationships, connections and power dynamics within and between communities and society. The conditions that hold a problem in place can be implicit – for example, habits of thought and the systems and environments as they are experienced. The Conditions of Systems Change are based on international best-practice literature that identifies levers for intervening in a system.</w:t>
      </w:r>
      <w:r>
        <w:rPr>
          <w:rStyle w:val="FootnoteReference"/>
          <w:rFonts w:cstheme="minorHAnsi"/>
        </w:rPr>
        <w:footnoteReference w:id="12"/>
      </w:r>
    </w:p>
    <w:p w14:paraId="5A44F747" w14:textId="77777777" w:rsidR="00B319E1" w:rsidRPr="00FD6034" w:rsidRDefault="00B319E1" w:rsidP="00B319E1">
      <w:pPr>
        <w:pStyle w:val="Heading2"/>
      </w:pPr>
      <w:bookmarkStart w:id="11" w:name="_Toc124832990"/>
      <w:r w:rsidRPr="00FD6034">
        <w:t>Locally</w:t>
      </w:r>
      <w:r>
        <w:t xml:space="preserve"> </w:t>
      </w:r>
      <w:r w:rsidRPr="00FD6034">
        <w:t xml:space="preserve">shaped </w:t>
      </w:r>
      <w:r>
        <w:t>and</w:t>
      </w:r>
      <w:r w:rsidRPr="00FD6034">
        <w:t xml:space="preserve"> connected to the broader system</w:t>
      </w:r>
      <w:bookmarkEnd w:id="11"/>
    </w:p>
    <w:p w14:paraId="22CF3C02" w14:textId="5D1ACA95" w:rsidR="00B319E1" w:rsidRDefault="00B319E1" w:rsidP="00B319E1">
      <w:r w:rsidRPr="00FD6034">
        <w:t>Healthy Families NZ combines both local support and community leadership with a national lens, where insights can be shared from around the country. This mix of local and national helps identify where there are common issues, problems or constraints that require a change to the system</w:t>
      </w:r>
      <w:r>
        <w:t xml:space="preserve"> </w:t>
      </w:r>
      <w:r w:rsidRPr="00FD6034">
        <w:t>conditions</w:t>
      </w:r>
      <w:r>
        <w:t>, such as</w:t>
      </w:r>
      <w:r w:rsidRPr="00FD6034">
        <w:t xml:space="preserve"> funding constraints. </w:t>
      </w:r>
    </w:p>
    <w:p w14:paraId="67DA9C1B" w14:textId="77777777" w:rsidR="009F4D27" w:rsidRPr="00FD6034" w:rsidRDefault="009F4D27" w:rsidP="00B319E1"/>
    <w:p w14:paraId="033DCAB5" w14:textId="7D9E8C4A" w:rsidR="00B319E1" w:rsidRDefault="00B319E1" w:rsidP="00B319E1">
      <w:r>
        <w:t xml:space="preserve">The partnership between the Healthy Families NZ national team (based in </w:t>
      </w:r>
      <w:proofErr w:type="spellStart"/>
      <w:r>
        <w:t>Te</w:t>
      </w:r>
      <w:proofErr w:type="spellEnd"/>
      <w:r>
        <w:t xml:space="preserve"> </w:t>
      </w:r>
      <w:proofErr w:type="spellStart"/>
      <w:r>
        <w:t>Whatu</w:t>
      </w:r>
      <w:proofErr w:type="spellEnd"/>
      <w:r>
        <w:t xml:space="preserve"> Ora – Health New Zealand) and the lead providers is seen as fundamental to the success of the initiative. The Healthy Families NZ </w:t>
      </w:r>
      <w:r w:rsidRPr="00FD6034">
        <w:t>national team’s role</w:t>
      </w:r>
      <w:r>
        <w:t xml:space="preserve"> </w:t>
      </w:r>
      <w:r w:rsidRPr="00FD6034">
        <w:t xml:space="preserve">is to provide central resources and strategic leadership </w:t>
      </w:r>
      <w:r>
        <w:t>to the</w:t>
      </w:r>
      <w:r w:rsidRPr="00FD6034">
        <w:t xml:space="preserve"> Healthy Families NZ movement, and to build relationships within </w:t>
      </w:r>
      <w:r>
        <w:t>g</w:t>
      </w:r>
      <w:r w:rsidRPr="00FD6034">
        <w:t xml:space="preserve">overnment to align investment in prevention and build awareness of Healthy Families NZ’s systems approach. </w:t>
      </w:r>
    </w:p>
    <w:p w14:paraId="4678E9F2" w14:textId="77777777" w:rsidR="009F4D27" w:rsidRPr="00FD6034" w:rsidRDefault="009F4D27" w:rsidP="00B319E1"/>
    <w:p w14:paraId="74963B25" w14:textId="77777777" w:rsidR="00B319E1" w:rsidRPr="009F4D27" w:rsidRDefault="00B319E1" w:rsidP="009F4D27">
      <w:pPr>
        <w:pStyle w:val="Quote"/>
        <w:spacing w:before="0"/>
        <w:rPr>
          <w:i/>
          <w:iCs/>
          <w:lang w:val="en-US"/>
        </w:rPr>
      </w:pPr>
      <w:r w:rsidRPr="009F4D27">
        <w:rPr>
          <w:i/>
          <w:iCs/>
          <w:lang w:val="en-US"/>
        </w:rPr>
        <w:t>The Healthy Families NZ location teams and leaders were almost all of the view that the relationship with the Healthy Families NZ national team was stronger than ever, and unusually strong for a contracting relationship. Key words used were close, responsive, trusting, open and supportive.</w:t>
      </w:r>
      <w:r w:rsidRPr="009F4D27">
        <w:rPr>
          <w:i/>
          <w:iCs/>
          <w:vertAlign w:val="superscript"/>
          <w:lang w:val="en-US"/>
        </w:rPr>
        <w:footnoteReference w:id="13"/>
      </w:r>
    </w:p>
    <w:p w14:paraId="4750B0E1" w14:textId="77777777" w:rsidR="009F4D27" w:rsidRDefault="009F4D27" w:rsidP="00B319E1">
      <w:pPr>
        <w:pStyle w:val="Heading1"/>
        <w:sectPr w:rsidR="009F4D27" w:rsidSect="009F4D27">
          <w:pgSz w:w="11906" w:h="16838"/>
          <w:pgMar w:top="1418" w:right="1701" w:bottom="1134" w:left="1843" w:header="708" w:footer="425" w:gutter="0"/>
          <w:cols w:space="708"/>
          <w:docGrid w:linePitch="360"/>
        </w:sectPr>
      </w:pPr>
    </w:p>
    <w:p w14:paraId="4267FFE4" w14:textId="48A399D1" w:rsidR="00B319E1" w:rsidRPr="00702AEE" w:rsidRDefault="00B319E1" w:rsidP="00C00583">
      <w:pPr>
        <w:pStyle w:val="Heading1"/>
        <w:spacing w:before="0"/>
      </w:pPr>
      <w:bookmarkStart w:id="12" w:name="_Toc124832991"/>
      <w:r>
        <w:lastRenderedPageBreak/>
        <w:t>How success is measured and the outcomes to date</w:t>
      </w:r>
      <w:bookmarkEnd w:id="12"/>
    </w:p>
    <w:p w14:paraId="2AD0AB91" w14:textId="27B3B485" w:rsidR="00B319E1" w:rsidRDefault="00B319E1" w:rsidP="00B319E1">
      <w:pPr>
        <w:rPr>
          <w:lang w:eastAsia="en-NZ"/>
        </w:rPr>
      </w:pPr>
      <w:r w:rsidRPr="001B117A">
        <w:rPr>
          <w:lang w:eastAsia="en-NZ"/>
        </w:rPr>
        <w:t xml:space="preserve">Success is now measured through wider wellbeing indicators and evidence that the overall prevention system has been influenced, instead of focusing </w:t>
      </w:r>
      <w:r>
        <w:rPr>
          <w:lang w:eastAsia="en-NZ"/>
        </w:rPr>
        <w:t xml:space="preserve">only </w:t>
      </w:r>
      <w:r w:rsidRPr="001B117A">
        <w:rPr>
          <w:lang w:eastAsia="en-NZ"/>
        </w:rPr>
        <w:t>on disease-specific measures.</w:t>
      </w:r>
      <w:r>
        <w:rPr>
          <w:lang w:eastAsia="en-NZ"/>
        </w:rPr>
        <w:t xml:space="preserve"> Four key outcome domains relate to the actions to support community self-determination, local priorities, leadership and system change.</w:t>
      </w:r>
      <w:r>
        <w:rPr>
          <w:rStyle w:val="FootnoteReference"/>
          <w:rFonts w:cstheme="minorHAnsi"/>
          <w:lang w:eastAsia="en-NZ"/>
        </w:rPr>
        <w:footnoteReference w:id="14"/>
      </w:r>
      <w:r>
        <w:rPr>
          <w:lang w:eastAsia="en-NZ"/>
        </w:rPr>
        <w:t xml:space="preserve">  </w:t>
      </w:r>
    </w:p>
    <w:p w14:paraId="3421105C" w14:textId="77777777" w:rsidR="009F4D27" w:rsidRDefault="009F4D27" w:rsidP="00B319E1">
      <w:pPr>
        <w:rPr>
          <w:lang w:eastAsia="en-NZ"/>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74"/>
        <w:gridCol w:w="6188"/>
      </w:tblGrid>
      <w:tr w:rsidR="00B319E1" w:rsidRPr="009F4D27" w14:paraId="10AF647D" w14:textId="77777777" w:rsidTr="009F4D27">
        <w:tc>
          <w:tcPr>
            <w:tcW w:w="2263" w:type="dxa"/>
            <w:tcBorders>
              <w:top w:val="nil"/>
              <w:bottom w:val="nil"/>
              <w:right w:val="nil"/>
            </w:tcBorders>
            <w:shd w:val="clear" w:color="auto" w:fill="D9D9D9" w:themeFill="background1" w:themeFillShade="D9"/>
          </w:tcPr>
          <w:p w14:paraId="22529612" w14:textId="77777777" w:rsidR="00B319E1" w:rsidRPr="009F4D27" w:rsidRDefault="00B319E1" w:rsidP="009F4D27">
            <w:pPr>
              <w:pStyle w:val="TableText"/>
              <w:rPr>
                <w:b/>
                <w:bCs/>
                <w:lang w:eastAsia="en-NZ"/>
              </w:rPr>
            </w:pPr>
            <w:r w:rsidRPr="009F4D27">
              <w:rPr>
                <w:b/>
                <w:bCs/>
                <w:lang w:eastAsia="en-NZ"/>
              </w:rPr>
              <w:t>Outcomes</w:t>
            </w:r>
          </w:p>
        </w:tc>
        <w:tc>
          <w:tcPr>
            <w:tcW w:w="6663" w:type="dxa"/>
            <w:tcBorders>
              <w:top w:val="nil"/>
              <w:left w:val="nil"/>
              <w:bottom w:val="nil"/>
            </w:tcBorders>
            <w:shd w:val="clear" w:color="auto" w:fill="D9D9D9" w:themeFill="background1" w:themeFillShade="D9"/>
          </w:tcPr>
          <w:p w14:paraId="5553F373" w14:textId="77777777" w:rsidR="00B319E1" w:rsidRPr="009F4D27" w:rsidRDefault="00B319E1" w:rsidP="009F4D27">
            <w:pPr>
              <w:pStyle w:val="TableText"/>
              <w:rPr>
                <w:b/>
                <w:bCs/>
                <w:lang w:eastAsia="en-NZ"/>
              </w:rPr>
            </w:pPr>
            <w:r w:rsidRPr="009F4D27">
              <w:rPr>
                <w:b/>
                <w:bCs/>
                <w:lang w:eastAsia="en-NZ"/>
              </w:rPr>
              <w:t>Action</w:t>
            </w:r>
          </w:p>
        </w:tc>
      </w:tr>
      <w:tr w:rsidR="00B319E1" w14:paraId="387AD36F" w14:textId="77777777" w:rsidTr="009F4D27">
        <w:tc>
          <w:tcPr>
            <w:tcW w:w="2263" w:type="dxa"/>
            <w:tcBorders>
              <w:top w:val="nil"/>
            </w:tcBorders>
            <w:vAlign w:val="center"/>
          </w:tcPr>
          <w:p w14:paraId="33AEBD7E" w14:textId="77777777" w:rsidR="00B319E1" w:rsidRPr="00FD6034" w:rsidRDefault="00B319E1" w:rsidP="009F4D27">
            <w:pPr>
              <w:pStyle w:val="TableText"/>
              <w:rPr>
                <w:lang w:eastAsia="en-NZ"/>
              </w:rPr>
            </w:pPr>
            <w:r w:rsidRPr="00FD6034">
              <w:t>Community self-determination</w:t>
            </w:r>
          </w:p>
        </w:tc>
        <w:tc>
          <w:tcPr>
            <w:tcW w:w="6663" w:type="dxa"/>
            <w:tcBorders>
              <w:top w:val="nil"/>
            </w:tcBorders>
          </w:tcPr>
          <w:p w14:paraId="51A85973" w14:textId="77777777" w:rsidR="00B319E1" w:rsidRPr="00FD6034" w:rsidRDefault="00B319E1" w:rsidP="009F4D27">
            <w:pPr>
              <w:pStyle w:val="TableText"/>
            </w:pPr>
            <w:r w:rsidRPr="00FD6034">
              <w:t>Involvement of diverse communities within leadership, projects and initiatives. Sharing of power and decision</w:t>
            </w:r>
            <w:r>
              <w:t>-</w:t>
            </w:r>
            <w:r w:rsidRPr="00FD6034">
              <w:t xml:space="preserve">making, supported by good communication and collaborative ways of working. </w:t>
            </w:r>
          </w:p>
          <w:p w14:paraId="427C5FFA" w14:textId="77777777" w:rsidR="00B319E1" w:rsidRPr="009F4D27" w:rsidRDefault="00B319E1" w:rsidP="009F4D27">
            <w:pPr>
              <w:pStyle w:val="TableText"/>
              <w:spacing w:before="120" w:after="120"/>
              <w:ind w:left="268"/>
              <w:rPr>
                <w:rFonts w:eastAsiaTheme="minorEastAsia"/>
                <w:i/>
                <w:iCs/>
                <w:lang w:val="en-GB"/>
              </w:rPr>
            </w:pPr>
            <w:r w:rsidRPr="009F4D27">
              <w:rPr>
                <w:rFonts w:eastAsiaTheme="minorEastAsia"/>
                <w:i/>
                <w:iCs/>
                <w:lang w:val="en-GB"/>
              </w:rPr>
              <w:t>The community usually has things done to them, and so what we are trying to share with our stakeholders is that our community are a part of the solution, and they hold a lot of the answers, so their input is valuable, and that whole process takes time … Workforce member</w:t>
            </w:r>
            <w:r w:rsidRPr="009F4D27">
              <w:rPr>
                <w:rFonts w:eastAsiaTheme="minorEastAsia"/>
                <w:i/>
                <w:iCs/>
                <w:vertAlign w:val="superscript"/>
                <w:lang w:val="en-GB"/>
              </w:rPr>
              <w:footnoteReference w:id="15"/>
            </w:r>
          </w:p>
        </w:tc>
      </w:tr>
      <w:tr w:rsidR="00B319E1" w14:paraId="3C55754B" w14:textId="77777777" w:rsidTr="009F4D27">
        <w:tc>
          <w:tcPr>
            <w:tcW w:w="2263" w:type="dxa"/>
            <w:vAlign w:val="center"/>
          </w:tcPr>
          <w:p w14:paraId="5B0E2C74" w14:textId="77777777" w:rsidR="00B319E1" w:rsidRPr="00FD6034" w:rsidRDefault="00B319E1" w:rsidP="009F4D27">
            <w:pPr>
              <w:pStyle w:val="TableText"/>
              <w:rPr>
                <w:lang w:eastAsia="en-NZ"/>
              </w:rPr>
            </w:pPr>
            <w:r w:rsidRPr="00FD6034">
              <w:t>Communities define issues and solutions</w:t>
            </w:r>
          </w:p>
        </w:tc>
        <w:tc>
          <w:tcPr>
            <w:tcW w:w="6663" w:type="dxa"/>
          </w:tcPr>
          <w:p w14:paraId="49CC43E5" w14:textId="77777777" w:rsidR="00B319E1" w:rsidRPr="00FD6034" w:rsidRDefault="00B319E1" w:rsidP="009F4D27">
            <w:pPr>
              <w:pStyle w:val="TableText"/>
              <w:rPr>
                <w:lang w:eastAsia="en-NZ"/>
              </w:rPr>
            </w:pPr>
            <w:r w:rsidRPr="00FD6034">
              <w:t>Partnership involvement of groups in defining issues of focus, designing solutions and advocating for changes in power, resources and the system.</w:t>
            </w:r>
          </w:p>
        </w:tc>
      </w:tr>
      <w:tr w:rsidR="00B319E1" w14:paraId="2D59C34A" w14:textId="77777777" w:rsidTr="009F4D27">
        <w:tc>
          <w:tcPr>
            <w:tcW w:w="2263" w:type="dxa"/>
            <w:vAlign w:val="center"/>
          </w:tcPr>
          <w:p w14:paraId="35819490" w14:textId="77777777" w:rsidR="00B319E1" w:rsidRDefault="00B319E1" w:rsidP="009F4D27">
            <w:pPr>
              <w:pStyle w:val="TableText"/>
              <w:rPr>
                <w:lang w:eastAsia="en-NZ"/>
              </w:rPr>
            </w:pPr>
            <w:r>
              <w:t>Leadership and connection</w:t>
            </w:r>
          </w:p>
        </w:tc>
        <w:tc>
          <w:tcPr>
            <w:tcW w:w="6663" w:type="dxa"/>
          </w:tcPr>
          <w:p w14:paraId="472D3BBE" w14:textId="77777777" w:rsidR="00B319E1" w:rsidRDefault="00B319E1" w:rsidP="009F4D27">
            <w:pPr>
              <w:pStyle w:val="TableText"/>
              <w:rPr>
                <w:lang w:eastAsia="en-NZ"/>
              </w:rPr>
            </w:pPr>
            <w:r>
              <w:t xml:space="preserve">Mana whenua co-design the leadership structures. Support is provided for community leaders, and connections made between organisations, </w:t>
            </w:r>
            <w:proofErr w:type="spellStart"/>
            <w:r>
              <w:t>kaimahi</w:t>
            </w:r>
            <w:proofErr w:type="spellEnd"/>
            <w:r>
              <w:t xml:space="preserve"> and communities.</w:t>
            </w:r>
          </w:p>
        </w:tc>
      </w:tr>
      <w:tr w:rsidR="00B319E1" w14:paraId="5C218886" w14:textId="77777777" w:rsidTr="009F4D27">
        <w:tc>
          <w:tcPr>
            <w:tcW w:w="2263" w:type="dxa"/>
            <w:vAlign w:val="center"/>
          </w:tcPr>
          <w:p w14:paraId="67A5AA7F" w14:textId="77777777" w:rsidR="00B319E1" w:rsidRDefault="00B319E1" w:rsidP="009F4D27">
            <w:pPr>
              <w:pStyle w:val="TableText"/>
              <w:rPr>
                <w:rFonts w:cstheme="minorHAnsi"/>
                <w:b/>
                <w:bCs/>
                <w:kern w:val="24"/>
                <w:lang w:eastAsia="en-NZ"/>
              </w:rPr>
            </w:pPr>
            <w:r>
              <w:t>Systems practice</w:t>
            </w:r>
          </w:p>
        </w:tc>
        <w:tc>
          <w:tcPr>
            <w:tcW w:w="6663" w:type="dxa"/>
          </w:tcPr>
          <w:p w14:paraId="598AC851" w14:textId="77777777" w:rsidR="00B319E1" w:rsidRDefault="00B319E1" w:rsidP="009F4D27">
            <w:pPr>
              <w:pStyle w:val="TableText"/>
            </w:pPr>
            <w:r>
              <w:t>Processes are used that ensure:</w:t>
            </w:r>
          </w:p>
          <w:p w14:paraId="3C33A0C5" w14:textId="77777777" w:rsidR="00B319E1" w:rsidRDefault="00B319E1" w:rsidP="009F4D27">
            <w:pPr>
              <w:pStyle w:val="TableBullet"/>
            </w:pPr>
            <w:r>
              <w:t>multiple perspectives are considered</w:t>
            </w:r>
          </w:p>
          <w:p w14:paraId="23AB7B23" w14:textId="77777777" w:rsidR="00B319E1" w:rsidRDefault="00B319E1" w:rsidP="009F4D27">
            <w:pPr>
              <w:pStyle w:val="TableBullet"/>
            </w:pPr>
            <w:r>
              <w:t>the focus is on prevention</w:t>
            </w:r>
          </w:p>
          <w:p w14:paraId="049FB1D4" w14:textId="77777777" w:rsidR="00B319E1" w:rsidRDefault="00B319E1" w:rsidP="009F4D27">
            <w:pPr>
              <w:pStyle w:val="TableBullet"/>
            </w:pPr>
            <w:proofErr w:type="spellStart"/>
            <w:r>
              <w:t>Te</w:t>
            </w:r>
            <w:proofErr w:type="spellEnd"/>
            <w:r>
              <w:t xml:space="preserve"> </w:t>
            </w:r>
            <w:proofErr w:type="spellStart"/>
            <w:r>
              <w:t>Tiriti</w:t>
            </w:r>
            <w:proofErr w:type="spellEnd"/>
            <w:r>
              <w:t xml:space="preserve"> o Waitangi principles are embedded</w:t>
            </w:r>
          </w:p>
          <w:p w14:paraId="7D75C9C2" w14:textId="77777777" w:rsidR="00B319E1" w:rsidRDefault="00B319E1" w:rsidP="009F4D27">
            <w:pPr>
              <w:pStyle w:val="TableBullet"/>
            </w:pPr>
            <w:r>
              <w:t>culturally safe ways of working and communicating are practised</w:t>
            </w:r>
          </w:p>
          <w:p w14:paraId="2ACA1D13" w14:textId="77777777" w:rsidR="00B319E1" w:rsidRDefault="00B319E1" w:rsidP="009F4D27">
            <w:pPr>
              <w:pStyle w:val="TableBullet"/>
            </w:pPr>
            <w:r>
              <w:t>sharing of power and resources</w:t>
            </w:r>
          </w:p>
          <w:p w14:paraId="26CA36A6" w14:textId="77777777" w:rsidR="00B319E1" w:rsidRDefault="00B319E1" w:rsidP="009F4D27">
            <w:pPr>
              <w:pStyle w:val="TableBullet"/>
            </w:pPr>
            <w:r>
              <w:t>development of more equitable system structures</w:t>
            </w:r>
          </w:p>
          <w:p w14:paraId="369F427E" w14:textId="77777777" w:rsidR="00B319E1" w:rsidRDefault="00B319E1" w:rsidP="009F4D27">
            <w:pPr>
              <w:pStyle w:val="TableBullet"/>
            </w:pPr>
            <w:r>
              <w:t>prevention is understood within a system</w:t>
            </w:r>
          </w:p>
          <w:p w14:paraId="16C69A7E" w14:textId="77777777" w:rsidR="00B319E1" w:rsidRPr="00AD4EF0" w:rsidRDefault="00B319E1" w:rsidP="009F4D27">
            <w:pPr>
              <w:pStyle w:val="TableBullet"/>
            </w:pPr>
            <w:r>
              <w:t>change is made across the system.</w:t>
            </w:r>
          </w:p>
        </w:tc>
      </w:tr>
    </w:tbl>
    <w:p w14:paraId="0D7F51BA" w14:textId="77777777" w:rsidR="00B319E1" w:rsidRPr="001227C8" w:rsidRDefault="00B319E1" w:rsidP="00B319E1">
      <w:pPr>
        <w:pStyle w:val="Heading2"/>
        <w:rPr>
          <w:rFonts w:eastAsiaTheme="minorEastAsia"/>
          <w:lang w:val="en-GB"/>
        </w:rPr>
      </w:pPr>
      <w:bookmarkStart w:id="13" w:name="_Toc124832992"/>
      <w:r w:rsidRPr="001227C8">
        <w:rPr>
          <w:rFonts w:eastAsiaTheme="minorEastAsia"/>
          <w:lang w:val="en-GB"/>
        </w:rPr>
        <w:lastRenderedPageBreak/>
        <w:t>Outcomes to date</w:t>
      </w:r>
      <w:bookmarkEnd w:id="13"/>
    </w:p>
    <w:p w14:paraId="686F0643" w14:textId="7D4F03EE" w:rsidR="00B319E1" w:rsidRDefault="00B319E1" w:rsidP="00B319E1">
      <w:pPr>
        <w:rPr>
          <w:lang w:val="en-GB"/>
        </w:rPr>
      </w:pPr>
      <w:r w:rsidRPr="001227C8">
        <w:rPr>
          <w:lang w:val="en-GB"/>
        </w:rPr>
        <w:t xml:space="preserve">The recent </w:t>
      </w:r>
      <w:r>
        <w:t>s</w:t>
      </w:r>
      <w:r w:rsidRPr="001227C8">
        <w:t xml:space="preserve">ummative </w:t>
      </w:r>
      <w:r>
        <w:t>e</w:t>
      </w:r>
      <w:r w:rsidRPr="001227C8">
        <w:t xml:space="preserve">valuation </w:t>
      </w:r>
      <w:r>
        <w:t>r</w:t>
      </w:r>
      <w:r w:rsidRPr="001227C8">
        <w:t>eport 2022</w:t>
      </w:r>
      <w:r>
        <w:t>,</w:t>
      </w:r>
      <w:r w:rsidRPr="001227C8">
        <w:t xml:space="preserve"> </w:t>
      </w:r>
      <w:r w:rsidRPr="0032169D">
        <w:rPr>
          <w:i/>
          <w:iCs/>
        </w:rPr>
        <w:t xml:space="preserve">Community-up </w:t>
      </w:r>
      <w:r>
        <w:rPr>
          <w:i/>
          <w:iCs/>
        </w:rPr>
        <w:t>S</w:t>
      </w:r>
      <w:r w:rsidRPr="0032169D">
        <w:rPr>
          <w:i/>
          <w:iCs/>
        </w:rPr>
        <w:t xml:space="preserve">ystem </w:t>
      </w:r>
      <w:r>
        <w:rPr>
          <w:i/>
          <w:iCs/>
        </w:rPr>
        <w:t>C</w:t>
      </w:r>
      <w:r w:rsidRPr="0032169D">
        <w:rPr>
          <w:i/>
          <w:iCs/>
        </w:rPr>
        <w:t xml:space="preserve">hange for </w:t>
      </w:r>
      <w:r>
        <w:rPr>
          <w:i/>
          <w:iCs/>
        </w:rPr>
        <w:t>H</w:t>
      </w:r>
      <w:r w:rsidRPr="0032169D">
        <w:rPr>
          <w:i/>
          <w:iCs/>
        </w:rPr>
        <w:t xml:space="preserve">ealth and </w:t>
      </w:r>
      <w:r>
        <w:rPr>
          <w:i/>
          <w:iCs/>
        </w:rPr>
        <w:t>W</w:t>
      </w:r>
      <w:r w:rsidRPr="0032169D">
        <w:rPr>
          <w:i/>
          <w:iCs/>
        </w:rPr>
        <w:t>ellbeing</w:t>
      </w:r>
      <w:r>
        <w:t xml:space="preserve">, found that </w:t>
      </w:r>
      <w:r>
        <w:rPr>
          <w:lang w:val="en-GB"/>
        </w:rPr>
        <w:t>a</w:t>
      </w:r>
      <w:r w:rsidRPr="00FD6034">
        <w:rPr>
          <w:lang w:val="en-GB"/>
        </w:rPr>
        <w:t>cross the locations the standout areas for change were</w:t>
      </w:r>
      <w:r>
        <w:rPr>
          <w:lang w:val="en-GB"/>
        </w:rPr>
        <w:t>:</w:t>
      </w:r>
      <w:r w:rsidRPr="00FD6034">
        <w:rPr>
          <w:lang w:val="en-GB"/>
        </w:rPr>
        <w:t xml:space="preserve"> the food/kai system, development of resources promoting Māori systems thinking and </w:t>
      </w:r>
      <w:proofErr w:type="spellStart"/>
      <w:r w:rsidRPr="00FD6034">
        <w:rPr>
          <w:lang w:val="en-GB"/>
        </w:rPr>
        <w:t>mātauranga</w:t>
      </w:r>
      <w:proofErr w:type="spellEnd"/>
      <w:r>
        <w:rPr>
          <w:lang w:val="en-GB"/>
        </w:rPr>
        <w:t>;</w:t>
      </w:r>
      <w:r w:rsidRPr="00FD6034">
        <w:rPr>
          <w:lang w:val="en-GB"/>
        </w:rPr>
        <w:t xml:space="preserve"> and physical environment change particularly relating to physical activity opportunities. </w:t>
      </w:r>
      <w:r>
        <w:rPr>
          <w:lang w:val="en-GB"/>
        </w:rPr>
        <w:t>Policy</w:t>
      </w:r>
      <w:r w:rsidRPr="00FD6034">
        <w:rPr>
          <w:lang w:val="en-GB"/>
        </w:rPr>
        <w:t xml:space="preserve"> was a key focus area in some locations but was not consistently influenced in all.</w:t>
      </w:r>
      <w:r w:rsidRPr="00FD6034">
        <w:rPr>
          <w:vertAlign w:val="superscript"/>
          <w:lang w:val="en-GB"/>
        </w:rPr>
        <w:footnoteReference w:id="16"/>
      </w:r>
      <w:r w:rsidRPr="00FD6034">
        <w:rPr>
          <w:lang w:val="en-GB"/>
        </w:rPr>
        <w:t xml:space="preserve"> </w:t>
      </w:r>
    </w:p>
    <w:p w14:paraId="5B56C3AF" w14:textId="77777777" w:rsidR="009F4D27" w:rsidRPr="00FD6034" w:rsidRDefault="009F4D27" w:rsidP="00B319E1">
      <w:pPr>
        <w:rPr>
          <w:lang w:val="en-GB"/>
        </w:rPr>
      </w:pPr>
    </w:p>
    <w:p w14:paraId="0650334D" w14:textId="2A9E0517" w:rsidR="00B319E1" w:rsidRDefault="00B319E1" w:rsidP="00B319E1">
      <w:pPr>
        <w:rPr>
          <w:lang w:val="en-GB"/>
        </w:rPr>
      </w:pPr>
      <w:r w:rsidRPr="00FD6034">
        <w:rPr>
          <w:lang w:val="en-GB"/>
        </w:rPr>
        <w:t xml:space="preserve">At a community level, a new community-up leadership approach </w:t>
      </w:r>
      <w:r>
        <w:rPr>
          <w:lang w:val="en-GB"/>
        </w:rPr>
        <w:t>was reported –</w:t>
      </w:r>
      <w:r w:rsidRPr="00FD6034">
        <w:rPr>
          <w:lang w:val="en-GB"/>
        </w:rPr>
        <w:t xml:space="preserve"> one that enables more people to be leaders</w:t>
      </w:r>
      <w:r>
        <w:rPr>
          <w:lang w:val="en-GB"/>
        </w:rPr>
        <w:t>,</w:t>
      </w:r>
      <w:r w:rsidRPr="00FD6034">
        <w:rPr>
          <w:lang w:val="en-GB"/>
        </w:rPr>
        <w:t xml:space="preserve"> particularly those with less structural power such as </w:t>
      </w:r>
      <w:proofErr w:type="spellStart"/>
      <w:r w:rsidRPr="00FD6034">
        <w:rPr>
          <w:lang w:val="en-GB"/>
        </w:rPr>
        <w:t>rangatahi</w:t>
      </w:r>
      <w:proofErr w:type="spellEnd"/>
      <w:r w:rsidRPr="00FD6034">
        <w:rPr>
          <w:lang w:val="en-GB"/>
        </w:rPr>
        <w:t xml:space="preserve">. The tikanga of </w:t>
      </w:r>
      <w:proofErr w:type="spellStart"/>
      <w:r w:rsidRPr="00FD6034">
        <w:rPr>
          <w:lang w:val="en-GB"/>
        </w:rPr>
        <w:t>māhaki</w:t>
      </w:r>
      <w:proofErr w:type="spellEnd"/>
      <w:r w:rsidRPr="00FD6034">
        <w:rPr>
          <w:lang w:val="en-GB"/>
        </w:rPr>
        <w:t xml:space="preserve"> (humility) is emerging. Teams increasingly know when to step back and let other partners or community members take the lead. Elevating community voices also has an important advocacy function and helps teams to decide priority activities to focus on.</w:t>
      </w:r>
      <w:r w:rsidRPr="00FD6034">
        <w:rPr>
          <w:vertAlign w:val="superscript"/>
          <w:lang w:val="en-GB"/>
        </w:rPr>
        <w:footnoteReference w:id="17"/>
      </w:r>
      <w:r w:rsidRPr="00FD6034">
        <w:rPr>
          <w:lang w:val="en-GB"/>
        </w:rPr>
        <w:t xml:space="preserve"> </w:t>
      </w:r>
    </w:p>
    <w:p w14:paraId="0B360825" w14:textId="77777777" w:rsidR="009F4D27" w:rsidRPr="00FD6034" w:rsidRDefault="009F4D27" w:rsidP="00B319E1">
      <w:pPr>
        <w:rPr>
          <w:lang w:val="en-GB"/>
        </w:rPr>
      </w:pPr>
    </w:p>
    <w:p w14:paraId="4DCCC738" w14:textId="77777777" w:rsidR="00B319E1" w:rsidRPr="00FD6034" w:rsidRDefault="00B319E1" w:rsidP="00B319E1">
      <w:pPr>
        <w:rPr>
          <w:lang w:val="en-GB"/>
        </w:rPr>
      </w:pPr>
      <w:r w:rsidRPr="00FD6034">
        <w:rPr>
          <w:lang w:val="en-GB"/>
        </w:rPr>
        <w:t xml:space="preserve">Storytelling and narrative change stories are shifting mindsets. They make visible how change </w:t>
      </w:r>
      <w:proofErr w:type="gramStart"/>
      <w:r w:rsidRPr="00FD6034">
        <w:rPr>
          <w:lang w:val="en-GB"/>
        </w:rPr>
        <w:t>happens</w:t>
      </w:r>
      <w:proofErr w:type="gramEnd"/>
      <w:r w:rsidRPr="00FD6034">
        <w:rPr>
          <w:lang w:val="en-GB"/>
        </w:rPr>
        <w:t xml:space="preserve"> and that change is possible, influencing decisions and reducing perceived barriers. Shifting mindsets can also lead to systems change and better prioritisation of system-level responses, the application of </w:t>
      </w:r>
      <w:bookmarkStart w:id="14" w:name="_Hlk107480889"/>
      <w:proofErr w:type="spellStart"/>
      <w:r w:rsidRPr="00FD6034">
        <w:rPr>
          <w:lang w:val="en-GB"/>
        </w:rPr>
        <w:t>mātauranga</w:t>
      </w:r>
      <w:proofErr w:type="spellEnd"/>
      <w:r w:rsidRPr="00FD6034">
        <w:rPr>
          <w:lang w:val="en-GB"/>
        </w:rPr>
        <w:t xml:space="preserve"> </w:t>
      </w:r>
      <w:bookmarkEnd w:id="14"/>
      <w:r w:rsidRPr="00FD6034">
        <w:rPr>
          <w:lang w:val="en-GB"/>
        </w:rPr>
        <w:t>Māori and strengths-based approaches. Storytelling has also been important because it speaks to intentionality and a broader view of wellbeing.</w:t>
      </w:r>
      <w:r w:rsidRPr="00FD6034">
        <w:rPr>
          <w:vertAlign w:val="superscript"/>
          <w:lang w:val="en-GB"/>
        </w:rPr>
        <w:footnoteReference w:id="18"/>
      </w:r>
      <w:r w:rsidRPr="00FD6034">
        <w:rPr>
          <w:lang w:val="en-GB"/>
        </w:rPr>
        <w:t xml:space="preserve"> </w:t>
      </w:r>
    </w:p>
    <w:p w14:paraId="4DE327DB" w14:textId="77777777" w:rsidR="009F4D27" w:rsidRDefault="009F4D27" w:rsidP="00B319E1">
      <w:pPr>
        <w:pStyle w:val="Heading1"/>
        <w:sectPr w:rsidR="009F4D27" w:rsidSect="009F4D27">
          <w:pgSz w:w="11906" w:h="16838"/>
          <w:pgMar w:top="1418" w:right="1701" w:bottom="1134" w:left="1843" w:header="708" w:footer="425" w:gutter="0"/>
          <w:cols w:space="708"/>
          <w:docGrid w:linePitch="360"/>
        </w:sectPr>
      </w:pPr>
    </w:p>
    <w:p w14:paraId="44039CAA" w14:textId="32E31D2D" w:rsidR="00B319E1" w:rsidRDefault="00B319E1" w:rsidP="009F4D27">
      <w:pPr>
        <w:pStyle w:val="Heading1"/>
        <w:spacing w:before="0"/>
      </w:pPr>
      <w:bookmarkStart w:id="15" w:name="_Toc124832993"/>
      <w:r w:rsidRPr="001227C8">
        <w:lastRenderedPageBreak/>
        <w:t>Examples of Healthy Families NZ initiatives</w:t>
      </w:r>
      <w:bookmarkEnd w:id="15"/>
    </w:p>
    <w:p w14:paraId="599E001F" w14:textId="77777777" w:rsidR="00B319E1" w:rsidRDefault="00B319E1" w:rsidP="00B319E1">
      <w:r>
        <w:t xml:space="preserve">More information on Healthy Families NZ, including examples of Healthy Families NZ initiatives, can be accessed at the Healthy Families NZ website: </w:t>
      </w:r>
      <w:hyperlink r:id="rId21" w:history="1">
        <w:r w:rsidRPr="00FD6034">
          <w:rPr>
            <w:rStyle w:val="Hyperlink"/>
          </w:rPr>
          <w:t>www.healthyfamiliesnz.org</w:t>
        </w:r>
      </w:hyperlink>
      <w:r>
        <w:t xml:space="preserve">. </w:t>
      </w:r>
    </w:p>
    <w:p w14:paraId="1D77815A" w14:textId="77777777" w:rsidR="00B319E1" w:rsidRDefault="00B319E1" w:rsidP="00B319E1">
      <w:pPr>
        <w:pStyle w:val="FootnoteText"/>
        <w:spacing w:before="120" w:after="120"/>
        <w:rPr>
          <w:rFonts w:cstheme="minorHAnsi"/>
          <w:b/>
          <w:bCs/>
          <w:sz w:val="22"/>
          <w:szCs w:val="22"/>
        </w:rPr>
        <w:sectPr w:rsidR="00B319E1" w:rsidSect="009F4D27">
          <w:pgSz w:w="11906" w:h="16838"/>
          <w:pgMar w:top="1418" w:right="1701" w:bottom="1134" w:left="1843" w:header="708" w:footer="425" w:gutter="0"/>
          <w:cols w:space="708"/>
          <w:docGrid w:linePitch="360"/>
        </w:sectPr>
      </w:pPr>
    </w:p>
    <w:p w14:paraId="60014F02" w14:textId="77777777" w:rsidR="00B319E1" w:rsidRPr="008761A9" w:rsidRDefault="00B319E1" w:rsidP="009F4D27">
      <w:pPr>
        <w:pStyle w:val="Heading1"/>
        <w:spacing w:before="0"/>
      </w:pPr>
      <w:bookmarkStart w:id="16" w:name="_Toc124832994"/>
      <w:r>
        <w:lastRenderedPageBreak/>
        <w:t xml:space="preserve">Appendix 1: </w:t>
      </w:r>
      <w:r w:rsidRPr="008761A9">
        <w:t>Healthy Families NZ</w:t>
      </w:r>
      <w:r>
        <w:t xml:space="preserve"> Principles</w:t>
      </w:r>
      <w:bookmarkEnd w:id="16"/>
    </w:p>
    <w:p w14:paraId="2D40EA33" w14:textId="77777777" w:rsidR="00B319E1" w:rsidRDefault="00B319E1" w:rsidP="00B319E1">
      <w:pPr>
        <w:spacing w:before="240" w:after="120"/>
        <w:rPr>
          <w:rFonts w:cstheme="minorHAnsi"/>
          <w:b/>
          <w:bCs/>
          <w:kern w:val="24"/>
          <w:lang w:eastAsia="en-NZ"/>
        </w:rPr>
      </w:pPr>
      <w:r>
        <w:rPr>
          <w:noProof/>
        </w:rPr>
        <w:drawing>
          <wp:inline distT="0" distB="0" distL="0" distR="0" wp14:anchorId="3382B1F6" wp14:editId="170BE0B8">
            <wp:extent cx="5092065" cy="7180580"/>
            <wp:effectExtent l="0" t="0" r="0" b="1270"/>
            <wp:docPr id="1" name="Picture 1" descr="Implementation at scale; adaptation; collaboration for collective impact; experimentation; leadership; workforce; equity; line-of-sight; Te Tiriti o Waita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plementation at scale; adaptation; collaboration for collective impact; experimentation; leadership; workforce; equity; line-of-sight; Te Tiriti o Waitang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2065" cy="7180580"/>
                    </a:xfrm>
                    <a:prstGeom prst="rect">
                      <a:avLst/>
                    </a:prstGeom>
                    <a:noFill/>
                    <a:ln>
                      <a:noFill/>
                    </a:ln>
                  </pic:spPr>
                </pic:pic>
              </a:graphicData>
            </a:graphic>
          </wp:inline>
        </w:drawing>
      </w:r>
    </w:p>
    <w:p w14:paraId="2E6584A4" w14:textId="77777777" w:rsidR="00B319E1" w:rsidRDefault="00B319E1" w:rsidP="00B319E1">
      <w:pPr>
        <w:rPr>
          <w:rFonts w:cstheme="minorHAnsi"/>
          <w:b/>
          <w:bCs/>
          <w:kern w:val="24"/>
          <w:lang w:eastAsia="en-NZ"/>
        </w:rPr>
      </w:pPr>
      <w:r>
        <w:rPr>
          <w:rFonts w:cstheme="minorHAnsi"/>
          <w:b/>
          <w:bCs/>
          <w:kern w:val="24"/>
          <w:lang w:eastAsia="en-NZ"/>
        </w:rPr>
        <w:br w:type="page"/>
      </w:r>
    </w:p>
    <w:p w14:paraId="079E4074" w14:textId="77777777" w:rsidR="00B319E1" w:rsidRDefault="00B319E1" w:rsidP="00D369F5">
      <w:pPr>
        <w:pStyle w:val="Heading1"/>
        <w:spacing w:before="0"/>
      </w:pPr>
      <w:bookmarkStart w:id="17" w:name="_Toc124832995"/>
      <w:r>
        <w:lastRenderedPageBreak/>
        <w:t>Appendix 2: Conditions of systems change</w:t>
      </w:r>
      <w:bookmarkEnd w:id="17"/>
    </w:p>
    <w:p w14:paraId="5D1B5072" w14:textId="77777777" w:rsidR="00B319E1" w:rsidRDefault="00B319E1" w:rsidP="00B319E1">
      <w:pPr>
        <w:spacing w:before="240" w:after="120"/>
        <w:rPr>
          <w:rFonts w:cstheme="minorHAnsi"/>
          <w:b/>
          <w:bCs/>
          <w:kern w:val="24"/>
          <w:lang w:eastAsia="en-NZ"/>
        </w:rPr>
      </w:pPr>
      <w:r>
        <w:rPr>
          <w:noProof/>
        </w:rPr>
        <w:drawing>
          <wp:inline distT="0" distB="0" distL="0" distR="0" wp14:anchorId="5A505A28" wp14:editId="5EDD47DD">
            <wp:extent cx="5072380" cy="3340100"/>
            <wp:effectExtent l="0" t="0" r="0" b="0"/>
            <wp:docPr id="4" name="Picture 4" descr="Structural change (explicit); (semi-explicit); transformational change (impl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ructural change (explicit); (semi-explicit); transformational change (implic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2380" cy="3340100"/>
                    </a:xfrm>
                    <a:prstGeom prst="rect">
                      <a:avLst/>
                    </a:prstGeom>
                    <a:noFill/>
                    <a:ln>
                      <a:noFill/>
                    </a:ln>
                  </pic:spPr>
                </pic:pic>
              </a:graphicData>
            </a:graphic>
          </wp:inline>
        </w:drawing>
      </w:r>
    </w:p>
    <w:p w14:paraId="7BEA08FE" w14:textId="77777777" w:rsidR="00B319E1" w:rsidRDefault="00B319E1" w:rsidP="00B319E1">
      <w:pPr>
        <w:rPr>
          <w:rFonts w:cstheme="minorHAnsi"/>
          <w:b/>
          <w:bCs/>
          <w:kern w:val="24"/>
          <w:lang w:eastAsia="en-NZ"/>
        </w:rPr>
      </w:pPr>
      <w:r>
        <w:rPr>
          <w:rFonts w:cstheme="minorHAnsi"/>
          <w:b/>
          <w:bCs/>
          <w:kern w:val="24"/>
          <w:lang w:eastAsia="en-NZ"/>
        </w:rPr>
        <w:br w:type="page"/>
      </w:r>
    </w:p>
    <w:p w14:paraId="5C67E179" w14:textId="77777777" w:rsidR="00B319E1" w:rsidRDefault="00B319E1" w:rsidP="00D369F5">
      <w:pPr>
        <w:pStyle w:val="Heading1"/>
        <w:spacing w:before="0"/>
      </w:pPr>
      <w:bookmarkStart w:id="18" w:name="_Toc124832996"/>
      <w:r>
        <w:lastRenderedPageBreak/>
        <w:t>Appendix 3: Types of outcomes from Healthy Families NZ</w:t>
      </w:r>
      <w:bookmarkEnd w:id="18"/>
    </w:p>
    <w:tbl>
      <w:tblPr>
        <w:tblW w:w="8364" w:type="dxa"/>
        <w:tblBorders>
          <w:top w:val="single" w:sz="6" w:space="0" w:color="A6A6A6" w:themeColor="background1" w:themeShade="A6"/>
          <w:bottom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2402"/>
        <w:gridCol w:w="5962"/>
      </w:tblGrid>
      <w:tr w:rsidR="00D369F5" w:rsidRPr="00D369F5" w14:paraId="6E5E37BB" w14:textId="77777777" w:rsidTr="00D369F5">
        <w:tc>
          <w:tcPr>
            <w:tcW w:w="2402" w:type="dxa"/>
            <w:tcBorders>
              <w:top w:val="nil"/>
              <w:bottom w:val="nil"/>
              <w:right w:val="nil"/>
            </w:tcBorders>
            <w:shd w:val="clear" w:color="auto" w:fill="D9D9D9" w:themeFill="background1" w:themeFillShade="D9"/>
            <w:hideMark/>
          </w:tcPr>
          <w:p w14:paraId="1841B9B3" w14:textId="77777777" w:rsidR="00B319E1" w:rsidRPr="00D369F5" w:rsidRDefault="00B319E1" w:rsidP="00D369F5">
            <w:pPr>
              <w:pStyle w:val="TableText"/>
              <w:ind w:left="113"/>
              <w:rPr>
                <w:rFonts w:eastAsiaTheme="minorEastAsia"/>
                <w:b/>
                <w:bCs/>
              </w:rPr>
            </w:pPr>
            <w:r w:rsidRPr="00D369F5">
              <w:rPr>
                <w:rFonts w:eastAsiaTheme="minorEastAsia"/>
                <w:b/>
                <w:bCs/>
              </w:rPr>
              <w:t xml:space="preserve">Outcomes </w:t>
            </w:r>
          </w:p>
        </w:tc>
        <w:tc>
          <w:tcPr>
            <w:tcW w:w="5962" w:type="dxa"/>
            <w:tcBorders>
              <w:top w:val="nil"/>
              <w:left w:val="nil"/>
              <w:bottom w:val="nil"/>
            </w:tcBorders>
            <w:shd w:val="clear" w:color="auto" w:fill="D9D9D9" w:themeFill="background1" w:themeFillShade="D9"/>
            <w:hideMark/>
          </w:tcPr>
          <w:p w14:paraId="2C7DBA3B" w14:textId="77777777" w:rsidR="00B319E1" w:rsidRPr="00D369F5" w:rsidRDefault="00B319E1" w:rsidP="00D369F5">
            <w:pPr>
              <w:pStyle w:val="TableText"/>
              <w:ind w:left="113"/>
              <w:rPr>
                <w:rFonts w:eastAsiaTheme="minorEastAsia"/>
                <w:b/>
                <w:bCs/>
              </w:rPr>
            </w:pPr>
            <w:r w:rsidRPr="00D369F5">
              <w:rPr>
                <w:rFonts w:eastAsiaTheme="minorEastAsia"/>
                <w:b/>
                <w:bCs/>
              </w:rPr>
              <w:t>Description </w:t>
            </w:r>
          </w:p>
        </w:tc>
      </w:tr>
      <w:tr w:rsidR="00B319E1" w:rsidRPr="00715E28" w14:paraId="615CFCBD" w14:textId="77777777" w:rsidTr="00D369F5">
        <w:tc>
          <w:tcPr>
            <w:tcW w:w="2402" w:type="dxa"/>
            <w:tcBorders>
              <w:top w:val="nil"/>
            </w:tcBorders>
            <w:shd w:val="clear" w:color="auto" w:fill="auto"/>
            <w:hideMark/>
          </w:tcPr>
          <w:p w14:paraId="2F8CFA05" w14:textId="77777777" w:rsidR="00B319E1" w:rsidRPr="00D369F5" w:rsidRDefault="00B319E1" w:rsidP="00D369F5">
            <w:pPr>
              <w:pStyle w:val="TableText"/>
              <w:ind w:left="113"/>
            </w:pPr>
            <w:r w:rsidRPr="00D369F5">
              <w:t>Policy change</w:t>
            </w:r>
          </w:p>
        </w:tc>
        <w:tc>
          <w:tcPr>
            <w:tcW w:w="5962" w:type="dxa"/>
            <w:tcBorders>
              <w:top w:val="nil"/>
            </w:tcBorders>
            <w:shd w:val="clear" w:color="auto" w:fill="auto"/>
            <w:hideMark/>
          </w:tcPr>
          <w:p w14:paraId="4E6059AC" w14:textId="77777777" w:rsidR="00B319E1" w:rsidRPr="00D369F5" w:rsidRDefault="00B319E1" w:rsidP="00D369F5">
            <w:pPr>
              <w:pStyle w:val="TableText"/>
              <w:ind w:left="113"/>
            </w:pPr>
            <w:r w:rsidRPr="00D369F5">
              <w:t>A policy change at the organisational, local and/or national levels on, for example, smokefree, healthier food, access to alcohol, urban planning.</w:t>
            </w:r>
          </w:p>
        </w:tc>
      </w:tr>
      <w:tr w:rsidR="00B319E1" w:rsidRPr="00715E28" w14:paraId="3A92E24C" w14:textId="77777777" w:rsidTr="00D369F5">
        <w:tc>
          <w:tcPr>
            <w:tcW w:w="2402" w:type="dxa"/>
            <w:shd w:val="clear" w:color="auto" w:fill="auto"/>
            <w:hideMark/>
          </w:tcPr>
          <w:p w14:paraId="4758D605" w14:textId="77777777" w:rsidR="00B319E1" w:rsidRPr="00D369F5" w:rsidRDefault="00B319E1" w:rsidP="00D369F5">
            <w:pPr>
              <w:pStyle w:val="TableText"/>
              <w:ind w:left="113"/>
            </w:pPr>
            <w:r w:rsidRPr="00D369F5">
              <w:t>Provision of tangible resource</w:t>
            </w:r>
          </w:p>
        </w:tc>
        <w:tc>
          <w:tcPr>
            <w:tcW w:w="5962" w:type="dxa"/>
            <w:shd w:val="clear" w:color="auto" w:fill="auto"/>
            <w:hideMark/>
          </w:tcPr>
          <w:p w14:paraId="36176538" w14:textId="77777777" w:rsidR="00B319E1" w:rsidRPr="00D369F5" w:rsidRDefault="00B319E1" w:rsidP="00D369F5">
            <w:pPr>
              <w:pStyle w:val="TableText"/>
              <w:ind w:left="113"/>
            </w:pPr>
            <w:r w:rsidRPr="00D369F5">
              <w:t>A tangible resource such as water fountains, healthier food environment, greater funding leveraged.</w:t>
            </w:r>
          </w:p>
        </w:tc>
      </w:tr>
      <w:tr w:rsidR="00B319E1" w:rsidRPr="00715E28" w14:paraId="665FBCA4" w14:textId="77777777" w:rsidTr="00D369F5">
        <w:tc>
          <w:tcPr>
            <w:tcW w:w="2402" w:type="dxa"/>
            <w:shd w:val="clear" w:color="auto" w:fill="auto"/>
            <w:hideMark/>
          </w:tcPr>
          <w:p w14:paraId="300045FE" w14:textId="77777777" w:rsidR="00B319E1" w:rsidRPr="00D369F5" w:rsidRDefault="00B319E1" w:rsidP="00D369F5">
            <w:pPr>
              <w:pStyle w:val="TableText"/>
              <w:ind w:left="113"/>
            </w:pPr>
            <w:r w:rsidRPr="00D369F5">
              <w:t>Physical environment change</w:t>
            </w:r>
          </w:p>
        </w:tc>
        <w:tc>
          <w:tcPr>
            <w:tcW w:w="5962" w:type="dxa"/>
            <w:shd w:val="clear" w:color="auto" w:fill="auto"/>
            <w:hideMark/>
          </w:tcPr>
          <w:p w14:paraId="1589E696" w14:textId="77777777" w:rsidR="00B319E1" w:rsidRPr="00D369F5" w:rsidRDefault="00B319E1" w:rsidP="00D369F5">
            <w:pPr>
              <w:pStyle w:val="TableText"/>
              <w:ind w:left="113"/>
            </w:pPr>
            <w:r w:rsidRPr="00D369F5">
              <w:t>A physical environment change, such as cycleways, better place for kids to play, making urban environments more conducive to social interaction.</w:t>
            </w:r>
          </w:p>
        </w:tc>
      </w:tr>
      <w:tr w:rsidR="00B319E1" w:rsidRPr="00715E28" w14:paraId="4BFC7945" w14:textId="77777777" w:rsidTr="00D369F5">
        <w:tc>
          <w:tcPr>
            <w:tcW w:w="2402" w:type="dxa"/>
            <w:shd w:val="clear" w:color="auto" w:fill="auto"/>
            <w:hideMark/>
          </w:tcPr>
          <w:p w14:paraId="01D4C99B" w14:textId="77777777" w:rsidR="00B319E1" w:rsidRPr="00D369F5" w:rsidRDefault="00B319E1" w:rsidP="00D369F5">
            <w:pPr>
              <w:pStyle w:val="TableText"/>
              <w:ind w:left="113"/>
            </w:pPr>
            <w:r w:rsidRPr="00D369F5">
              <w:t>Community event held</w:t>
            </w:r>
          </w:p>
        </w:tc>
        <w:tc>
          <w:tcPr>
            <w:tcW w:w="5962" w:type="dxa"/>
            <w:shd w:val="clear" w:color="auto" w:fill="auto"/>
            <w:hideMark/>
          </w:tcPr>
          <w:p w14:paraId="5B46F39B" w14:textId="77777777" w:rsidR="00B319E1" w:rsidRPr="00D369F5" w:rsidRDefault="00B319E1" w:rsidP="00D369F5">
            <w:pPr>
              <w:pStyle w:val="TableText"/>
              <w:ind w:left="113"/>
            </w:pPr>
            <w:r w:rsidRPr="00D369F5">
              <w:t>Community events promoting better practices and sharing information related to, for example, food, physical activity, natural environment. </w:t>
            </w:r>
          </w:p>
        </w:tc>
      </w:tr>
      <w:tr w:rsidR="00B319E1" w:rsidRPr="00715E28" w14:paraId="4DE9A14A" w14:textId="77777777" w:rsidTr="00D369F5">
        <w:tc>
          <w:tcPr>
            <w:tcW w:w="2402" w:type="dxa"/>
            <w:shd w:val="clear" w:color="auto" w:fill="auto"/>
            <w:hideMark/>
          </w:tcPr>
          <w:p w14:paraId="2FC5357E" w14:textId="77777777" w:rsidR="00B319E1" w:rsidRPr="00D369F5" w:rsidRDefault="00B319E1" w:rsidP="00D369F5">
            <w:pPr>
              <w:pStyle w:val="TableText"/>
              <w:ind w:left="113"/>
            </w:pPr>
            <w:r w:rsidRPr="00D369F5">
              <w:t>Relationships strengthened</w:t>
            </w:r>
          </w:p>
        </w:tc>
        <w:tc>
          <w:tcPr>
            <w:tcW w:w="5962" w:type="dxa"/>
            <w:shd w:val="clear" w:color="auto" w:fill="auto"/>
            <w:hideMark/>
          </w:tcPr>
          <w:p w14:paraId="3BA1EC0E" w14:textId="77777777" w:rsidR="00B319E1" w:rsidRPr="00D369F5" w:rsidRDefault="00B319E1" w:rsidP="00D369F5">
            <w:pPr>
              <w:pStyle w:val="TableText"/>
              <w:ind w:left="113"/>
            </w:pPr>
            <w:r w:rsidRPr="00D369F5">
              <w:t>Strengthening of relationships within local community and/organisations through goals, resourcing, collective impact.</w:t>
            </w:r>
          </w:p>
        </w:tc>
      </w:tr>
      <w:tr w:rsidR="00B319E1" w:rsidRPr="00715E28" w14:paraId="5D7CC953" w14:textId="77777777" w:rsidTr="00D369F5">
        <w:tc>
          <w:tcPr>
            <w:tcW w:w="2402" w:type="dxa"/>
            <w:shd w:val="clear" w:color="auto" w:fill="auto"/>
            <w:hideMark/>
          </w:tcPr>
          <w:p w14:paraId="16DD634F" w14:textId="77777777" w:rsidR="00B319E1" w:rsidRPr="00D369F5" w:rsidRDefault="00B319E1" w:rsidP="00D369F5">
            <w:pPr>
              <w:pStyle w:val="TableText"/>
              <w:ind w:left="113"/>
            </w:pPr>
            <w:r w:rsidRPr="00D369F5">
              <w:t>Norm/paradigm changing</w:t>
            </w:r>
          </w:p>
        </w:tc>
        <w:tc>
          <w:tcPr>
            <w:tcW w:w="5962" w:type="dxa"/>
            <w:shd w:val="clear" w:color="auto" w:fill="auto"/>
            <w:hideMark/>
          </w:tcPr>
          <w:p w14:paraId="463795DB" w14:textId="77777777" w:rsidR="00B319E1" w:rsidRPr="00D369F5" w:rsidRDefault="00B319E1" w:rsidP="00D369F5">
            <w:pPr>
              <w:pStyle w:val="TableText"/>
              <w:ind w:left="113"/>
            </w:pPr>
            <w:r w:rsidRPr="00D369F5">
              <w:t>Changing of norms in local community or organisations – for example, spreading goals and understandings of equity and healthier environments and practices.</w:t>
            </w:r>
          </w:p>
        </w:tc>
      </w:tr>
      <w:tr w:rsidR="00B319E1" w:rsidRPr="00715E28" w14:paraId="62261147" w14:textId="77777777" w:rsidTr="00D369F5">
        <w:tc>
          <w:tcPr>
            <w:tcW w:w="2402" w:type="dxa"/>
            <w:shd w:val="clear" w:color="auto" w:fill="auto"/>
            <w:hideMark/>
          </w:tcPr>
          <w:p w14:paraId="17445C08" w14:textId="77777777" w:rsidR="00B319E1" w:rsidRPr="00D369F5" w:rsidRDefault="00B319E1" w:rsidP="00D369F5">
            <w:pPr>
              <w:pStyle w:val="TableText"/>
              <w:ind w:left="113"/>
            </w:pPr>
            <w:r w:rsidRPr="00D369F5">
              <w:t>Collaborative group organised</w:t>
            </w:r>
          </w:p>
        </w:tc>
        <w:tc>
          <w:tcPr>
            <w:tcW w:w="5962" w:type="dxa"/>
            <w:shd w:val="clear" w:color="auto" w:fill="auto"/>
            <w:hideMark/>
          </w:tcPr>
          <w:p w14:paraId="348B6172" w14:textId="77777777" w:rsidR="00B319E1" w:rsidRPr="00D369F5" w:rsidRDefault="00B319E1" w:rsidP="00D369F5">
            <w:pPr>
              <w:pStyle w:val="TableText"/>
              <w:ind w:left="113"/>
            </w:pPr>
            <w:r w:rsidRPr="00D369F5">
              <w:t xml:space="preserve">Bringing groups together for purposes such as food systems, urban planning, </w:t>
            </w:r>
            <w:proofErr w:type="spellStart"/>
            <w:r w:rsidRPr="00D369F5">
              <w:t>maramataka</w:t>
            </w:r>
            <w:proofErr w:type="spellEnd"/>
            <w:r w:rsidRPr="00D369F5">
              <w:t>.</w:t>
            </w:r>
          </w:p>
        </w:tc>
      </w:tr>
      <w:tr w:rsidR="00B319E1" w:rsidRPr="00715E28" w14:paraId="75C117DF" w14:textId="77777777" w:rsidTr="00D369F5">
        <w:tc>
          <w:tcPr>
            <w:tcW w:w="2402" w:type="dxa"/>
            <w:shd w:val="clear" w:color="auto" w:fill="auto"/>
            <w:hideMark/>
          </w:tcPr>
          <w:p w14:paraId="6971B9D7" w14:textId="77777777" w:rsidR="00B319E1" w:rsidRPr="00D369F5" w:rsidRDefault="00B319E1" w:rsidP="00D369F5">
            <w:pPr>
              <w:pStyle w:val="TableText"/>
              <w:ind w:left="113"/>
            </w:pPr>
            <w:r w:rsidRPr="00D369F5">
              <w:t>Resource development</w:t>
            </w:r>
          </w:p>
        </w:tc>
        <w:tc>
          <w:tcPr>
            <w:tcW w:w="5962" w:type="dxa"/>
            <w:shd w:val="clear" w:color="auto" w:fill="auto"/>
            <w:hideMark/>
          </w:tcPr>
          <w:p w14:paraId="4AF36045" w14:textId="77777777" w:rsidR="00B319E1" w:rsidRPr="00D369F5" w:rsidRDefault="00B319E1" w:rsidP="00D369F5">
            <w:pPr>
              <w:pStyle w:val="TableText"/>
              <w:ind w:left="113"/>
            </w:pPr>
            <w:r w:rsidRPr="00D369F5">
              <w:t>Resources such as a workplace training resource, food preparation, storytelling.</w:t>
            </w:r>
          </w:p>
        </w:tc>
      </w:tr>
      <w:tr w:rsidR="00B319E1" w:rsidRPr="00715E28" w14:paraId="7A1BD2DB" w14:textId="77777777" w:rsidTr="00D369F5">
        <w:tc>
          <w:tcPr>
            <w:tcW w:w="2402" w:type="dxa"/>
            <w:shd w:val="clear" w:color="auto" w:fill="auto"/>
            <w:hideMark/>
          </w:tcPr>
          <w:p w14:paraId="0BBDB9EE" w14:textId="77777777" w:rsidR="00B319E1" w:rsidRPr="00D369F5" w:rsidRDefault="00B319E1" w:rsidP="00D369F5">
            <w:pPr>
              <w:pStyle w:val="TableText"/>
              <w:ind w:left="113"/>
            </w:pPr>
            <w:r w:rsidRPr="00D369F5">
              <w:t>Learning events/insight gathering</w:t>
            </w:r>
          </w:p>
        </w:tc>
        <w:tc>
          <w:tcPr>
            <w:tcW w:w="5962" w:type="dxa"/>
            <w:shd w:val="clear" w:color="auto" w:fill="auto"/>
            <w:hideMark/>
          </w:tcPr>
          <w:p w14:paraId="089292F1" w14:textId="77777777" w:rsidR="00B319E1" w:rsidRPr="00D369F5" w:rsidRDefault="00B319E1" w:rsidP="00D369F5">
            <w:pPr>
              <w:pStyle w:val="TableText"/>
              <w:ind w:left="113"/>
            </w:pPr>
            <w:r w:rsidRPr="00D369F5">
              <w:t>Learning event held or insight gathering activity such as co-design workshops, lived experience gathering activities.</w:t>
            </w:r>
          </w:p>
        </w:tc>
      </w:tr>
      <w:tr w:rsidR="00B319E1" w:rsidRPr="00715E28" w14:paraId="6F1FB481" w14:textId="77777777" w:rsidTr="00D369F5">
        <w:tc>
          <w:tcPr>
            <w:tcW w:w="2402" w:type="dxa"/>
            <w:shd w:val="clear" w:color="auto" w:fill="auto"/>
            <w:hideMark/>
          </w:tcPr>
          <w:p w14:paraId="18751B50" w14:textId="77777777" w:rsidR="00B319E1" w:rsidRPr="00D369F5" w:rsidRDefault="00B319E1" w:rsidP="00D369F5">
            <w:pPr>
              <w:pStyle w:val="TableText"/>
              <w:ind w:left="113"/>
            </w:pPr>
            <w:r w:rsidRPr="00D369F5">
              <w:t>Education/knowledge sharing</w:t>
            </w:r>
          </w:p>
        </w:tc>
        <w:tc>
          <w:tcPr>
            <w:tcW w:w="5962" w:type="dxa"/>
            <w:shd w:val="clear" w:color="auto" w:fill="auto"/>
            <w:hideMark/>
          </w:tcPr>
          <w:p w14:paraId="5FA59A5C" w14:textId="77777777" w:rsidR="00B319E1" w:rsidRPr="00D369F5" w:rsidRDefault="00B319E1" w:rsidP="00D369F5">
            <w:pPr>
              <w:pStyle w:val="TableText"/>
              <w:ind w:left="113"/>
            </w:pPr>
            <w:r w:rsidRPr="00D369F5">
              <w:t>Educational or knowledge-sharing activity, for example, symposiums including systems change in practice webinars and explainers.</w:t>
            </w:r>
          </w:p>
        </w:tc>
      </w:tr>
    </w:tbl>
    <w:p w14:paraId="2E5CA716" w14:textId="77777777" w:rsidR="00B319E1" w:rsidRPr="001B117A" w:rsidRDefault="00B319E1" w:rsidP="00D369F5">
      <w:pPr>
        <w:pStyle w:val="Source"/>
        <w:rPr>
          <w:rFonts w:cstheme="minorHAnsi"/>
        </w:rPr>
      </w:pPr>
      <w:r>
        <w:rPr>
          <w:rFonts w:cstheme="minorHAnsi"/>
          <w:b/>
          <w:bCs/>
          <w:kern w:val="24"/>
          <w:lang w:eastAsia="en-NZ"/>
        </w:rPr>
        <w:t xml:space="preserve">Source: </w:t>
      </w:r>
      <w:r>
        <w:rPr>
          <w:rFonts w:cstheme="minorHAnsi"/>
          <w:kern w:val="24"/>
          <w:lang w:eastAsia="en-NZ"/>
        </w:rPr>
        <w:t xml:space="preserve">Matheson et al (2022) </w:t>
      </w:r>
      <w:r w:rsidRPr="00D369F5">
        <w:rPr>
          <w:rFonts w:eastAsiaTheme="minorEastAsia"/>
          <w:i/>
          <w:iCs/>
          <w:lang w:val="en-GB"/>
        </w:rPr>
        <w:t>Community-up System Change for Health and Wellbeing: Healthy Families NZ Summative Evaluation Report 2022</w:t>
      </w:r>
      <w:r>
        <w:rPr>
          <w:rFonts w:eastAsiaTheme="minorEastAsia"/>
          <w:lang w:val="en-GB"/>
        </w:rPr>
        <w:t xml:space="preserve">. </w:t>
      </w:r>
      <w:r>
        <w:t>Wellington: Victoria University of Wellington.</w:t>
      </w:r>
    </w:p>
    <w:sectPr w:rsidR="00B319E1" w:rsidRPr="001B117A" w:rsidSect="00D369F5">
      <w:pgSz w:w="11901" w:h="16817"/>
      <w:pgMar w:top="1418" w:right="1701" w:bottom="1134" w:left="1843"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6FE84" w14:textId="77777777" w:rsidR="0028037E" w:rsidRDefault="0028037E">
      <w:r>
        <w:separator/>
      </w:r>
    </w:p>
    <w:p w14:paraId="443ECDA4" w14:textId="77777777" w:rsidR="0028037E" w:rsidRDefault="0028037E"/>
  </w:endnote>
  <w:endnote w:type="continuationSeparator" w:id="0">
    <w:p w14:paraId="6DD0256B" w14:textId="77777777" w:rsidR="0028037E" w:rsidRDefault="0028037E">
      <w:r>
        <w:continuationSeparator/>
      </w:r>
    </w:p>
    <w:p w14:paraId="65387C18" w14:textId="77777777" w:rsidR="0028037E" w:rsidRDefault="00280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3D42E951" w:rsidR="00B319E1" w:rsidRPr="00581136" w:rsidRDefault="00B319E1" w:rsidP="005A79E5">
    <w:pPr>
      <w:pStyle w:val="Footer"/>
      <w:pBdr>
        <w:bottom w:val="single" w:sz="4" w:space="1" w:color="auto"/>
      </w:pBdr>
      <w:tabs>
        <w:tab w:val="right" w:pos="9639"/>
      </w:tabs>
      <w:rPr>
        <w:b/>
      </w:rPr>
    </w:pPr>
    <w:r w:rsidRPr="00581136">
      <w:rPr>
        <w:b/>
      </w:rPr>
      <w:t>Released 20</w:t>
    </w:r>
    <w:r>
      <w:rPr>
        <w:b/>
      </w:rPr>
      <w:t>2</w:t>
    </w:r>
    <w:r w:rsidR="001155F9">
      <w:rPr>
        <w:b/>
      </w:rPr>
      <w:t>3</w:t>
    </w:r>
    <w:r w:rsidRPr="00581136">
      <w:rPr>
        <w:b/>
      </w:rPr>
      <w:tab/>
      <w:t>health.govt.nz</w:t>
    </w:r>
  </w:p>
  <w:p w14:paraId="524869F6" w14:textId="77777777" w:rsidR="00B319E1" w:rsidRPr="005A79E5" w:rsidRDefault="00B319E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B319E1" w:rsidRDefault="00B319E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B319E1" w:rsidRDefault="00B31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319E1" w14:paraId="4C3A3BF7" w14:textId="77777777" w:rsidTr="00D662F8">
      <w:trPr>
        <w:cantSplit/>
      </w:trPr>
      <w:tc>
        <w:tcPr>
          <w:tcW w:w="709" w:type="dxa"/>
          <w:vAlign w:val="center"/>
        </w:tcPr>
        <w:p w14:paraId="28F87ED7" w14:textId="77777777" w:rsidR="00B319E1" w:rsidRPr="00931466" w:rsidRDefault="00B319E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36C111BD" w:rsidR="00B319E1" w:rsidRDefault="00B319E1" w:rsidP="00926083">
          <w:pPr>
            <w:pStyle w:val="RectoFooter"/>
            <w:jc w:val="left"/>
          </w:pPr>
          <w:r w:rsidRPr="00B319E1">
            <w:t xml:space="preserve">Healthy Families NZ ‘Community Up’ Approach to Improving Wellbeing and Equity: </w:t>
          </w:r>
          <w:r>
            <w:br/>
          </w:r>
          <w:r w:rsidRPr="00B319E1">
            <w:t>Commissioning for Pae Ora | Healthy Futures case study</w:t>
          </w:r>
        </w:p>
      </w:tc>
    </w:tr>
  </w:tbl>
  <w:p w14:paraId="711B5D80" w14:textId="77777777" w:rsidR="00B319E1" w:rsidRPr="00571223" w:rsidRDefault="00B319E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319E1" w14:paraId="58AAB149" w14:textId="77777777" w:rsidTr="00D662F8">
      <w:trPr>
        <w:cantSplit/>
      </w:trPr>
      <w:tc>
        <w:tcPr>
          <w:tcW w:w="8080" w:type="dxa"/>
          <w:vAlign w:val="center"/>
        </w:tcPr>
        <w:p w14:paraId="20E2F0CC" w14:textId="34601829" w:rsidR="00B319E1" w:rsidRDefault="00B319E1" w:rsidP="00926083">
          <w:pPr>
            <w:pStyle w:val="RectoFooter"/>
          </w:pPr>
          <w:r w:rsidRPr="00B319E1">
            <w:t xml:space="preserve">Healthy Families NZ ‘Community Up’ Approach to Improving Wellbeing and Equity: </w:t>
          </w:r>
          <w:r>
            <w:br/>
          </w:r>
          <w:r w:rsidRPr="00B319E1">
            <w:t>Commissioning for Pae Ora | Healthy Futures case study</w:t>
          </w:r>
        </w:p>
      </w:tc>
      <w:tc>
        <w:tcPr>
          <w:tcW w:w="709" w:type="dxa"/>
          <w:vAlign w:val="center"/>
        </w:tcPr>
        <w:p w14:paraId="3D3C9847" w14:textId="77777777" w:rsidR="00B319E1" w:rsidRPr="00931466" w:rsidRDefault="00B319E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B319E1" w:rsidRPr="00581EB8" w:rsidRDefault="00B319E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F4D27" w14:paraId="19F66662" w14:textId="77777777" w:rsidTr="00677A73">
      <w:trPr>
        <w:cantSplit/>
      </w:trPr>
      <w:tc>
        <w:tcPr>
          <w:tcW w:w="8080" w:type="dxa"/>
          <w:vAlign w:val="center"/>
        </w:tcPr>
        <w:p w14:paraId="6EC74C82" w14:textId="77777777" w:rsidR="009F4D27" w:rsidRDefault="009F4D27" w:rsidP="009F4D27">
          <w:pPr>
            <w:pStyle w:val="RectoFooter"/>
          </w:pPr>
          <w:r w:rsidRPr="00B319E1">
            <w:t xml:space="preserve">Healthy Families NZ ‘Community Up’ Approach to Improving Wellbeing and Equity: </w:t>
          </w:r>
          <w:r>
            <w:br/>
          </w:r>
          <w:r w:rsidRPr="00B319E1">
            <w:t>Commissioning for Pae Ora | Healthy Futures case study</w:t>
          </w:r>
        </w:p>
      </w:tc>
      <w:tc>
        <w:tcPr>
          <w:tcW w:w="709" w:type="dxa"/>
          <w:vAlign w:val="center"/>
        </w:tcPr>
        <w:p w14:paraId="6ECF18C6" w14:textId="77777777" w:rsidR="009F4D27" w:rsidRPr="00931466" w:rsidRDefault="009F4D27" w:rsidP="009F4D27">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43E80F9F" w14:textId="6EC10E15" w:rsidR="00B319E1" w:rsidRDefault="00B319E1">
    <w:pPr>
      <w:pStyle w:val="Footer"/>
      <w:rPr>
        <w:sz w:val="2"/>
        <w:szCs w:val="2"/>
      </w:rPr>
    </w:pPr>
  </w:p>
  <w:p w14:paraId="7F46202E" w14:textId="77777777" w:rsidR="009F4D27" w:rsidRPr="009F4D27" w:rsidRDefault="009F4D2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67441" w14:textId="77777777" w:rsidR="0028037E" w:rsidRPr="00A26E6B" w:rsidRDefault="0028037E" w:rsidP="00A26E6B"/>
  </w:footnote>
  <w:footnote w:type="continuationSeparator" w:id="0">
    <w:p w14:paraId="6DC00188" w14:textId="77777777" w:rsidR="0028037E" w:rsidRDefault="0028037E">
      <w:r>
        <w:continuationSeparator/>
      </w:r>
    </w:p>
    <w:p w14:paraId="7A07C1FA" w14:textId="77777777" w:rsidR="0028037E" w:rsidRDefault="0028037E"/>
  </w:footnote>
  <w:footnote w:id="1">
    <w:p w14:paraId="226BE391" w14:textId="77777777" w:rsidR="00B319E1" w:rsidRDefault="00B319E1" w:rsidP="00B319E1">
      <w:pPr>
        <w:pStyle w:val="FootnoteText"/>
        <w:spacing w:before="20" w:after="20"/>
      </w:pPr>
      <w:r>
        <w:rPr>
          <w:rStyle w:val="FootnoteReference"/>
        </w:rPr>
        <w:footnoteRef/>
      </w:r>
      <w:r>
        <w:t xml:space="preserve"> World Health Organization. 2009. Track 1: Community empowerment. </w:t>
      </w:r>
      <w:r w:rsidRPr="00B9287A">
        <w:t>7th Global Conference on Health Promotion</w:t>
      </w:r>
      <w:r>
        <w:t>.</w:t>
      </w:r>
      <w:r>
        <w:rPr>
          <w:szCs w:val="18"/>
        </w:rPr>
        <w:t xml:space="preserve"> URL: </w:t>
      </w:r>
      <w:hyperlink r:id="rId1" w:history="1">
        <w:r w:rsidRPr="00977B09">
          <w:rPr>
            <w:rStyle w:val="Hyperlink"/>
            <w:szCs w:val="18"/>
          </w:rPr>
          <w:t>www.who.int/teams/health-promotion/enhanced-wellbeing/seventh-global-conference/community-empowerment</w:t>
        </w:r>
      </w:hyperlink>
      <w:r>
        <w:rPr>
          <w:szCs w:val="18"/>
        </w:rPr>
        <w:t xml:space="preserve"> (accessed 8 December 2022).</w:t>
      </w:r>
    </w:p>
  </w:footnote>
  <w:footnote w:id="2">
    <w:p w14:paraId="200608BF" w14:textId="77777777" w:rsidR="00B319E1" w:rsidRPr="00DB7FEE" w:rsidRDefault="00B319E1" w:rsidP="00B319E1">
      <w:pPr>
        <w:pStyle w:val="FootnoteText"/>
        <w:rPr>
          <w:color w:val="000000" w:themeColor="text1"/>
          <w:kern w:val="24"/>
          <w:lang w:eastAsia="en-NZ"/>
        </w:rPr>
      </w:pPr>
      <w:r>
        <w:rPr>
          <w:rStyle w:val="FootnoteReference"/>
        </w:rPr>
        <w:footnoteRef/>
      </w:r>
      <w:r>
        <w:t xml:space="preserve"> New Economics Foundation. 2008.</w:t>
      </w:r>
      <w:r w:rsidRPr="00CD6A6C">
        <w:t xml:space="preserve"> </w:t>
      </w:r>
      <w:r w:rsidRPr="0032169D">
        <w:rPr>
          <w:i/>
          <w:iCs/>
        </w:rPr>
        <w:t xml:space="preserve">Co-production: A </w:t>
      </w:r>
      <w:r w:rsidRPr="00C61E43">
        <w:rPr>
          <w:i/>
          <w:iCs/>
        </w:rPr>
        <w:t xml:space="preserve">manifesto </w:t>
      </w:r>
      <w:r w:rsidRPr="0032169D">
        <w:rPr>
          <w:i/>
          <w:iCs/>
        </w:rPr>
        <w:t>for growing the core economy</w:t>
      </w:r>
      <w:r>
        <w:t>.</w:t>
      </w:r>
      <w:r w:rsidRPr="00CD6A6C">
        <w:t xml:space="preserve"> </w:t>
      </w:r>
      <w:r>
        <w:t xml:space="preserve">URL: </w:t>
      </w:r>
      <w:hyperlink r:id="rId2" w:history="1">
        <w:r w:rsidRPr="00977B09">
          <w:rPr>
            <w:rStyle w:val="Hyperlink"/>
            <w:rFonts w:cstheme="minorHAnsi"/>
            <w:kern w:val="24"/>
            <w:szCs w:val="18"/>
            <w:lang w:eastAsia="en-NZ"/>
          </w:rPr>
          <w:t>https://neweconomics.org/uploads/files/5abec531b2a775dc8d_qjm6bqzpt.pdf</w:t>
        </w:r>
      </w:hyperlink>
      <w:r>
        <w:t xml:space="preserve"> </w:t>
      </w:r>
      <w:r>
        <w:rPr>
          <w:szCs w:val="18"/>
        </w:rPr>
        <w:t>(accessed 8 December 2022).</w:t>
      </w:r>
    </w:p>
  </w:footnote>
  <w:footnote w:id="3">
    <w:p w14:paraId="228A3D6A" w14:textId="77777777" w:rsidR="00B319E1" w:rsidRPr="00A01E5B" w:rsidRDefault="00B319E1" w:rsidP="00B319E1">
      <w:pPr>
        <w:pStyle w:val="FootnoteText"/>
        <w:rPr>
          <w:rFonts w:cstheme="minorHAnsi"/>
          <w:color w:val="000000" w:themeColor="text1"/>
          <w:kern w:val="24"/>
          <w:lang w:eastAsia="en-NZ"/>
        </w:rPr>
      </w:pPr>
      <w:r>
        <w:rPr>
          <w:rStyle w:val="FootnoteReference"/>
        </w:rPr>
        <w:footnoteRef/>
      </w:r>
      <w:r>
        <w:t xml:space="preserve"> </w:t>
      </w:r>
      <w:r w:rsidRPr="001B117A">
        <w:t>Inspiring Communities</w:t>
      </w:r>
      <w:r>
        <w:t>. 2020.</w:t>
      </w:r>
      <w:r w:rsidRPr="001B117A">
        <w:t xml:space="preserve"> Shaping the Future – Enabling Community-led Change.</w:t>
      </w:r>
      <w:r w:rsidRPr="001B117A">
        <w:rPr>
          <w:rFonts w:cstheme="minorHAnsi"/>
          <w:color w:val="000000" w:themeColor="text1"/>
          <w:kern w:val="24"/>
          <w:lang w:eastAsia="en-NZ"/>
        </w:rPr>
        <w:t xml:space="preserve"> </w:t>
      </w:r>
      <w:r>
        <w:rPr>
          <w:rFonts w:cstheme="minorHAnsi"/>
          <w:color w:val="000000" w:themeColor="text1"/>
          <w:kern w:val="24"/>
          <w:lang w:eastAsia="en-NZ"/>
        </w:rPr>
        <w:t xml:space="preserve">URL: </w:t>
      </w:r>
      <w:hyperlink r:id="rId3" w:history="1">
        <w:r w:rsidRPr="00977B09">
          <w:rPr>
            <w:rStyle w:val="Hyperlink"/>
            <w:rFonts w:cstheme="minorHAnsi"/>
            <w:kern w:val="24"/>
            <w:lang w:eastAsia="en-NZ"/>
          </w:rPr>
          <w:t>https://inspiringcommunities.org.nz/</w:t>
        </w:r>
      </w:hyperlink>
      <w:r>
        <w:rPr>
          <w:rFonts w:cstheme="minorHAnsi"/>
          <w:color w:val="000000" w:themeColor="text1"/>
          <w:kern w:val="24"/>
          <w:lang w:eastAsia="en-NZ"/>
        </w:rPr>
        <w:t xml:space="preserve"> </w:t>
      </w:r>
      <w:r>
        <w:rPr>
          <w:szCs w:val="18"/>
        </w:rPr>
        <w:t>(accessed 8 December 2022).</w:t>
      </w:r>
    </w:p>
  </w:footnote>
  <w:footnote w:id="4">
    <w:p w14:paraId="2C62BD90" w14:textId="77777777" w:rsidR="00B319E1" w:rsidRDefault="00B319E1" w:rsidP="00B319E1">
      <w:pPr>
        <w:pStyle w:val="FootnoteText"/>
      </w:pPr>
      <w:r>
        <w:rPr>
          <w:rStyle w:val="FootnoteReference"/>
        </w:rPr>
        <w:footnoteRef/>
      </w:r>
      <w:r>
        <w:t xml:space="preserve"> </w:t>
      </w:r>
      <w:r w:rsidRPr="001227C8">
        <w:rPr>
          <w:lang w:eastAsia="en-NZ"/>
        </w:rPr>
        <w:t>A tender process was used to select local providers to lead Healthy Families NZ in their communities.</w:t>
      </w:r>
    </w:p>
  </w:footnote>
  <w:footnote w:id="5">
    <w:p w14:paraId="5126B0CF" w14:textId="77777777" w:rsidR="00B319E1" w:rsidRPr="00184D48" w:rsidRDefault="00B319E1" w:rsidP="00B319E1">
      <w:pPr>
        <w:pStyle w:val="FootnoteText"/>
      </w:pPr>
      <w:r>
        <w:rPr>
          <w:rStyle w:val="FootnoteReference"/>
        </w:rPr>
        <w:footnoteRef/>
      </w:r>
      <w:r>
        <w:t xml:space="preserve"> Matheson A, </w:t>
      </w:r>
      <w:proofErr w:type="spellStart"/>
      <w:r>
        <w:t>Wehipeihana</w:t>
      </w:r>
      <w:proofErr w:type="spellEnd"/>
      <w:r>
        <w:t xml:space="preserve"> N, Gray R, et al. 2022. </w:t>
      </w:r>
      <w:r w:rsidRPr="0032169D">
        <w:rPr>
          <w:i/>
          <w:iCs/>
        </w:rPr>
        <w:t>Community-up System Change for Health and Wellbeing: Healthy Families NZ Summative Evaluation Report 2022</w:t>
      </w:r>
      <w:r>
        <w:t>.</w:t>
      </w:r>
      <w:r w:rsidRPr="003C251A">
        <w:t xml:space="preserve"> </w:t>
      </w:r>
      <w:r>
        <w:t>Wellington: Victoria University of Wellington.</w:t>
      </w:r>
    </w:p>
  </w:footnote>
  <w:footnote w:id="6">
    <w:p w14:paraId="5C725A65" w14:textId="5D345E44" w:rsidR="009F4D27" w:rsidRPr="009F4D27" w:rsidRDefault="009F4D27">
      <w:pPr>
        <w:pStyle w:val="FootnoteText"/>
        <w:rPr>
          <w:lang w:val="en-US"/>
        </w:rPr>
      </w:pPr>
      <w:r>
        <w:rPr>
          <w:rStyle w:val="FootnoteReference"/>
        </w:rPr>
        <w:footnoteRef/>
      </w:r>
      <w:r>
        <w:t xml:space="preserve"> </w:t>
      </w:r>
      <w:r w:rsidR="004F1A4D" w:rsidRPr="004F1A4D">
        <w:rPr>
          <w:lang w:val="en-US"/>
        </w:rPr>
        <w:t>www.tpk.govt.nz/documents/download/1025/understanding-whanau-centred-approaches.pdf</w:t>
      </w:r>
    </w:p>
  </w:footnote>
  <w:footnote w:id="7">
    <w:p w14:paraId="5B3C54DD" w14:textId="5DC24623" w:rsidR="00D941A8" w:rsidRPr="00D941A8" w:rsidRDefault="009F4D27" w:rsidP="00D941A8">
      <w:pPr>
        <w:shd w:val="clear" w:color="auto" w:fill="FFFFFF"/>
        <w:outlineLvl w:val="0"/>
        <w:rPr>
          <w:rStyle w:val="Hyperlink"/>
          <w:rFonts w:cstheme="minorHAnsi"/>
          <w:b w:val="0"/>
          <w:bCs/>
          <w:kern w:val="24"/>
          <w:sz w:val="17"/>
          <w:szCs w:val="18"/>
          <w:lang w:eastAsia="en-NZ"/>
        </w:rPr>
      </w:pPr>
      <w:r>
        <w:rPr>
          <w:rStyle w:val="FootnoteReference"/>
        </w:rPr>
        <w:footnoteRef/>
      </w:r>
      <w:r>
        <w:t xml:space="preserve"> </w:t>
      </w:r>
      <w:r w:rsidR="00D941A8">
        <w:t xml:space="preserve"> </w:t>
      </w:r>
      <w:r w:rsidR="00D941A8" w:rsidRPr="001B529B">
        <w:rPr>
          <w:sz w:val="17"/>
        </w:rPr>
        <w:t>Transforming Health: Shifting our health systems from illness treatment and prevention to health creation</w:t>
      </w:r>
      <w:r w:rsidR="00D941A8">
        <w:rPr>
          <w:sz w:val="17"/>
        </w:rPr>
        <w:t xml:space="preserve"> </w:t>
      </w:r>
      <w:r w:rsidR="00D941A8" w:rsidRPr="00D941A8">
        <w:rPr>
          <w:sz w:val="17"/>
        </w:rPr>
        <w:t xml:space="preserve">URL: </w:t>
      </w:r>
      <w:hyperlink r:id="rId4" w:history="1">
        <w:r w:rsidR="00D941A8" w:rsidRPr="00D758E7">
          <w:rPr>
            <w:rStyle w:val="Hyperlink"/>
            <w:rFonts w:cstheme="minorHAnsi"/>
            <w:bCs/>
            <w:kern w:val="24"/>
            <w:sz w:val="17"/>
            <w:szCs w:val="18"/>
            <w:lang w:eastAsia="en-NZ"/>
          </w:rPr>
          <w:t>www</w:t>
        </w:r>
        <w:r w:rsidR="00D941A8" w:rsidRPr="00D758E7">
          <w:rPr>
            <w:rStyle w:val="Hyperlink"/>
            <w:rFonts w:cstheme="minorHAnsi"/>
            <w:kern w:val="24"/>
            <w:sz w:val="17"/>
            <w:szCs w:val="18"/>
            <w:lang w:eastAsia="en-NZ"/>
          </w:rPr>
          <w:t>.youngfoundation.org/our-work/publications/transforming-health-shifting-our-health-systems-from-illness-treatment-and-prevention-to-health-creation/</w:t>
        </w:r>
      </w:hyperlink>
      <w:r w:rsidR="00D941A8">
        <w:rPr>
          <w:rStyle w:val="Hyperlink"/>
          <w:rFonts w:cstheme="minorHAnsi"/>
          <w:kern w:val="24"/>
          <w:sz w:val="17"/>
          <w:szCs w:val="18"/>
          <w:lang w:eastAsia="en-NZ"/>
        </w:rPr>
        <w:t xml:space="preserve">  </w:t>
      </w:r>
      <w:r w:rsidR="00D941A8">
        <w:rPr>
          <w:rStyle w:val="Hyperlink"/>
          <w:rFonts w:cstheme="minorHAnsi"/>
          <w:b w:val="0"/>
          <w:bCs/>
          <w:kern w:val="24"/>
          <w:sz w:val="17"/>
          <w:szCs w:val="18"/>
          <w:lang w:eastAsia="en-NZ"/>
        </w:rPr>
        <w:t>(accessed 9 January 2023).</w:t>
      </w:r>
    </w:p>
  </w:footnote>
  <w:footnote w:id="8">
    <w:p w14:paraId="51A8EE30" w14:textId="35FC4506" w:rsidR="00B319E1" w:rsidRPr="00B319E1" w:rsidRDefault="00B319E1">
      <w:pPr>
        <w:pStyle w:val="FootnoteText"/>
        <w:rPr>
          <w:lang w:val="en-US"/>
        </w:rPr>
      </w:pPr>
      <w:r>
        <w:rPr>
          <w:rStyle w:val="FootnoteReference"/>
        </w:rPr>
        <w:footnoteRef/>
      </w:r>
      <w:r>
        <w:t xml:space="preserve"> </w:t>
      </w:r>
      <w:r w:rsidR="009F4D27">
        <w:t xml:space="preserve">In: Matheson A, Gray R, Wehipeihana N, et al. 2020. </w:t>
      </w:r>
      <w:r w:rsidR="009F4D27" w:rsidRPr="0032169D">
        <w:rPr>
          <w:i/>
          <w:iCs/>
        </w:rPr>
        <w:t>Interim Report: Evaluation of Healthy Families NZ</w:t>
      </w:r>
      <w:r w:rsidR="009F4D27">
        <w:t xml:space="preserve">. Wellington: Victoria University of Wellington. URL: </w:t>
      </w:r>
      <w:hyperlink r:id="rId5" w:history="1">
        <w:r w:rsidR="009F4D27" w:rsidRPr="00B0799A">
          <w:rPr>
            <w:rStyle w:val="Hyperlink"/>
            <w:rFonts w:cstheme="minorHAnsi"/>
            <w:kern w:val="24"/>
            <w:szCs w:val="18"/>
            <w:lang w:eastAsia="en-NZ"/>
          </w:rPr>
          <w:t>www.health.govt.nz/system/files/documents/publications/interim_report_healthy_families_nz_evaluation-_november_2020.pdf</w:t>
        </w:r>
      </w:hyperlink>
      <w:r w:rsidR="009F4D27">
        <w:t xml:space="preserve"> (accessed 8 December 2022).</w:t>
      </w:r>
    </w:p>
  </w:footnote>
  <w:footnote w:id="9">
    <w:p w14:paraId="440072C0" w14:textId="77777777" w:rsidR="00B319E1" w:rsidRDefault="00B319E1" w:rsidP="00B319E1">
      <w:pPr>
        <w:pStyle w:val="FootnoteText"/>
        <w:spacing w:before="20" w:after="20"/>
      </w:pPr>
      <w:r>
        <w:rPr>
          <w:rStyle w:val="FootnoteReference"/>
        </w:rPr>
        <w:footnoteRef/>
      </w:r>
      <w:r>
        <w:t xml:space="preserve"> Future of Health. Localities. URL: </w:t>
      </w:r>
      <w:hyperlink r:id="rId6" w:history="1">
        <w:r w:rsidRPr="002023B9">
          <w:rPr>
            <w:rStyle w:val="Hyperlink"/>
            <w:rFonts w:cstheme="minorHAnsi"/>
            <w:kern w:val="24"/>
            <w:szCs w:val="18"/>
            <w:lang w:eastAsia="en-NZ"/>
          </w:rPr>
          <w:t>www.futureofhealth.govt.nz/about-the-reforms/how-health-system-changing/localities/</w:t>
        </w:r>
      </w:hyperlink>
      <w:r>
        <w:rPr>
          <w:rFonts w:cstheme="minorHAnsi"/>
          <w:kern w:val="24"/>
          <w:szCs w:val="18"/>
          <w:lang w:eastAsia="en-NZ"/>
        </w:rPr>
        <w:t xml:space="preserve"> (accessed 10 December 2022).</w:t>
      </w:r>
    </w:p>
  </w:footnote>
  <w:footnote w:id="10">
    <w:p w14:paraId="603F08B0" w14:textId="0A457D08" w:rsidR="00B319E1" w:rsidRDefault="00B319E1" w:rsidP="00B319E1">
      <w:pPr>
        <w:pStyle w:val="FootnoteText"/>
      </w:pPr>
      <w:r>
        <w:rPr>
          <w:rStyle w:val="FootnoteReference"/>
        </w:rPr>
        <w:footnoteRef/>
      </w:r>
      <w:r>
        <w:t xml:space="preserve"> See Appendix </w:t>
      </w:r>
      <w:r w:rsidR="00D941A8">
        <w:t>1</w:t>
      </w:r>
      <w:r>
        <w:t xml:space="preserve"> for Healthy Families NZ Principles.</w:t>
      </w:r>
    </w:p>
  </w:footnote>
  <w:footnote w:id="11">
    <w:p w14:paraId="6D3D3914" w14:textId="77777777" w:rsidR="00B319E1" w:rsidRPr="001227C8" w:rsidRDefault="00B319E1" w:rsidP="00B319E1">
      <w:pPr>
        <w:pStyle w:val="FootnoteText"/>
        <w:rPr>
          <w:rFonts w:cstheme="minorHAnsi"/>
          <w:szCs w:val="18"/>
        </w:rPr>
      </w:pPr>
      <w:r w:rsidRPr="001227C8">
        <w:rPr>
          <w:rStyle w:val="FootnoteReference"/>
          <w:rFonts w:cstheme="minorHAnsi"/>
          <w:szCs w:val="18"/>
        </w:rPr>
        <w:footnoteRef/>
      </w:r>
      <w:r w:rsidRPr="001227C8">
        <w:rPr>
          <w:rFonts w:cstheme="minorHAnsi"/>
          <w:szCs w:val="18"/>
        </w:rPr>
        <w:t xml:space="preserve"> Kania</w:t>
      </w:r>
      <w:r>
        <w:rPr>
          <w:rFonts w:cstheme="minorHAnsi"/>
          <w:szCs w:val="18"/>
        </w:rPr>
        <w:t xml:space="preserve"> J</w:t>
      </w:r>
      <w:r w:rsidRPr="001227C8">
        <w:rPr>
          <w:rFonts w:cstheme="minorHAnsi"/>
          <w:szCs w:val="18"/>
        </w:rPr>
        <w:t>, Kramer MR, Senge</w:t>
      </w:r>
      <w:r>
        <w:rPr>
          <w:rFonts w:cstheme="minorHAnsi"/>
          <w:szCs w:val="18"/>
        </w:rPr>
        <w:t xml:space="preserve"> P</w:t>
      </w:r>
      <w:r w:rsidRPr="001227C8">
        <w:rPr>
          <w:rFonts w:cstheme="minorHAnsi"/>
          <w:szCs w:val="18"/>
        </w:rPr>
        <w:t xml:space="preserve">. </w:t>
      </w:r>
      <w:r>
        <w:rPr>
          <w:rFonts w:cstheme="minorHAnsi"/>
          <w:szCs w:val="18"/>
        </w:rPr>
        <w:t xml:space="preserve">2018. </w:t>
      </w:r>
      <w:r w:rsidRPr="0032169D">
        <w:rPr>
          <w:rFonts w:cstheme="minorHAnsi"/>
          <w:i/>
          <w:iCs/>
          <w:szCs w:val="18"/>
        </w:rPr>
        <w:t>The Water of Systems Change</w:t>
      </w:r>
      <w:r w:rsidRPr="001227C8">
        <w:rPr>
          <w:rFonts w:cstheme="minorHAnsi"/>
          <w:szCs w:val="18"/>
        </w:rPr>
        <w:t xml:space="preserve">. FSG. </w:t>
      </w:r>
    </w:p>
  </w:footnote>
  <w:footnote w:id="12">
    <w:p w14:paraId="60C398BE" w14:textId="77777777" w:rsidR="00B319E1" w:rsidRPr="0032169D" w:rsidRDefault="00B319E1" w:rsidP="00B319E1">
      <w:pPr>
        <w:pStyle w:val="FootnoteText"/>
      </w:pPr>
      <w:r w:rsidRPr="001227C8">
        <w:rPr>
          <w:rStyle w:val="FootnoteReference"/>
          <w:rFonts w:cstheme="minorHAnsi"/>
          <w:szCs w:val="18"/>
        </w:rPr>
        <w:footnoteRef/>
      </w:r>
      <w:r w:rsidRPr="001227C8">
        <w:rPr>
          <w:rFonts w:cstheme="minorHAnsi"/>
          <w:szCs w:val="18"/>
        </w:rPr>
        <w:t xml:space="preserve"> Meadows D. 1999. </w:t>
      </w:r>
      <w:r w:rsidRPr="0032169D">
        <w:rPr>
          <w:rFonts w:cstheme="minorHAnsi"/>
          <w:i/>
          <w:iCs/>
          <w:szCs w:val="18"/>
        </w:rPr>
        <w:t>Leverage Points</w:t>
      </w:r>
      <w:r w:rsidRPr="0032169D">
        <w:rPr>
          <w:i/>
          <w:iCs/>
          <w:lang w:eastAsia="en-NZ"/>
        </w:rPr>
        <w:t>: Places to Intervene in a System</w:t>
      </w:r>
      <w:r w:rsidRPr="00E357A6">
        <w:rPr>
          <w:lang w:eastAsia="en-NZ"/>
        </w:rPr>
        <w:t>. Hartland, VT: Sustainability Institute</w:t>
      </w:r>
      <w:r w:rsidRPr="001227C8">
        <w:rPr>
          <w:rFonts w:cstheme="minorHAnsi"/>
          <w:szCs w:val="18"/>
        </w:rPr>
        <w:t>.</w:t>
      </w:r>
      <w:r>
        <w:rPr>
          <w:rFonts w:cstheme="minorHAnsi"/>
          <w:szCs w:val="18"/>
        </w:rPr>
        <w:t xml:space="preserve"> URL: </w:t>
      </w:r>
      <w:hyperlink r:id="rId7" w:history="1">
        <w:r w:rsidRPr="001227C8">
          <w:rPr>
            <w:rStyle w:val="Hyperlink"/>
            <w:rFonts w:cstheme="minorHAnsi"/>
            <w:szCs w:val="18"/>
          </w:rPr>
          <w:t>http://donellameadows.org/wpcontent/userfiles/Leverage_Points.pdf</w:t>
        </w:r>
      </w:hyperlink>
      <w:r>
        <w:rPr>
          <w:rFonts w:cstheme="minorHAnsi"/>
          <w:sz w:val="16"/>
          <w:szCs w:val="16"/>
        </w:rPr>
        <w:t xml:space="preserve"> </w:t>
      </w:r>
      <w:r>
        <w:t>(accessed 10 December 2022).</w:t>
      </w:r>
    </w:p>
  </w:footnote>
  <w:footnote w:id="13">
    <w:p w14:paraId="4AC7A131" w14:textId="77777777" w:rsidR="00B319E1" w:rsidRPr="000C21D8" w:rsidRDefault="00B319E1" w:rsidP="00B319E1">
      <w:pPr>
        <w:pStyle w:val="FootnoteText"/>
      </w:pPr>
      <w:r w:rsidRPr="000C21D8">
        <w:rPr>
          <w:rStyle w:val="FootnoteReference"/>
          <w:szCs w:val="18"/>
        </w:rPr>
        <w:footnoteRef/>
      </w:r>
      <w:r w:rsidRPr="000C21D8">
        <w:rPr>
          <w:szCs w:val="18"/>
        </w:rPr>
        <w:t xml:space="preserve"> </w:t>
      </w:r>
      <w:r>
        <w:t xml:space="preserve">Matheson et al (2022), </w:t>
      </w:r>
      <w:r>
        <w:rPr>
          <w:i/>
          <w:iCs/>
        </w:rPr>
        <w:t>op. cit.</w:t>
      </w:r>
    </w:p>
  </w:footnote>
  <w:footnote w:id="14">
    <w:p w14:paraId="677FAB6A" w14:textId="22493B93" w:rsidR="00B319E1" w:rsidRDefault="00B319E1" w:rsidP="00B319E1">
      <w:pPr>
        <w:pStyle w:val="FootnoteText"/>
      </w:pPr>
      <w:r>
        <w:rPr>
          <w:rStyle w:val="FootnoteReference"/>
        </w:rPr>
        <w:footnoteRef/>
      </w:r>
      <w:r>
        <w:t xml:space="preserve"> See Appendix </w:t>
      </w:r>
      <w:r w:rsidR="00D941A8">
        <w:t>3</w:t>
      </w:r>
      <w:r>
        <w:t xml:space="preserve"> for examples of outcomes.</w:t>
      </w:r>
    </w:p>
  </w:footnote>
  <w:footnote w:id="15">
    <w:p w14:paraId="27E000D0" w14:textId="77777777" w:rsidR="00B319E1" w:rsidRPr="000C21D8" w:rsidRDefault="00B319E1" w:rsidP="00B319E1">
      <w:pPr>
        <w:pStyle w:val="FootnoteText"/>
      </w:pPr>
      <w:r w:rsidRPr="000C21D8">
        <w:rPr>
          <w:rStyle w:val="FootnoteReference"/>
          <w:szCs w:val="18"/>
        </w:rPr>
        <w:footnoteRef/>
      </w:r>
      <w:r w:rsidRPr="000C21D8">
        <w:t xml:space="preserve"> </w:t>
      </w:r>
      <w:r>
        <w:t xml:space="preserve">Matheson et al (2022), </w:t>
      </w:r>
      <w:r>
        <w:rPr>
          <w:i/>
          <w:iCs/>
        </w:rPr>
        <w:t>op. cit.</w:t>
      </w:r>
    </w:p>
  </w:footnote>
  <w:footnote w:id="16">
    <w:p w14:paraId="578BF657" w14:textId="77777777" w:rsidR="00B319E1" w:rsidRPr="000C21D8" w:rsidRDefault="00B319E1" w:rsidP="00B319E1">
      <w:pPr>
        <w:pStyle w:val="FootnoteText"/>
        <w:rPr>
          <w:lang w:val="en-GB"/>
        </w:rPr>
      </w:pPr>
      <w:r w:rsidRPr="000C21D8">
        <w:rPr>
          <w:rStyle w:val="FootnoteReference"/>
          <w:szCs w:val="18"/>
        </w:rPr>
        <w:footnoteRef/>
      </w:r>
      <w:r w:rsidRPr="000C21D8">
        <w:t xml:space="preserve"> </w:t>
      </w:r>
      <w:r>
        <w:t xml:space="preserve">Matheson et al (2022), </w:t>
      </w:r>
      <w:r>
        <w:rPr>
          <w:i/>
          <w:iCs/>
        </w:rPr>
        <w:t>op. cit.</w:t>
      </w:r>
    </w:p>
  </w:footnote>
  <w:footnote w:id="17">
    <w:p w14:paraId="2F764C16" w14:textId="77777777" w:rsidR="00B319E1" w:rsidRPr="000C21D8" w:rsidRDefault="00B319E1" w:rsidP="00B319E1">
      <w:pPr>
        <w:pStyle w:val="FootnoteText"/>
        <w:rPr>
          <w:lang w:val="en-GB"/>
        </w:rPr>
      </w:pPr>
      <w:r w:rsidRPr="000C21D8">
        <w:rPr>
          <w:rStyle w:val="FootnoteReference"/>
          <w:szCs w:val="18"/>
        </w:rPr>
        <w:footnoteRef/>
      </w:r>
      <w:r w:rsidRPr="000C21D8">
        <w:t xml:space="preserve"> </w:t>
      </w:r>
      <w:r>
        <w:t xml:space="preserve">Matheson et al (2022), </w:t>
      </w:r>
      <w:r>
        <w:rPr>
          <w:i/>
          <w:iCs/>
        </w:rPr>
        <w:t>op. cit.</w:t>
      </w:r>
    </w:p>
  </w:footnote>
  <w:footnote w:id="18">
    <w:p w14:paraId="6851B1B8" w14:textId="77777777" w:rsidR="00B319E1" w:rsidRPr="000C21D8" w:rsidRDefault="00B319E1" w:rsidP="00B319E1">
      <w:pPr>
        <w:pStyle w:val="FootnoteText"/>
        <w:rPr>
          <w:lang w:val="en-GB"/>
        </w:rPr>
      </w:pPr>
      <w:r w:rsidRPr="000C21D8">
        <w:rPr>
          <w:rStyle w:val="FootnoteReference"/>
          <w:szCs w:val="18"/>
        </w:rPr>
        <w:footnoteRef/>
      </w:r>
      <w:r w:rsidRPr="000C21D8">
        <w:t xml:space="preserve"> </w:t>
      </w:r>
      <w:r>
        <w:t xml:space="preserve">Matheson et al (2022), </w:t>
      </w:r>
      <w:r>
        <w:rPr>
          <w:i/>
          <w:iCs/>
        </w:rPr>
        <w:t>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77777777" w:rsidR="00B319E1" w:rsidRDefault="00B319E1"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7777777" w:rsidR="00B319E1" w:rsidRDefault="00B319E1"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D08CED6"/>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FFFFFF88"/>
    <w:multiLevelType w:val="singleLevel"/>
    <w:tmpl w:val="164262E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45697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E90FFA"/>
    <w:multiLevelType w:val="hybridMultilevel"/>
    <w:tmpl w:val="5BC2B3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6" w15:restartNumberingAfterBreak="0">
    <w:nsid w:val="06437749"/>
    <w:multiLevelType w:val="hybridMultilevel"/>
    <w:tmpl w:val="FA9017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4C5A25"/>
    <w:multiLevelType w:val="hybridMultilevel"/>
    <w:tmpl w:val="D3840FD0"/>
    <w:lvl w:ilvl="0" w:tplc="B5C83AFA">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11"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3"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8" w15:restartNumberingAfterBreak="0">
    <w:nsid w:val="27285840"/>
    <w:multiLevelType w:val="hybridMultilevel"/>
    <w:tmpl w:val="BD8E7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5"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6" w15:restartNumberingAfterBreak="0">
    <w:nsid w:val="59206C51"/>
    <w:multiLevelType w:val="hybridMultilevel"/>
    <w:tmpl w:val="7EF29962"/>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7"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9"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0" w15:restartNumberingAfterBreak="0">
    <w:nsid w:val="61222206"/>
    <w:multiLevelType w:val="hybridMultilevel"/>
    <w:tmpl w:val="B086A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3651B"/>
    <w:multiLevelType w:val="hybridMultilevel"/>
    <w:tmpl w:val="EBF25B2E"/>
    <w:lvl w:ilvl="0" w:tplc="1C9855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6" w15:restartNumberingAfterBreak="0">
    <w:nsid w:val="6C50050A"/>
    <w:multiLevelType w:val="hybridMultilevel"/>
    <w:tmpl w:val="02AAB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AAB3941"/>
    <w:multiLevelType w:val="hybridMultilevel"/>
    <w:tmpl w:val="5638297E"/>
    <w:lvl w:ilvl="0" w:tplc="151AD1D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02374A"/>
    <w:multiLevelType w:val="hybridMultilevel"/>
    <w:tmpl w:val="84424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D381739"/>
    <w:multiLevelType w:val="hybridMultilevel"/>
    <w:tmpl w:val="34589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22"/>
  </w:num>
  <w:num w:numId="4">
    <w:abstractNumId w:val="23"/>
  </w:num>
  <w:num w:numId="5">
    <w:abstractNumId w:val="4"/>
  </w:num>
  <w:num w:numId="6">
    <w:abstractNumId w:val="44"/>
  </w:num>
  <w:num w:numId="7">
    <w:abstractNumId w:val="19"/>
  </w:num>
  <w:num w:numId="8">
    <w:abstractNumId w:val="7"/>
  </w:num>
  <w:num w:numId="9">
    <w:abstractNumId w:val="39"/>
  </w:num>
  <w:num w:numId="10">
    <w:abstractNumId w:val="5"/>
  </w:num>
  <w:num w:numId="11">
    <w:abstractNumId w:val="37"/>
  </w:num>
  <w:num w:numId="12">
    <w:abstractNumId w:val="9"/>
  </w:num>
  <w:num w:numId="13">
    <w:abstractNumId w:val="13"/>
  </w:num>
  <w:num w:numId="14">
    <w:abstractNumId w:val="11"/>
  </w:num>
  <w:num w:numId="15">
    <w:abstractNumId w:val="14"/>
  </w:num>
  <w:num w:numId="16">
    <w:abstractNumId w:val="27"/>
  </w:num>
  <w:num w:numId="17">
    <w:abstractNumId w:val="16"/>
  </w:num>
  <w:num w:numId="18">
    <w:abstractNumId w:val="34"/>
  </w:num>
  <w:num w:numId="19">
    <w:abstractNumId w:val="17"/>
  </w:num>
  <w:num w:numId="20">
    <w:abstractNumId w:val="25"/>
  </w:num>
  <w:num w:numId="21">
    <w:abstractNumId w:val="12"/>
  </w:num>
  <w:num w:numId="22">
    <w:abstractNumId w:val="10"/>
  </w:num>
  <w:num w:numId="23">
    <w:abstractNumId w:val="29"/>
  </w:num>
  <w:num w:numId="24">
    <w:abstractNumId w:val="28"/>
  </w:num>
  <w:num w:numId="25">
    <w:abstractNumId w:val="43"/>
  </w:num>
  <w:num w:numId="26">
    <w:abstractNumId w:val="20"/>
  </w:num>
  <w:num w:numId="27">
    <w:abstractNumId w:val="35"/>
  </w:num>
  <w:num w:numId="28">
    <w:abstractNumId w:val="33"/>
  </w:num>
  <w:num w:numId="29">
    <w:abstractNumId w:val="24"/>
  </w:num>
  <w:num w:numId="30">
    <w:abstractNumId w:val="15"/>
  </w:num>
  <w:num w:numId="31">
    <w:abstractNumId w:val="38"/>
  </w:num>
  <w:num w:numId="32">
    <w:abstractNumId w:val="21"/>
  </w:num>
  <w:num w:numId="33">
    <w:abstractNumId w:val="30"/>
  </w:num>
  <w:num w:numId="34">
    <w:abstractNumId w:val="2"/>
  </w:num>
  <w:num w:numId="35">
    <w:abstractNumId w:val="8"/>
  </w:num>
  <w:num w:numId="36">
    <w:abstractNumId w:val="3"/>
  </w:num>
  <w:num w:numId="37">
    <w:abstractNumId w:val="1"/>
  </w:num>
  <w:num w:numId="38">
    <w:abstractNumId w:val="0"/>
  </w:num>
  <w:num w:numId="39">
    <w:abstractNumId w:val="26"/>
  </w:num>
  <w:num w:numId="40">
    <w:abstractNumId w:val="1"/>
    <w:lvlOverride w:ilvl="0">
      <w:startOverride w:val="1"/>
    </w:lvlOverride>
  </w:num>
  <w:num w:numId="41">
    <w:abstractNumId w:val="1"/>
    <w:lvlOverride w:ilvl="0">
      <w:startOverride w:val="1"/>
    </w:lvlOverride>
  </w:num>
  <w:num w:numId="42">
    <w:abstractNumId w:val="40"/>
  </w:num>
  <w:num w:numId="43">
    <w:abstractNumId w:val="6"/>
  </w:num>
  <w:num w:numId="44">
    <w:abstractNumId w:val="41"/>
  </w:num>
  <w:num w:numId="45">
    <w:abstractNumId w:val="18"/>
  </w:num>
  <w:num w:numId="46">
    <w:abstractNumId w:val="31"/>
  </w:num>
  <w:num w:numId="47">
    <w:abstractNumId w:val="45"/>
  </w:num>
  <w:num w:numId="4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155F9"/>
    <w:rsid w:val="0012053C"/>
    <w:rsid w:val="00122363"/>
    <w:rsid w:val="001342C7"/>
    <w:rsid w:val="0013585C"/>
    <w:rsid w:val="00142261"/>
    <w:rsid w:val="00142954"/>
    <w:rsid w:val="001460E0"/>
    <w:rsid w:val="001472F0"/>
    <w:rsid w:val="00147F71"/>
    <w:rsid w:val="00150A6E"/>
    <w:rsid w:val="0016304B"/>
    <w:rsid w:val="0016468A"/>
    <w:rsid w:val="0017423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32490"/>
    <w:rsid w:val="00246DB1"/>
    <w:rsid w:val="002476B5"/>
    <w:rsid w:val="002520CC"/>
    <w:rsid w:val="00252235"/>
    <w:rsid w:val="00252B09"/>
    <w:rsid w:val="00253ECF"/>
    <w:rsid w:val="002546A1"/>
    <w:rsid w:val="002628F4"/>
    <w:rsid w:val="00275D08"/>
    <w:rsid w:val="0028037E"/>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318"/>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41CB"/>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4F1A4D"/>
    <w:rsid w:val="005019AE"/>
    <w:rsid w:val="00503749"/>
    <w:rsid w:val="00504CF4"/>
    <w:rsid w:val="0050635B"/>
    <w:rsid w:val="005115B6"/>
    <w:rsid w:val="005151C2"/>
    <w:rsid w:val="0053199F"/>
    <w:rsid w:val="00531E12"/>
    <w:rsid w:val="00533B90"/>
    <w:rsid w:val="005410F8"/>
    <w:rsid w:val="005448EC"/>
    <w:rsid w:val="00545963"/>
    <w:rsid w:val="00550256"/>
    <w:rsid w:val="00553165"/>
    <w:rsid w:val="00553958"/>
    <w:rsid w:val="005548B4"/>
    <w:rsid w:val="0055657D"/>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5936"/>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1464"/>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4592"/>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3BBE"/>
    <w:rsid w:val="00995BA0"/>
    <w:rsid w:val="009A418B"/>
    <w:rsid w:val="009A426F"/>
    <w:rsid w:val="009A42D5"/>
    <w:rsid w:val="009A4473"/>
    <w:rsid w:val="009B05C9"/>
    <w:rsid w:val="009B286C"/>
    <w:rsid w:val="009C151C"/>
    <w:rsid w:val="009C2CCB"/>
    <w:rsid w:val="009C440A"/>
    <w:rsid w:val="009D5125"/>
    <w:rsid w:val="009D60B8"/>
    <w:rsid w:val="009D7D4B"/>
    <w:rsid w:val="009E36ED"/>
    <w:rsid w:val="009E3C8C"/>
    <w:rsid w:val="009E6B77"/>
    <w:rsid w:val="009F460A"/>
    <w:rsid w:val="009F4D27"/>
    <w:rsid w:val="00A043FB"/>
    <w:rsid w:val="00A06BE4"/>
    <w:rsid w:val="00A0729C"/>
    <w:rsid w:val="00A07779"/>
    <w:rsid w:val="00A1166A"/>
    <w:rsid w:val="00A20B2E"/>
    <w:rsid w:val="00A24F33"/>
    <w:rsid w:val="00A25069"/>
    <w:rsid w:val="00A26E6B"/>
    <w:rsid w:val="00A27D16"/>
    <w:rsid w:val="00A3068F"/>
    <w:rsid w:val="00A3145B"/>
    <w:rsid w:val="00A339D0"/>
    <w:rsid w:val="00A35236"/>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19E1"/>
    <w:rsid w:val="00B332F8"/>
    <w:rsid w:val="00B3492B"/>
    <w:rsid w:val="00B4646F"/>
    <w:rsid w:val="00B55C7D"/>
    <w:rsid w:val="00B63038"/>
    <w:rsid w:val="00B64BD8"/>
    <w:rsid w:val="00B66DEE"/>
    <w:rsid w:val="00B701D1"/>
    <w:rsid w:val="00B73AF2"/>
    <w:rsid w:val="00B7551A"/>
    <w:rsid w:val="00B773F1"/>
    <w:rsid w:val="00B86AB1"/>
    <w:rsid w:val="00B97F07"/>
    <w:rsid w:val="00BA7EBA"/>
    <w:rsid w:val="00BB2A06"/>
    <w:rsid w:val="00BB2CBB"/>
    <w:rsid w:val="00BB4198"/>
    <w:rsid w:val="00BC03EE"/>
    <w:rsid w:val="00BC59F1"/>
    <w:rsid w:val="00BE0138"/>
    <w:rsid w:val="00BF3DE1"/>
    <w:rsid w:val="00BF4843"/>
    <w:rsid w:val="00BF5205"/>
    <w:rsid w:val="00C00583"/>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69F5"/>
    <w:rsid w:val="00D37D80"/>
    <w:rsid w:val="00D4476F"/>
    <w:rsid w:val="00D50573"/>
    <w:rsid w:val="00D54D50"/>
    <w:rsid w:val="00D560B4"/>
    <w:rsid w:val="00D662F8"/>
    <w:rsid w:val="00D66797"/>
    <w:rsid w:val="00D7074B"/>
    <w:rsid w:val="00D7087C"/>
    <w:rsid w:val="00D70C3C"/>
    <w:rsid w:val="00D71DF7"/>
    <w:rsid w:val="00D72BE5"/>
    <w:rsid w:val="00D80314"/>
    <w:rsid w:val="00D81462"/>
    <w:rsid w:val="00D82F26"/>
    <w:rsid w:val="00D863D0"/>
    <w:rsid w:val="00D86B00"/>
    <w:rsid w:val="00D86FB9"/>
    <w:rsid w:val="00D87C87"/>
    <w:rsid w:val="00D90BB4"/>
    <w:rsid w:val="00D90E07"/>
    <w:rsid w:val="00D932C2"/>
    <w:rsid w:val="00D941A8"/>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2C1D"/>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aliases w:val="Table - Top"/>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aliases w:val="List Paragraph1,Recommendation,Body text,standard lewis,Bullet Normal,Colorful List - Accent 11,List Paragraph numbered,List Bullet indent,SJ No.Paras,Unordered List Paragraph,Rec para,List Paragraph11,Dot pt,F5 List Paragraph,No Spacing1"/>
    <w:basedOn w:val="Normal"/>
    <w:link w:val="ListParagraphChar"/>
    <w:uiPriority w:val="34"/>
    <w:qFormat/>
    <w:rsid w:val="00655936"/>
    <w:pPr>
      <w:spacing w:after="180" w:line="276" w:lineRule="auto"/>
      <w:ind w:left="720"/>
      <w:contextualSpacing/>
    </w:pPr>
    <w:rPr>
      <w:rFonts w:asciiTheme="minorHAnsi" w:hAnsiTheme="minorHAnsi"/>
      <w:sz w:val="22"/>
      <w:szCs w:val="24"/>
    </w:rPr>
  </w:style>
  <w:style w:type="paragraph" w:styleId="Caption">
    <w:name w:val="caption"/>
    <w:basedOn w:val="Normal"/>
    <w:next w:val="Normal"/>
    <w:uiPriority w:val="35"/>
    <w:unhideWhenUsed/>
    <w:qFormat/>
    <w:rsid w:val="00232490"/>
    <w:pPr>
      <w:spacing w:before="120" w:after="120" w:line="276" w:lineRule="auto"/>
    </w:pPr>
    <w:rPr>
      <w:rFonts w:asciiTheme="minorHAnsi" w:hAnsiTheme="minorHAnsi"/>
      <w:b/>
      <w:bCs/>
      <w:iCs/>
      <w:sz w:val="20"/>
      <w:szCs w:val="18"/>
    </w:rPr>
  </w:style>
  <w:style w:type="paragraph" w:customStyle="1" w:styleId="Tabletext0">
    <w:name w:val="Table text"/>
    <w:basedOn w:val="Normal"/>
    <w:qFormat/>
    <w:rsid w:val="00655936"/>
    <w:pPr>
      <w:tabs>
        <w:tab w:val="left" w:pos="0"/>
      </w:tabs>
      <w:spacing w:before="60" w:after="60" w:line="276" w:lineRule="auto"/>
    </w:pPr>
    <w:rPr>
      <w:rFonts w:ascii="Times" w:hAnsi="Times" w:cs="Arial"/>
      <w:sz w:val="22"/>
    </w:rPr>
  </w:style>
  <w:style w:type="paragraph" w:styleId="ListBullet">
    <w:name w:val="List Bullet"/>
    <w:basedOn w:val="Normal"/>
    <w:uiPriority w:val="99"/>
    <w:unhideWhenUsed/>
    <w:rsid w:val="00655936"/>
    <w:pPr>
      <w:numPr>
        <w:numId w:val="34"/>
      </w:numPr>
      <w:spacing w:after="180" w:line="276" w:lineRule="auto"/>
      <w:contextualSpacing/>
    </w:pPr>
    <w:rPr>
      <w:rFonts w:asciiTheme="minorHAnsi" w:hAnsiTheme="minorHAnsi"/>
      <w:sz w:val="22"/>
      <w:szCs w:val="24"/>
    </w:rPr>
  </w:style>
  <w:style w:type="paragraph" w:styleId="TableofFigures">
    <w:name w:val="table of figures"/>
    <w:basedOn w:val="Normal"/>
    <w:next w:val="Normal"/>
    <w:uiPriority w:val="99"/>
    <w:unhideWhenUsed/>
    <w:rsid w:val="00655936"/>
    <w:pPr>
      <w:tabs>
        <w:tab w:val="right" w:pos="7938"/>
      </w:tabs>
      <w:spacing w:before="90"/>
    </w:pPr>
  </w:style>
  <w:style w:type="paragraph" w:styleId="ListNumber">
    <w:name w:val="List Number"/>
    <w:basedOn w:val="Normal"/>
    <w:uiPriority w:val="99"/>
    <w:unhideWhenUsed/>
    <w:rsid w:val="00993BBE"/>
    <w:pPr>
      <w:numPr>
        <w:numId w:val="37"/>
      </w:numPr>
      <w:spacing w:after="160" w:line="259" w:lineRule="auto"/>
      <w:contextualSpacing/>
      <w:jc w:val="both"/>
    </w:pPr>
    <w:rPr>
      <w:rFonts w:asciiTheme="minorHAnsi" w:eastAsiaTheme="minorHAnsi" w:hAnsiTheme="minorHAnsi" w:cstheme="minorBidi"/>
      <w:sz w:val="22"/>
      <w:szCs w:val="22"/>
      <w:lang w:eastAsia="en-US"/>
    </w:rPr>
  </w:style>
  <w:style w:type="paragraph" w:styleId="ListBullet2">
    <w:name w:val="List Bullet 2"/>
    <w:basedOn w:val="Normal"/>
    <w:uiPriority w:val="99"/>
    <w:unhideWhenUsed/>
    <w:rsid w:val="00993BBE"/>
    <w:pPr>
      <w:numPr>
        <w:numId w:val="38"/>
      </w:numPr>
      <w:spacing w:after="160" w:line="259" w:lineRule="auto"/>
      <w:contextualSpacing/>
      <w:jc w:val="both"/>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B319E1"/>
    <w:pPr>
      <w:spacing w:before="100" w:beforeAutospacing="1" w:after="100" w:afterAutospacing="1"/>
      <w:jc w:val="both"/>
    </w:pPr>
    <w:rPr>
      <w:rFonts w:ascii="Times New Roman" w:hAnsi="Times New Roman"/>
      <w:sz w:val="24"/>
      <w:szCs w:val="24"/>
      <w:lang w:eastAsia="en-NZ"/>
    </w:rPr>
  </w:style>
  <w:style w:type="character" w:customStyle="1" w:styleId="ListParagraphChar">
    <w:name w:val="List Paragraph Char"/>
    <w:aliases w:val="List Paragraph1 Char,Recommendation Char,Body text Char,standard lewis Char,Bullet Normal Char,Colorful List - Accent 11 Char,List Paragraph numbered Char,List Bullet indent Char,SJ No.Paras Char,Unordered List Paragraph Char"/>
    <w:link w:val="ListParagraph"/>
    <w:uiPriority w:val="34"/>
    <w:qFormat/>
    <w:locked/>
    <w:rsid w:val="00B319E1"/>
    <w:rPr>
      <w:rFonts w:asciiTheme="minorHAnsi" w:hAnsiTheme="minorHAnsi"/>
      <w:sz w:val="22"/>
      <w:szCs w:val="24"/>
      <w:lang w:eastAsia="en-GB"/>
    </w:rPr>
  </w:style>
  <w:style w:type="paragraph" w:styleId="EndnoteText">
    <w:name w:val="endnote text"/>
    <w:basedOn w:val="Normal"/>
    <w:link w:val="EndnoteTextChar"/>
    <w:uiPriority w:val="99"/>
    <w:semiHidden/>
    <w:unhideWhenUsed/>
    <w:rsid w:val="009F4D27"/>
    <w:rPr>
      <w:sz w:val="20"/>
    </w:rPr>
  </w:style>
  <w:style w:type="character" w:customStyle="1" w:styleId="EndnoteTextChar">
    <w:name w:val="Endnote Text Char"/>
    <w:basedOn w:val="DefaultParagraphFont"/>
    <w:link w:val="EndnoteText"/>
    <w:uiPriority w:val="99"/>
    <w:semiHidden/>
    <w:rsid w:val="009F4D27"/>
    <w:rPr>
      <w:rFonts w:ascii="Segoe UI" w:hAnsi="Segoe UI"/>
      <w:lang w:eastAsia="en-GB"/>
    </w:rPr>
  </w:style>
  <w:style w:type="character" w:styleId="EndnoteReference">
    <w:name w:val="endnote reference"/>
    <w:basedOn w:val="DefaultParagraphFont"/>
    <w:uiPriority w:val="99"/>
    <w:semiHidden/>
    <w:unhideWhenUsed/>
    <w:rsid w:val="009F4D27"/>
    <w:rPr>
      <w:vertAlign w:val="superscript"/>
    </w:rPr>
  </w:style>
  <w:style w:type="character" w:styleId="UnresolvedMention">
    <w:name w:val="Unresolved Mention"/>
    <w:basedOn w:val="DefaultParagraphFont"/>
    <w:uiPriority w:val="99"/>
    <w:semiHidden/>
    <w:unhideWhenUsed/>
    <w:rsid w:val="00D9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healthyfamiliesnz.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inspiringcommunities.org.nz/" TargetMode="External"/><Relationship Id="rId7" Type="http://schemas.openxmlformats.org/officeDocument/2006/relationships/hyperlink" Target="http://donellameadows.org/wpcontent/userfiles/Leverage_Points.pdf" TargetMode="External"/><Relationship Id="rId2" Type="http://schemas.openxmlformats.org/officeDocument/2006/relationships/hyperlink" Target="https://neweconomics.org/uploads/files/5abec531b2a775dc8d_qjm6bqzpt.pdf" TargetMode="External"/><Relationship Id="rId1" Type="http://schemas.openxmlformats.org/officeDocument/2006/relationships/hyperlink" Target="http://www.who.int/teams/health-promotion/enhanced-wellbeing/seventh-global-conference/community-empowerment" TargetMode="External"/><Relationship Id="rId6" Type="http://schemas.openxmlformats.org/officeDocument/2006/relationships/hyperlink" Target="http://www.futureofhealth.govt.nz/about-the-reforms/how-health-system-changing/localities/" TargetMode="External"/><Relationship Id="rId5" Type="http://schemas.openxmlformats.org/officeDocument/2006/relationships/hyperlink" Target="http://www.health.govt.nz/system/files/documents/publications/interim_report_healthy_families_nz_evaluation-_november_2020.pdf" TargetMode="External"/><Relationship Id="rId4" Type="http://schemas.openxmlformats.org/officeDocument/2006/relationships/hyperlink" Target="http://www.youngfoundation.org/our-work/publications/transforming-health-shifting-our-health-systems-from-illness-treatment-and-prevention-to-health-cre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FC9454AF665489687E7396D53C354" ma:contentTypeVersion="19" ma:contentTypeDescription="Create a new document." ma:contentTypeScope="" ma:versionID="ef148a0db5900000607107c2f941ac5d">
  <xsd:schema xmlns:xsd="http://www.w3.org/2001/XMLSchema" xmlns:xs="http://www.w3.org/2001/XMLSchema" xmlns:p="http://schemas.microsoft.com/office/2006/metadata/properties" xmlns:ns2="4f3c4a1c-e017-4d66-9e67-218047e46dfe" xmlns:ns3="ff804206-f34c-4cf1-a530-088e515a7286" xmlns:ns4="00a4df5b-51f4-4e7a-b755-8a381a6dfbc5" targetNamespace="http://schemas.microsoft.com/office/2006/metadata/properties" ma:root="true" ma:fieldsID="88d0b2985262702febffa62e51f94aa1" ns2:_="" ns3:_="" ns4:_="">
    <xsd:import namespace="4f3c4a1c-e017-4d66-9e67-218047e46dfe"/>
    <xsd:import namespace="ff804206-f34c-4cf1-a530-088e515a7286"/>
    <xsd:import namespace="00a4df5b-51f4-4e7a-b755-8a381a6dfbc5"/>
    <xsd:element name="properties">
      <xsd:complexType>
        <xsd:sequence>
          <xsd:element name="documentManagement">
            <xsd:complexType>
              <xsd:all>
                <xsd:element ref="ns2:Moreinformation"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4a1c-e017-4d66-9e67-218047e46dfe" elementFormDefault="qualified">
    <xsd:import namespace="http://schemas.microsoft.com/office/2006/documentManagement/types"/>
    <xsd:import namespace="http://schemas.microsoft.com/office/infopath/2007/PartnerControls"/>
    <xsd:element name="Moreinformation" ma:index="3" nillable="true" ma:displayName="More information" ma:default="Click the three dots, download the document then open in browser to see the insights" ma:description="Click the three dots, download the document then open in browser to see the insights" ma:format="Dropdown" ma:internalName="Moreinformation" ma:readOnly="false">
      <xsd:simpleType>
        <xsd:restriction base="dms:Note">
          <xsd:maxLength value="255"/>
        </xsd:restriction>
      </xsd:simpleType>
    </xsd:element>
    <xsd:element name="Category" ma:index="4" nillable="true" ma:displayName="Category" ma:description="Higher level category that the report sits under, based on Tatau Kahukura headings - also visible in the Report summary doc" ma:format="Dropdown" ma:internalName="Catego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04206-f34c-4cf1-a530-088e515a72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91dc2-3e21-4ef4-85f4-e85750907c1f}" ma:internalName="TaxCatchAll" ma:readOnly="false" ma:showField="CatchAllData" ma:web="ff804206-f34c-4cf1-a530-088e515a7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oreinformation xmlns="4f3c4a1c-e017-4d66-9e67-218047e46dfe">Click the three dots, download the document then open in browser to see the insights</Moreinformation>
    <TaxCatchAll xmlns="00a4df5b-51f4-4e7a-b755-8a381a6dfbc5" xsi:nil="true"/>
    <lcf76f155ced4ddcb4097134ff3c332f xmlns="4f3c4a1c-e017-4d66-9e67-218047e46dfe">
      <Terms xmlns="http://schemas.microsoft.com/office/infopath/2007/PartnerControls"/>
    </lcf76f155ced4ddcb4097134ff3c332f>
    <Category xmlns="4f3c4a1c-e017-4d66-9e67-218047e46d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2E8E9-CA97-4EA4-99B1-4671893F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4a1c-e017-4d66-9e67-218047e46dfe"/>
    <ds:schemaRef ds:uri="ff804206-f34c-4cf1-a530-088e515a7286"/>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3c4a1c-e017-4d66-9e67-218047e46dfe"/>
    <ds:schemaRef ds:uri="00a4df5b-51f4-4e7a-b755-8a381a6dfbc5"/>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14</TotalTime>
  <Pages>17</Pages>
  <Words>2338</Words>
  <Characters>14717</Characters>
  <Application>Microsoft Office Word</Application>
  <DocSecurity>0</DocSecurity>
  <Lines>367</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Families NZ ‘Community Up’ Approach to Improving Wellbeing and Equity: Commissioning for Pae Ora</dc:title>
  <dc:creator>Healthy Families NZ</dc:creator>
  <cp:lastModifiedBy>Megan BELL</cp:lastModifiedBy>
  <cp:revision>14</cp:revision>
  <cp:lastPrinted>2023-01-09T21:11:00Z</cp:lastPrinted>
  <dcterms:created xsi:type="dcterms:W3CDTF">2023-01-09T21:14:00Z</dcterms:created>
  <dcterms:modified xsi:type="dcterms:W3CDTF">2023-01-16T20:45:00Z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0x0101005DBFC9454AF665489687E7396D53C354</vt:lpwstr>
  </property>
  <property fmtid="{D5CDD505-2E9C-101B-9397-08002B2CF9AE}" pid="3" name="MediaServiceImageTags">
    <vt:lpwstr/>
  </property>
</Properties>
</file>