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5161" w14:textId="4ED2BB1F" w:rsidR="00C86248" w:rsidRPr="00655936" w:rsidRDefault="003623D9" w:rsidP="00926083">
      <w:pPr>
        <w:pStyle w:val="Title"/>
        <w:rPr>
          <w:sz w:val="60"/>
          <w:szCs w:val="60"/>
        </w:rPr>
      </w:pPr>
      <w:r w:rsidRPr="003623D9">
        <w:rPr>
          <w:sz w:val="60"/>
          <w:szCs w:val="60"/>
        </w:rPr>
        <w:t xml:space="preserve">National Telehealth Service: Commissioning for </w:t>
      </w:r>
      <w:proofErr w:type="spellStart"/>
      <w:r w:rsidRPr="003623D9">
        <w:rPr>
          <w:sz w:val="60"/>
          <w:szCs w:val="60"/>
        </w:rPr>
        <w:t>Pae</w:t>
      </w:r>
      <w:proofErr w:type="spellEnd"/>
      <w:r w:rsidRPr="003623D9">
        <w:rPr>
          <w:sz w:val="60"/>
          <w:szCs w:val="60"/>
        </w:rPr>
        <w:t xml:space="preserve"> Ora | </w:t>
      </w:r>
      <w:r w:rsidR="00243051" w:rsidRPr="00243051">
        <w:rPr>
          <w:sz w:val="60"/>
          <w:szCs w:val="60"/>
        </w:rPr>
        <w:t xml:space="preserve">Healthy Futures case study </w:t>
      </w:r>
    </w:p>
    <w:p w14:paraId="2A961E80" w14:textId="64B874F4" w:rsidR="00531E12" w:rsidRPr="00531E12" w:rsidRDefault="00655936" w:rsidP="00531E12">
      <w:pPr>
        <w:pStyle w:val="Year"/>
      </w:pPr>
      <w:r>
        <w:t>202</w:t>
      </w:r>
      <w:r w:rsidR="00B114CD">
        <w:t>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even" r:id="rId11"/>
          <w:headerReference w:type="default" r:id="rId12"/>
          <w:footerReference w:type="even" r:id="rId13"/>
          <w:footerReference w:type="default" r:id="rId14"/>
          <w:headerReference w:type="first" r:id="rId15"/>
          <w:footerReference w:type="first" r:id="rId16"/>
          <w:pgSz w:w="11907" w:h="16834" w:code="9"/>
          <w:pgMar w:top="5670" w:right="1134" w:bottom="1134" w:left="1134" w:header="567" w:footer="851" w:gutter="0"/>
          <w:pgNumType w:start="1"/>
          <w:cols w:space="720"/>
        </w:sectPr>
      </w:pPr>
    </w:p>
    <w:p w14:paraId="0CB4C040" w14:textId="494A9F7A" w:rsidR="00655936" w:rsidRPr="00C05132" w:rsidRDefault="00655936" w:rsidP="00655936">
      <w:pPr>
        <w:pStyle w:val="Imprint"/>
        <w:spacing w:before="1200"/>
        <w:rPr>
          <w:rFonts w:cs="Segoe UI"/>
        </w:rPr>
      </w:pPr>
      <w:r w:rsidRPr="00C05132">
        <w:rPr>
          <w:rFonts w:cs="Segoe UI"/>
        </w:rPr>
        <w:lastRenderedPageBreak/>
        <w:t xml:space="preserve">Citation: </w:t>
      </w:r>
      <w:proofErr w:type="spellStart"/>
      <w:r w:rsidR="003623D9" w:rsidRPr="003623D9">
        <w:rPr>
          <w:rFonts w:cs="Segoe UI"/>
        </w:rPr>
        <w:t>ThinkPlace</w:t>
      </w:r>
      <w:proofErr w:type="spellEnd"/>
      <w:r w:rsidR="003623D9" w:rsidRPr="003623D9">
        <w:rPr>
          <w:rFonts w:cs="Segoe UI"/>
        </w:rPr>
        <w:t>; Ministry of Health (ed). 202</w:t>
      </w:r>
      <w:r w:rsidR="006C7134">
        <w:rPr>
          <w:rFonts w:cs="Segoe UI"/>
        </w:rPr>
        <w:t>3</w:t>
      </w:r>
      <w:r w:rsidR="003623D9" w:rsidRPr="003623D9">
        <w:rPr>
          <w:rFonts w:cs="Segoe UI"/>
        </w:rPr>
        <w:t xml:space="preserve">. </w:t>
      </w:r>
      <w:r w:rsidR="003623D9" w:rsidRPr="003623D9">
        <w:rPr>
          <w:rFonts w:cs="Segoe UI"/>
          <w:i/>
          <w:iCs/>
        </w:rPr>
        <w:t xml:space="preserve">National Telehealth Service: Commissioning for </w:t>
      </w:r>
      <w:proofErr w:type="spellStart"/>
      <w:r w:rsidR="003623D9" w:rsidRPr="003623D9">
        <w:rPr>
          <w:rFonts w:cs="Segoe UI"/>
          <w:i/>
          <w:iCs/>
        </w:rPr>
        <w:t>Pae</w:t>
      </w:r>
      <w:proofErr w:type="spellEnd"/>
      <w:r w:rsidR="003623D9" w:rsidRPr="003623D9">
        <w:rPr>
          <w:rFonts w:cs="Segoe UI"/>
          <w:i/>
          <w:iCs/>
        </w:rPr>
        <w:t xml:space="preserve"> Ora | Healthy Futures case study</w:t>
      </w:r>
      <w:r w:rsidR="003623D9" w:rsidRPr="003623D9">
        <w:rPr>
          <w:rFonts w:cs="Segoe UI"/>
        </w:rPr>
        <w:t>. Wellington:</w:t>
      </w:r>
      <w:r w:rsidRPr="00C05132">
        <w:rPr>
          <w:rFonts w:cs="Segoe UI"/>
        </w:rPr>
        <w:t xml:space="preserve"> Ministry of Health.</w:t>
      </w:r>
    </w:p>
    <w:p w14:paraId="0D4015BE" w14:textId="372E9ED8" w:rsidR="00655936" w:rsidRPr="006C7134" w:rsidRDefault="00655936" w:rsidP="00655936">
      <w:pPr>
        <w:pStyle w:val="Imprint"/>
      </w:pPr>
      <w:r w:rsidRPr="006C7134">
        <w:t xml:space="preserve">Published in </w:t>
      </w:r>
      <w:r w:rsidR="006C7134">
        <w:t>January 2023</w:t>
      </w:r>
      <w:r w:rsidRPr="006C7134">
        <w:t xml:space="preserve"> by the Ministry of Health</w:t>
      </w:r>
      <w:r w:rsidRPr="006C7134">
        <w:br/>
        <w:t>PO Box 5013, Wellington 6140, New Zealand</w:t>
      </w:r>
    </w:p>
    <w:p w14:paraId="6E8EE03B" w14:textId="2733F2DC" w:rsidR="00655936" w:rsidRPr="009C0F2D" w:rsidRDefault="00655936" w:rsidP="00655936">
      <w:pPr>
        <w:pStyle w:val="Imprint"/>
      </w:pPr>
      <w:r w:rsidRPr="006C7134">
        <w:t xml:space="preserve">HP </w:t>
      </w:r>
      <w:r w:rsidR="000D661D">
        <w:t>8653</w:t>
      </w:r>
    </w:p>
    <w:p w14:paraId="48DBDA36" w14:textId="77777777" w:rsidR="00C86248" w:rsidRDefault="008C64C4" w:rsidP="00A63DFF">
      <w:r>
        <w:rPr>
          <w:noProof/>
          <w:lang w:eastAsia="en-NZ"/>
        </w:rPr>
        <w:drawing>
          <wp:inline distT="0" distB="0" distL="0" distR="0" wp14:anchorId="6EF4539D" wp14:editId="7A2DFDB9">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9"/>
          <w:footerReference w:type="default" r:id="rId20"/>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0" w:name="_Toc405792991"/>
      <w:bookmarkStart w:id="1" w:name="_Toc405793224"/>
      <w:r>
        <w:lastRenderedPageBreak/>
        <w:t>Contents</w:t>
      </w:r>
      <w:bookmarkEnd w:id="0"/>
      <w:bookmarkEnd w:id="1"/>
    </w:p>
    <w:p w14:paraId="3F8E2E5A" w14:textId="439CBF51" w:rsidR="0050452D" w:rsidRDefault="00D50581">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24833147" w:history="1">
        <w:r w:rsidR="0050452D" w:rsidRPr="00BB344A">
          <w:rPr>
            <w:rStyle w:val="Hyperlink"/>
            <w:noProof/>
          </w:rPr>
          <w:t>Purpose</w:t>
        </w:r>
        <w:r w:rsidR="0050452D">
          <w:rPr>
            <w:noProof/>
            <w:webHidden/>
          </w:rPr>
          <w:tab/>
        </w:r>
        <w:r w:rsidR="0050452D">
          <w:rPr>
            <w:noProof/>
            <w:webHidden/>
          </w:rPr>
          <w:fldChar w:fldCharType="begin"/>
        </w:r>
        <w:r w:rsidR="0050452D">
          <w:rPr>
            <w:noProof/>
            <w:webHidden/>
          </w:rPr>
          <w:instrText xml:space="preserve"> PAGEREF _Toc124833147 \h </w:instrText>
        </w:r>
        <w:r w:rsidR="0050452D">
          <w:rPr>
            <w:noProof/>
            <w:webHidden/>
          </w:rPr>
        </w:r>
        <w:r w:rsidR="0050452D">
          <w:rPr>
            <w:noProof/>
            <w:webHidden/>
          </w:rPr>
          <w:fldChar w:fldCharType="separate"/>
        </w:r>
        <w:r w:rsidR="0050452D">
          <w:rPr>
            <w:noProof/>
            <w:webHidden/>
          </w:rPr>
          <w:t>1</w:t>
        </w:r>
        <w:r w:rsidR="0050452D">
          <w:rPr>
            <w:noProof/>
            <w:webHidden/>
          </w:rPr>
          <w:fldChar w:fldCharType="end"/>
        </w:r>
      </w:hyperlink>
    </w:p>
    <w:p w14:paraId="4C9503B1" w14:textId="21B95AEC" w:rsidR="0050452D" w:rsidRDefault="00F25F52">
      <w:pPr>
        <w:pStyle w:val="TOC1"/>
        <w:rPr>
          <w:rFonts w:asciiTheme="minorHAnsi" w:eastAsiaTheme="minorEastAsia" w:hAnsiTheme="minorHAnsi" w:cstheme="minorBidi"/>
          <w:noProof/>
          <w:sz w:val="22"/>
          <w:szCs w:val="22"/>
          <w:lang w:val="en-AU" w:eastAsia="en-AU"/>
        </w:rPr>
      </w:pPr>
      <w:hyperlink w:anchor="_Toc124833148" w:history="1">
        <w:r w:rsidR="0050452D" w:rsidRPr="00BB344A">
          <w:rPr>
            <w:rStyle w:val="Hyperlink"/>
            <w:noProof/>
          </w:rPr>
          <w:t>Method</w:t>
        </w:r>
        <w:r w:rsidR="0050452D">
          <w:rPr>
            <w:noProof/>
            <w:webHidden/>
          </w:rPr>
          <w:tab/>
        </w:r>
        <w:r w:rsidR="0050452D">
          <w:rPr>
            <w:noProof/>
            <w:webHidden/>
          </w:rPr>
          <w:fldChar w:fldCharType="begin"/>
        </w:r>
        <w:r w:rsidR="0050452D">
          <w:rPr>
            <w:noProof/>
            <w:webHidden/>
          </w:rPr>
          <w:instrText xml:space="preserve"> PAGEREF _Toc124833148 \h </w:instrText>
        </w:r>
        <w:r w:rsidR="0050452D">
          <w:rPr>
            <w:noProof/>
            <w:webHidden/>
          </w:rPr>
        </w:r>
        <w:r w:rsidR="0050452D">
          <w:rPr>
            <w:noProof/>
            <w:webHidden/>
          </w:rPr>
          <w:fldChar w:fldCharType="separate"/>
        </w:r>
        <w:r w:rsidR="0050452D">
          <w:rPr>
            <w:noProof/>
            <w:webHidden/>
          </w:rPr>
          <w:t>2</w:t>
        </w:r>
        <w:r w:rsidR="0050452D">
          <w:rPr>
            <w:noProof/>
            <w:webHidden/>
          </w:rPr>
          <w:fldChar w:fldCharType="end"/>
        </w:r>
      </w:hyperlink>
    </w:p>
    <w:p w14:paraId="0BBB84B5" w14:textId="2A454761" w:rsidR="0050452D" w:rsidRDefault="00F25F52">
      <w:pPr>
        <w:pStyle w:val="TOC1"/>
        <w:rPr>
          <w:rFonts w:asciiTheme="minorHAnsi" w:eastAsiaTheme="minorEastAsia" w:hAnsiTheme="minorHAnsi" w:cstheme="minorBidi"/>
          <w:noProof/>
          <w:sz w:val="22"/>
          <w:szCs w:val="22"/>
          <w:lang w:val="en-AU" w:eastAsia="en-AU"/>
        </w:rPr>
      </w:pPr>
      <w:hyperlink w:anchor="_Toc124833149" w:history="1">
        <w:r w:rsidR="0050452D" w:rsidRPr="00BB344A">
          <w:rPr>
            <w:rStyle w:val="Hyperlink"/>
            <w:noProof/>
          </w:rPr>
          <w:t>What is a telehealth service?</w:t>
        </w:r>
        <w:r w:rsidR="0050452D">
          <w:rPr>
            <w:noProof/>
            <w:webHidden/>
          </w:rPr>
          <w:tab/>
        </w:r>
        <w:r w:rsidR="0050452D">
          <w:rPr>
            <w:noProof/>
            <w:webHidden/>
          </w:rPr>
          <w:fldChar w:fldCharType="begin"/>
        </w:r>
        <w:r w:rsidR="0050452D">
          <w:rPr>
            <w:noProof/>
            <w:webHidden/>
          </w:rPr>
          <w:instrText xml:space="preserve"> PAGEREF _Toc124833149 \h </w:instrText>
        </w:r>
        <w:r w:rsidR="0050452D">
          <w:rPr>
            <w:noProof/>
            <w:webHidden/>
          </w:rPr>
        </w:r>
        <w:r w:rsidR="0050452D">
          <w:rPr>
            <w:noProof/>
            <w:webHidden/>
          </w:rPr>
          <w:fldChar w:fldCharType="separate"/>
        </w:r>
        <w:r w:rsidR="0050452D">
          <w:rPr>
            <w:noProof/>
            <w:webHidden/>
          </w:rPr>
          <w:t>3</w:t>
        </w:r>
        <w:r w:rsidR="0050452D">
          <w:rPr>
            <w:noProof/>
            <w:webHidden/>
          </w:rPr>
          <w:fldChar w:fldCharType="end"/>
        </w:r>
      </w:hyperlink>
    </w:p>
    <w:p w14:paraId="33DEBA58" w14:textId="04677A68" w:rsidR="0050452D" w:rsidRDefault="00F25F52">
      <w:pPr>
        <w:pStyle w:val="TOC1"/>
        <w:rPr>
          <w:rFonts w:asciiTheme="minorHAnsi" w:eastAsiaTheme="minorEastAsia" w:hAnsiTheme="minorHAnsi" w:cstheme="minorBidi"/>
          <w:noProof/>
          <w:sz w:val="22"/>
          <w:szCs w:val="22"/>
          <w:lang w:val="en-AU" w:eastAsia="en-AU"/>
        </w:rPr>
      </w:pPr>
      <w:hyperlink w:anchor="_Toc124833150" w:history="1">
        <w:r w:rsidR="0050452D" w:rsidRPr="00BB344A">
          <w:rPr>
            <w:rStyle w:val="Hyperlink"/>
            <w:noProof/>
          </w:rPr>
          <w:t>Why a 10-year contract was developed</w:t>
        </w:r>
        <w:r w:rsidR="0050452D">
          <w:rPr>
            <w:noProof/>
            <w:webHidden/>
          </w:rPr>
          <w:tab/>
        </w:r>
        <w:r w:rsidR="0050452D">
          <w:rPr>
            <w:noProof/>
            <w:webHidden/>
          </w:rPr>
          <w:fldChar w:fldCharType="begin"/>
        </w:r>
        <w:r w:rsidR="0050452D">
          <w:rPr>
            <w:noProof/>
            <w:webHidden/>
          </w:rPr>
          <w:instrText xml:space="preserve"> PAGEREF _Toc124833150 \h </w:instrText>
        </w:r>
        <w:r w:rsidR="0050452D">
          <w:rPr>
            <w:noProof/>
            <w:webHidden/>
          </w:rPr>
        </w:r>
        <w:r w:rsidR="0050452D">
          <w:rPr>
            <w:noProof/>
            <w:webHidden/>
          </w:rPr>
          <w:fldChar w:fldCharType="separate"/>
        </w:r>
        <w:r w:rsidR="0050452D">
          <w:rPr>
            <w:noProof/>
            <w:webHidden/>
          </w:rPr>
          <w:t>4</w:t>
        </w:r>
        <w:r w:rsidR="0050452D">
          <w:rPr>
            <w:noProof/>
            <w:webHidden/>
          </w:rPr>
          <w:fldChar w:fldCharType="end"/>
        </w:r>
      </w:hyperlink>
    </w:p>
    <w:p w14:paraId="029F8A5B" w14:textId="0E9A510D" w:rsidR="0050452D" w:rsidRDefault="00F25F52">
      <w:pPr>
        <w:pStyle w:val="TOC1"/>
        <w:rPr>
          <w:rFonts w:asciiTheme="minorHAnsi" w:eastAsiaTheme="minorEastAsia" w:hAnsiTheme="minorHAnsi" w:cstheme="minorBidi"/>
          <w:noProof/>
          <w:sz w:val="22"/>
          <w:szCs w:val="22"/>
          <w:lang w:val="en-AU" w:eastAsia="en-AU"/>
        </w:rPr>
      </w:pPr>
      <w:hyperlink w:anchor="_Toc124833151" w:history="1">
        <w:r w:rsidR="0050452D" w:rsidRPr="00BB344A">
          <w:rPr>
            <w:rStyle w:val="Hyperlink"/>
            <w:noProof/>
          </w:rPr>
          <w:t>Developing a national telehealth service</w:t>
        </w:r>
        <w:r w:rsidR="0050452D">
          <w:rPr>
            <w:noProof/>
            <w:webHidden/>
          </w:rPr>
          <w:tab/>
        </w:r>
        <w:r w:rsidR="0050452D">
          <w:rPr>
            <w:noProof/>
            <w:webHidden/>
          </w:rPr>
          <w:fldChar w:fldCharType="begin"/>
        </w:r>
        <w:r w:rsidR="0050452D">
          <w:rPr>
            <w:noProof/>
            <w:webHidden/>
          </w:rPr>
          <w:instrText xml:space="preserve"> PAGEREF _Toc124833151 \h </w:instrText>
        </w:r>
        <w:r w:rsidR="0050452D">
          <w:rPr>
            <w:noProof/>
            <w:webHidden/>
          </w:rPr>
        </w:r>
        <w:r w:rsidR="0050452D">
          <w:rPr>
            <w:noProof/>
            <w:webHidden/>
          </w:rPr>
          <w:fldChar w:fldCharType="separate"/>
        </w:r>
        <w:r w:rsidR="0050452D">
          <w:rPr>
            <w:noProof/>
            <w:webHidden/>
          </w:rPr>
          <w:t>5</w:t>
        </w:r>
        <w:r w:rsidR="0050452D">
          <w:rPr>
            <w:noProof/>
            <w:webHidden/>
          </w:rPr>
          <w:fldChar w:fldCharType="end"/>
        </w:r>
      </w:hyperlink>
    </w:p>
    <w:p w14:paraId="3D8B6401" w14:textId="0EAFB5C0" w:rsidR="0050452D" w:rsidRDefault="00F25F52">
      <w:pPr>
        <w:pStyle w:val="TOC1"/>
        <w:rPr>
          <w:rFonts w:asciiTheme="minorHAnsi" w:eastAsiaTheme="minorEastAsia" w:hAnsiTheme="minorHAnsi" w:cstheme="minorBidi"/>
          <w:noProof/>
          <w:sz w:val="22"/>
          <w:szCs w:val="22"/>
          <w:lang w:val="en-AU" w:eastAsia="en-AU"/>
        </w:rPr>
      </w:pPr>
      <w:hyperlink w:anchor="_Toc124833152" w:history="1">
        <w:r w:rsidR="0050452D" w:rsidRPr="00BB344A">
          <w:rPr>
            <w:rStyle w:val="Hyperlink"/>
            <w:noProof/>
          </w:rPr>
          <w:t>National Telehealth Service vision</w:t>
        </w:r>
        <w:r w:rsidR="0050452D">
          <w:rPr>
            <w:noProof/>
            <w:webHidden/>
          </w:rPr>
          <w:tab/>
        </w:r>
        <w:r w:rsidR="0050452D">
          <w:rPr>
            <w:noProof/>
            <w:webHidden/>
          </w:rPr>
          <w:fldChar w:fldCharType="begin"/>
        </w:r>
        <w:r w:rsidR="0050452D">
          <w:rPr>
            <w:noProof/>
            <w:webHidden/>
          </w:rPr>
          <w:instrText xml:space="preserve"> PAGEREF _Toc124833152 \h </w:instrText>
        </w:r>
        <w:r w:rsidR="0050452D">
          <w:rPr>
            <w:noProof/>
            <w:webHidden/>
          </w:rPr>
        </w:r>
        <w:r w:rsidR="0050452D">
          <w:rPr>
            <w:noProof/>
            <w:webHidden/>
          </w:rPr>
          <w:fldChar w:fldCharType="separate"/>
        </w:r>
        <w:r w:rsidR="0050452D">
          <w:rPr>
            <w:noProof/>
            <w:webHidden/>
          </w:rPr>
          <w:t>6</w:t>
        </w:r>
        <w:r w:rsidR="0050452D">
          <w:rPr>
            <w:noProof/>
            <w:webHidden/>
          </w:rPr>
          <w:fldChar w:fldCharType="end"/>
        </w:r>
      </w:hyperlink>
    </w:p>
    <w:p w14:paraId="278854E1" w14:textId="62F9EFE2" w:rsidR="0050452D" w:rsidRDefault="00F25F52">
      <w:pPr>
        <w:pStyle w:val="TOC1"/>
        <w:rPr>
          <w:rFonts w:asciiTheme="minorHAnsi" w:eastAsiaTheme="minorEastAsia" w:hAnsiTheme="minorHAnsi" w:cstheme="minorBidi"/>
          <w:noProof/>
          <w:sz w:val="22"/>
          <w:szCs w:val="22"/>
          <w:lang w:val="en-AU" w:eastAsia="en-AU"/>
        </w:rPr>
      </w:pPr>
      <w:hyperlink w:anchor="_Toc124833153" w:history="1">
        <w:r w:rsidR="0050452D" w:rsidRPr="00BB344A">
          <w:rPr>
            <w:rStyle w:val="Hyperlink"/>
            <w:noProof/>
          </w:rPr>
          <w:t>Describing the commissioning cycle</w:t>
        </w:r>
        <w:r w:rsidR="0050452D">
          <w:rPr>
            <w:noProof/>
            <w:webHidden/>
          </w:rPr>
          <w:tab/>
        </w:r>
        <w:r w:rsidR="0050452D">
          <w:rPr>
            <w:noProof/>
            <w:webHidden/>
          </w:rPr>
          <w:fldChar w:fldCharType="begin"/>
        </w:r>
        <w:r w:rsidR="0050452D">
          <w:rPr>
            <w:noProof/>
            <w:webHidden/>
          </w:rPr>
          <w:instrText xml:space="preserve"> PAGEREF _Toc124833153 \h </w:instrText>
        </w:r>
        <w:r w:rsidR="0050452D">
          <w:rPr>
            <w:noProof/>
            <w:webHidden/>
          </w:rPr>
        </w:r>
        <w:r w:rsidR="0050452D">
          <w:rPr>
            <w:noProof/>
            <w:webHidden/>
          </w:rPr>
          <w:fldChar w:fldCharType="separate"/>
        </w:r>
        <w:r w:rsidR="0050452D">
          <w:rPr>
            <w:noProof/>
            <w:webHidden/>
          </w:rPr>
          <w:t>7</w:t>
        </w:r>
        <w:r w:rsidR="0050452D">
          <w:rPr>
            <w:noProof/>
            <w:webHidden/>
          </w:rPr>
          <w:fldChar w:fldCharType="end"/>
        </w:r>
      </w:hyperlink>
    </w:p>
    <w:p w14:paraId="342D1667" w14:textId="0DBCC96B" w:rsidR="0050452D" w:rsidRDefault="00F25F52">
      <w:pPr>
        <w:pStyle w:val="TOC2"/>
        <w:rPr>
          <w:rFonts w:asciiTheme="minorHAnsi" w:eastAsiaTheme="minorEastAsia" w:hAnsiTheme="minorHAnsi" w:cstheme="minorBidi"/>
          <w:noProof/>
          <w:szCs w:val="22"/>
          <w:lang w:val="en-AU" w:eastAsia="en-AU"/>
        </w:rPr>
      </w:pPr>
      <w:hyperlink w:anchor="_Toc124833154" w:history="1">
        <w:r w:rsidR="0050452D" w:rsidRPr="00BB344A">
          <w:rPr>
            <w:rStyle w:val="Hyperlink"/>
            <w:noProof/>
          </w:rPr>
          <w:t>Designing the service: active procurement</w:t>
        </w:r>
        <w:r w:rsidR="0050452D">
          <w:rPr>
            <w:noProof/>
            <w:webHidden/>
          </w:rPr>
          <w:tab/>
        </w:r>
        <w:r w:rsidR="0050452D">
          <w:rPr>
            <w:noProof/>
            <w:webHidden/>
          </w:rPr>
          <w:fldChar w:fldCharType="begin"/>
        </w:r>
        <w:r w:rsidR="0050452D">
          <w:rPr>
            <w:noProof/>
            <w:webHidden/>
          </w:rPr>
          <w:instrText xml:space="preserve"> PAGEREF _Toc124833154 \h </w:instrText>
        </w:r>
        <w:r w:rsidR="0050452D">
          <w:rPr>
            <w:noProof/>
            <w:webHidden/>
          </w:rPr>
        </w:r>
        <w:r w:rsidR="0050452D">
          <w:rPr>
            <w:noProof/>
            <w:webHidden/>
          </w:rPr>
          <w:fldChar w:fldCharType="separate"/>
        </w:r>
        <w:r w:rsidR="0050452D">
          <w:rPr>
            <w:noProof/>
            <w:webHidden/>
          </w:rPr>
          <w:t>7</w:t>
        </w:r>
        <w:r w:rsidR="0050452D">
          <w:rPr>
            <w:noProof/>
            <w:webHidden/>
          </w:rPr>
          <w:fldChar w:fldCharType="end"/>
        </w:r>
      </w:hyperlink>
    </w:p>
    <w:p w14:paraId="40C13F04" w14:textId="761754D5" w:rsidR="0050452D" w:rsidRDefault="00F25F52">
      <w:pPr>
        <w:pStyle w:val="TOC2"/>
        <w:rPr>
          <w:rFonts w:asciiTheme="minorHAnsi" w:eastAsiaTheme="minorEastAsia" w:hAnsiTheme="minorHAnsi" w:cstheme="minorBidi"/>
          <w:noProof/>
          <w:szCs w:val="22"/>
          <w:lang w:val="en-AU" w:eastAsia="en-AU"/>
        </w:rPr>
      </w:pPr>
      <w:hyperlink w:anchor="_Toc124833155" w:history="1">
        <w:r w:rsidR="0050452D" w:rsidRPr="00BB344A">
          <w:rPr>
            <w:rStyle w:val="Hyperlink"/>
            <w:noProof/>
          </w:rPr>
          <w:t>Developing relationships together</w:t>
        </w:r>
        <w:r w:rsidR="0050452D">
          <w:rPr>
            <w:noProof/>
            <w:webHidden/>
          </w:rPr>
          <w:tab/>
        </w:r>
        <w:r w:rsidR="0050452D">
          <w:rPr>
            <w:noProof/>
            <w:webHidden/>
          </w:rPr>
          <w:fldChar w:fldCharType="begin"/>
        </w:r>
        <w:r w:rsidR="0050452D">
          <w:rPr>
            <w:noProof/>
            <w:webHidden/>
          </w:rPr>
          <w:instrText xml:space="preserve"> PAGEREF _Toc124833155 \h </w:instrText>
        </w:r>
        <w:r w:rsidR="0050452D">
          <w:rPr>
            <w:noProof/>
            <w:webHidden/>
          </w:rPr>
        </w:r>
        <w:r w:rsidR="0050452D">
          <w:rPr>
            <w:noProof/>
            <w:webHidden/>
          </w:rPr>
          <w:fldChar w:fldCharType="separate"/>
        </w:r>
        <w:r w:rsidR="0050452D">
          <w:rPr>
            <w:noProof/>
            <w:webHidden/>
          </w:rPr>
          <w:t>7</w:t>
        </w:r>
        <w:r w:rsidR="0050452D">
          <w:rPr>
            <w:noProof/>
            <w:webHidden/>
          </w:rPr>
          <w:fldChar w:fldCharType="end"/>
        </w:r>
      </w:hyperlink>
    </w:p>
    <w:p w14:paraId="509B4EE0" w14:textId="5815D154" w:rsidR="0050452D" w:rsidRDefault="00F25F52">
      <w:pPr>
        <w:pStyle w:val="TOC2"/>
        <w:rPr>
          <w:rFonts w:asciiTheme="minorHAnsi" w:eastAsiaTheme="minorEastAsia" w:hAnsiTheme="minorHAnsi" w:cstheme="minorBidi"/>
          <w:noProof/>
          <w:szCs w:val="22"/>
          <w:lang w:val="en-AU" w:eastAsia="en-AU"/>
        </w:rPr>
      </w:pPr>
      <w:hyperlink w:anchor="_Toc124833156" w:history="1">
        <w:r w:rsidR="0050452D" w:rsidRPr="00BB344A">
          <w:rPr>
            <w:rStyle w:val="Hyperlink"/>
            <w:noProof/>
          </w:rPr>
          <w:t>Creating a new service model</w:t>
        </w:r>
        <w:r w:rsidR="0050452D">
          <w:rPr>
            <w:noProof/>
            <w:webHidden/>
          </w:rPr>
          <w:tab/>
        </w:r>
        <w:r w:rsidR="0050452D">
          <w:rPr>
            <w:noProof/>
            <w:webHidden/>
          </w:rPr>
          <w:fldChar w:fldCharType="begin"/>
        </w:r>
        <w:r w:rsidR="0050452D">
          <w:rPr>
            <w:noProof/>
            <w:webHidden/>
          </w:rPr>
          <w:instrText xml:space="preserve"> PAGEREF _Toc124833156 \h </w:instrText>
        </w:r>
        <w:r w:rsidR="0050452D">
          <w:rPr>
            <w:noProof/>
            <w:webHidden/>
          </w:rPr>
        </w:r>
        <w:r w:rsidR="0050452D">
          <w:rPr>
            <w:noProof/>
            <w:webHidden/>
          </w:rPr>
          <w:fldChar w:fldCharType="separate"/>
        </w:r>
        <w:r w:rsidR="0050452D">
          <w:rPr>
            <w:noProof/>
            <w:webHidden/>
          </w:rPr>
          <w:t>8</w:t>
        </w:r>
        <w:r w:rsidR="0050452D">
          <w:rPr>
            <w:noProof/>
            <w:webHidden/>
          </w:rPr>
          <w:fldChar w:fldCharType="end"/>
        </w:r>
      </w:hyperlink>
    </w:p>
    <w:p w14:paraId="712DB9B8" w14:textId="7C1A08AE" w:rsidR="0050452D" w:rsidRDefault="00F25F52">
      <w:pPr>
        <w:pStyle w:val="TOC1"/>
        <w:rPr>
          <w:rFonts w:asciiTheme="minorHAnsi" w:eastAsiaTheme="minorEastAsia" w:hAnsiTheme="minorHAnsi" w:cstheme="minorBidi"/>
          <w:noProof/>
          <w:sz w:val="22"/>
          <w:szCs w:val="22"/>
          <w:lang w:val="en-AU" w:eastAsia="en-AU"/>
        </w:rPr>
      </w:pPr>
      <w:hyperlink w:anchor="_Toc124833157" w:history="1">
        <w:r w:rsidR="0050452D" w:rsidRPr="00BB344A">
          <w:rPr>
            <w:rStyle w:val="Hyperlink"/>
            <w:noProof/>
          </w:rPr>
          <w:t>Describing the benefits of the long-term, outcomes-focused contract</w:t>
        </w:r>
        <w:r w:rsidR="0050452D">
          <w:rPr>
            <w:noProof/>
            <w:webHidden/>
          </w:rPr>
          <w:tab/>
        </w:r>
        <w:r w:rsidR="0050452D">
          <w:rPr>
            <w:noProof/>
            <w:webHidden/>
          </w:rPr>
          <w:fldChar w:fldCharType="begin"/>
        </w:r>
        <w:r w:rsidR="0050452D">
          <w:rPr>
            <w:noProof/>
            <w:webHidden/>
          </w:rPr>
          <w:instrText xml:space="preserve"> PAGEREF _Toc124833157 \h </w:instrText>
        </w:r>
        <w:r w:rsidR="0050452D">
          <w:rPr>
            <w:noProof/>
            <w:webHidden/>
          </w:rPr>
        </w:r>
        <w:r w:rsidR="0050452D">
          <w:rPr>
            <w:noProof/>
            <w:webHidden/>
          </w:rPr>
          <w:fldChar w:fldCharType="separate"/>
        </w:r>
        <w:r w:rsidR="0050452D">
          <w:rPr>
            <w:noProof/>
            <w:webHidden/>
          </w:rPr>
          <w:t>9</w:t>
        </w:r>
        <w:r w:rsidR="0050452D">
          <w:rPr>
            <w:noProof/>
            <w:webHidden/>
          </w:rPr>
          <w:fldChar w:fldCharType="end"/>
        </w:r>
      </w:hyperlink>
    </w:p>
    <w:p w14:paraId="023AB997" w14:textId="37D0500B" w:rsidR="0050452D" w:rsidRDefault="00F25F52">
      <w:pPr>
        <w:pStyle w:val="TOC2"/>
        <w:rPr>
          <w:rFonts w:asciiTheme="minorHAnsi" w:eastAsiaTheme="minorEastAsia" w:hAnsiTheme="minorHAnsi" w:cstheme="minorBidi"/>
          <w:noProof/>
          <w:szCs w:val="22"/>
          <w:lang w:val="en-AU" w:eastAsia="en-AU"/>
        </w:rPr>
      </w:pPr>
      <w:hyperlink w:anchor="_Toc124833158" w:history="1">
        <w:r w:rsidR="0050452D" w:rsidRPr="00BB344A">
          <w:rPr>
            <w:rStyle w:val="Hyperlink"/>
            <w:noProof/>
          </w:rPr>
          <w:t>Positives on both sides</w:t>
        </w:r>
        <w:r w:rsidR="0050452D">
          <w:rPr>
            <w:noProof/>
            <w:webHidden/>
          </w:rPr>
          <w:tab/>
        </w:r>
        <w:r w:rsidR="0050452D">
          <w:rPr>
            <w:noProof/>
            <w:webHidden/>
          </w:rPr>
          <w:fldChar w:fldCharType="begin"/>
        </w:r>
        <w:r w:rsidR="0050452D">
          <w:rPr>
            <w:noProof/>
            <w:webHidden/>
          </w:rPr>
          <w:instrText xml:space="preserve"> PAGEREF _Toc124833158 \h </w:instrText>
        </w:r>
        <w:r w:rsidR="0050452D">
          <w:rPr>
            <w:noProof/>
            <w:webHidden/>
          </w:rPr>
        </w:r>
        <w:r w:rsidR="0050452D">
          <w:rPr>
            <w:noProof/>
            <w:webHidden/>
          </w:rPr>
          <w:fldChar w:fldCharType="separate"/>
        </w:r>
        <w:r w:rsidR="0050452D">
          <w:rPr>
            <w:noProof/>
            <w:webHidden/>
          </w:rPr>
          <w:t>9</w:t>
        </w:r>
        <w:r w:rsidR="0050452D">
          <w:rPr>
            <w:noProof/>
            <w:webHidden/>
          </w:rPr>
          <w:fldChar w:fldCharType="end"/>
        </w:r>
      </w:hyperlink>
    </w:p>
    <w:p w14:paraId="21EE7F25" w14:textId="1E04C9B4" w:rsidR="0050452D" w:rsidRDefault="00F25F52">
      <w:pPr>
        <w:pStyle w:val="TOC2"/>
        <w:rPr>
          <w:rFonts w:asciiTheme="minorHAnsi" w:eastAsiaTheme="minorEastAsia" w:hAnsiTheme="minorHAnsi" w:cstheme="minorBidi"/>
          <w:noProof/>
          <w:szCs w:val="22"/>
          <w:lang w:val="en-AU" w:eastAsia="en-AU"/>
        </w:rPr>
      </w:pPr>
      <w:hyperlink w:anchor="_Toc124833159" w:history="1">
        <w:r w:rsidR="0050452D" w:rsidRPr="00BB344A">
          <w:rPr>
            <w:rStyle w:val="Hyperlink"/>
            <w:noProof/>
          </w:rPr>
          <w:t>High-trust relationships</w:t>
        </w:r>
        <w:r w:rsidR="0050452D">
          <w:rPr>
            <w:noProof/>
            <w:webHidden/>
          </w:rPr>
          <w:tab/>
        </w:r>
        <w:r w:rsidR="0050452D">
          <w:rPr>
            <w:noProof/>
            <w:webHidden/>
          </w:rPr>
          <w:fldChar w:fldCharType="begin"/>
        </w:r>
        <w:r w:rsidR="0050452D">
          <w:rPr>
            <w:noProof/>
            <w:webHidden/>
          </w:rPr>
          <w:instrText xml:space="preserve"> PAGEREF _Toc124833159 \h </w:instrText>
        </w:r>
        <w:r w:rsidR="0050452D">
          <w:rPr>
            <w:noProof/>
            <w:webHidden/>
          </w:rPr>
        </w:r>
        <w:r w:rsidR="0050452D">
          <w:rPr>
            <w:noProof/>
            <w:webHidden/>
          </w:rPr>
          <w:fldChar w:fldCharType="separate"/>
        </w:r>
        <w:r w:rsidR="0050452D">
          <w:rPr>
            <w:noProof/>
            <w:webHidden/>
          </w:rPr>
          <w:t>10</w:t>
        </w:r>
        <w:r w:rsidR="0050452D">
          <w:rPr>
            <w:noProof/>
            <w:webHidden/>
          </w:rPr>
          <w:fldChar w:fldCharType="end"/>
        </w:r>
      </w:hyperlink>
    </w:p>
    <w:p w14:paraId="55906524" w14:textId="27D7316A" w:rsidR="0050452D" w:rsidRDefault="00F25F52">
      <w:pPr>
        <w:pStyle w:val="TOC2"/>
        <w:rPr>
          <w:rFonts w:asciiTheme="minorHAnsi" w:eastAsiaTheme="minorEastAsia" w:hAnsiTheme="minorHAnsi" w:cstheme="minorBidi"/>
          <w:noProof/>
          <w:szCs w:val="22"/>
          <w:lang w:val="en-AU" w:eastAsia="en-AU"/>
        </w:rPr>
      </w:pPr>
      <w:hyperlink w:anchor="_Toc124833160" w:history="1">
        <w:r w:rsidR="0050452D" w:rsidRPr="00BB344A">
          <w:rPr>
            <w:rStyle w:val="Hyperlink"/>
            <w:noProof/>
          </w:rPr>
          <w:t>A single provider reduces workload</w:t>
        </w:r>
        <w:r w:rsidR="0050452D">
          <w:rPr>
            <w:noProof/>
            <w:webHidden/>
          </w:rPr>
          <w:tab/>
        </w:r>
        <w:r w:rsidR="0050452D">
          <w:rPr>
            <w:noProof/>
            <w:webHidden/>
          </w:rPr>
          <w:fldChar w:fldCharType="begin"/>
        </w:r>
        <w:r w:rsidR="0050452D">
          <w:rPr>
            <w:noProof/>
            <w:webHidden/>
          </w:rPr>
          <w:instrText xml:space="preserve"> PAGEREF _Toc124833160 \h </w:instrText>
        </w:r>
        <w:r w:rsidR="0050452D">
          <w:rPr>
            <w:noProof/>
            <w:webHidden/>
          </w:rPr>
        </w:r>
        <w:r w:rsidR="0050452D">
          <w:rPr>
            <w:noProof/>
            <w:webHidden/>
          </w:rPr>
          <w:fldChar w:fldCharType="separate"/>
        </w:r>
        <w:r w:rsidR="0050452D">
          <w:rPr>
            <w:noProof/>
            <w:webHidden/>
          </w:rPr>
          <w:t>10</w:t>
        </w:r>
        <w:r w:rsidR="0050452D">
          <w:rPr>
            <w:noProof/>
            <w:webHidden/>
          </w:rPr>
          <w:fldChar w:fldCharType="end"/>
        </w:r>
      </w:hyperlink>
    </w:p>
    <w:p w14:paraId="1F84F77D" w14:textId="390C84AF" w:rsidR="0050452D" w:rsidRDefault="00F25F52">
      <w:pPr>
        <w:pStyle w:val="TOC1"/>
        <w:rPr>
          <w:rFonts w:asciiTheme="minorHAnsi" w:eastAsiaTheme="minorEastAsia" w:hAnsiTheme="minorHAnsi" w:cstheme="minorBidi"/>
          <w:noProof/>
          <w:sz w:val="22"/>
          <w:szCs w:val="22"/>
          <w:lang w:val="en-AU" w:eastAsia="en-AU"/>
        </w:rPr>
      </w:pPr>
      <w:hyperlink w:anchor="_Toc124833161" w:history="1">
        <w:r w:rsidR="0050452D" w:rsidRPr="00BB344A">
          <w:rPr>
            <w:rStyle w:val="Hyperlink"/>
            <w:noProof/>
          </w:rPr>
          <w:t>Issues and mitigations</w:t>
        </w:r>
        <w:r w:rsidR="0050452D">
          <w:rPr>
            <w:noProof/>
            <w:webHidden/>
          </w:rPr>
          <w:tab/>
        </w:r>
        <w:r w:rsidR="0050452D">
          <w:rPr>
            <w:noProof/>
            <w:webHidden/>
          </w:rPr>
          <w:fldChar w:fldCharType="begin"/>
        </w:r>
        <w:r w:rsidR="0050452D">
          <w:rPr>
            <w:noProof/>
            <w:webHidden/>
          </w:rPr>
          <w:instrText xml:space="preserve"> PAGEREF _Toc124833161 \h </w:instrText>
        </w:r>
        <w:r w:rsidR="0050452D">
          <w:rPr>
            <w:noProof/>
            <w:webHidden/>
          </w:rPr>
        </w:r>
        <w:r w:rsidR="0050452D">
          <w:rPr>
            <w:noProof/>
            <w:webHidden/>
          </w:rPr>
          <w:fldChar w:fldCharType="separate"/>
        </w:r>
        <w:r w:rsidR="0050452D">
          <w:rPr>
            <w:noProof/>
            <w:webHidden/>
          </w:rPr>
          <w:t>11</w:t>
        </w:r>
        <w:r w:rsidR="0050452D">
          <w:rPr>
            <w:noProof/>
            <w:webHidden/>
          </w:rPr>
          <w:fldChar w:fldCharType="end"/>
        </w:r>
      </w:hyperlink>
    </w:p>
    <w:p w14:paraId="4B172EFB" w14:textId="1137D520" w:rsidR="0050452D" w:rsidRDefault="00F25F52">
      <w:pPr>
        <w:pStyle w:val="TOC2"/>
        <w:rPr>
          <w:rFonts w:asciiTheme="minorHAnsi" w:eastAsiaTheme="minorEastAsia" w:hAnsiTheme="minorHAnsi" w:cstheme="minorBidi"/>
          <w:noProof/>
          <w:szCs w:val="22"/>
          <w:lang w:val="en-AU" w:eastAsia="en-AU"/>
        </w:rPr>
      </w:pPr>
      <w:hyperlink w:anchor="_Toc124833162" w:history="1">
        <w:r w:rsidR="0050452D" w:rsidRPr="00BB344A">
          <w:rPr>
            <w:rStyle w:val="Hyperlink"/>
            <w:noProof/>
          </w:rPr>
          <w:t>Ensuring service adapts to changing contexts</w:t>
        </w:r>
        <w:r w:rsidR="0050452D">
          <w:rPr>
            <w:noProof/>
            <w:webHidden/>
          </w:rPr>
          <w:tab/>
        </w:r>
        <w:r w:rsidR="0050452D">
          <w:rPr>
            <w:noProof/>
            <w:webHidden/>
          </w:rPr>
          <w:fldChar w:fldCharType="begin"/>
        </w:r>
        <w:r w:rsidR="0050452D">
          <w:rPr>
            <w:noProof/>
            <w:webHidden/>
          </w:rPr>
          <w:instrText xml:space="preserve"> PAGEREF _Toc124833162 \h </w:instrText>
        </w:r>
        <w:r w:rsidR="0050452D">
          <w:rPr>
            <w:noProof/>
            <w:webHidden/>
          </w:rPr>
        </w:r>
        <w:r w:rsidR="0050452D">
          <w:rPr>
            <w:noProof/>
            <w:webHidden/>
          </w:rPr>
          <w:fldChar w:fldCharType="separate"/>
        </w:r>
        <w:r w:rsidR="0050452D">
          <w:rPr>
            <w:noProof/>
            <w:webHidden/>
          </w:rPr>
          <w:t>11</w:t>
        </w:r>
        <w:r w:rsidR="0050452D">
          <w:rPr>
            <w:noProof/>
            <w:webHidden/>
          </w:rPr>
          <w:fldChar w:fldCharType="end"/>
        </w:r>
      </w:hyperlink>
    </w:p>
    <w:p w14:paraId="53723257" w14:textId="7133390A" w:rsidR="0050452D" w:rsidRDefault="00F25F52">
      <w:pPr>
        <w:pStyle w:val="TOC2"/>
        <w:rPr>
          <w:rFonts w:asciiTheme="minorHAnsi" w:eastAsiaTheme="minorEastAsia" w:hAnsiTheme="minorHAnsi" w:cstheme="minorBidi"/>
          <w:noProof/>
          <w:szCs w:val="22"/>
          <w:lang w:val="en-AU" w:eastAsia="en-AU"/>
        </w:rPr>
      </w:pPr>
      <w:hyperlink w:anchor="_Toc124833163" w:history="1">
        <w:r w:rsidR="0050452D" w:rsidRPr="00BB344A">
          <w:rPr>
            <w:rStyle w:val="Hyperlink"/>
            <w:noProof/>
          </w:rPr>
          <w:t>The bar is too high for small providers</w:t>
        </w:r>
        <w:r w:rsidR="0050452D">
          <w:rPr>
            <w:noProof/>
            <w:webHidden/>
          </w:rPr>
          <w:tab/>
        </w:r>
        <w:r w:rsidR="0050452D">
          <w:rPr>
            <w:noProof/>
            <w:webHidden/>
          </w:rPr>
          <w:fldChar w:fldCharType="begin"/>
        </w:r>
        <w:r w:rsidR="0050452D">
          <w:rPr>
            <w:noProof/>
            <w:webHidden/>
          </w:rPr>
          <w:instrText xml:space="preserve"> PAGEREF _Toc124833163 \h </w:instrText>
        </w:r>
        <w:r w:rsidR="0050452D">
          <w:rPr>
            <w:noProof/>
            <w:webHidden/>
          </w:rPr>
        </w:r>
        <w:r w:rsidR="0050452D">
          <w:rPr>
            <w:noProof/>
            <w:webHidden/>
          </w:rPr>
          <w:fldChar w:fldCharType="separate"/>
        </w:r>
        <w:r w:rsidR="0050452D">
          <w:rPr>
            <w:noProof/>
            <w:webHidden/>
          </w:rPr>
          <w:t>11</w:t>
        </w:r>
        <w:r w:rsidR="0050452D">
          <w:rPr>
            <w:noProof/>
            <w:webHidden/>
          </w:rPr>
          <w:fldChar w:fldCharType="end"/>
        </w:r>
      </w:hyperlink>
    </w:p>
    <w:p w14:paraId="5F0227AB" w14:textId="71B188DE" w:rsidR="0050452D" w:rsidRDefault="00F25F52">
      <w:pPr>
        <w:pStyle w:val="TOC2"/>
        <w:rPr>
          <w:rFonts w:asciiTheme="minorHAnsi" w:eastAsiaTheme="minorEastAsia" w:hAnsiTheme="minorHAnsi" w:cstheme="minorBidi"/>
          <w:noProof/>
          <w:szCs w:val="22"/>
          <w:lang w:val="en-AU" w:eastAsia="en-AU"/>
        </w:rPr>
      </w:pPr>
      <w:hyperlink w:anchor="_Toc124833164" w:history="1">
        <w:r w:rsidR="0050452D" w:rsidRPr="00BB344A">
          <w:rPr>
            <w:rStyle w:val="Hyperlink"/>
            <w:noProof/>
          </w:rPr>
          <w:t>Overextending service capacity</w:t>
        </w:r>
        <w:r w:rsidR="0050452D">
          <w:rPr>
            <w:noProof/>
            <w:webHidden/>
          </w:rPr>
          <w:tab/>
        </w:r>
        <w:r w:rsidR="0050452D">
          <w:rPr>
            <w:noProof/>
            <w:webHidden/>
          </w:rPr>
          <w:fldChar w:fldCharType="begin"/>
        </w:r>
        <w:r w:rsidR="0050452D">
          <w:rPr>
            <w:noProof/>
            <w:webHidden/>
          </w:rPr>
          <w:instrText xml:space="preserve"> PAGEREF _Toc124833164 \h </w:instrText>
        </w:r>
        <w:r w:rsidR="0050452D">
          <w:rPr>
            <w:noProof/>
            <w:webHidden/>
          </w:rPr>
        </w:r>
        <w:r w:rsidR="0050452D">
          <w:rPr>
            <w:noProof/>
            <w:webHidden/>
          </w:rPr>
          <w:fldChar w:fldCharType="separate"/>
        </w:r>
        <w:r w:rsidR="0050452D">
          <w:rPr>
            <w:noProof/>
            <w:webHidden/>
          </w:rPr>
          <w:t>11</w:t>
        </w:r>
        <w:r w:rsidR="0050452D">
          <w:rPr>
            <w:noProof/>
            <w:webHidden/>
          </w:rPr>
          <w:fldChar w:fldCharType="end"/>
        </w:r>
      </w:hyperlink>
    </w:p>
    <w:p w14:paraId="70B8B2D2" w14:textId="5ABE146A" w:rsidR="0050452D" w:rsidRDefault="00F25F52">
      <w:pPr>
        <w:pStyle w:val="TOC2"/>
        <w:rPr>
          <w:rFonts w:asciiTheme="minorHAnsi" w:eastAsiaTheme="minorEastAsia" w:hAnsiTheme="minorHAnsi" w:cstheme="minorBidi"/>
          <w:noProof/>
          <w:szCs w:val="22"/>
          <w:lang w:val="en-AU" w:eastAsia="en-AU"/>
        </w:rPr>
      </w:pPr>
      <w:hyperlink w:anchor="_Toc124833165" w:history="1">
        <w:r w:rsidR="0050452D" w:rsidRPr="00BB344A">
          <w:rPr>
            <w:rStyle w:val="Hyperlink"/>
            <w:noProof/>
          </w:rPr>
          <w:t>High demand on relationship management at all levels</w:t>
        </w:r>
        <w:r w:rsidR="0050452D">
          <w:rPr>
            <w:noProof/>
            <w:webHidden/>
          </w:rPr>
          <w:tab/>
        </w:r>
        <w:r w:rsidR="0050452D">
          <w:rPr>
            <w:noProof/>
            <w:webHidden/>
          </w:rPr>
          <w:fldChar w:fldCharType="begin"/>
        </w:r>
        <w:r w:rsidR="0050452D">
          <w:rPr>
            <w:noProof/>
            <w:webHidden/>
          </w:rPr>
          <w:instrText xml:space="preserve"> PAGEREF _Toc124833165 \h </w:instrText>
        </w:r>
        <w:r w:rsidR="0050452D">
          <w:rPr>
            <w:noProof/>
            <w:webHidden/>
          </w:rPr>
        </w:r>
        <w:r w:rsidR="0050452D">
          <w:rPr>
            <w:noProof/>
            <w:webHidden/>
          </w:rPr>
          <w:fldChar w:fldCharType="separate"/>
        </w:r>
        <w:r w:rsidR="0050452D">
          <w:rPr>
            <w:noProof/>
            <w:webHidden/>
          </w:rPr>
          <w:t>12</w:t>
        </w:r>
        <w:r w:rsidR="0050452D">
          <w:rPr>
            <w:noProof/>
            <w:webHidden/>
          </w:rPr>
          <w:fldChar w:fldCharType="end"/>
        </w:r>
      </w:hyperlink>
    </w:p>
    <w:p w14:paraId="78B10B1C" w14:textId="31EE9737" w:rsidR="0050452D" w:rsidRDefault="00F25F52">
      <w:pPr>
        <w:pStyle w:val="TOC1"/>
        <w:rPr>
          <w:rFonts w:asciiTheme="minorHAnsi" w:eastAsiaTheme="minorEastAsia" w:hAnsiTheme="minorHAnsi" w:cstheme="minorBidi"/>
          <w:noProof/>
          <w:sz w:val="22"/>
          <w:szCs w:val="22"/>
          <w:lang w:val="en-AU" w:eastAsia="en-AU"/>
        </w:rPr>
      </w:pPr>
      <w:hyperlink w:anchor="_Toc124833166" w:history="1">
        <w:r w:rsidR="0050452D" w:rsidRPr="00BB344A">
          <w:rPr>
            <w:rStyle w:val="Hyperlink"/>
            <w:noProof/>
          </w:rPr>
          <w:t>Improving health equity for Māori and Pacific peoples</w:t>
        </w:r>
        <w:r w:rsidR="0050452D">
          <w:rPr>
            <w:noProof/>
            <w:webHidden/>
          </w:rPr>
          <w:tab/>
        </w:r>
        <w:r w:rsidR="0050452D">
          <w:rPr>
            <w:noProof/>
            <w:webHidden/>
          </w:rPr>
          <w:fldChar w:fldCharType="begin"/>
        </w:r>
        <w:r w:rsidR="0050452D">
          <w:rPr>
            <w:noProof/>
            <w:webHidden/>
          </w:rPr>
          <w:instrText xml:space="preserve"> PAGEREF _Toc124833166 \h </w:instrText>
        </w:r>
        <w:r w:rsidR="0050452D">
          <w:rPr>
            <w:noProof/>
            <w:webHidden/>
          </w:rPr>
        </w:r>
        <w:r w:rsidR="0050452D">
          <w:rPr>
            <w:noProof/>
            <w:webHidden/>
          </w:rPr>
          <w:fldChar w:fldCharType="separate"/>
        </w:r>
        <w:r w:rsidR="0050452D">
          <w:rPr>
            <w:noProof/>
            <w:webHidden/>
          </w:rPr>
          <w:t>13</w:t>
        </w:r>
        <w:r w:rsidR="0050452D">
          <w:rPr>
            <w:noProof/>
            <w:webHidden/>
          </w:rPr>
          <w:fldChar w:fldCharType="end"/>
        </w:r>
      </w:hyperlink>
    </w:p>
    <w:p w14:paraId="3B0435DF" w14:textId="081B838C" w:rsidR="0050452D" w:rsidRDefault="00F25F52">
      <w:pPr>
        <w:pStyle w:val="TOC1"/>
        <w:rPr>
          <w:rFonts w:asciiTheme="minorHAnsi" w:eastAsiaTheme="minorEastAsia" w:hAnsiTheme="minorHAnsi" w:cstheme="minorBidi"/>
          <w:noProof/>
          <w:sz w:val="22"/>
          <w:szCs w:val="22"/>
          <w:lang w:val="en-AU" w:eastAsia="en-AU"/>
        </w:rPr>
      </w:pPr>
      <w:hyperlink w:anchor="_Toc124833167" w:history="1">
        <w:r w:rsidR="0050452D" w:rsidRPr="00BB344A">
          <w:rPr>
            <w:rStyle w:val="Hyperlink"/>
            <w:noProof/>
          </w:rPr>
          <w:t>Responding to the COVID-19 pandemic</w:t>
        </w:r>
        <w:r w:rsidR="0050452D">
          <w:rPr>
            <w:noProof/>
            <w:webHidden/>
          </w:rPr>
          <w:tab/>
        </w:r>
        <w:r w:rsidR="0050452D">
          <w:rPr>
            <w:noProof/>
            <w:webHidden/>
          </w:rPr>
          <w:fldChar w:fldCharType="begin"/>
        </w:r>
        <w:r w:rsidR="0050452D">
          <w:rPr>
            <w:noProof/>
            <w:webHidden/>
          </w:rPr>
          <w:instrText xml:space="preserve"> PAGEREF _Toc124833167 \h </w:instrText>
        </w:r>
        <w:r w:rsidR="0050452D">
          <w:rPr>
            <w:noProof/>
            <w:webHidden/>
          </w:rPr>
        </w:r>
        <w:r w:rsidR="0050452D">
          <w:rPr>
            <w:noProof/>
            <w:webHidden/>
          </w:rPr>
          <w:fldChar w:fldCharType="separate"/>
        </w:r>
        <w:r w:rsidR="0050452D">
          <w:rPr>
            <w:noProof/>
            <w:webHidden/>
          </w:rPr>
          <w:t>14</w:t>
        </w:r>
        <w:r w:rsidR="0050452D">
          <w:rPr>
            <w:noProof/>
            <w:webHidden/>
          </w:rPr>
          <w:fldChar w:fldCharType="end"/>
        </w:r>
      </w:hyperlink>
    </w:p>
    <w:p w14:paraId="2B9379DD" w14:textId="1D848BE4" w:rsidR="0050452D" w:rsidRDefault="00F25F52">
      <w:pPr>
        <w:pStyle w:val="TOC2"/>
        <w:rPr>
          <w:rFonts w:asciiTheme="minorHAnsi" w:eastAsiaTheme="minorEastAsia" w:hAnsiTheme="minorHAnsi" w:cstheme="minorBidi"/>
          <w:noProof/>
          <w:szCs w:val="22"/>
          <w:lang w:val="en-AU" w:eastAsia="en-AU"/>
        </w:rPr>
      </w:pPr>
      <w:hyperlink w:anchor="_Toc124833168" w:history="1">
        <w:r w:rsidR="0050452D" w:rsidRPr="00BB344A">
          <w:rPr>
            <w:rStyle w:val="Hyperlink"/>
            <w:noProof/>
          </w:rPr>
          <w:t>Best practice incorporates international experiences</w:t>
        </w:r>
        <w:r w:rsidR="0050452D">
          <w:rPr>
            <w:noProof/>
            <w:webHidden/>
          </w:rPr>
          <w:tab/>
        </w:r>
        <w:r w:rsidR="0050452D">
          <w:rPr>
            <w:noProof/>
            <w:webHidden/>
          </w:rPr>
          <w:fldChar w:fldCharType="begin"/>
        </w:r>
        <w:r w:rsidR="0050452D">
          <w:rPr>
            <w:noProof/>
            <w:webHidden/>
          </w:rPr>
          <w:instrText xml:space="preserve"> PAGEREF _Toc124833168 \h </w:instrText>
        </w:r>
        <w:r w:rsidR="0050452D">
          <w:rPr>
            <w:noProof/>
            <w:webHidden/>
          </w:rPr>
        </w:r>
        <w:r w:rsidR="0050452D">
          <w:rPr>
            <w:noProof/>
            <w:webHidden/>
          </w:rPr>
          <w:fldChar w:fldCharType="separate"/>
        </w:r>
        <w:r w:rsidR="0050452D">
          <w:rPr>
            <w:noProof/>
            <w:webHidden/>
          </w:rPr>
          <w:t>14</w:t>
        </w:r>
        <w:r w:rsidR="0050452D">
          <w:rPr>
            <w:noProof/>
            <w:webHidden/>
          </w:rPr>
          <w:fldChar w:fldCharType="end"/>
        </w:r>
      </w:hyperlink>
    </w:p>
    <w:p w14:paraId="53B6E28F" w14:textId="2BE267FF" w:rsidR="0050452D" w:rsidRDefault="00F25F52">
      <w:pPr>
        <w:pStyle w:val="TOC2"/>
        <w:rPr>
          <w:rFonts w:asciiTheme="minorHAnsi" w:eastAsiaTheme="minorEastAsia" w:hAnsiTheme="minorHAnsi" w:cstheme="minorBidi"/>
          <w:noProof/>
          <w:szCs w:val="22"/>
          <w:lang w:val="en-AU" w:eastAsia="en-AU"/>
        </w:rPr>
      </w:pPr>
      <w:hyperlink w:anchor="_Toc124833169" w:history="1">
        <w:r w:rsidR="0050452D" w:rsidRPr="00BB344A">
          <w:rPr>
            <w:rStyle w:val="Hyperlink"/>
            <w:noProof/>
          </w:rPr>
          <w:t>Pivoted quickly to changes</w:t>
        </w:r>
        <w:r w:rsidR="0050452D">
          <w:rPr>
            <w:noProof/>
            <w:webHidden/>
          </w:rPr>
          <w:tab/>
        </w:r>
        <w:r w:rsidR="0050452D">
          <w:rPr>
            <w:noProof/>
            <w:webHidden/>
          </w:rPr>
          <w:fldChar w:fldCharType="begin"/>
        </w:r>
        <w:r w:rsidR="0050452D">
          <w:rPr>
            <w:noProof/>
            <w:webHidden/>
          </w:rPr>
          <w:instrText xml:space="preserve"> PAGEREF _Toc124833169 \h </w:instrText>
        </w:r>
        <w:r w:rsidR="0050452D">
          <w:rPr>
            <w:noProof/>
            <w:webHidden/>
          </w:rPr>
        </w:r>
        <w:r w:rsidR="0050452D">
          <w:rPr>
            <w:noProof/>
            <w:webHidden/>
          </w:rPr>
          <w:fldChar w:fldCharType="separate"/>
        </w:r>
        <w:r w:rsidR="0050452D">
          <w:rPr>
            <w:noProof/>
            <w:webHidden/>
          </w:rPr>
          <w:t>14</w:t>
        </w:r>
        <w:r w:rsidR="0050452D">
          <w:rPr>
            <w:noProof/>
            <w:webHidden/>
          </w:rPr>
          <w:fldChar w:fldCharType="end"/>
        </w:r>
      </w:hyperlink>
    </w:p>
    <w:p w14:paraId="2A1E6889" w14:textId="18342698" w:rsidR="0050452D" w:rsidRDefault="00F25F52">
      <w:pPr>
        <w:pStyle w:val="TOC2"/>
        <w:rPr>
          <w:rFonts w:asciiTheme="minorHAnsi" w:eastAsiaTheme="minorEastAsia" w:hAnsiTheme="minorHAnsi" w:cstheme="minorBidi"/>
          <w:noProof/>
          <w:szCs w:val="22"/>
          <w:lang w:val="en-AU" w:eastAsia="en-AU"/>
        </w:rPr>
      </w:pPr>
      <w:hyperlink w:anchor="_Toc124833170" w:history="1">
        <w:r w:rsidR="0050452D" w:rsidRPr="00BB344A">
          <w:rPr>
            <w:rStyle w:val="Hyperlink"/>
            <w:noProof/>
          </w:rPr>
          <w:t>The COVID-19 response resulted in key insights and long-term improvements</w:t>
        </w:r>
        <w:r w:rsidR="0050452D">
          <w:rPr>
            <w:noProof/>
            <w:webHidden/>
          </w:rPr>
          <w:tab/>
        </w:r>
        <w:r w:rsidR="0050452D">
          <w:rPr>
            <w:noProof/>
            <w:webHidden/>
          </w:rPr>
          <w:fldChar w:fldCharType="begin"/>
        </w:r>
        <w:r w:rsidR="0050452D">
          <w:rPr>
            <w:noProof/>
            <w:webHidden/>
          </w:rPr>
          <w:instrText xml:space="preserve"> PAGEREF _Toc124833170 \h </w:instrText>
        </w:r>
        <w:r w:rsidR="0050452D">
          <w:rPr>
            <w:noProof/>
            <w:webHidden/>
          </w:rPr>
        </w:r>
        <w:r w:rsidR="0050452D">
          <w:rPr>
            <w:noProof/>
            <w:webHidden/>
          </w:rPr>
          <w:fldChar w:fldCharType="separate"/>
        </w:r>
        <w:r w:rsidR="0050452D">
          <w:rPr>
            <w:noProof/>
            <w:webHidden/>
          </w:rPr>
          <w:t>15</w:t>
        </w:r>
        <w:r w:rsidR="0050452D">
          <w:rPr>
            <w:noProof/>
            <w:webHidden/>
          </w:rPr>
          <w:fldChar w:fldCharType="end"/>
        </w:r>
      </w:hyperlink>
    </w:p>
    <w:p w14:paraId="6B9D086A" w14:textId="14DFA07F" w:rsidR="0050452D" w:rsidRDefault="00F25F52">
      <w:pPr>
        <w:pStyle w:val="TOC2"/>
        <w:rPr>
          <w:rFonts w:asciiTheme="minorHAnsi" w:eastAsiaTheme="minorEastAsia" w:hAnsiTheme="minorHAnsi" w:cstheme="minorBidi"/>
          <w:noProof/>
          <w:szCs w:val="22"/>
          <w:lang w:val="en-AU" w:eastAsia="en-AU"/>
        </w:rPr>
      </w:pPr>
      <w:hyperlink w:anchor="_Toc124833171" w:history="1">
        <w:r w:rsidR="0050452D" w:rsidRPr="00BB344A">
          <w:rPr>
            <w:rStyle w:val="Hyperlink"/>
            <w:noProof/>
          </w:rPr>
          <w:t>Matching callers with appropriately trained staff</w:t>
        </w:r>
        <w:r w:rsidR="0050452D">
          <w:rPr>
            <w:noProof/>
            <w:webHidden/>
          </w:rPr>
          <w:tab/>
        </w:r>
        <w:r w:rsidR="0050452D">
          <w:rPr>
            <w:noProof/>
            <w:webHidden/>
          </w:rPr>
          <w:fldChar w:fldCharType="begin"/>
        </w:r>
        <w:r w:rsidR="0050452D">
          <w:rPr>
            <w:noProof/>
            <w:webHidden/>
          </w:rPr>
          <w:instrText xml:space="preserve"> PAGEREF _Toc124833171 \h </w:instrText>
        </w:r>
        <w:r w:rsidR="0050452D">
          <w:rPr>
            <w:noProof/>
            <w:webHidden/>
          </w:rPr>
        </w:r>
        <w:r w:rsidR="0050452D">
          <w:rPr>
            <w:noProof/>
            <w:webHidden/>
          </w:rPr>
          <w:fldChar w:fldCharType="separate"/>
        </w:r>
        <w:r w:rsidR="0050452D">
          <w:rPr>
            <w:noProof/>
            <w:webHidden/>
          </w:rPr>
          <w:t>15</w:t>
        </w:r>
        <w:r w:rsidR="0050452D">
          <w:rPr>
            <w:noProof/>
            <w:webHidden/>
          </w:rPr>
          <w:fldChar w:fldCharType="end"/>
        </w:r>
      </w:hyperlink>
    </w:p>
    <w:p w14:paraId="0258B0A4" w14:textId="6F032A7A" w:rsidR="0050452D" w:rsidRDefault="00F25F52">
      <w:pPr>
        <w:pStyle w:val="TOC2"/>
        <w:rPr>
          <w:rFonts w:asciiTheme="minorHAnsi" w:eastAsiaTheme="minorEastAsia" w:hAnsiTheme="minorHAnsi" w:cstheme="minorBidi"/>
          <w:noProof/>
          <w:szCs w:val="22"/>
          <w:lang w:val="en-AU" w:eastAsia="en-AU"/>
        </w:rPr>
      </w:pPr>
      <w:hyperlink w:anchor="_Toc124833172" w:history="1">
        <w:r w:rsidR="0050452D" w:rsidRPr="00BB344A">
          <w:rPr>
            <w:rStyle w:val="Hyperlink"/>
            <w:noProof/>
          </w:rPr>
          <w:t>Reflecting on the COVID response as test pilot</w:t>
        </w:r>
        <w:r w:rsidR="0050452D">
          <w:rPr>
            <w:noProof/>
            <w:webHidden/>
          </w:rPr>
          <w:tab/>
        </w:r>
        <w:r w:rsidR="0050452D">
          <w:rPr>
            <w:noProof/>
            <w:webHidden/>
          </w:rPr>
          <w:fldChar w:fldCharType="begin"/>
        </w:r>
        <w:r w:rsidR="0050452D">
          <w:rPr>
            <w:noProof/>
            <w:webHidden/>
          </w:rPr>
          <w:instrText xml:space="preserve"> PAGEREF _Toc124833172 \h </w:instrText>
        </w:r>
        <w:r w:rsidR="0050452D">
          <w:rPr>
            <w:noProof/>
            <w:webHidden/>
          </w:rPr>
        </w:r>
        <w:r w:rsidR="0050452D">
          <w:rPr>
            <w:noProof/>
            <w:webHidden/>
          </w:rPr>
          <w:fldChar w:fldCharType="separate"/>
        </w:r>
        <w:r w:rsidR="0050452D">
          <w:rPr>
            <w:noProof/>
            <w:webHidden/>
          </w:rPr>
          <w:t>15</w:t>
        </w:r>
        <w:r w:rsidR="0050452D">
          <w:rPr>
            <w:noProof/>
            <w:webHidden/>
          </w:rPr>
          <w:fldChar w:fldCharType="end"/>
        </w:r>
      </w:hyperlink>
    </w:p>
    <w:p w14:paraId="1F7D26DF" w14:textId="27538622" w:rsidR="0050452D" w:rsidRDefault="00F25F52">
      <w:pPr>
        <w:pStyle w:val="TOC1"/>
        <w:rPr>
          <w:rFonts w:asciiTheme="minorHAnsi" w:eastAsiaTheme="minorEastAsia" w:hAnsiTheme="minorHAnsi" w:cstheme="minorBidi"/>
          <w:noProof/>
          <w:sz w:val="22"/>
          <w:szCs w:val="22"/>
          <w:lang w:val="en-AU" w:eastAsia="en-AU"/>
        </w:rPr>
      </w:pPr>
      <w:hyperlink w:anchor="_Toc124833173" w:history="1">
        <w:r w:rsidR="0050452D" w:rsidRPr="00BB344A">
          <w:rPr>
            <w:rStyle w:val="Hyperlink"/>
            <w:noProof/>
          </w:rPr>
          <w:t>Other improvements</w:t>
        </w:r>
        <w:r w:rsidR="0050452D">
          <w:rPr>
            <w:noProof/>
            <w:webHidden/>
          </w:rPr>
          <w:tab/>
        </w:r>
        <w:r w:rsidR="0050452D">
          <w:rPr>
            <w:noProof/>
            <w:webHidden/>
          </w:rPr>
          <w:fldChar w:fldCharType="begin"/>
        </w:r>
        <w:r w:rsidR="0050452D">
          <w:rPr>
            <w:noProof/>
            <w:webHidden/>
          </w:rPr>
          <w:instrText xml:space="preserve"> PAGEREF _Toc124833173 \h </w:instrText>
        </w:r>
        <w:r w:rsidR="0050452D">
          <w:rPr>
            <w:noProof/>
            <w:webHidden/>
          </w:rPr>
        </w:r>
        <w:r w:rsidR="0050452D">
          <w:rPr>
            <w:noProof/>
            <w:webHidden/>
          </w:rPr>
          <w:fldChar w:fldCharType="separate"/>
        </w:r>
        <w:r w:rsidR="0050452D">
          <w:rPr>
            <w:noProof/>
            <w:webHidden/>
          </w:rPr>
          <w:t>17</w:t>
        </w:r>
        <w:r w:rsidR="0050452D">
          <w:rPr>
            <w:noProof/>
            <w:webHidden/>
          </w:rPr>
          <w:fldChar w:fldCharType="end"/>
        </w:r>
      </w:hyperlink>
    </w:p>
    <w:p w14:paraId="1F4901B2" w14:textId="2913B4C8" w:rsidR="0050452D" w:rsidRDefault="00F25F52">
      <w:pPr>
        <w:pStyle w:val="TOC1"/>
        <w:rPr>
          <w:rFonts w:asciiTheme="minorHAnsi" w:eastAsiaTheme="minorEastAsia" w:hAnsiTheme="minorHAnsi" w:cstheme="minorBidi"/>
          <w:noProof/>
          <w:sz w:val="22"/>
          <w:szCs w:val="22"/>
          <w:lang w:val="en-AU" w:eastAsia="en-AU"/>
        </w:rPr>
      </w:pPr>
      <w:hyperlink w:anchor="_Toc124833174" w:history="1">
        <w:r w:rsidR="0050452D" w:rsidRPr="00BB344A">
          <w:rPr>
            <w:rStyle w:val="Hyperlink"/>
            <w:noProof/>
          </w:rPr>
          <w:t>Conclusion</w:t>
        </w:r>
        <w:r w:rsidR="0050452D">
          <w:rPr>
            <w:noProof/>
            <w:webHidden/>
          </w:rPr>
          <w:tab/>
        </w:r>
        <w:r w:rsidR="0050452D">
          <w:rPr>
            <w:noProof/>
            <w:webHidden/>
          </w:rPr>
          <w:fldChar w:fldCharType="begin"/>
        </w:r>
        <w:r w:rsidR="0050452D">
          <w:rPr>
            <w:noProof/>
            <w:webHidden/>
          </w:rPr>
          <w:instrText xml:space="preserve"> PAGEREF _Toc124833174 \h </w:instrText>
        </w:r>
        <w:r w:rsidR="0050452D">
          <w:rPr>
            <w:noProof/>
            <w:webHidden/>
          </w:rPr>
        </w:r>
        <w:r w:rsidR="0050452D">
          <w:rPr>
            <w:noProof/>
            <w:webHidden/>
          </w:rPr>
          <w:fldChar w:fldCharType="separate"/>
        </w:r>
        <w:r w:rsidR="0050452D">
          <w:rPr>
            <w:noProof/>
            <w:webHidden/>
          </w:rPr>
          <w:t>18</w:t>
        </w:r>
        <w:r w:rsidR="0050452D">
          <w:rPr>
            <w:noProof/>
            <w:webHidden/>
          </w:rPr>
          <w:fldChar w:fldCharType="end"/>
        </w:r>
      </w:hyperlink>
    </w:p>
    <w:p w14:paraId="4ED2DB7C" w14:textId="2F25223C" w:rsidR="0050452D" w:rsidRDefault="00F25F52">
      <w:pPr>
        <w:pStyle w:val="TOC1"/>
        <w:rPr>
          <w:rFonts w:asciiTheme="minorHAnsi" w:eastAsiaTheme="minorEastAsia" w:hAnsiTheme="minorHAnsi" w:cstheme="minorBidi"/>
          <w:noProof/>
          <w:sz w:val="22"/>
          <w:szCs w:val="22"/>
          <w:lang w:val="en-AU" w:eastAsia="en-AU"/>
        </w:rPr>
      </w:pPr>
      <w:hyperlink w:anchor="_Toc124833175" w:history="1">
        <w:r w:rsidR="0050452D" w:rsidRPr="00BB344A">
          <w:rPr>
            <w:rStyle w:val="Hyperlink"/>
            <w:noProof/>
          </w:rPr>
          <w:t>Appendix 1: Services offered by the National Telehealth Service</w:t>
        </w:r>
        <w:r w:rsidR="0050452D">
          <w:rPr>
            <w:noProof/>
            <w:webHidden/>
          </w:rPr>
          <w:tab/>
        </w:r>
        <w:r w:rsidR="0050452D">
          <w:rPr>
            <w:noProof/>
            <w:webHidden/>
          </w:rPr>
          <w:fldChar w:fldCharType="begin"/>
        </w:r>
        <w:r w:rsidR="0050452D">
          <w:rPr>
            <w:noProof/>
            <w:webHidden/>
          </w:rPr>
          <w:instrText xml:space="preserve"> PAGEREF _Toc124833175 \h </w:instrText>
        </w:r>
        <w:r w:rsidR="0050452D">
          <w:rPr>
            <w:noProof/>
            <w:webHidden/>
          </w:rPr>
        </w:r>
        <w:r w:rsidR="0050452D">
          <w:rPr>
            <w:noProof/>
            <w:webHidden/>
          </w:rPr>
          <w:fldChar w:fldCharType="separate"/>
        </w:r>
        <w:r w:rsidR="0050452D">
          <w:rPr>
            <w:noProof/>
            <w:webHidden/>
          </w:rPr>
          <w:t>19</w:t>
        </w:r>
        <w:r w:rsidR="0050452D">
          <w:rPr>
            <w:noProof/>
            <w:webHidden/>
          </w:rPr>
          <w:fldChar w:fldCharType="end"/>
        </w:r>
      </w:hyperlink>
    </w:p>
    <w:p w14:paraId="133A9219" w14:textId="0A3B0B60" w:rsidR="00C86248" w:rsidRDefault="00D50581">
      <w:r>
        <w:rPr>
          <w:rFonts w:ascii="Segoe UI Semibold" w:hAnsi="Segoe UI Semibold"/>
          <w:b/>
          <w:sz w:val="24"/>
        </w:rPr>
        <w:fldChar w:fldCharType="end"/>
      </w:r>
    </w:p>
    <w:p w14:paraId="0A3124FD" w14:textId="77777777" w:rsidR="00562E2F" w:rsidRDefault="00562E2F" w:rsidP="00655936">
      <w:pPr>
        <w:pStyle w:val="Heading1"/>
        <w:spacing w:before="0"/>
        <w:sectPr w:rsidR="00562E2F" w:rsidSect="0050452D">
          <w:headerReference w:type="even" r:id="rId21"/>
          <w:headerReference w:type="default" r:id="rId22"/>
          <w:footerReference w:type="even" r:id="rId23"/>
          <w:footerReference w:type="default" r:id="rId24"/>
          <w:pgSz w:w="11901" w:h="16817"/>
          <w:pgMar w:top="1418" w:right="1701" w:bottom="1134" w:left="1843" w:header="709" w:footer="425" w:gutter="0"/>
          <w:pgNumType w:fmt="lowerRoman"/>
          <w:cols w:space="708"/>
          <w:docGrid w:linePitch="360"/>
        </w:sectPr>
      </w:pPr>
    </w:p>
    <w:p w14:paraId="4EA5813F" w14:textId="65B5CAC7" w:rsidR="00655936" w:rsidRPr="002733B4" w:rsidRDefault="00243051" w:rsidP="00655936">
      <w:pPr>
        <w:pStyle w:val="Heading1"/>
        <w:spacing w:before="0"/>
      </w:pPr>
      <w:bookmarkStart w:id="2" w:name="_Toc124833147"/>
      <w:r>
        <w:lastRenderedPageBreak/>
        <w:t>Purpose</w:t>
      </w:r>
      <w:bookmarkEnd w:id="2"/>
    </w:p>
    <w:p w14:paraId="3E5C2ACC" w14:textId="202F215E" w:rsidR="00655936" w:rsidRDefault="003623D9" w:rsidP="00993BBE">
      <w:pPr>
        <w:autoSpaceDE w:val="0"/>
        <w:autoSpaceDN w:val="0"/>
        <w:adjustRightInd w:val="0"/>
        <w:rPr>
          <w:rFonts w:eastAsiaTheme="minorHAnsi" w:cstheme="minorHAnsi"/>
          <w:color w:val="333333"/>
          <w:lang w:val="en-GB" w:eastAsia="en-US"/>
        </w:rPr>
      </w:pPr>
      <w:r w:rsidRPr="003623D9">
        <w:rPr>
          <w:rFonts w:eastAsiaTheme="minorHAnsi" w:cstheme="minorHAnsi"/>
          <w:color w:val="333333"/>
          <w:lang w:val="en-GB" w:eastAsia="en-US"/>
        </w:rPr>
        <w:t>This case study focuses on a long-term (10-year), cross-sector contract used to create a person-centred telehealth service that can adapt to changing opportunities and contexts (</w:t>
      </w:r>
      <w:proofErr w:type="spellStart"/>
      <w:r w:rsidRPr="003623D9">
        <w:rPr>
          <w:rFonts w:eastAsiaTheme="minorHAnsi" w:cstheme="minorHAnsi"/>
          <w:color w:val="333333"/>
          <w:lang w:val="en-GB" w:eastAsia="en-US"/>
        </w:rPr>
        <w:t>eg</w:t>
      </w:r>
      <w:proofErr w:type="spellEnd"/>
      <w:r w:rsidRPr="003623D9">
        <w:rPr>
          <w:rFonts w:eastAsiaTheme="minorHAnsi" w:cstheme="minorHAnsi"/>
          <w:color w:val="333333"/>
          <w:lang w:val="en-GB" w:eastAsia="en-US"/>
        </w:rPr>
        <w:t xml:space="preserve">, new technology, COVID-19). The length of this contract is unusual within government, and the case study looks at what was needed to support commissioning over an extended period of time, what benefits this approach has produced, and lessons for the future to support </w:t>
      </w:r>
      <w:proofErr w:type="spellStart"/>
      <w:r w:rsidRPr="003623D9">
        <w:rPr>
          <w:rFonts w:eastAsiaTheme="minorHAnsi" w:cstheme="minorHAnsi"/>
          <w:color w:val="333333"/>
          <w:lang w:val="en-GB" w:eastAsia="en-US"/>
        </w:rPr>
        <w:t>Manatū</w:t>
      </w:r>
      <w:proofErr w:type="spellEnd"/>
      <w:r w:rsidRPr="003623D9">
        <w:rPr>
          <w:rFonts w:eastAsiaTheme="minorHAnsi" w:cstheme="minorHAnsi"/>
          <w:color w:val="333333"/>
          <w:lang w:val="en-GB" w:eastAsia="en-US"/>
        </w:rPr>
        <w:t xml:space="preserve"> Hauora as the chief steward of the health and disability system.</w:t>
      </w:r>
    </w:p>
    <w:p w14:paraId="70E2B6F0" w14:textId="77777777" w:rsidR="00655936" w:rsidRDefault="00655936" w:rsidP="00655936">
      <w:pPr>
        <w:pStyle w:val="Heading1"/>
        <w:sectPr w:rsidR="00655936" w:rsidSect="00A27D16">
          <w:pgSz w:w="11901" w:h="16817"/>
          <w:pgMar w:top="1418" w:right="1701" w:bottom="1134" w:left="1843" w:header="709" w:footer="425" w:gutter="0"/>
          <w:pgNumType w:start="1"/>
          <w:cols w:space="708"/>
          <w:docGrid w:linePitch="360"/>
        </w:sectPr>
      </w:pPr>
    </w:p>
    <w:p w14:paraId="4491056E" w14:textId="27E3D4EF" w:rsidR="00655936" w:rsidRPr="00BF3F47" w:rsidRDefault="00993BBE" w:rsidP="00655936">
      <w:pPr>
        <w:pStyle w:val="Heading1"/>
        <w:spacing w:before="0"/>
      </w:pPr>
      <w:bookmarkStart w:id="3" w:name="_Toc124833148"/>
      <w:bookmarkStart w:id="4" w:name="_Toc122356149"/>
      <w:r w:rsidRPr="00993BBE">
        <w:lastRenderedPageBreak/>
        <w:t>Method</w:t>
      </w:r>
      <w:bookmarkEnd w:id="3"/>
      <w:r w:rsidRPr="00993BBE">
        <w:t xml:space="preserve"> </w:t>
      </w:r>
      <w:bookmarkEnd w:id="4"/>
    </w:p>
    <w:p w14:paraId="764947A6" w14:textId="1A04E36C" w:rsidR="003623D9" w:rsidRDefault="003623D9" w:rsidP="003623D9">
      <w:pPr>
        <w:rPr>
          <w:rFonts w:cstheme="minorHAnsi"/>
        </w:rPr>
      </w:pPr>
      <w:r w:rsidRPr="002F3624">
        <w:rPr>
          <w:rFonts w:cstheme="minorHAnsi"/>
        </w:rPr>
        <w:t>This case study is based on information from the Ministry’s National Telehealth Service website and interviews with Ministry staff who have knowledge of this service and its evolution.</w:t>
      </w:r>
      <w:r w:rsidRPr="002F3624">
        <w:rPr>
          <w:rStyle w:val="FootnoteReference"/>
          <w:rFonts w:cstheme="minorHAnsi"/>
        </w:rPr>
        <w:footnoteReference w:id="2"/>
      </w:r>
    </w:p>
    <w:p w14:paraId="4895791B" w14:textId="2953D69A" w:rsidR="003623D9" w:rsidRDefault="003623D9" w:rsidP="003623D9">
      <w:pPr>
        <w:rPr>
          <w:rFonts w:cstheme="minorHAnsi"/>
        </w:rPr>
      </w:pPr>
    </w:p>
    <w:p w14:paraId="3FD10381" w14:textId="77777777" w:rsidR="003623D9" w:rsidRDefault="003623D9" w:rsidP="003623D9">
      <w:pPr>
        <w:pStyle w:val="Heading1"/>
        <w:sectPr w:rsidR="003623D9" w:rsidSect="00A27D16">
          <w:pgSz w:w="11901" w:h="16817"/>
          <w:pgMar w:top="1418" w:right="1701" w:bottom="1134" w:left="1843" w:header="709" w:footer="425" w:gutter="0"/>
          <w:cols w:space="708"/>
          <w:docGrid w:linePitch="360"/>
        </w:sectPr>
      </w:pPr>
    </w:p>
    <w:p w14:paraId="4E17711D" w14:textId="3F97DB9E" w:rsidR="003623D9" w:rsidRPr="002F3624" w:rsidRDefault="003623D9" w:rsidP="003623D9">
      <w:pPr>
        <w:pStyle w:val="Heading1"/>
        <w:spacing w:before="0"/>
      </w:pPr>
      <w:bookmarkStart w:id="5" w:name="_Toc124833149"/>
      <w:r w:rsidRPr="002F3624">
        <w:lastRenderedPageBreak/>
        <w:t>What is a telehealth service?</w:t>
      </w:r>
      <w:bookmarkEnd w:id="5"/>
    </w:p>
    <w:p w14:paraId="745B45E4" w14:textId="77777777" w:rsidR="003623D9" w:rsidRPr="002F3624" w:rsidRDefault="003623D9" w:rsidP="003623D9">
      <w:r>
        <w:t>A t</w:t>
      </w:r>
      <w:r w:rsidRPr="002F3624">
        <w:t>elehealth service</w:t>
      </w:r>
      <w:r>
        <w:t xml:space="preserve"> is a</w:t>
      </w:r>
      <w:r w:rsidRPr="002F3624">
        <w:t xml:space="preserve"> telephone</w:t>
      </w:r>
      <w:r>
        <w:t>-</w:t>
      </w:r>
      <w:r w:rsidRPr="002F3624">
        <w:t xml:space="preserve"> and web-based service that allow</w:t>
      </w:r>
      <w:r>
        <w:t>s</w:t>
      </w:r>
      <w:r w:rsidRPr="002F3624">
        <w:t xml:space="preserve"> a person in the community or at home to receive prompt triage, health advice and care via the phone, internet or other digital means of communication. </w:t>
      </w:r>
    </w:p>
    <w:p w14:paraId="08946553" w14:textId="77777777" w:rsidR="003623D9" w:rsidRDefault="003623D9" w:rsidP="003623D9">
      <w:pPr>
        <w:pStyle w:val="Heading1"/>
        <w:sectPr w:rsidR="003623D9" w:rsidSect="00A27D16">
          <w:pgSz w:w="11901" w:h="16817"/>
          <w:pgMar w:top="1418" w:right="1701" w:bottom="1134" w:left="1843" w:header="709" w:footer="425" w:gutter="0"/>
          <w:cols w:space="708"/>
          <w:docGrid w:linePitch="360"/>
        </w:sectPr>
      </w:pPr>
    </w:p>
    <w:p w14:paraId="6C952C4B" w14:textId="2F23B99C" w:rsidR="003623D9" w:rsidRPr="002F3624" w:rsidRDefault="003623D9" w:rsidP="003623D9">
      <w:pPr>
        <w:pStyle w:val="Heading1"/>
        <w:spacing w:before="0"/>
      </w:pPr>
      <w:bookmarkStart w:id="6" w:name="_Toc124833150"/>
      <w:r w:rsidRPr="002F3624">
        <w:lastRenderedPageBreak/>
        <w:t>Why a 10-year contract was developed</w:t>
      </w:r>
      <w:bookmarkEnd w:id="6"/>
    </w:p>
    <w:p w14:paraId="31D12BD0" w14:textId="3FFFD7DA" w:rsidR="003623D9" w:rsidRDefault="003623D9" w:rsidP="003623D9">
      <w:r w:rsidRPr="002F3624">
        <w:t>A 2013 Cabinet paper</w:t>
      </w:r>
      <w:r w:rsidRPr="002F3624">
        <w:rPr>
          <w:rStyle w:val="FootnoteReference"/>
          <w:rFonts w:cstheme="minorHAnsi"/>
        </w:rPr>
        <w:footnoteReference w:id="3"/>
      </w:r>
      <w:r w:rsidRPr="002F3624">
        <w:t xml:space="preserve"> noted </w:t>
      </w:r>
      <w:r>
        <w:t>that</w:t>
      </w:r>
      <w:r w:rsidRPr="002F3624">
        <w:t xml:space="preserve"> having multiple telehealth services</w:t>
      </w:r>
      <w:r>
        <w:t xml:space="preserve"> was an issue for the health sector</w:t>
      </w:r>
      <w:r w:rsidRPr="002F3624">
        <w:t xml:space="preserve">. A fragmented telehealth service reduced the ability to capture patient health information in a way that worked for people, clinicians and providers. </w:t>
      </w:r>
    </w:p>
    <w:p w14:paraId="55089099" w14:textId="77777777" w:rsidR="003623D9" w:rsidRPr="002F3624" w:rsidRDefault="003623D9" w:rsidP="003623D9"/>
    <w:p w14:paraId="408A9A10" w14:textId="44A02595" w:rsidR="003623D9" w:rsidRDefault="003623D9" w:rsidP="003623D9">
      <w:r w:rsidRPr="002F3624">
        <w:t xml:space="preserve">The initial telehealth service allowed for single issues to be recorded but was not set up to capture co-morbidities or issues of concern. It was not possible to record and track multiple referral pathways through the system. The fragmented system also created gaps and duplications in patient information. </w:t>
      </w:r>
    </w:p>
    <w:p w14:paraId="4ECEA377" w14:textId="77777777" w:rsidR="003623D9" w:rsidRPr="002F3624" w:rsidRDefault="003623D9" w:rsidP="003623D9"/>
    <w:p w14:paraId="204526F0" w14:textId="77777777" w:rsidR="003623D9" w:rsidRPr="002F3624" w:rsidRDefault="003623D9" w:rsidP="003623D9">
      <w:pPr>
        <w:rPr>
          <w:b/>
          <w:bCs/>
        </w:rPr>
      </w:pPr>
      <w:r w:rsidRPr="002F3624">
        <w:t xml:space="preserve">Cabinet agreed to the recommendation of a consolidated service model that could more efficiently manage large information flows, identify priority clients and create greater public awareness through a single point of contact for the funder. </w:t>
      </w:r>
    </w:p>
    <w:p w14:paraId="0CF54709" w14:textId="77777777" w:rsidR="003623D9" w:rsidRDefault="003623D9" w:rsidP="003623D9">
      <w:pPr>
        <w:pStyle w:val="Heading1"/>
        <w:sectPr w:rsidR="003623D9" w:rsidSect="00A27D16">
          <w:pgSz w:w="11901" w:h="16817"/>
          <w:pgMar w:top="1418" w:right="1701" w:bottom="1134" w:left="1843" w:header="709" w:footer="425" w:gutter="0"/>
          <w:cols w:space="708"/>
          <w:docGrid w:linePitch="360"/>
        </w:sectPr>
      </w:pPr>
    </w:p>
    <w:p w14:paraId="17F397D6" w14:textId="6861DA01" w:rsidR="003623D9" w:rsidRPr="002F3624" w:rsidRDefault="003623D9" w:rsidP="003623D9">
      <w:pPr>
        <w:pStyle w:val="Heading1"/>
        <w:spacing w:before="0"/>
      </w:pPr>
      <w:bookmarkStart w:id="7" w:name="_Toc124833151"/>
      <w:r w:rsidRPr="002F3624">
        <w:lastRenderedPageBreak/>
        <w:t>Developing a national telehealth service</w:t>
      </w:r>
      <w:bookmarkEnd w:id="7"/>
    </w:p>
    <w:p w14:paraId="7714ADA1" w14:textId="38B2E29C" w:rsidR="003623D9" w:rsidRDefault="003623D9" w:rsidP="003623D9">
      <w:pPr>
        <w:rPr>
          <w:rStyle w:val="A8"/>
          <w:rFonts w:cstheme="minorHAnsi"/>
          <w:sz w:val="22"/>
          <w:szCs w:val="22"/>
        </w:rPr>
      </w:pPr>
      <w:proofErr w:type="spellStart"/>
      <w:r w:rsidRPr="002F3624">
        <w:t>Manatū</w:t>
      </w:r>
      <w:proofErr w:type="spellEnd"/>
      <w:r w:rsidRPr="002F3624">
        <w:t xml:space="preserve"> Hauora commissioned a new national telehealth service to better enable service users to find the right information or access to care, no matter what ‘front door’ they used. </w:t>
      </w:r>
      <w:r w:rsidRPr="002F3624">
        <w:rPr>
          <w:rStyle w:val="A8"/>
          <w:rFonts w:cstheme="minorHAnsi"/>
          <w:sz w:val="22"/>
          <w:szCs w:val="22"/>
        </w:rPr>
        <w:t>In November 2015, the Ministry partnered with a social enterprise (</w:t>
      </w:r>
      <w:proofErr w:type="spellStart"/>
      <w:r w:rsidRPr="002F3624">
        <w:rPr>
          <w:rStyle w:val="A8"/>
          <w:rFonts w:cstheme="minorHAnsi"/>
          <w:sz w:val="22"/>
          <w:szCs w:val="22"/>
        </w:rPr>
        <w:t>Whakarongorau</w:t>
      </w:r>
      <w:proofErr w:type="spellEnd"/>
      <w:r w:rsidRPr="002F3624">
        <w:rPr>
          <w:rStyle w:val="A8"/>
          <w:rFonts w:cstheme="minorHAnsi"/>
          <w:sz w:val="22"/>
          <w:szCs w:val="22"/>
        </w:rPr>
        <w:t xml:space="preserve"> Aotearoa – National Telehealth Services</w:t>
      </w:r>
      <w:r w:rsidRPr="002F3624">
        <w:rPr>
          <w:rStyle w:val="FootnoteReference"/>
          <w:rFonts w:cstheme="minorHAnsi"/>
          <w:color w:val="323232"/>
        </w:rPr>
        <w:footnoteReference w:id="4"/>
      </w:r>
      <w:r w:rsidRPr="002F3624">
        <w:rPr>
          <w:rStyle w:val="A8"/>
          <w:rFonts w:cstheme="minorHAnsi"/>
          <w:sz w:val="22"/>
          <w:szCs w:val="22"/>
        </w:rPr>
        <w:t>) to develop and deliver the integrated telehealth service for Aotearoa New Zealand.</w:t>
      </w:r>
    </w:p>
    <w:p w14:paraId="41AC594E" w14:textId="77777777" w:rsidR="003623D9" w:rsidRPr="002F3624" w:rsidRDefault="003623D9" w:rsidP="003623D9"/>
    <w:p w14:paraId="6F55DEDD" w14:textId="77777777" w:rsidR="003623D9" w:rsidRPr="002F3624" w:rsidRDefault="003623D9" w:rsidP="003623D9">
      <w:pPr>
        <w:rPr>
          <w:rStyle w:val="A8"/>
          <w:rFonts w:cstheme="minorHAnsi"/>
          <w:sz w:val="22"/>
          <w:szCs w:val="22"/>
        </w:rPr>
      </w:pPr>
      <w:r w:rsidRPr="002F3624">
        <w:rPr>
          <w:rStyle w:val="A8"/>
          <w:rFonts w:cstheme="minorHAnsi"/>
          <w:sz w:val="22"/>
          <w:szCs w:val="22"/>
        </w:rPr>
        <w:t>The National Telehealth Service (NTS) provides the New Zealand public with access to free health, mental and social support and information, 24</w:t>
      </w:r>
      <w:r>
        <w:rPr>
          <w:rStyle w:val="A8"/>
          <w:rFonts w:cstheme="minorHAnsi"/>
          <w:sz w:val="22"/>
          <w:szCs w:val="22"/>
        </w:rPr>
        <w:t xml:space="preserve"> </w:t>
      </w:r>
      <w:r w:rsidRPr="002F3624">
        <w:rPr>
          <w:rStyle w:val="A8"/>
          <w:rFonts w:cstheme="minorHAnsi"/>
          <w:sz w:val="22"/>
          <w:szCs w:val="22"/>
        </w:rPr>
        <w:t xml:space="preserve">hours a day, seven days a week, across seven digital channels, including voice, webchat and text. </w:t>
      </w:r>
    </w:p>
    <w:p w14:paraId="4C53BB59" w14:textId="77777777" w:rsidR="003623D9" w:rsidRPr="002F3624" w:rsidRDefault="003623D9" w:rsidP="003623D9">
      <w:r w:rsidRPr="002F3624">
        <w:t>The contract is co-funded by:</w:t>
      </w:r>
    </w:p>
    <w:p w14:paraId="434710EF" w14:textId="77777777" w:rsidR="003623D9" w:rsidRPr="002F3624" w:rsidRDefault="003623D9" w:rsidP="003623D9">
      <w:pPr>
        <w:pStyle w:val="Bullet"/>
        <w:rPr>
          <w:rStyle w:val="A8"/>
          <w:rFonts w:cstheme="minorHAnsi"/>
          <w:sz w:val="22"/>
          <w:szCs w:val="22"/>
        </w:rPr>
      </w:pPr>
      <w:proofErr w:type="spellStart"/>
      <w:r w:rsidRPr="002F3624">
        <w:rPr>
          <w:rStyle w:val="A8"/>
          <w:rFonts w:cstheme="minorHAnsi"/>
          <w:sz w:val="22"/>
          <w:szCs w:val="22"/>
        </w:rPr>
        <w:t>Manatū</w:t>
      </w:r>
      <w:proofErr w:type="spellEnd"/>
      <w:r w:rsidRPr="002F3624">
        <w:rPr>
          <w:rStyle w:val="A8"/>
          <w:rFonts w:cstheme="minorHAnsi"/>
          <w:sz w:val="22"/>
          <w:szCs w:val="22"/>
        </w:rPr>
        <w:t xml:space="preserve"> Hauora </w:t>
      </w:r>
    </w:p>
    <w:p w14:paraId="1861853B" w14:textId="77777777" w:rsidR="003623D9" w:rsidRPr="002F3624" w:rsidRDefault="003623D9" w:rsidP="003623D9">
      <w:pPr>
        <w:pStyle w:val="Bullet"/>
        <w:rPr>
          <w:rStyle w:val="A8"/>
          <w:rFonts w:cstheme="minorHAnsi"/>
          <w:sz w:val="22"/>
          <w:szCs w:val="22"/>
        </w:rPr>
      </w:pPr>
      <w:r w:rsidRPr="002F3624">
        <w:rPr>
          <w:rStyle w:val="A8"/>
          <w:rFonts w:cstheme="minorHAnsi"/>
          <w:sz w:val="22"/>
          <w:szCs w:val="22"/>
        </w:rPr>
        <w:t>Accident Compensation Corporation</w:t>
      </w:r>
    </w:p>
    <w:p w14:paraId="7040EB31" w14:textId="77777777" w:rsidR="003623D9" w:rsidRPr="002F3624" w:rsidRDefault="003623D9" w:rsidP="003623D9">
      <w:pPr>
        <w:pStyle w:val="Bullet"/>
        <w:rPr>
          <w:rStyle w:val="A8"/>
          <w:rFonts w:cstheme="minorBidi"/>
          <w:sz w:val="22"/>
          <w:szCs w:val="22"/>
        </w:rPr>
      </w:pPr>
      <w:proofErr w:type="spellStart"/>
      <w:r w:rsidRPr="002F3624">
        <w:rPr>
          <w:rStyle w:val="A8"/>
          <w:rFonts w:cstheme="minorBidi"/>
          <w:sz w:val="22"/>
          <w:szCs w:val="22"/>
        </w:rPr>
        <w:t>Te</w:t>
      </w:r>
      <w:proofErr w:type="spellEnd"/>
      <w:r w:rsidRPr="002F3624">
        <w:rPr>
          <w:rStyle w:val="A8"/>
          <w:rFonts w:cstheme="minorBidi"/>
          <w:sz w:val="22"/>
          <w:szCs w:val="22"/>
        </w:rPr>
        <w:t xml:space="preserve"> </w:t>
      </w:r>
      <w:proofErr w:type="spellStart"/>
      <w:r w:rsidRPr="002F3624">
        <w:rPr>
          <w:rStyle w:val="A8"/>
          <w:rFonts w:cstheme="minorBidi"/>
          <w:sz w:val="22"/>
          <w:szCs w:val="22"/>
        </w:rPr>
        <w:t>Hiringa</w:t>
      </w:r>
      <w:proofErr w:type="spellEnd"/>
      <w:r w:rsidRPr="002F3624">
        <w:rPr>
          <w:rStyle w:val="A8"/>
          <w:rFonts w:cstheme="minorBidi"/>
          <w:sz w:val="22"/>
          <w:szCs w:val="22"/>
        </w:rPr>
        <w:t xml:space="preserve"> Hauora/Health Promotion Agency (now part of </w:t>
      </w:r>
      <w:proofErr w:type="spellStart"/>
      <w:r w:rsidRPr="002F3624">
        <w:rPr>
          <w:rStyle w:val="A8"/>
          <w:rFonts w:cstheme="minorBidi"/>
          <w:sz w:val="22"/>
          <w:szCs w:val="22"/>
        </w:rPr>
        <w:t>Te</w:t>
      </w:r>
      <w:proofErr w:type="spellEnd"/>
      <w:r w:rsidRPr="002F3624">
        <w:rPr>
          <w:rStyle w:val="A8"/>
          <w:rFonts w:cstheme="minorBidi"/>
          <w:sz w:val="22"/>
          <w:szCs w:val="22"/>
        </w:rPr>
        <w:t xml:space="preserve"> </w:t>
      </w:r>
      <w:proofErr w:type="spellStart"/>
      <w:r w:rsidRPr="002F3624">
        <w:rPr>
          <w:rStyle w:val="A8"/>
          <w:rFonts w:cstheme="minorBidi"/>
          <w:sz w:val="22"/>
          <w:szCs w:val="22"/>
        </w:rPr>
        <w:t>Whatu</w:t>
      </w:r>
      <w:proofErr w:type="spellEnd"/>
      <w:r w:rsidRPr="002F3624">
        <w:rPr>
          <w:rStyle w:val="A8"/>
          <w:rFonts w:cstheme="minorBidi"/>
          <w:sz w:val="22"/>
          <w:szCs w:val="22"/>
        </w:rPr>
        <w:t xml:space="preserve"> Ora)</w:t>
      </w:r>
    </w:p>
    <w:p w14:paraId="058BB0F0" w14:textId="77777777" w:rsidR="003623D9" w:rsidRPr="002F3624" w:rsidRDefault="003623D9" w:rsidP="003623D9">
      <w:pPr>
        <w:pStyle w:val="Bullet"/>
        <w:rPr>
          <w:rStyle w:val="A8"/>
          <w:rFonts w:cstheme="minorHAnsi"/>
          <w:sz w:val="22"/>
          <w:szCs w:val="22"/>
        </w:rPr>
      </w:pPr>
      <w:r w:rsidRPr="002F3624">
        <w:rPr>
          <w:rStyle w:val="A8"/>
          <w:rFonts w:cstheme="minorHAnsi"/>
          <w:sz w:val="22"/>
          <w:szCs w:val="22"/>
        </w:rPr>
        <w:t>Ministry of Social Development</w:t>
      </w:r>
    </w:p>
    <w:p w14:paraId="5B0F9DA9" w14:textId="77777777" w:rsidR="003623D9" w:rsidRPr="002F3624" w:rsidRDefault="003623D9" w:rsidP="003623D9">
      <w:pPr>
        <w:pStyle w:val="Bullet"/>
      </w:pPr>
      <w:r w:rsidRPr="002F3624">
        <w:rPr>
          <w:rStyle w:val="A8"/>
          <w:rFonts w:cstheme="minorHAnsi"/>
          <w:sz w:val="22"/>
          <w:szCs w:val="22"/>
        </w:rPr>
        <w:t>Department of Corrections.</w:t>
      </w:r>
    </w:p>
    <w:p w14:paraId="4EDF17BB" w14:textId="77777777" w:rsidR="003623D9" w:rsidRDefault="003623D9" w:rsidP="003623D9">
      <w:pPr>
        <w:rPr>
          <w:rStyle w:val="A8"/>
          <w:rFonts w:cstheme="minorHAnsi"/>
          <w:sz w:val="22"/>
          <w:szCs w:val="22"/>
        </w:rPr>
      </w:pPr>
    </w:p>
    <w:p w14:paraId="01203843" w14:textId="0BEAEEFD" w:rsidR="003623D9" w:rsidRPr="002F3624" w:rsidRDefault="003623D9" w:rsidP="003623D9">
      <w:pPr>
        <w:rPr>
          <w:rStyle w:val="A8"/>
          <w:rFonts w:cstheme="minorHAnsi"/>
          <w:sz w:val="22"/>
          <w:szCs w:val="22"/>
        </w:rPr>
      </w:pPr>
      <w:r w:rsidRPr="002F3624">
        <w:rPr>
          <w:rStyle w:val="A8"/>
          <w:rFonts w:cstheme="minorHAnsi"/>
          <w:sz w:val="22"/>
          <w:szCs w:val="22"/>
        </w:rPr>
        <w:t xml:space="preserve">The contract is overseen by a Service Improvement Board, with a representative from each of the partner agencies (except Corrections). </w:t>
      </w:r>
    </w:p>
    <w:p w14:paraId="561BDA43" w14:textId="77777777" w:rsidR="003623D9" w:rsidRDefault="003623D9" w:rsidP="003623D9">
      <w:pPr>
        <w:pStyle w:val="Heading1"/>
        <w:sectPr w:rsidR="003623D9" w:rsidSect="00A27D16">
          <w:pgSz w:w="11901" w:h="16817"/>
          <w:pgMar w:top="1418" w:right="1701" w:bottom="1134" w:left="1843" w:header="709" w:footer="425" w:gutter="0"/>
          <w:cols w:space="708"/>
          <w:docGrid w:linePitch="360"/>
        </w:sectPr>
      </w:pPr>
    </w:p>
    <w:p w14:paraId="4C1B09FA" w14:textId="5F9E4722" w:rsidR="003623D9" w:rsidRPr="00C23421" w:rsidRDefault="003623D9" w:rsidP="003623D9">
      <w:pPr>
        <w:pStyle w:val="Heading1"/>
        <w:spacing w:before="0"/>
      </w:pPr>
      <w:bookmarkStart w:id="8" w:name="_Toc124833152"/>
      <w:r w:rsidRPr="00C23421">
        <w:lastRenderedPageBreak/>
        <w:t>National Telehealth Service vision</w:t>
      </w:r>
      <w:bookmarkEnd w:id="8"/>
    </w:p>
    <w:p w14:paraId="445A9908" w14:textId="77777777" w:rsidR="003623D9" w:rsidRPr="002F3624" w:rsidRDefault="003623D9" w:rsidP="003623D9">
      <w:pPr>
        <w:rPr>
          <w:rStyle w:val="A8"/>
          <w:rFonts w:cstheme="minorHAnsi"/>
          <w:sz w:val="22"/>
          <w:szCs w:val="22"/>
        </w:rPr>
      </w:pPr>
      <w:r w:rsidRPr="002F3624">
        <w:rPr>
          <w:rStyle w:val="A8"/>
          <w:rFonts w:cstheme="minorHAnsi"/>
          <w:sz w:val="22"/>
          <w:szCs w:val="22"/>
        </w:rPr>
        <w:t>The NTS vision is to:</w:t>
      </w:r>
    </w:p>
    <w:p w14:paraId="19B34EC4" w14:textId="77777777" w:rsidR="003623D9" w:rsidRPr="0050452D" w:rsidRDefault="003623D9" w:rsidP="0050452D">
      <w:pPr>
        <w:rPr>
          <w:rStyle w:val="A8"/>
          <w:rFonts w:cstheme="minorHAnsi"/>
          <w:sz w:val="22"/>
          <w:szCs w:val="22"/>
        </w:rPr>
      </w:pPr>
    </w:p>
    <w:p w14:paraId="62ADABB5" w14:textId="03E8EC06" w:rsidR="003623D9" w:rsidRPr="003623D9" w:rsidRDefault="003623D9" w:rsidP="003623D9">
      <w:pPr>
        <w:ind w:left="567"/>
        <w:rPr>
          <w:rStyle w:val="A8"/>
          <w:rFonts w:cstheme="minorHAnsi"/>
          <w:i/>
          <w:iCs/>
          <w:sz w:val="22"/>
          <w:szCs w:val="22"/>
        </w:rPr>
      </w:pPr>
      <w:r w:rsidRPr="003623D9">
        <w:rPr>
          <w:rStyle w:val="A8"/>
          <w:rFonts w:cstheme="minorHAnsi"/>
          <w:i/>
          <w:iCs/>
          <w:sz w:val="22"/>
          <w:szCs w:val="22"/>
        </w:rPr>
        <w:t>Deliver care, support, and advice to people in New Zealand to positively impact and improve their wellbeing and health outcomes through phone and digital channels.</w:t>
      </w:r>
    </w:p>
    <w:p w14:paraId="78E9C7D6" w14:textId="77777777" w:rsidR="003623D9" w:rsidRDefault="003623D9" w:rsidP="003623D9"/>
    <w:p w14:paraId="3BA13CDC" w14:textId="0EE16B9B" w:rsidR="003623D9" w:rsidRPr="002F3624" w:rsidRDefault="003623D9" w:rsidP="003623D9">
      <w:r w:rsidRPr="002F3624">
        <w:t>This is achieved through:</w:t>
      </w:r>
    </w:p>
    <w:p w14:paraId="33A8924C" w14:textId="77777777" w:rsidR="003623D9" w:rsidRPr="002F3624" w:rsidRDefault="003623D9" w:rsidP="003623D9">
      <w:pPr>
        <w:pStyle w:val="Bullet"/>
      </w:pPr>
      <w:r w:rsidRPr="002F3624">
        <w:t>enabling consumers to access reliable and consistent advice on health care</w:t>
      </w:r>
    </w:p>
    <w:p w14:paraId="6501474C" w14:textId="77777777" w:rsidR="003623D9" w:rsidRPr="002F3624" w:rsidRDefault="003623D9" w:rsidP="003623D9">
      <w:pPr>
        <w:pStyle w:val="Bullet"/>
      </w:pPr>
      <w:r w:rsidRPr="002F3624">
        <w:t>recording patient information confidentially</w:t>
      </w:r>
    </w:p>
    <w:p w14:paraId="7D1918B4" w14:textId="77777777" w:rsidR="003623D9" w:rsidRPr="002F3624" w:rsidRDefault="003623D9" w:rsidP="003623D9">
      <w:pPr>
        <w:pStyle w:val="Bullet"/>
      </w:pPr>
      <w:r w:rsidRPr="002F3624">
        <w:t xml:space="preserve">facilitating clinicians and providers to deliver the right care at the right time </w:t>
      </w:r>
    </w:p>
    <w:p w14:paraId="46D5B963" w14:textId="77777777" w:rsidR="003623D9" w:rsidRPr="002F3624" w:rsidRDefault="003623D9" w:rsidP="003623D9">
      <w:pPr>
        <w:pStyle w:val="Bullet"/>
      </w:pPr>
      <w:r w:rsidRPr="002F3624">
        <w:t>reducing avoidable demand on health care services, through improved self-management and more timely access to the preventative treatments</w:t>
      </w:r>
    </w:p>
    <w:p w14:paraId="1035D885" w14:textId="77777777" w:rsidR="003623D9" w:rsidRPr="002F3624" w:rsidRDefault="003623D9" w:rsidP="003623D9">
      <w:pPr>
        <w:pStyle w:val="Bullet"/>
      </w:pPr>
      <w:r w:rsidRPr="002F3624">
        <w:t>increasing cost-effectiveness in the health care sector</w:t>
      </w:r>
    </w:p>
    <w:p w14:paraId="7CC019B7" w14:textId="77777777" w:rsidR="003623D9" w:rsidRPr="002F3624" w:rsidRDefault="003623D9" w:rsidP="003623D9">
      <w:pPr>
        <w:pStyle w:val="Bullet"/>
      </w:pPr>
      <w:r w:rsidRPr="002F3624">
        <w:t>having the flexibility to adapt and develop over time to meet the changing needs of users and technology.</w:t>
      </w:r>
    </w:p>
    <w:p w14:paraId="2A666EE8" w14:textId="77777777" w:rsidR="003623D9" w:rsidRDefault="003623D9" w:rsidP="003623D9"/>
    <w:p w14:paraId="70A7728B" w14:textId="3BA4553A" w:rsidR="003623D9" w:rsidRPr="002F3624" w:rsidRDefault="003623D9" w:rsidP="003623D9">
      <w:r w:rsidRPr="002F3624">
        <w:t xml:space="preserve">The services NTS offers range across addiction support, emergency support, general nursing, mental health support and specialist support (refer to Appendix </w:t>
      </w:r>
      <w:r>
        <w:t>1</w:t>
      </w:r>
      <w:r w:rsidRPr="002F3624">
        <w:t xml:space="preserve"> for more details).</w:t>
      </w:r>
    </w:p>
    <w:p w14:paraId="08C1D772" w14:textId="77777777" w:rsidR="003623D9" w:rsidRDefault="003623D9" w:rsidP="003623D9">
      <w:pPr>
        <w:pStyle w:val="Heading1"/>
        <w:sectPr w:rsidR="003623D9" w:rsidSect="00A27D16">
          <w:pgSz w:w="11901" w:h="16817"/>
          <w:pgMar w:top="1418" w:right="1701" w:bottom="1134" w:left="1843" w:header="709" w:footer="425" w:gutter="0"/>
          <w:cols w:space="708"/>
          <w:docGrid w:linePitch="360"/>
        </w:sectPr>
      </w:pPr>
    </w:p>
    <w:p w14:paraId="62E24271" w14:textId="36B99625" w:rsidR="003623D9" w:rsidRPr="002F3624" w:rsidRDefault="003623D9" w:rsidP="003623D9">
      <w:pPr>
        <w:pStyle w:val="Heading1"/>
        <w:spacing w:before="0"/>
      </w:pPr>
      <w:bookmarkStart w:id="9" w:name="_Toc124833153"/>
      <w:r w:rsidRPr="002F3624">
        <w:lastRenderedPageBreak/>
        <w:t>Describing the commissioning cycle</w:t>
      </w:r>
      <w:bookmarkEnd w:id="9"/>
    </w:p>
    <w:p w14:paraId="1D1BE44F" w14:textId="77777777" w:rsidR="003623D9" w:rsidRPr="002F3624" w:rsidRDefault="003623D9" w:rsidP="003623D9">
      <w:pPr>
        <w:pStyle w:val="Heading2"/>
      </w:pPr>
      <w:bookmarkStart w:id="10" w:name="_Toc124833154"/>
      <w:r w:rsidRPr="002F3624">
        <w:t>Designing the service: active procurement</w:t>
      </w:r>
      <w:bookmarkEnd w:id="10"/>
    </w:p>
    <w:p w14:paraId="52127CD2" w14:textId="0F72E744" w:rsidR="003623D9" w:rsidRDefault="003623D9" w:rsidP="003623D9">
      <w:r w:rsidRPr="002F3624">
        <w:t xml:space="preserve">The integrated service model followed the </w:t>
      </w:r>
      <w:r>
        <w:t>Ministry of Business, Innovation and Employment’s</w:t>
      </w:r>
      <w:r w:rsidRPr="002F3624">
        <w:t xml:space="preserve"> active procurement guidelines at the time to allow a co-design process between </w:t>
      </w:r>
      <w:proofErr w:type="spellStart"/>
      <w:r w:rsidRPr="002F3624">
        <w:t>Manatū</w:t>
      </w:r>
      <w:proofErr w:type="spellEnd"/>
      <w:r w:rsidRPr="002F3624">
        <w:t xml:space="preserve"> Hauora and the sector. A five-day workshop was held where interested parties provided their views on how a shared technology platform and a new way of commissioning telehealth services would work in practice. </w:t>
      </w:r>
    </w:p>
    <w:p w14:paraId="461ECDAE" w14:textId="77777777" w:rsidR="003623D9" w:rsidRPr="002F3624" w:rsidRDefault="003623D9" w:rsidP="003623D9"/>
    <w:p w14:paraId="2A4B6120" w14:textId="26C56BF9" w:rsidR="003623D9" w:rsidRDefault="003623D9" w:rsidP="003623D9">
      <w:r w:rsidRPr="002F3624">
        <w:t xml:space="preserve">The Ministry understood the problem and had a vision for the desired outcomes. </w:t>
      </w:r>
      <w:r>
        <w:t xml:space="preserve">It needed to involve the telehealth services sector to develop </w:t>
      </w:r>
      <w:r w:rsidRPr="002F3624">
        <w:t xml:space="preserve">and deliver the technology platform. A basic model for the new service was co-designed with the participants, and then the procurement process began by going to market, which needed to be robust given the length of the intended contract. </w:t>
      </w:r>
    </w:p>
    <w:p w14:paraId="7ECBE82D" w14:textId="77777777" w:rsidR="003623D9" w:rsidRPr="002F3624" w:rsidRDefault="003623D9" w:rsidP="003623D9"/>
    <w:p w14:paraId="28D9E47D" w14:textId="77777777" w:rsidR="003623D9" w:rsidRPr="002F3624" w:rsidRDefault="003623D9" w:rsidP="003623D9">
      <w:r w:rsidRPr="002F3624">
        <w:t xml:space="preserve">Previously, the Ministry had commissioned stand-alone contracts for telehealth services </w:t>
      </w:r>
      <w:r>
        <w:t>that</w:t>
      </w:r>
      <w:r w:rsidRPr="002F3624">
        <w:t xml:space="preserve"> were delivered by providers (including </w:t>
      </w:r>
      <w:r>
        <w:t>non-governmental organisation</w:t>
      </w:r>
      <w:r w:rsidRPr="002F3624">
        <w:t>s). Bringing the services under one umbrella model required the bidders to be able to stand up a suitable technology platform with the ability for ongoing upgrades and investment.</w:t>
      </w:r>
    </w:p>
    <w:p w14:paraId="4A1F5D69" w14:textId="77777777" w:rsidR="003623D9" w:rsidRPr="002F3624" w:rsidRDefault="003623D9" w:rsidP="003623D9">
      <w:pPr>
        <w:pStyle w:val="Heading2"/>
      </w:pPr>
      <w:bookmarkStart w:id="11" w:name="_Toc124833155"/>
      <w:r w:rsidRPr="002F3624">
        <w:t>Developing relationships together</w:t>
      </w:r>
      <w:bookmarkEnd w:id="11"/>
      <w:r w:rsidRPr="002F3624">
        <w:t xml:space="preserve"> </w:t>
      </w:r>
    </w:p>
    <w:p w14:paraId="304F625B" w14:textId="2273459C" w:rsidR="003623D9" w:rsidRDefault="003623D9" w:rsidP="003623D9">
      <w:r w:rsidRPr="002F3624">
        <w:t>The bidders went through an intensive, confidential engagement process with the Ministry team (known as competitive dialogue). Whole</w:t>
      </w:r>
      <w:r>
        <w:t>-</w:t>
      </w:r>
      <w:r w:rsidRPr="002F3624">
        <w:t>day sessions were held on key topics (</w:t>
      </w:r>
      <w:proofErr w:type="spellStart"/>
      <w:r w:rsidRPr="002F3624">
        <w:t>eg</w:t>
      </w:r>
      <w:proofErr w:type="spellEnd"/>
      <w:r w:rsidRPr="002F3624">
        <w:t>, mental health and addiction services, poisons care) so each bidder could pitch their vision for operationalising the new service. To ensure transparency and fairness throughout the process, the Ministry and bidders had access to probity advisors.</w:t>
      </w:r>
    </w:p>
    <w:p w14:paraId="3B423C9A" w14:textId="77777777" w:rsidR="004D3A74" w:rsidRPr="002F3624" w:rsidRDefault="004D3A74" w:rsidP="003623D9"/>
    <w:p w14:paraId="707D1565" w14:textId="77777777" w:rsidR="003623D9" w:rsidRPr="002F3624" w:rsidRDefault="003623D9" w:rsidP="003623D9">
      <w:r w:rsidRPr="002F3624">
        <w:t xml:space="preserve">While this took place, the Ministry learned about the values and attitudes of each bidder and explored how well they might work together. This insight was important as it set the stage for the kind of relationship the Ministry wanted with </w:t>
      </w:r>
      <w:r>
        <w:t>its</w:t>
      </w:r>
      <w:r w:rsidRPr="002F3624">
        <w:t xml:space="preserve"> chosen candidate going forward – transparent and accountable with room to challenge each other. Of the three entities that bid for the contract, Homecare Medical made the most compelling case.</w:t>
      </w:r>
      <w:r w:rsidRPr="002F3624">
        <w:rPr>
          <w:rStyle w:val="FootnoteReference"/>
          <w:rFonts w:cstheme="minorHAnsi"/>
        </w:rPr>
        <w:footnoteReference w:id="5"/>
      </w:r>
      <w:r w:rsidRPr="002F3624">
        <w:t xml:space="preserve"> </w:t>
      </w:r>
    </w:p>
    <w:p w14:paraId="09AAC9D1" w14:textId="77777777" w:rsidR="003623D9" w:rsidRPr="002F3624" w:rsidRDefault="003623D9" w:rsidP="003623D9">
      <w:pPr>
        <w:pStyle w:val="Heading2"/>
      </w:pPr>
      <w:bookmarkStart w:id="12" w:name="_Toc124833156"/>
      <w:r w:rsidRPr="002F3624">
        <w:lastRenderedPageBreak/>
        <w:t>Creating a new service model</w:t>
      </w:r>
      <w:bookmarkEnd w:id="12"/>
    </w:p>
    <w:p w14:paraId="780D0FCB" w14:textId="771BABFF" w:rsidR="003623D9" w:rsidRDefault="003623D9" w:rsidP="003623D9">
      <w:r w:rsidRPr="002F3624">
        <w:t xml:space="preserve">Creating a new service model was attractive to government because it stimulated a revisioning of services and improved the telehealth service offering available at that time. It also meant just one entity would be accountable for the quality of services and could expand and reposition capability and services with a focus on equity and innovation. </w:t>
      </w:r>
    </w:p>
    <w:p w14:paraId="7BA23D7C" w14:textId="77777777" w:rsidR="004D3A74" w:rsidRPr="002F3624" w:rsidRDefault="004D3A74" w:rsidP="003623D9"/>
    <w:p w14:paraId="2823D9C8" w14:textId="77777777" w:rsidR="003623D9" w:rsidRPr="002F3624" w:rsidRDefault="003623D9" w:rsidP="003623D9">
      <w:r w:rsidRPr="002F3624">
        <w:t xml:space="preserve">To enable this, a 10-year contract was considered necessary to support the tracking of outcomes over the long term and </w:t>
      </w:r>
      <w:r>
        <w:t xml:space="preserve">to </w:t>
      </w:r>
      <w:r w:rsidRPr="002F3624">
        <w:t>secure the significant provider investment</w:t>
      </w:r>
      <w:r>
        <w:t xml:space="preserve"> required</w:t>
      </w:r>
      <w:r w:rsidRPr="002F3624">
        <w:t xml:space="preserve"> in both technology and workforce. In November 2015 the National Telehealth Service was established.</w:t>
      </w:r>
      <w:r w:rsidRPr="002F3624">
        <w:rPr>
          <w:rStyle w:val="FootnoteReference"/>
          <w:rFonts w:cstheme="minorHAnsi"/>
        </w:rPr>
        <w:footnoteReference w:id="6"/>
      </w:r>
    </w:p>
    <w:p w14:paraId="00B3FF0A" w14:textId="77777777" w:rsidR="004D3A74" w:rsidRDefault="004D3A74" w:rsidP="003623D9">
      <w:pPr>
        <w:pStyle w:val="Heading1"/>
        <w:sectPr w:rsidR="004D3A74" w:rsidSect="00A27D16">
          <w:pgSz w:w="11901" w:h="16817"/>
          <w:pgMar w:top="1418" w:right="1701" w:bottom="1134" w:left="1843" w:header="709" w:footer="425" w:gutter="0"/>
          <w:cols w:space="708"/>
          <w:docGrid w:linePitch="360"/>
        </w:sectPr>
      </w:pPr>
    </w:p>
    <w:p w14:paraId="02668B07" w14:textId="1A1DB4F6" w:rsidR="003623D9" w:rsidRPr="002F3624" w:rsidRDefault="003623D9" w:rsidP="004D3A74">
      <w:pPr>
        <w:pStyle w:val="Heading1"/>
        <w:spacing w:before="0"/>
      </w:pPr>
      <w:bookmarkStart w:id="13" w:name="_Toc124833157"/>
      <w:r w:rsidRPr="002F3624">
        <w:lastRenderedPageBreak/>
        <w:t>Describing the benefits of the long-term, outcomes-focused contract</w:t>
      </w:r>
      <w:bookmarkEnd w:id="13"/>
    </w:p>
    <w:p w14:paraId="32F035F4" w14:textId="77777777" w:rsidR="003623D9" w:rsidRPr="002F3624" w:rsidRDefault="003623D9" w:rsidP="003623D9">
      <w:r w:rsidRPr="002F3624">
        <w:t>With a long-term, outcomes-focused contract, the NTS has created a shared purpose and vision with its partners. NTS offers clinically safe, technologically capable services with privacy standards and all security requirements in place. This is an advantage for providers who would otherwise have a barrier to entry if they could not afford to invest in the technology, or just need telehealth as a small part of their service offering. As one staff member noted,</w:t>
      </w:r>
      <w:r w:rsidRPr="00D7034D">
        <w:t xml:space="preserve"> </w:t>
      </w:r>
      <w:r>
        <w:t>‘</w:t>
      </w:r>
      <w:r w:rsidRPr="00C23421">
        <w:t>New Zealand can really only afford to have one big telehealth platform</w:t>
      </w:r>
      <w:r>
        <w:t>’</w:t>
      </w:r>
      <w:r w:rsidRPr="00FA5C78">
        <w:t>.</w:t>
      </w:r>
      <w:r w:rsidRPr="002F3624">
        <w:rPr>
          <w:rStyle w:val="FootnoteReference"/>
        </w:rPr>
        <w:footnoteReference w:id="7"/>
      </w:r>
      <w:r w:rsidRPr="002F3624">
        <w:t xml:space="preserve">  </w:t>
      </w:r>
    </w:p>
    <w:p w14:paraId="4452A424" w14:textId="77777777" w:rsidR="003623D9" w:rsidRPr="002F3624" w:rsidRDefault="003623D9" w:rsidP="003623D9">
      <w:pPr>
        <w:pStyle w:val="Heading2"/>
      </w:pPr>
      <w:bookmarkStart w:id="14" w:name="_Toc124833158"/>
      <w:r w:rsidRPr="002F3624">
        <w:t>Positives on both sides</w:t>
      </w:r>
      <w:bookmarkEnd w:id="14"/>
    </w:p>
    <w:p w14:paraId="316FC309" w14:textId="144BC28E" w:rsidR="003623D9" w:rsidRDefault="003623D9" w:rsidP="003623D9">
      <w:r w:rsidRPr="002F3624">
        <w:t xml:space="preserve">The long-term contract has also created benefits for both NTS and the Ministry. For example, the contract is independent of political cycles and has allowed NTS to develop what works well over time and iterate in a </w:t>
      </w:r>
      <w:r>
        <w:t>‘</w:t>
      </w:r>
      <w:r w:rsidRPr="002F3624">
        <w:t>culture of learning</w:t>
      </w:r>
      <w:r>
        <w:t>’</w:t>
      </w:r>
      <w:r w:rsidRPr="002F3624">
        <w:t>. The Ministry and NTS partners/the steering group work together to evaluate, monitor and adapt to continuously improve in an open and transparent way.</w:t>
      </w:r>
      <w:r w:rsidRPr="002F3624">
        <w:rPr>
          <w:rStyle w:val="FootnoteReference"/>
          <w:rFonts w:cstheme="minorHAnsi"/>
        </w:rPr>
        <w:footnoteReference w:id="8"/>
      </w:r>
    </w:p>
    <w:p w14:paraId="3973839A" w14:textId="77777777" w:rsidR="004D3A74" w:rsidRPr="002F3624" w:rsidRDefault="004D3A74" w:rsidP="003623D9"/>
    <w:p w14:paraId="2799EE76" w14:textId="1F8C6AE6" w:rsidR="003623D9" w:rsidRDefault="003623D9" w:rsidP="003623D9">
      <w:r w:rsidRPr="002F3624">
        <w:t xml:space="preserve">The long-term nature of the contract means there is ample time to scope and develop a plan, execute the plan and adapt </w:t>
      </w:r>
      <w:r>
        <w:t xml:space="preserve">it </w:t>
      </w:r>
      <w:r w:rsidRPr="002F3624">
        <w:t xml:space="preserve">as often as needed. For instance, if NTS sets a target for employing more Māori into </w:t>
      </w:r>
      <w:r>
        <w:t>its</w:t>
      </w:r>
      <w:r w:rsidRPr="002F3624">
        <w:t xml:space="preserve"> workforce, </w:t>
      </w:r>
      <w:r>
        <w:t>it</w:t>
      </w:r>
      <w:r w:rsidRPr="002F3624">
        <w:t xml:space="preserve"> can set realistic targets </w:t>
      </w:r>
      <w:r>
        <w:t>that</w:t>
      </w:r>
      <w:r w:rsidRPr="002F3624">
        <w:t xml:space="preserve"> take time to achieve authentically. </w:t>
      </w:r>
    </w:p>
    <w:p w14:paraId="68EDC155" w14:textId="77777777" w:rsidR="004D3A74" w:rsidRPr="002F3624" w:rsidRDefault="004D3A74" w:rsidP="003623D9"/>
    <w:p w14:paraId="575DF590" w14:textId="77777777" w:rsidR="003623D9" w:rsidRPr="002F3624" w:rsidRDefault="003623D9" w:rsidP="003623D9">
      <w:r w:rsidRPr="002F3624">
        <w:t xml:space="preserve">The longer timeframe also means the focus is directed towards developing best practice for patients and </w:t>
      </w:r>
      <w:proofErr w:type="spellStart"/>
      <w:r w:rsidRPr="002F3624">
        <w:t>whānau</w:t>
      </w:r>
      <w:proofErr w:type="spellEnd"/>
      <w:r w:rsidRPr="002F3624">
        <w:t xml:space="preserve"> as opposed to securing funding and</w:t>
      </w:r>
      <w:r w:rsidRPr="001C1F8E">
        <w:t xml:space="preserve"> </w:t>
      </w:r>
      <w:r>
        <w:t>‘</w:t>
      </w:r>
      <w:r w:rsidRPr="00C23421">
        <w:t>tiptoeing to appease the funder</w:t>
      </w:r>
      <w:r>
        <w:t>’</w:t>
      </w:r>
      <w:r w:rsidRPr="00C23421">
        <w:t>.</w:t>
      </w:r>
      <w:r w:rsidRPr="001C1F8E">
        <w:t xml:space="preserve"> In addition, having to re-apply frequently for funding can mean </w:t>
      </w:r>
      <w:r>
        <w:t>‘</w:t>
      </w:r>
      <w:r w:rsidRPr="00C23421">
        <w:t>you constantly have to prove what you already know how to do</w:t>
      </w:r>
      <w:r>
        <w:t>’</w:t>
      </w:r>
      <w:r w:rsidRPr="001C1F8E">
        <w:t xml:space="preserve"> </w:t>
      </w:r>
      <w:r w:rsidRPr="002F3624">
        <w:t xml:space="preserve">and directs time away from patients and </w:t>
      </w:r>
      <w:proofErr w:type="spellStart"/>
      <w:r w:rsidRPr="002F3624">
        <w:t>whānau</w:t>
      </w:r>
      <w:proofErr w:type="spellEnd"/>
      <w:r w:rsidRPr="002F3624">
        <w:t xml:space="preserve">. </w:t>
      </w:r>
    </w:p>
    <w:p w14:paraId="4AA28734" w14:textId="77777777" w:rsidR="003623D9" w:rsidRPr="002F3624" w:rsidRDefault="003623D9" w:rsidP="003623D9">
      <w:pPr>
        <w:pStyle w:val="Heading2"/>
      </w:pPr>
      <w:bookmarkStart w:id="15" w:name="_Toc124833159"/>
      <w:r w:rsidRPr="002F3624">
        <w:lastRenderedPageBreak/>
        <w:t>High</w:t>
      </w:r>
      <w:r>
        <w:t>-</w:t>
      </w:r>
      <w:r w:rsidRPr="002F3624">
        <w:t>trust relationships</w:t>
      </w:r>
      <w:bookmarkEnd w:id="15"/>
    </w:p>
    <w:p w14:paraId="5829B353" w14:textId="77777777" w:rsidR="003623D9" w:rsidRPr="002F3624" w:rsidRDefault="003623D9" w:rsidP="003623D9">
      <w:proofErr w:type="spellStart"/>
      <w:r w:rsidRPr="002F3624">
        <w:t>Manatū</w:t>
      </w:r>
      <w:proofErr w:type="spellEnd"/>
      <w:r w:rsidRPr="002F3624">
        <w:t xml:space="preserve"> Hauora owns the services that NTS delivers, curates, develops and operationalises through the telehealth </w:t>
      </w:r>
      <w:r>
        <w:t>‘</w:t>
      </w:r>
      <w:r w:rsidRPr="002F3624">
        <w:t>machine</w:t>
      </w:r>
      <w:r>
        <w:t>’</w:t>
      </w:r>
      <w:r w:rsidRPr="002F3624">
        <w:t xml:space="preserve">. The 10-year contract also </w:t>
      </w:r>
      <w:r>
        <w:t>has given</w:t>
      </w:r>
      <w:r w:rsidRPr="002F3624">
        <w:t xml:space="preserve"> NTS and the Ministry the time needed to grow their relationship, and constructively work through points of tension and challenges. This has meant NTS can </w:t>
      </w:r>
      <w:r>
        <w:t>‘</w:t>
      </w:r>
      <w:r w:rsidRPr="002F3624">
        <w:t>give things a go</w:t>
      </w:r>
      <w:r>
        <w:t>’</w:t>
      </w:r>
      <w:r w:rsidRPr="002F3624">
        <w:t xml:space="preserve"> and adapt its course as needed.</w:t>
      </w:r>
      <w:r w:rsidRPr="002F3624">
        <w:rPr>
          <w:rStyle w:val="FootnoteReference"/>
          <w:rFonts w:cstheme="minorHAnsi"/>
        </w:rPr>
        <w:footnoteReference w:id="9"/>
      </w:r>
      <w:r w:rsidRPr="002F3624" w:rsidDel="00073254">
        <w:t xml:space="preserve"> </w:t>
      </w:r>
      <w:r w:rsidRPr="002F3624">
        <w:t xml:space="preserve">The relationship </w:t>
      </w:r>
      <w:r>
        <w:t>that</w:t>
      </w:r>
      <w:r w:rsidRPr="002F3624">
        <w:t xml:space="preserve"> has resulted from this arrangement has been described as</w:t>
      </w:r>
      <w:r w:rsidRPr="005075D5">
        <w:t xml:space="preserve"> </w:t>
      </w:r>
      <w:r>
        <w:t>‘</w:t>
      </w:r>
      <w:r w:rsidRPr="005075D5">
        <w:t>arm’s length but shoulder close</w:t>
      </w:r>
      <w:r>
        <w:t>’</w:t>
      </w:r>
      <w:r w:rsidRPr="005075D5">
        <w:t>.</w:t>
      </w:r>
      <w:r w:rsidRPr="002F3624">
        <w:t xml:space="preserve"> Because </w:t>
      </w:r>
      <w:r>
        <w:t>it</w:t>
      </w:r>
      <w:r w:rsidRPr="002F3624">
        <w:t xml:space="preserve"> can operate in a high-trust environment with the Ministry, NTS can pursue what works for the service users.</w:t>
      </w:r>
    </w:p>
    <w:p w14:paraId="52D16466" w14:textId="77777777" w:rsidR="003623D9" w:rsidRPr="002F3624" w:rsidRDefault="003623D9" w:rsidP="003623D9">
      <w:pPr>
        <w:pStyle w:val="Heading2"/>
      </w:pPr>
      <w:bookmarkStart w:id="16" w:name="_Toc124833160"/>
      <w:r w:rsidRPr="002F3624">
        <w:t>A single provider reduces workload</w:t>
      </w:r>
      <w:bookmarkEnd w:id="16"/>
      <w:r w:rsidRPr="002F3624">
        <w:t xml:space="preserve"> </w:t>
      </w:r>
    </w:p>
    <w:p w14:paraId="46057073" w14:textId="77777777" w:rsidR="003623D9" w:rsidRPr="002F3624" w:rsidRDefault="003623D9" w:rsidP="003623D9">
      <w:pPr>
        <w:rPr>
          <w:b/>
          <w:bCs/>
        </w:rPr>
      </w:pPr>
      <w:r w:rsidRPr="002F3624">
        <w:t xml:space="preserve">Logistically, </w:t>
      </w:r>
      <w:r>
        <w:t xml:space="preserve">having </w:t>
      </w:r>
      <w:r w:rsidRPr="002F3624">
        <w:t>just one provider is less work for the Ministry than having contracts with multiple providers and</w:t>
      </w:r>
      <w:r>
        <w:t xml:space="preserve"> it</w:t>
      </w:r>
      <w:r w:rsidRPr="002F3624">
        <w:t xml:space="preserve"> has successfully addressed the issue of service fragmentation. The Ministry can focus </w:t>
      </w:r>
      <w:r>
        <w:t>its</w:t>
      </w:r>
      <w:r w:rsidRPr="002F3624">
        <w:t xml:space="preserve"> efforts on improving things with one contract holder rather than having to look across many services to diagnose where problems may lie. This ultimately benefits the community with a continuously improving service model that can focus on </w:t>
      </w:r>
      <w:proofErr w:type="spellStart"/>
      <w:r w:rsidRPr="002F3624">
        <w:t>whānau</w:t>
      </w:r>
      <w:proofErr w:type="spellEnd"/>
      <w:r w:rsidRPr="002F3624">
        <w:t xml:space="preserve"> and patient needs.</w:t>
      </w:r>
    </w:p>
    <w:p w14:paraId="2EB26887" w14:textId="77777777" w:rsidR="004D3A74" w:rsidRDefault="004D3A74" w:rsidP="003623D9">
      <w:pPr>
        <w:pStyle w:val="Heading1"/>
        <w:sectPr w:rsidR="004D3A74" w:rsidSect="00A27D16">
          <w:pgSz w:w="11901" w:h="16817"/>
          <w:pgMar w:top="1418" w:right="1701" w:bottom="1134" w:left="1843" w:header="709" w:footer="425" w:gutter="0"/>
          <w:cols w:space="708"/>
          <w:docGrid w:linePitch="360"/>
        </w:sectPr>
      </w:pPr>
    </w:p>
    <w:p w14:paraId="59B7CBFC" w14:textId="041EDA89" w:rsidR="003623D9" w:rsidRPr="002F3624" w:rsidRDefault="003623D9" w:rsidP="004D3A74">
      <w:pPr>
        <w:pStyle w:val="Heading1"/>
        <w:spacing w:before="0"/>
      </w:pPr>
      <w:bookmarkStart w:id="17" w:name="_Toc124833161"/>
      <w:r w:rsidRPr="002F3624">
        <w:lastRenderedPageBreak/>
        <w:t>Issues and mitigations</w:t>
      </w:r>
      <w:bookmarkEnd w:id="17"/>
    </w:p>
    <w:p w14:paraId="7B196513" w14:textId="77777777" w:rsidR="003623D9" w:rsidRPr="002F3624" w:rsidRDefault="003623D9" w:rsidP="003623D9">
      <w:pPr>
        <w:pStyle w:val="Heading2"/>
      </w:pPr>
      <w:bookmarkStart w:id="18" w:name="_Toc124833162"/>
      <w:r w:rsidRPr="002F3624">
        <w:t>Ensuring service adapts to changing contexts</w:t>
      </w:r>
      <w:bookmarkEnd w:id="18"/>
      <w:r w:rsidRPr="002F3624">
        <w:t xml:space="preserve"> </w:t>
      </w:r>
    </w:p>
    <w:p w14:paraId="184784A3" w14:textId="77777777" w:rsidR="003623D9" w:rsidRPr="002F3624" w:rsidRDefault="003623D9" w:rsidP="003623D9">
      <w:r w:rsidRPr="002F3624">
        <w:t>Contract renegotiation can be used to reset expectations and price, and look to the market for more cost</w:t>
      </w:r>
      <w:r>
        <w:t>-</w:t>
      </w:r>
      <w:r w:rsidRPr="002F3624">
        <w:t>effective alternatives. The Ministry set</w:t>
      </w:r>
      <w:r>
        <w:t>s</w:t>
      </w:r>
      <w:r w:rsidRPr="002F3624">
        <w:t xml:space="preserve"> expectations/standards, while the NTS uses the tools to both meet contract requirements and look to continuous quality improvement. </w:t>
      </w:r>
    </w:p>
    <w:p w14:paraId="0AB82913" w14:textId="77777777" w:rsidR="003623D9" w:rsidRPr="002F3624" w:rsidRDefault="003623D9" w:rsidP="003623D9">
      <w:pPr>
        <w:pStyle w:val="Heading2"/>
      </w:pPr>
      <w:bookmarkStart w:id="19" w:name="_Toc124833163"/>
      <w:r w:rsidRPr="002F3624">
        <w:t>The bar is too high for small providers</w:t>
      </w:r>
      <w:bookmarkEnd w:id="19"/>
    </w:p>
    <w:p w14:paraId="560C78CC" w14:textId="19A38131" w:rsidR="003623D9" w:rsidRPr="00DB0C62" w:rsidRDefault="003623D9" w:rsidP="003623D9">
      <w:pPr>
        <w:pStyle w:val="CommentText"/>
        <w:jc w:val="left"/>
        <w:rPr>
          <w:rFonts w:ascii="Segoe UI" w:eastAsia="Times New Roman" w:hAnsi="Segoe UI" w:cs="Times New Roman"/>
          <w:sz w:val="21"/>
          <w:lang w:eastAsia="en-GB"/>
        </w:rPr>
      </w:pPr>
      <w:r w:rsidRPr="00DB0C62">
        <w:rPr>
          <w:rFonts w:ascii="Segoe UI" w:eastAsia="Times New Roman" w:hAnsi="Segoe UI" w:cs="Times New Roman"/>
          <w:sz w:val="21"/>
          <w:lang w:eastAsia="en-GB"/>
        </w:rPr>
        <w:t xml:space="preserve">While a single contract has many advantages, one disadvantage is that smaller providers may find it hard to compete with a larger provider that holds a monopoly over the sector. This can be offset by the Ministry, which can direct NTS to work with small providers to have access to its technology platform (as was the case for setting up 1737 Peer Support – see page </w:t>
      </w:r>
      <w:r w:rsidR="00DB0C62">
        <w:rPr>
          <w:rFonts w:ascii="Segoe UI" w:eastAsia="Times New Roman" w:hAnsi="Segoe UI" w:cs="Times New Roman"/>
          <w:sz w:val="21"/>
          <w:lang w:eastAsia="en-GB"/>
        </w:rPr>
        <w:t>1</w:t>
      </w:r>
      <w:r w:rsidRPr="00DB0C62">
        <w:rPr>
          <w:rFonts w:ascii="Segoe UI" w:eastAsia="Times New Roman" w:hAnsi="Segoe UI" w:cs="Times New Roman"/>
          <w:sz w:val="21"/>
          <w:lang w:eastAsia="en-GB"/>
        </w:rPr>
        <w:t xml:space="preserve">6). </w:t>
      </w:r>
    </w:p>
    <w:p w14:paraId="36E82236" w14:textId="77777777" w:rsidR="003623D9" w:rsidRPr="002F3624" w:rsidRDefault="003623D9" w:rsidP="003623D9">
      <w:pPr>
        <w:pStyle w:val="Heading2"/>
      </w:pPr>
      <w:bookmarkStart w:id="20" w:name="_Toc124833164"/>
      <w:r w:rsidRPr="002F3624">
        <w:t>Overextending service capacity</w:t>
      </w:r>
      <w:bookmarkEnd w:id="20"/>
    </w:p>
    <w:p w14:paraId="02753E93" w14:textId="25943F3B" w:rsidR="003623D9" w:rsidRDefault="003623D9" w:rsidP="0050452D">
      <w:r w:rsidRPr="00DB0C62">
        <w:t xml:space="preserve">Another risk is not being able to scale up services. </w:t>
      </w:r>
      <w:r w:rsidR="00DB0C62">
        <w:t>When a</w:t>
      </w:r>
      <w:r w:rsidRPr="00DB0C62">
        <w:t xml:space="preserve"> contract is outcomes-focused, it can be tempting to continue adding services that may dilute the strength of the core aims. This occurred during the COVID-19 lockdown, which saw Homecare Medical respond quickly to emerging needs of </w:t>
      </w:r>
      <w:proofErr w:type="spellStart"/>
      <w:r w:rsidRPr="00DB0C62">
        <w:t>whānau</w:t>
      </w:r>
      <w:proofErr w:type="spellEnd"/>
      <w:r w:rsidRPr="00DB0C62">
        <w:t xml:space="preserve">. </w:t>
      </w:r>
    </w:p>
    <w:p w14:paraId="434A89DC" w14:textId="77777777" w:rsidR="0050452D" w:rsidRPr="00DB0C62" w:rsidRDefault="0050452D" w:rsidP="0050452D"/>
    <w:p w14:paraId="66EE2F6B" w14:textId="5965B174" w:rsidR="003623D9" w:rsidRDefault="003623D9" w:rsidP="003623D9">
      <w:r w:rsidRPr="002F3624">
        <w:t xml:space="preserve">However, in this situation, there was little time for the Ministry to address whether NTS was best placed to handle the COVID-19 response or stick to </w:t>
      </w:r>
      <w:r>
        <w:t>its</w:t>
      </w:r>
      <w:r w:rsidRPr="002F3624">
        <w:t xml:space="preserve"> core service. Alongside addressing new needs, NTS had to ease pressure off emergency departments, back up </w:t>
      </w:r>
      <w:r>
        <w:t>general practice</w:t>
      </w:r>
      <w:r w:rsidRPr="002F3624">
        <w:t xml:space="preserve"> services and provide </w:t>
      </w:r>
      <w:r>
        <w:t>high-</w:t>
      </w:r>
      <w:r w:rsidRPr="002F3624">
        <w:t xml:space="preserve">quality health advice for free. </w:t>
      </w:r>
    </w:p>
    <w:p w14:paraId="17BED7E3" w14:textId="77777777" w:rsidR="004D3A74" w:rsidRPr="002F3624" w:rsidRDefault="004D3A74" w:rsidP="003623D9"/>
    <w:p w14:paraId="5A9E078B" w14:textId="77777777" w:rsidR="003623D9" w:rsidRPr="002F3624" w:rsidRDefault="003623D9" w:rsidP="003623D9">
      <w:r w:rsidRPr="002F3624">
        <w:t>The Ministry commissioned an independent review of the NTS COVID-19 response</w:t>
      </w:r>
      <w:r>
        <w:t>,</w:t>
      </w:r>
      <w:r w:rsidRPr="002F3624">
        <w:t xml:space="preserve"> which was completed in October 2020. Th</w:t>
      </w:r>
      <w:r>
        <w:t>e report</w:t>
      </w:r>
      <w:r w:rsidRPr="002F3624">
        <w:t xml:space="preserve"> identified risks and provided advice on how the</w:t>
      </w:r>
      <w:r>
        <w:t xml:space="preserve"> Ministry</w:t>
      </w:r>
      <w:r w:rsidRPr="002F3624">
        <w:t xml:space="preserve"> might commission such as through scaling to optimise outcomes and assisting with service modelling. </w:t>
      </w:r>
    </w:p>
    <w:p w14:paraId="7B945102" w14:textId="77777777" w:rsidR="003623D9" w:rsidRPr="002F3624" w:rsidRDefault="003623D9" w:rsidP="003623D9">
      <w:pPr>
        <w:pStyle w:val="Heading2"/>
      </w:pPr>
      <w:bookmarkStart w:id="21" w:name="_Toc124833165"/>
      <w:r w:rsidRPr="002F3624">
        <w:lastRenderedPageBreak/>
        <w:t>High demand on relationship management at all levels</w:t>
      </w:r>
      <w:bookmarkEnd w:id="21"/>
    </w:p>
    <w:p w14:paraId="03F4C10D" w14:textId="77777777" w:rsidR="003623D9" w:rsidRPr="002F3624" w:rsidRDefault="003623D9" w:rsidP="003623D9">
      <w:r w:rsidRPr="002F3624">
        <w:t>The partnership work is very important. It takes significant relationship management from the funder and provider to make it work. A Ministry advisor noted the shared vision needs to stay top of mind</w:t>
      </w:r>
      <w:r>
        <w:t>,</w:t>
      </w:r>
      <w:r w:rsidRPr="002F3624">
        <w:t xml:space="preserve"> with the mandate from the Senior Responsible Officer (the Deputy Director-General of Health) driving the purpose at all times.</w:t>
      </w:r>
    </w:p>
    <w:p w14:paraId="5FA299AA" w14:textId="77777777" w:rsidR="004D3A74" w:rsidRDefault="004D3A74" w:rsidP="003623D9">
      <w:pPr>
        <w:pStyle w:val="Heading1"/>
        <w:sectPr w:rsidR="004D3A74" w:rsidSect="00A27D16">
          <w:pgSz w:w="11901" w:h="16817"/>
          <w:pgMar w:top="1418" w:right="1701" w:bottom="1134" w:left="1843" w:header="709" w:footer="425" w:gutter="0"/>
          <w:cols w:space="708"/>
          <w:docGrid w:linePitch="360"/>
        </w:sectPr>
      </w:pPr>
    </w:p>
    <w:p w14:paraId="5F9EC4FF" w14:textId="0F6CE53A" w:rsidR="003623D9" w:rsidRPr="002F3624" w:rsidRDefault="003623D9" w:rsidP="004D3A74">
      <w:pPr>
        <w:pStyle w:val="Heading1"/>
        <w:spacing w:before="0"/>
      </w:pPr>
      <w:bookmarkStart w:id="22" w:name="_Toc124833166"/>
      <w:r w:rsidRPr="002F3624">
        <w:lastRenderedPageBreak/>
        <w:t>Improving health equity for Māori and Pa</w:t>
      </w:r>
      <w:r>
        <w:t>cific peoples</w:t>
      </w:r>
      <w:bookmarkEnd w:id="22"/>
    </w:p>
    <w:p w14:paraId="68F84A18" w14:textId="40F8C27D" w:rsidR="003623D9" w:rsidRDefault="003623D9" w:rsidP="003623D9">
      <w:r w:rsidRPr="002F3624">
        <w:t>In the post-implementation review of the service, the evaluators suggested that NTS strengthen its equity-led service. NTS was set up before the Director</w:t>
      </w:r>
      <w:r>
        <w:t>-</w:t>
      </w:r>
      <w:r w:rsidRPr="002F3624">
        <w:t>General Ashley Bloomfield signed off on the official Ministry Equity Statement in March 2019. As the post-implementation review was completed in 2017, the NTS has been proactive in strengthening an equity focus.</w:t>
      </w:r>
    </w:p>
    <w:p w14:paraId="2249FF5E" w14:textId="77777777" w:rsidR="004D3A74" w:rsidRPr="002F3624" w:rsidRDefault="004D3A74" w:rsidP="003623D9"/>
    <w:p w14:paraId="183F644C" w14:textId="77777777" w:rsidR="003623D9" w:rsidRPr="002F3624" w:rsidRDefault="003623D9" w:rsidP="003623D9">
      <w:r w:rsidRPr="002F3624">
        <w:t xml:space="preserve">In addition, Māori advisors at NTS cautioned that equity would not be achieved with a </w:t>
      </w:r>
      <w:r>
        <w:t>‘</w:t>
      </w:r>
      <w:r w:rsidRPr="002F3624">
        <w:t>top-down</w:t>
      </w:r>
      <w:r>
        <w:t>’</w:t>
      </w:r>
      <w:r w:rsidRPr="002F3624">
        <w:t xml:space="preserve"> statement. So NTS responded by:</w:t>
      </w:r>
      <w:r w:rsidRPr="002F3624">
        <w:rPr>
          <w:rStyle w:val="FootnoteReference"/>
          <w:rFonts w:cstheme="minorHAnsi"/>
        </w:rPr>
        <w:footnoteReference w:id="10"/>
      </w:r>
    </w:p>
    <w:p w14:paraId="52F76876" w14:textId="77777777" w:rsidR="003623D9" w:rsidRPr="002F3624" w:rsidRDefault="003623D9" w:rsidP="004D3A74">
      <w:pPr>
        <w:pStyle w:val="Bullet"/>
      </w:pPr>
      <w:r w:rsidRPr="002F3624">
        <w:t>involving Māori and Pacific leaders</w:t>
      </w:r>
      <w:r w:rsidRPr="002F3624" w:rsidDel="00DD107C">
        <w:t xml:space="preserve"> </w:t>
      </w:r>
    </w:p>
    <w:p w14:paraId="786F6130" w14:textId="77777777" w:rsidR="003623D9" w:rsidRPr="002F3624" w:rsidRDefault="003623D9" w:rsidP="004D3A74">
      <w:pPr>
        <w:pStyle w:val="Bullet"/>
      </w:pPr>
      <w:r w:rsidRPr="002F3624">
        <w:t>driving sustained implementation of an agreed equity strategy</w:t>
      </w:r>
    </w:p>
    <w:p w14:paraId="63F064F9" w14:textId="77777777" w:rsidR="003623D9" w:rsidRPr="002F3624" w:rsidRDefault="003623D9" w:rsidP="004D3A74">
      <w:pPr>
        <w:pStyle w:val="Bullet"/>
      </w:pPr>
      <w:r>
        <w:t xml:space="preserve">providing </w:t>
      </w:r>
      <w:r w:rsidRPr="002F3624">
        <w:t>ongoing cultural competency training</w:t>
      </w:r>
    </w:p>
    <w:p w14:paraId="185E8C16" w14:textId="77777777" w:rsidR="003623D9" w:rsidRPr="002F3624" w:rsidRDefault="003623D9" w:rsidP="004D3A74">
      <w:pPr>
        <w:pStyle w:val="Bullet"/>
      </w:pPr>
      <w:r w:rsidRPr="002F3624">
        <w:t>improv</w:t>
      </w:r>
      <w:r>
        <w:t>ing</w:t>
      </w:r>
      <w:r w:rsidRPr="002F3624">
        <w:t xml:space="preserve"> use of demographic data to inform policies and practice.</w:t>
      </w:r>
    </w:p>
    <w:p w14:paraId="3DAD154E" w14:textId="77777777" w:rsidR="004D3A74" w:rsidRDefault="004D3A74" w:rsidP="003623D9"/>
    <w:p w14:paraId="7E30E37B" w14:textId="0BD67758" w:rsidR="003623D9" w:rsidRPr="002F3624" w:rsidRDefault="003623D9" w:rsidP="003623D9">
      <w:r w:rsidRPr="002F3624">
        <w:t>Work is also underway to improve Māori leadership, governance and advocacy, actively recruit more Māori and Pacific staff and build cultural competencies in the workforce.</w:t>
      </w:r>
    </w:p>
    <w:p w14:paraId="757913C7" w14:textId="77777777" w:rsidR="004D3A74" w:rsidRDefault="004D3A74" w:rsidP="003623D9">
      <w:pPr>
        <w:pStyle w:val="Heading1"/>
        <w:sectPr w:rsidR="004D3A74" w:rsidSect="00A27D16">
          <w:pgSz w:w="11901" w:h="16817"/>
          <w:pgMar w:top="1418" w:right="1701" w:bottom="1134" w:left="1843" w:header="709" w:footer="425" w:gutter="0"/>
          <w:cols w:space="708"/>
          <w:docGrid w:linePitch="360"/>
        </w:sectPr>
      </w:pPr>
    </w:p>
    <w:p w14:paraId="3493EE6E" w14:textId="7BEE066A" w:rsidR="003623D9" w:rsidRPr="002F3624" w:rsidRDefault="003623D9" w:rsidP="004D3A74">
      <w:pPr>
        <w:pStyle w:val="Heading1"/>
        <w:spacing w:before="0"/>
      </w:pPr>
      <w:bookmarkStart w:id="23" w:name="_Toc124833167"/>
      <w:r w:rsidRPr="002F3624">
        <w:lastRenderedPageBreak/>
        <w:t xml:space="preserve">Responding to the COVID-19 </w:t>
      </w:r>
      <w:r>
        <w:t>p</w:t>
      </w:r>
      <w:r w:rsidRPr="002F3624">
        <w:t>andemic</w:t>
      </w:r>
      <w:bookmarkEnd w:id="23"/>
      <w:r w:rsidRPr="002F3624">
        <w:t xml:space="preserve"> </w:t>
      </w:r>
    </w:p>
    <w:p w14:paraId="2A2EB878" w14:textId="77777777" w:rsidR="003623D9" w:rsidRPr="002F3624" w:rsidRDefault="003623D9" w:rsidP="003623D9">
      <w:r w:rsidRPr="002F3624">
        <w:t>The benefits of this contract were evident during the COVID-19 lockdown (Alert Level</w:t>
      </w:r>
      <w:r>
        <w:t>s 3 and</w:t>
      </w:r>
      <w:r w:rsidRPr="002F3624">
        <w:t xml:space="preserve"> 4)</w:t>
      </w:r>
      <w:r>
        <w:t>,</w:t>
      </w:r>
      <w:r w:rsidRPr="002F3624">
        <w:t xml:space="preserve"> which spurred some company-wide innovation. Previously, telehealth operations experienced a surge in business after the measles outbreaks, so they already had experience of how to scale for demand. So, when Ministry officials at media events used the message to</w:t>
      </w:r>
      <w:r w:rsidRPr="00D7034D">
        <w:t xml:space="preserve"> </w:t>
      </w:r>
      <w:r>
        <w:t>‘</w:t>
      </w:r>
      <w:r w:rsidRPr="00603D91">
        <w:t>Stay home, stay safe, call Healthline</w:t>
      </w:r>
      <w:r>
        <w:t>’</w:t>
      </w:r>
      <w:r w:rsidRPr="00603D91">
        <w:t xml:space="preserve">, </w:t>
      </w:r>
      <w:r w:rsidRPr="002F3624">
        <w:t>they knew the demand would be immense.</w:t>
      </w:r>
      <w:r w:rsidRPr="002F3624">
        <w:rPr>
          <w:rStyle w:val="FootnoteReference"/>
          <w:rFonts w:cstheme="minorHAnsi"/>
        </w:rPr>
        <w:footnoteReference w:id="11"/>
      </w:r>
      <w:r w:rsidRPr="002F3624">
        <w:t xml:space="preserve"> </w:t>
      </w:r>
    </w:p>
    <w:p w14:paraId="5D67AA82" w14:textId="77777777" w:rsidR="003623D9" w:rsidRPr="002F3624" w:rsidRDefault="003623D9" w:rsidP="003623D9">
      <w:pPr>
        <w:pStyle w:val="Heading2"/>
      </w:pPr>
      <w:bookmarkStart w:id="24" w:name="_Toc124833168"/>
      <w:r w:rsidRPr="002F3624">
        <w:t>Best practice incorporates international experiences</w:t>
      </w:r>
      <w:bookmarkEnd w:id="24"/>
    </w:p>
    <w:p w14:paraId="6D05320A" w14:textId="77777777" w:rsidR="003623D9" w:rsidRPr="002F3624" w:rsidRDefault="003623D9" w:rsidP="003623D9">
      <w:r w:rsidRPr="002F3624">
        <w:t>As part of best practice, there is a contractual requirement to keep in touch and learn from internationally comparable services (</w:t>
      </w:r>
      <w:proofErr w:type="spellStart"/>
      <w:r w:rsidRPr="002F3624">
        <w:t>eg</w:t>
      </w:r>
      <w:proofErr w:type="spellEnd"/>
      <w:r w:rsidRPr="002F3624">
        <w:t>, Australia, the U</w:t>
      </w:r>
      <w:r>
        <w:t>nited Kingdom</w:t>
      </w:r>
      <w:r w:rsidRPr="002F3624">
        <w:t xml:space="preserve"> and Canada). NTS learned from the UK’s struggles during COVID-19 and that assisted with Healthline</w:t>
      </w:r>
      <w:r>
        <w:t>’</w:t>
      </w:r>
      <w:r w:rsidRPr="002F3624">
        <w:t>s adaptive service response. Homecare Medical developed health advice provision</w:t>
      </w:r>
      <w:r>
        <w:t>,</w:t>
      </w:r>
      <w:r w:rsidRPr="002F3624">
        <w:t xml:space="preserve"> </w:t>
      </w:r>
      <w:r>
        <w:t xml:space="preserve">with its staff </w:t>
      </w:r>
      <w:r w:rsidRPr="002F3624">
        <w:t>putting themselves</w:t>
      </w:r>
      <w:r w:rsidRPr="00D7034D">
        <w:t xml:space="preserve"> </w:t>
      </w:r>
      <w:r>
        <w:t>‘</w:t>
      </w:r>
      <w:r w:rsidRPr="006C2C68">
        <w:t>in front of the front line</w:t>
      </w:r>
      <w:r>
        <w:t>’</w:t>
      </w:r>
      <w:r w:rsidRPr="00D7034D">
        <w:t xml:space="preserve"> </w:t>
      </w:r>
      <w:r w:rsidRPr="002F3624">
        <w:t xml:space="preserve">so that health workers stayed protected and emergency departments and </w:t>
      </w:r>
      <w:r>
        <w:t>general</w:t>
      </w:r>
      <w:r w:rsidRPr="002F3624">
        <w:t xml:space="preserve"> practices were not overloaded.</w:t>
      </w:r>
    </w:p>
    <w:p w14:paraId="7B5D8A49" w14:textId="77777777" w:rsidR="003623D9" w:rsidRPr="002F3624" w:rsidRDefault="003623D9" w:rsidP="003623D9">
      <w:pPr>
        <w:pStyle w:val="Heading2"/>
      </w:pPr>
      <w:bookmarkStart w:id="25" w:name="_Toc124833169"/>
      <w:r w:rsidRPr="002F3624">
        <w:t>Pivoted quickly to changes</w:t>
      </w:r>
      <w:bookmarkEnd w:id="25"/>
      <w:r w:rsidRPr="002F3624">
        <w:t xml:space="preserve"> </w:t>
      </w:r>
    </w:p>
    <w:p w14:paraId="4E8F1F02" w14:textId="3BC2B9B3" w:rsidR="003623D9" w:rsidRDefault="003623D9" w:rsidP="003623D9">
      <w:r w:rsidRPr="002F3624">
        <w:t xml:space="preserve">Sometimes decisions on how to pivot the service during COVID-19 lockdown happened daily and with little notification. For instance, the NTS quickly commissioned the setup of eight virtual call centres utilising travel industry employees who were supported by clinical teams. </w:t>
      </w:r>
    </w:p>
    <w:p w14:paraId="385AE251" w14:textId="5CA7A8F7" w:rsidR="00EF3083" w:rsidRDefault="00EF3083" w:rsidP="003623D9"/>
    <w:tbl>
      <w:tblPr>
        <w:tblStyle w:val="TableGrid"/>
        <w:tblW w:w="0" w:type="auto"/>
        <w:tblLook w:val="04A0" w:firstRow="1" w:lastRow="0" w:firstColumn="1" w:lastColumn="0" w:noHBand="0" w:noVBand="1"/>
      </w:tblPr>
      <w:tblGrid>
        <w:gridCol w:w="8347"/>
      </w:tblGrid>
      <w:tr w:rsidR="00EF3083" w14:paraId="518EA15C" w14:textId="77777777" w:rsidTr="00EF3083">
        <w:tc>
          <w:tcPr>
            <w:tcW w:w="8347" w:type="dxa"/>
          </w:tcPr>
          <w:p w14:paraId="72F23957" w14:textId="2D1A0047" w:rsidR="00EF3083" w:rsidRPr="00EF3083" w:rsidRDefault="00EF3083" w:rsidP="00EF3083">
            <w:pPr>
              <w:spacing w:before="120" w:after="120"/>
              <w:rPr>
                <w:i/>
                <w:iCs/>
              </w:rPr>
            </w:pPr>
            <w:r w:rsidRPr="00EF3083">
              <w:rPr>
                <w:i/>
                <w:iCs/>
              </w:rPr>
              <w:t>We never broke the system; we ran it 24/7. We were one of the only telehealth services in the world that didn’t have a break in service because we were able to pivot and respond really quickly … We couldn’t have done that if we didn’t have the contract in place. It’s a high-trust contract. The changes happened so fast that we were just learning and responding every day. The contract is not prescriptive – otherwise, we’d die in the detail of commissioning.</w:t>
            </w:r>
          </w:p>
        </w:tc>
      </w:tr>
    </w:tbl>
    <w:p w14:paraId="2709F7DB" w14:textId="77777777" w:rsidR="00EF3083" w:rsidRDefault="00EF3083" w:rsidP="003623D9"/>
    <w:p w14:paraId="1E394586" w14:textId="162CF628" w:rsidR="00EF3083" w:rsidRDefault="00EF3083" w:rsidP="003623D9"/>
    <w:p w14:paraId="55EC1327" w14:textId="77777777" w:rsidR="00EF3083" w:rsidRPr="002F3624" w:rsidRDefault="00EF3083" w:rsidP="003623D9"/>
    <w:p w14:paraId="21A14F74" w14:textId="77777777" w:rsidR="003623D9" w:rsidRPr="002F3624" w:rsidRDefault="003623D9" w:rsidP="003623D9">
      <w:pPr>
        <w:pStyle w:val="Heading2"/>
      </w:pPr>
      <w:bookmarkStart w:id="26" w:name="_Toc124833170"/>
      <w:r w:rsidRPr="002F3624">
        <w:lastRenderedPageBreak/>
        <w:t>The COVID-19 response resulted in key insights and long-term improvements</w:t>
      </w:r>
      <w:bookmarkEnd w:id="26"/>
    </w:p>
    <w:p w14:paraId="4471DA4D" w14:textId="59897098" w:rsidR="003623D9" w:rsidRDefault="003623D9" w:rsidP="003623D9">
      <w:r w:rsidRPr="002F3624">
        <w:t>The COVID-19 response tested the limits of what the NTS could achieve. Some changes made during the two main COVID-19 lockdowns have endured. For example, the development of an equity recruitment assessment framework for the COVID welfare unit is now being rolled out more widely because it proved effective for getting more Māori and Pacific people</w:t>
      </w:r>
      <w:r>
        <w:t>s</w:t>
      </w:r>
      <w:r w:rsidRPr="002F3624">
        <w:t xml:space="preserve"> into the</w:t>
      </w:r>
      <w:r>
        <w:t xml:space="preserve"> NTS</w:t>
      </w:r>
      <w:r w:rsidRPr="002F3624">
        <w:t xml:space="preserve"> workforce. </w:t>
      </w:r>
      <w:r>
        <w:t>NTS</w:t>
      </w:r>
      <w:r w:rsidRPr="002F3624">
        <w:t xml:space="preserve"> </w:t>
      </w:r>
      <w:r>
        <w:t xml:space="preserve">has </w:t>
      </w:r>
      <w:r w:rsidRPr="002F3624">
        <w:t xml:space="preserve">stopped asking applicants, </w:t>
      </w:r>
      <w:r>
        <w:t>‘</w:t>
      </w:r>
      <w:r w:rsidRPr="00C23421">
        <w:t>Where have you worked over the past two years?</w:t>
      </w:r>
      <w:r>
        <w:t>’</w:t>
      </w:r>
      <w:r w:rsidRPr="006703D9">
        <w:t xml:space="preserve">, and instead asks, </w:t>
      </w:r>
      <w:r>
        <w:t>‘</w:t>
      </w:r>
      <w:r w:rsidRPr="00C23421">
        <w:t>What have you been doing over the past two years?</w:t>
      </w:r>
      <w:r>
        <w:t>’</w:t>
      </w:r>
      <w:r w:rsidRPr="00C23421">
        <w:t>.</w:t>
      </w:r>
      <w:r w:rsidRPr="006703D9">
        <w:t xml:space="preserve"> </w:t>
      </w:r>
      <w:r w:rsidRPr="002F3624">
        <w:t>Changes such as these recognise the value of people’s experience outside the narrow health work narrative and have helped to widen the pool of candidates.</w:t>
      </w:r>
    </w:p>
    <w:p w14:paraId="08B15808" w14:textId="77777777" w:rsidR="00EF3083" w:rsidRPr="002F3624" w:rsidRDefault="00EF3083" w:rsidP="003623D9"/>
    <w:p w14:paraId="5ED0888C" w14:textId="77777777" w:rsidR="003623D9" w:rsidRPr="00EF3083" w:rsidRDefault="003623D9" w:rsidP="00EF3083">
      <w:pPr>
        <w:spacing w:after="120"/>
        <w:ind w:left="567"/>
        <w:rPr>
          <w:i/>
          <w:iCs/>
        </w:rPr>
      </w:pPr>
      <w:r w:rsidRPr="00EF3083">
        <w:rPr>
          <w:i/>
          <w:iCs/>
        </w:rPr>
        <w:t xml:space="preserve">If someone tells me they’ve been taking care of young children for the past few years, I don’t see that as being out of work – I see they could be an ops manager. </w:t>
      </w:r>
    </w:p>
    <w:p w14:paraId="01135521" w14:textId="77777777" w:rsidR="003623D9" w:rsidRPr="00EF3083" w:rsidRDefault="003623D9" w:rsidP="00EF3083">
      <w:pPr>
        <w:ind w:left="567"/>
        <w:rPr>
          <w:i/>
          <w:iCs/>
        </w:rPr>
      </w:pPr>
      <w:r w:rsidRPr="00EF3083">
        <w:rPr>
          <w:i/>
          <w:iCs/>
        </w:rPr>
        <w:t>NTS Leadership Team</w:t>
      </w:r>
    </w:p>
    <w:p w14:paraId="5DB5868A" w14:textId="77777777" w:rsidR="003623D9" w:rsidRPr="002F3624" w:rsidRDefault="003623D9" w:rsidP="003623D9">
      <w:pPr>
        <w:pStyle w:val="Heading2"/>
      </w:pPr>
      <w:bookmarkStart w:id="27" w:name="_Toc124833171"/>
      <w:r w:rsidRPr="002F3624">
        <w:t>Matching callers with appropriately trained staff</w:t>
      </w:r>
      <w:bookmarkEnd w:id="27"/>
    </w:p>
    <w:p w14:paraId="17F734C7" w14:textId="77777777" w:rsidR="003623D9" w:rsidRPr="002F3624" w:rsidRDefault="003623D9" w:rsidP="003623D9">
      <w:pPr>
        <w:spacing w:before="120" w:after="120"/>
        <w:rPr>
          <w:rFonts w:cstheme="minorHAnsi"/>
        </w:rPr>
      </w:pPr>
      <w:r w:rsidRPr="002F3624">
        <w:rPr>
          <w:rFonts w:cstheme="minorHAnsi"/>
        </w:rPr>
        <w:t>The COVID unit also focused on ensuring callers were matched with appropriate staff from the telehealth team. In the initial COVID-19 lockdown</w:t>
      </w:r>
      <w:r>
        <w:rPr>
          <w:rFonts w:cstheme="minorHAnsi"/>
        </w:rPr>
        <w:t>,</w:t>
      </w:r>
      <w:r w:rsidRPr="002F3624">
        <w:rPr>
          <w:rFonts w:cstheme="minorHAnsi"/>
        </w:rPr>
        <w:t xml:space="preserve"> there were more Chinese callers, but the subsequent COVID-19 lockdown created a surge of </w:t>
      </w:r>
      <w:r>
        <w:rPr>
          <w:rFonts w:cstheme="minorHAnsi"/>
        </w:rPr>
        <w:t>Pacific</w:t>
      </w:r>
      <w:r w:rsidRPr="002F3624">
        <w:rPr>
          <w:rFonts w:cstheme="minorHAnsi"/>
        </w:rPr>
        <w:t xml:space="preserve"> peoples who spoke a variety of languages. The agility and trust that existed in the organisation meant </w:t>
      </w:r>
      <w:r>
        <w:rPr>
          <w:rFonts w:cstheme="minorHAnsi"/>
        </w:rPr>
        <w:t>it</w:t>
      </w:r>
      <w:r w:rsidRPr="002F3624">
        <w:rPr>
          <w:rFonts w:cstheme="minorHAnsi"/>
        </w:rPr>
        <w:t xml:space="preserve"> could easily respond by bringing in community interpreters to help – the clinicians supervised and trusted the right information was getting to the patients. This lesson is now business as usual and workforce recruitment is focused on language and representing the community it serves.</w:t>
      </w:r>
    </w:p>
    <w:p w14:paraId="01B070AB" w14:textId="77777777" w:rsidR="003623D9" w:rsidRPr="002F3624" w:rsidRDefault="003623D9" w:rsidP="003623D9">
      <w:pPr>
        <w:pStyle w:val="Heading2"/>
      </w:pPr>
      <w:bookmarkStart w:id="28" w:name="_Toc124833172"/>
      <w:r w:rsidRPr="002F3624">
        <w:t>Reflecting on the COVID response as test pilot</w:t>
      </w:r>
      <w:bookmarkEnd w:id="28"/>
    </w:p>
    <w:p w14:paraId="68DEF057" w14:textId="0EEE2FB4" w:rsidR="003623D9" w:rsidRDefault="003623D9" w:rsidP="003623D9">
      <w:pPr>
        <w:spacing w:before="120" w:after="120"/>
      </w:pPr>
      <w:r w:rsidRPr="002F3624">
        <w:t xml:space="preserve">The COVID unit within NTS has been likened to a </w:t>
      </w:r>
      <w:r>
        <w:t>‘</w:t>
      </w:r>
      <w:r w:rsidRPr="00426082">
        <w:t>test pilot</w:t>
      </w:r>
      <w:r>
        <w:t>’</w:t>
      </w:r>
      <w:r w:rsidRPr="00426082">
        <w:t xml:space="preserve"> and the core business unit as the </w:t>
      </w:r>
      <w:r>
        <w:t>‘</w:t>
      </w:r>
      <w:r w:rsidRPr="00426082">
        <w:t>mother ship (waka)</w:t>
      </w:r>
      <w:r>
        <w:t>’</w:t>
      </w:r>
      <w:r w:rsidRPr="002F3624">
        <w:t xml:space="preserve">. The COVID response team has their own waka and their own mahi. Then they come back to the mother ship and explain what they found and share what worked well for the community. This demonstrates the value of conducting design thinking and iterative testing </w:t>
      </w:r>
      <w:r>
        <w:t>–</w:t>
      </w:r>
      <w:r w:rsidRPr="002F3624">
        <w:t xml:space="preserve"> it’s like a safe test space for bringing innovation into the broader business.</w:t>
      </w:r>
    </w:p>
    <w:p w14:paraId="62A8D512" w14:textId="0202F4BA" w:rsidR="00EF3083" w:rsidRDefault="00EF3083" w:rsidP="003623D9">
      <w:pPr>
        <w:spacing w:before="120" w:after="120"/>
      </w:pPr>
    </w:p>
    <w:tbl>
      <w:tblPr>
        <w:tblStyle w:val="TableGrid"/>
        <w:tblW w:w="0" w:type="auto"/>
        <w:tblLook w:val="04A0" w:firstRow="1" w:lastRow="0" w:firstColumn="1" w:lastColumn="0" w:noHBand="0" w:noVBand="1"/>
      </w:tblPr>
      <w:tblGrid>
        <w:gridCol w:w="8347"/>
      </w:tblGrid>
      <w:tr w:rsidR="00EF3083" w14:paraId="045D84F0" w14:textId="77777777" w:rsidTr="00EF3083">
        <w:tc>
          <w:tcPr>
            <w:tcW w:w="8347" w:type="dxa"/>
          </w:tcPr>
          <w:p w14:paraId="62657DDF" w14:textId="77777777" w:rsidR="00EF3083" w:rsidRPr="00EF3083" w:rsidRDefault="00EF3083" w:rsidP="00EF3083">
            <w:pPr>
              <w:spacing w:before="120" w:after="120"/>
              <w:rPr>
                <w:b/>
                <w:bCs/>
              </w:rPr>
            </w:pPr>
            <w:r w:rsidRPr="00EF3083">
              <w:rPr>
                <w:b/>
                <w:bCs/>
              </w:rPr>
              <w:lastRenderedPageBreak/>
              <w:t xml:space="preserve">Contact tracing, information dissemination and the vaccine roll-out in Northland </w:t>
            </w:r>
          </w:p>
          <w:p w14:paraId="6A9AC108" w14:textId="77777777" w:rsidR="00EF3083" w:rsidRDefault="00EF3083" w:rsidP="00EF3083">
            <w:pPr>
              <w:spacing w:before="120" w:after="120"/>
            </w:pPr>
            <w:r>
              <w:t xml:space="preserve">Through Healthline, over 60 young people seeking work were trained and given jobs in </w:t>
            </w:r>
            <w:proofErr w:type="spellStart"/>
            <w:r>
              <w:t>Kaikohe</w:t>
            </w:r>
            <w:proofErr w:type="spellEnd"/>
            <w:r>
              <w:t xml:space="preserve"> in partnership with iwi and local services. This responded to the increasing number of queries in the region and the need for timely, accurate information for Māori. Most of these new employees speak </w:t>
            </w:r>
            <w:proofErr w:type="spellStart"/>
            <w:r>
              <w:t>te</w:t>
            </w:r>
            <w:proofErr w:type="spellEnd"/>
            <w:r>
              <w:t xml:space="preserve"> </w:t>
            </w:r>
            <w:proofErr w:type="spellStart"/>
            <w:r>
              <w:t>reo</w:t>
            </w:r>
            <w:proofErr w:type="spellEnd"/>
            <w:r>
              <w:t xml:space="preserve"> Māori and have strong community and cultural connections. They are supported by clinical teams working alongside them. The NTS has contributed to significant employment opportunities in </w:t>
            </w:r>
            <w:proofErr w:type="spellStart"/>
            <w:proofErr w:type="gramStart"/>
            <w:r>
              <w:t>Kaikohe</w:t>
            </w:r>
            <w:proofErr w:type="spellEnd"/>
            <w:proofErr w:type="gramEnd"/>
            <w:r>
              <w:t xml:space="preserve"> and they are providing accurate information in a suitable cultural context for Māori.</w:t>
            </w:r>
          </w:p>
          <w:p w14:paraId="4DEC34C2" w14:textId="77777777" w:rsidR="00EF3083" w:rsidRPr="00EF3083" w:rsidRDefault="00EF3083" w:rsidP="00EF3083">
            <w:pPr>
              <w:spacing w:before="120" w:after="120"/>
              <w:rPr>
                <w:b/>
                <w:bCs/>
              </w:rPr>
            </w:pPr>
            <w:r w:rsidRPr="00EF3083">
              <w:rPr>
                <w:b/>
                <w:bCs/>
              </w:rPr>
              <w:t>A service that was stood up efficiently during the COVID-19 lockdowns</w:t>
            </w:r>
          </w:p>
          <w:p w14:paraId="53D3EDFA" w14:textId="79B0E30B" w:rsidR="00EF3083" w:rsidRDefault="00EF3083" w:rsidP="00EF3083">
            <w:pPr>
              <w:spacing w:before="120" w:after="120"/>
            </w:pPr>
            <w:r>
              <w:t xml:space="preserve">During the initial COVID-19 lockdowns, Emerge Aotearoa (a </w:t>
            </w:r>
            <w:proofErr w:type="spellStart"/>
            <w:r>
              <w:t>whānau</w:t>
            </w:r>
            <w:proofErr w:type="spellEnd"/>
            <w:r>
              <w:t xml:space="preserve"> support organisation) wanted to set up peer support for its clients but needed an appropriate technology platform. NTS was able to leverage off the existing mental health service, </w:t>
            </w:r>
            <w:r w:rsidRPr="00EF3083">
              <w:rPr>
                <w:i/>
                <w:iCs/>
              </w:rPr>
              <w:t>1737 Need to Talk?</w:t>
            </w:r>
            <w:r>
              <w:t xml:space="preserve">, and quickly set up </w:t>
            </w:r>
            <w:r w:rsidRPr="00EF3083">
              <w:rPr>
                <w:i/>
                <w:iCs/>
              </w:rPr>
              <w:t>1737 Peer Support</w:t>
            </w:r>
            <w:r>
              <w:t xml:space="preserve"> for Emerge. The robust clinical practice was already in place with NTS, so adding peer services was cost-effective within the funding envelope.</w:t>
            </w:r>
          </w:p>
        </w:tc>
      </w:tr>
    </w:tbl>
    <w:p w14:paraId="4673273C" w14:textId="77777777" w:rsidR="00EF3083" w:rsidRDefault="00EF3083" w:rsidP="003623D9">
      <w:pPr>
        <w:spacing w:before="120" w:after="120"/>
      </w:pPr>
    </w:p>
    <w:p w14:paraId="54DE1C8F" w14:textId="67FA8206" w:rsidR="00EF3083" w:rsidRDefault="00EF3083" w:rsidP="003623D9">
      <w:pPr>
        <w:spacing w:before="120" w:after="120"/>
      </w:pPr>
    </w:p>
    <w:p w14:paraId="105B057C" w14:textId="77777777" w:rsidR="00EF3083" w:rsidRPr="002F3624" w:rsidRDefault="00EF3083" w:rsidP="003623D9">
      <w:pPr>
        <w:spacing w:before="120" w:after="120"/>
      </w:pPr>
    </w:p>
    <w:p w14:paraId="1DA65224" w14:textId="77777777" w:rsidR="00EF3083" w:rsidRDefault="00EF3083" w:rsidP="003623D9">
      <w:pPr>
        <w:pStyle w:val="Heading1"/>
        <w:sectPr w:rsidR="00EF3083" w:rsidSect="00A27D16">
          <w:pgSz w:w="11901" w:h="16817"/>
          <w:pgMar w:top="1418" w:right="1701" w:bottom="1134" w:left="1843" w:header="709" w:footer="425" w:gutter="0"/>
          <w:cols w:space="708"/>
          <w:docGrid w:linePitch="360"/>
        </w:sectPr>
      </w:pPr>
    </w:p>
    <w:p w14:paraId="4B4FA905" w14:textId="120324C5" w:rsidR="003623D9" w:rsidRPr="002F3624" w:rsidRDefault="003623D9" w:rsidP="00EF3083">
      <w:pPr>
        <w:pStyle w:val="Heading1"/>
        <w:spacing w:before="0"/>
      </w:pPr>
      <w:bookmarkStart w:id="29" w:name="_Toc124833173"/>
      <w:r w:rsidRPr="002F3624">
        <w:lastRenderedPageBreak/>
        <w:t>Other improvements</w:t>
      </w:r>
      <w:bookmarkEnd w:id="29"/>
      <w:r w:rsidRPr="002F3624">
        <w:t xml:space="preserve"> </w:t>
      </w:r>
    </w:p>
    <w:p w14:paraId="4A13F0A5" w14:textId="10A9E7E1" w:rsidR="003623D9" w:rsidRDefault="003623D9" w:rsidP="003623D9">
      <w:r w:rsidRPr="002F3624">
        <w:t xml:space="preserve">Some clients </w:t>
      </w:r>
      <w:r>
        <w:t>call</w:t>
      </w:r>
      <w:r w:rsidRPr="002F3624">
        <w:t xml:space="preserve"> one part of NTS (</w:t>
      </w:r>
      <w:proofErr w:type="spellStart"/>
      <w:r w:rsidRPr="002F3624">
        <w:t>eg</w:t>
      </w:r>
      <w:proofErr w:type="spellEnd"/>
      <w:r w:rsidRPr="002F3624">
        <w:t>, Healthline) but after triaging they are referred to another telehealth service. Initially, the technology could not track where clients ended up, only where they came in. But now the analytics can show referrals through the services. Ultimately, that data contributes to the insights and decision-making so the services can adapt to patients</w:t>
      </w:r>
      <w:r>
        <w:t>’</w:t>
      </w:r>
      <w:r w:rsidRPr="002F3624">
        <w:t xml:space="preserve"> needs and respond appropriately. </w:t>
      </w:r>
    </w:p>
    <w:p w14:paraId="61314A13" w14:textId="77777777" w:rsidR="00EF3083" w:rsidRPr="002F3624" w:rsidRDefault="00EF3083" w:rsidP="003623D9"/>
    <w:p w14:paraId="29C75024" w14:textId="77777777" w:rsidR="00000750" w:rsidRDefault="00000750" w:rsidP="003623D9">
      <w:pPr>
        <w:pStyle w:val="Heading1"/>
        <w:sectPr w:rsidR="00000750" w:rsidSect="00A27D16">
          <w:pgSz w:w="11901" w:h="16817"/>
          <w:pgMar w:top="1418" w:right="1701" w:bottom="1134" w:left="1843" w:header="709" w:footer="425" w:gutter="0"/>
          <w:cols w:space="708"/>
          <w:docGrid w:linePitch="360"/>
        </w:sectPr>
      </w:pPr>
    </w:p>
    <w:p w14:paraId="7C722D39" w14:textId="18204A19" w:rsidR="003623D9" w:rsidRPr="002F3624" w:rsidRDefault="003623D9" w:rsidP="00000750">
      <w:pPr>
        <w:pStyle w:val="Heading1"/>
        <w:spacing w:before="0"/>
      </w:pPr>
      <w:bookmarkStart w:id="30" w:name="_Toc124833174"/>
      <w:r w:rsidRPr="002F3624">
        <w:lastRenderedPageBreak/>
        <w:t>Conclusion</w:t>
      </w:r>
      <w:bookmarkEnd w:id="30"/>
    </w:p>
    <w:p w14:paraId="433DDF1D" w14:textId="5F12AB03" w:rsidR="003623D9" w:rsidRDefault="003623D9" w:rsidP="00562E2F">
      <w:pPr>
        <w:ind w:right="-290"/>
      </w:pPr>
      <w:r w:rsidRPr="002F3624">
        <w:t>This case study has explored the ongoing experiences and insights enabled through a 10-year contract (2015</w:t>
      </w:r>
      <w:r>
        <w:t>–</w:t>
      </w:r>
      <w:r w:rsidRPr="002F3624">
        <w:t xml:space="preserve">2025) between the National Telehealth Service and </w:t>
      </w:r>
      <w:proofErr w:type="spellStart"/>
      <w:r w:rsidRPr="002F3624">
        <w:t>Manatū</w:t>
      </w:r>
      <w:proofErr w:type="spellEnd"/>
      <w:r w:rsidRPr="002F3624">
        <w:t xml:space="preserve"> Hauora. The duration of the contract has created the conditions for numerous innovations to occur within NTS, which have improved the quality and access of health services </w:t>
      </w:r>
      <w:r w:rsidR="005E27C6">
        <w:t xml:space="preserve">particularly </w:t>
      </w:r>
      <w:r w:rsidRPr="002F3624">
        <w:t xml:space="preserve">for </w:t>
      </w:r>
      <w:proofErr w:type="spellStart"/>
      <w:r w:rsidRPr="002F3624">
        <w:t>whānau</w:t>
      </w:r>
      <w:proofErr w:type="spellEnd"/>
      <w:r w:rsidRPr="002F3624">
        <w:t xml:space="preserve"> Māori and Pacific families and helped NTS grow its service capacity and capability. </w:t>
      </w:r>
    </w:p>
    <w:p w14:paraId="443A1C9A" w14:textId="77777777" w:rsidR="00000750" w:rsidRPr="002F3624" w:rsidRDefault="00000750" w:rsidP="00562E2F">
      <w:pPr>
        <w:ind w:right="-290"/>
      </w:pPr>
    </w:p>
    <w:p w14:paraId="58EEEAAF" w14:textId="5A0BB65E" w:rsidR="003623D9" w:rsidRDefault="003623D9" w:rsidP="00562E2F">
      <w:pPr>
        <w:ind w:right="-290"/>
      </w:pPr>
      <w:r w:rsidRPr="002F3624">
        <w:t xml:space="preserve">Key lessons for </w:t>
      </w:r>
      <w:proofErr w:type="spellStart"/>
      <w:r w:rsidRPr="002F3624">
        <w:t>Manatū</w:t>
      </w:r>
      <w:proofErr w:type="spellEnd"/>
      <w:r w:rsidRPr="002F3624">
        <w:t xml:space="preserve"> Hauora are the importance of maintaining high trust, ongoing relationships with NTS, and how NTS can respond quickly to sudden change in demand caused through unexpected events such as the COVID-19 pandemic. While some challenges remain with ongoing matters to be addressed or managed, this case study suggests long-term contracts </w:t>
      </w:r>
      <w:r w:rsidR="00366E8C">
        <w:t xml:space="preserve">with the right conditions in place </w:t>
      </w:r>
      <w:r w:rsidRPr="002F3624">
        <w:t xml:space="preserve">will be a fruitful way to shape market capability and future applications of commissioning levers. </w:t>
      </w:r>
    </w:p>
    <w:p w14:paraId="2ECB586F" w14:textId="77777777" w:rsidR="00000750" w:rsidRPr="00000750" w:rsidRDefault="00000750" w:rsidP="00000750"/>
    <w:tbl>
      <w:tblPr>
        <w:tblStyle w:val="TableGrid"/>
        <w:tblW w:w="8500" w:type="dxa"/>
        <w:tblLook w:val="04A0" w:firstRow="1" w:lastRow="0" w:firstColumn="1" w:lastColumn="0" w:noHBand="0" w:noVBand="1"/>
      </w:tblPr>
      <w:tblGrid>
        <w:gridCol w:w="8500"/>
      </w:tblGrid>
      <w:tr w:rsidR="003623D9" w:rsidRPr="002F3624" w14:paraId="3BDC5DCD" w14:textId="77777777" w:rsidTr="00562E2F">
        <w:tc>
          <w:tcPr>
            <w:tcW w:w="8500" w:type="dxa"/>
          </w:tcPr>
          <w:p w14:paraId="60AE1410" w14:textId="77777777" w:rsidR="003623D9" w:rsidRPr="00000750" w:rsidRDefault="003623D9" w:rsidP="00562E2F">
            <w:pPr>
              <w:spacing w:before="80" w:after="80"/>
              <w:rPr>
                <w:b/>
                <w:bCs/>
              </w:rPr>
            </w:pPr>
            <w:r w:rsidRPr="00000750">
              <w:rPr>
                <w:b/>
                <w:bCs/>
              </w:rPr>
              <w:t>Summary of key findings from the 10-year contracting of telehealth services</w:t>
            </w:r>
          </w:p>
          <w:p w14:paraId="11449783" w14:textId="77777777" w:rsidR="003623D9" w:rsidRPr="002F3624" w:rsidRDefault="003623D9" w:rsidP="00562E2F">
            <w:pPr>
              <w:spacing w:before="80" w:after="80"/>
              <w:rPr>
                <w:rFonts w:cstheme="minorHAnsi"/>
                <w:i/>
                <w:iCs/>
              </w:rPr>
            </w:pPr>
            <w:r w:rsidRPr="002F3624">
              <w:rPr>
                <w:rFonts w:cstheme="minorHAnsi"/>
                <w:i/>
                <w:iCs/>
              </w:rPr>
              <w:t>Benefits</w:t>
            </w:r>
          </w:p>
          <w:p w14:paraId="0F752D12" w14:textId="77777777" w:rsidR="003623D9" w:rsidRPr="002F3624" w:rsidRDefault="003623D9" w:rsidP="00562E2F">
            <w:pPr>
              <w:pStyle w:val="Bullet"/>
              <w:spacing w:before="80" w:after="80"/>
            </w:pPr>
            <w:r w:rsidRPr="002F3624">
              <w:t xml:space="preserve">The </w:t>
            </w:r>
            <w:r>
              <w:t>‘</w:t>
            </w:r>
            <w:r w:rsidRPr="002F3624">
              <w:t>competitive dialogue</w:t>
            </w:r>
            <w:r>
              <w:t>’</w:t>
            </w:r>
            <w:r w:rsidRPr="002F3624">
              <w:t xml:space="preserve"> procurement process aided co-design with the sector and built relationships right from the beginning</w:t>
            </w:r>
            <w:r>
              <w:t>.</w:t>
            </w:r>
          </w:p>
          <w:p w14:paraId="1D4ED306" w14:textId="77777777" w:rsidR="003623D9" w:rsidRPr="002F3624" w:rsidRDefault="003623D9" w:rsidP="00562E2F">
            <w:pPr>
              <w:pStyle w:val="Bullet"/>
              <w:spacing w:before="80" w:after="80"/>
            </w:pPr>
            <w:r w:rsidRPr="002F3624">
              <w:t>The consolidated contract represents significant cost savings for the Ministry</w:t>
            </w:r>
            <w:r>
              <w:t>.</w:t>
            </w:r>
          </w:p>
          <w:p w14:paraId="74024B98" w14:textId="34DBF9B3" w:rsidR="003623D9" w:rsidRPr="002F3624" w:rsidRDefault="003623D9" w:rsidP="00562E2F">
            <w:pPr>
              <w:pStyle w:val="Bullet"/>
              <w:spacing w:before="80" w:after="80"/>
            </w:pPr>
            <w:r w:rsidRPr="002F3624">
              <w:t xml:space="preserve">Having one telehealth provider means less fragmented services for patients and </w:t>
            </w:r>
            <w:proofErr w:type="spellStart"/>
            <w:r w:rsidRPr="002F3624">
              <w:t>whānau</w:t>
            </w:r>
            <w:proofErr w:type="spellEnd"/>
            <w:r w:rsidRPr="002F3624">
              <w:t xml:space="preserve"> and more quality control for </w:t>
            </w:r>
            <w:r w:rsidR="006640CF">
              <w:t xml:space="preserve">NTS and </w:t>
            </w:r>
            <w:r w:rsidRPr="002F3624">
              <w:t>the Ministry</w:t>
            </w:r>
            <w:r>
              <w:t>.</w:t>
            </w:r>
          </w:p>
          <w:p w14:paraId="171AEBD3" w14:textId="77777777" w:rsidR="003623D9" w:rsidRPr="002F3624" w:rsidRDefault="003623D9" w:rsidP="00562E2F">
            <w:pPr>
              <w:pStyle w:val="Bullet"/>
              <w:spacing w:before="80" w:after="80"/>
            </w:pPr>
            <w:r w:rsidRPr="002F3624">
              <w:t>The long-term contract means strong relationships have been built</w:t>
            </w:r>
            <w:r>
              <w:t>,</w:t>
            </w:r>
            <w:r w:rsidRPr="002F3624">
              <w:t xml:space="preserve"> which enhance a higher-trust model and a way of working that leads to greater accountability</w:t>
            </w:r>
            <w:r>
              <w:t>.</w:t>
            </w:r>
          </w:p>
          <w:p w14:paraId="7ED5BCD0" w14:textId="77777777" w:rsidR="003623D9" w:rsidRPr="002F3624" w:rsidRDefault="003623D9" w:rsidP="00562E2F">
            <w:pPr>
              <w:pStyle w:val="Bullet"/>
              <w:spacing w:before="80" w:after="80"/>
            </w:pPr>
            <w:r w:rsidRPr="002F3624">
              <w:t xml:space="preserve">The longer-term contract means there is less focus on financial pressure such as, </w:t>
            </w:r>
            <w:r>
              <w:t>‘</w:t>
            </w:r>
            <w:r w:rsidRPr="002F3624">
              <w:t>How do we get our next funding?</w:t>
            </w:r>
            <w:r>
              <w:t>’</w:t>
            </w:r>
            <w:r w:rsidRPr="002F3624">
              <w:t xml:space="preserve"> and more </w:t>
            </w:r>
            <w:r>
              <w:t xml:space="preserve">focus </w:t>
            </w:r>
            <w:r w:rsidRPr="002F3624">
              <w:t xml:space="preserve">towards, </w:t>
            </w:r>
            <w:r>
              <w:t>‘</w:t>
            </w:r>
            <w:r w:rsidRPr="002F3624">
              <w:t>How can we have an innovative, responsive, patient-centred service?</w:t>
            </w:r>
            <w:r>
              <w:t>’</w:t>
            </w:r>
          </w:p>
          <w:p w14:paraId="68B97C7C" w14:textId="77777777" w:rsidR="003623D9" w:rsidRPr="002F3624" w:rsidRDefault="003623D9" w:rsidP="00562E2F">
            <w:pPr>
              <w:pStyle w:val="Bullet"/>
              <w:spacing w:before="80" w:after="80"/>
            </w:pPr>
            <w:r w:rsidRPr="002F3624">
              <w:t>Innovative ideas have time to be developed, tested and iterated</w:t>
            </w:r>
            <w:r>
              <w:t>.</w:t>
            </w:r>
          </w:p>
          <w:p w14:paraId="2EE983E1" w14:textId="77777777" w:rsidR="003623D9" w:rsidRPr="002F3624" w:rsidRDefault="003623D9" w:rsidP="00562E2F">
            <w:pPr>
              <w:pStyle w:val="Bullet"/>
              <w:spacing w:before="80" w:after="80"/>
            </w:pPr>
            <w:r w:rsidRPr="002F3624">
              <w:t>A responsive Māori and Pacific telehealth workforce has time to authentically develop</w:t>
            </w:r>
            <w:r>
              <w:t>.</w:t>
            </w:r>
          </w:p>
          <w:p w14:paraId="4F75189E" w14:textId="77777777" w:rsidR="003623D9" w:rsidRPr="002F3624" w:rsidRDefault="003623D9" w:rsidP="00562E2F">
            <w:pPr>
              <w:pStyle w:val="Bullet"/>
              <w:spacing w:before="80" w:after="80"/>
            </w:pPr>
            <w:r w:rsidRPr="002F3624">
              <w:t>The COVID unit has proven to be an agile, innovative arm of the organisation that learns quickly and brings those learnings back into the main business. This would not have been possible if the relationship with</w:t>
            </w:r>
            <w:r>
              <w:t xml:space="preserve"> the</w:t>
            </w:r>
            <w:r w:rsidRPr="002F3624">
              <w:t xml:space="preserve"> Ministry was not strong and the contract was overly rigid</w:t>
            </w:r>
            <w:r>
              <w:t>.</w:t>
            </w:r>
          </w:p>
          <w:p w14:paraId="5A3E42FC" w14:textId="130684FC" w:rsidR="003623D9" w:rsidRPr="002F3624" w:rsidRDefault="006640CF" w:rsidP="00562E2F">
            <w:pPr>
              <w:spacing w:before="80" w:after="80"/>
              <w:rPr>
                <w:rFonts w:cstheme="minorHAnsi"/>
                <w:i/>
                <w:iCs/>
              </w:rPr>
            </w:pPr>
            <w:r>
              <w:rPr>
                <w:rFonts w:cstheme="minorHAnsi"/>
                <w:i/>
                <w:iCs/>
              </w:rPr>
              <w:t>Challenges</w:t>
            </w:r>
          </w:p>
          <w:p w14:paraId="219C925E" w14:textId="77777777" w:rsidR="003623D9" w:rsidRPr="002F3624" w:rsidRDefault="003623D9" w:rsidP="00562E2F">
            <w:pPr>
              <w:pStyle w:val="Bullet"/>
              <w:spacing w:before="80" w:after="80"/>
            </w:pPr>
            <w:r w:rsidRPr="002F3624">
              <w:t>A long-term contract has risks for government if the service does not evolve and improve over time</w:t>
            </w:r>
            <w:r>
              <w:t>.</w:t>
            </w:r>
          </w:p>
          <w:p w14:paraId="0EA7EB4E" w14:textId="334A5A90" w:rsidR="003623D9" w:rsidRPr="002F3624" w:rsidRDefault="003623D9" w:rsidP="00562E2F">
            <w:pPr>
              <w:pStyle w:val="Bullet"/>
              <w:spacing w:before="80" w:after="80"/>
            </w:pPr>
            <w:r w:rsidRPr="002F3624">
              <w:t xml:space="preserve">With a long-term, outcomes-focused contract like this, </w:t>
            </w:r>
            <w:r w:rsidR="0066502C">
              <w:t xml:space="preserve">it is important not to </w:t>
            </w:r>
            <w:r w:rsidR="00FA6324">
              <w:t>add</w:t>
            </w:r>
            <w:r w:rsidRPr="002F3624">
              <w:t xml:space="preserve"> too many other components in an ad hoc way rather than being more strategic and ensuring the service still delivers on its core objectives.</w:t>
            </w:r>
          </w:p>
          <w:p w14:paraId="5AFAC9EE" w14:textId="77777777" w:rsidR="003623D9" w:rsidRPr="002F3624" w:rsidRDefault="003623D9" w:rsidP="00562E2F">
            <w:pPr>
              <w:pStyle w:val="Bullet"/>
              <w:spacing w:before="80" w:after="80"/>
            </w:pPr>
            <w:r w:rsidRPr="002F3624">
              <w:t>A large long-term contract may create barriers of entry for small providers</w:t>
            </w:r>
            <w:r>
              <w:t>.</w:t>
            </w:r>
          </w:p>
          <w:p w14:paraId="62218AF2" w14:textId="77777777" w:rsidR="003623D9" w:rsidRPr="002F3624" w:rsidRDefault="003623D9" w:rsidP="00562E2F">
            <w:pPr>
              <w:pStyle w:val="Bullet"/>
              <w:spacing w:before="80" w:after="80"/>
              <w:rPr>
                <w:b/>
                <w:bCs/>
              </w:rPr>
            </w:pPr>
            <w:r>
              <w:t>The arrangement puts a h</w:t>
            </w:r>
            <w:r w:rsidRPr="002F3624">
              <w:t>igh demand on relationship management</w:t>
            </w:r>
            <w:r>
              <w:t>.</w:t>
            </w:r>
          </w:p>
        </w:tc>
      </w:tr>
    </w:tbl>
    <w:p w14:paraId="55E5E3AE" w14:textId="77777777" w:rsidR="003623D9" w:rsidRPr="002F3624" w:rsidRDefault="003623D9" w:rsidP="00562E2F">
      <w:pPr>
        <w:pStyle w:val="Heading1"/>
        <w:spacing w:before="0"/>
      </w:pPr>
      <w:bookmarkStart w:id="31" w:name="_Toc124833175"/>
      <w:r w:rsidRPr="002F3624">
        <w:lastRenderedPageBreak/>
        <w:t xml:space="preserve">Appendix </w:t>
      </w:r>
      <w:r>
        <w:t>1: Services offered by the National Telehealth Service</w:t>
      </w:r>
      <w:bookmarkEnd w:id="31"/>
    </w:p>
    <w:p w14:paraId="6F5C5D3B" w14:textId="77777777" w:rsidR="003623D9" w:rsidRPr="002F3624" w:rsidRDefault="003623D9" w:rsidP="003623D9"/>
    <w:tbl>
      <w:tblPr>
        <w:tblStyle w:val="TableGrid1"/>
        <w:tblW w:w="864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8"/>
        <w:gridCol w:w="1843"/>
        <w:gridCol w:w="3118"/>
        <w:gridCol w:w="2268"/>
      </w:tblGrid>
      <w:tr w:rsidR="003623D9" w:rsidRPr="002F3624" w14:paraId="5A553F3D" w14:textId="77777777" w:rsidTr="00562E2F">
        <w:trPr>
          <w:trHeight w:val="270"/>
          <w:tblHeader/>
        </w:trPr>
        <w:tc>
          <w:tcPr>
            <w:tcW w:w="1418" w:type="dxa"/>
            <w:tcBorders>
              <w:top w:val="nil"/>
              <w:bottom w:val="nil"/>
              <w:right w:val="nil"/>
            </w:tcBorders>
            <w:shd w:val="clear" w:color="auto" w:fill="F2F2F2" w:themeFill="background1" w:themeFillShade="F2"/>
          </w:tcPr>
          <w:p w14:paraId="45719B2B" w14:textId="77777777" w:rsidR="003623D9" w:rsidRPr="00562E2F" w:rsidRDefault="003623D9" w:rsidP="00562E2F">
            <w:pPr>
              <w:pStyle w:val="TableText"/>
              <w:rPr>
                <w:b/>
                <w:bCs/>
              </w:rPr>
            </w:pPr>
            <w:r w:rsidRPr="00562E2F">
              <w:rPr>
                <w:b/>
                <w:bCs/>
              </w:rPr>
              <w:t>Service</w:t>
            </w:r>
          </w:p>
        </w:tc>
        <w:tc>
          <w:tcPr>
            <w:tcW w:w="1843" w:type="dxa"/>
            <w:tcBorders>
              <w:top w:val="nil"/>
              <w:left w:val="nil"/>
              <w:bottom w:val="nil"/>
              <w:right w:val="nil"/>
            </w:tcBorders>
            <w:shd w:val="clear" w:color="auto" w:fill="F2F2F2" w:themeFill="background1" w:themeFillShade="F2"/>
          </w:tcPr>
          <w:p w14:paraId="325A887A" w14:textId="77777777" w:rsidR="003623D9" w:rsidRPr="00562E2F" w:rsidRDefault="003623D9" w:rsidP="00562E2F">
            <w:pPr>
              <w:pStyle w:val="TableText"/>
              <w:rPr>
                <w:b/>
                <w:bCs/>
              </w:rPr>
            </w:pPr>
            <w:r w:rsidRPr="00562E2F">
              <w:rPr>
                <w:b/>
                <w:bCs/>
              </w:rPr>
              <w:t>Team</w:t>
            </w:r>
          </w:p>
        </w:tc>
        <w:tc>
          <w:tcPr>
            <w:tcW w:w="3118" w:type="dxa"/>
            <w:tcBorders>
              <w:top w:val="nil"/>
              <w:left w:val="nil"/>
              <w:bottom w:val="nil"/>
              <w:right w:val="nil"/>
            </w:tcBorders>
            <w:shd w:val="clear" w:color="auto" w:fill="F2F2F2" w:themeFill="background1" w:themeFillShade="F2"/>
          </w:tcPr>
          <w:p w14:paraId="56329194" w14:textId="77777777" w:rsidR="003623D9" w:rsidRPr="00562E2F" w:rsidRDefault="003623D9" w:rsidP="00562E2F">
            <w:pPr>
              <w:pStyle w:val="TableText"/>
              <w:rPr>
                <w:b/>
                <w:bCs/>
              </w:rPr>
            </w:pPr>
            <w:r w:rsidRPr="00562E2F">
              <w:rPr>
                <w:b/>
                <w:bCs/>
              </w:rPr>
              <w:t>Description</w:t>
            </w:r>
          </w:p>
        </w:tc>
        <w:tc>
          <w:tcPr>
            <w:tcW w:w="2268" w:type="dxa"/>
            <w:tcBorders>
              <w:top w:val="nil"/>
              <w:left w:val="nil"/>
              <w:bottom w:val="nil"/>
            </w:tcBorders>
            <w:shd w:val="clear" w:color="auto" w:fill="F2F2F2" w:themeFill="background1" w:themeFillShade="F2"/>
          </w:tcPr>
          <w:p w14:paraId="6D07ABC3" w14:textId="77777777" w:rsidR="003623D9" w:rsidRPr="00562E2F" w:rsidRDefault="003623D9" w:rsidP="00562E2F">
            <w:pPr>
              <w:pStyle w:val="TableText"/>
              <w:rPr>
                <w:b/>
                <w:bCs/>
              </w:rPr>
            </w:pPr>
            <w:r w:rsidRPr="00562E2F">
              <w:rPr>
                <w:b/>
                <w:bCs/>
              </w:rPr>
              <w:t>Channel(s)</w:t>
            </w:r>
          </w:p>
        </w:tc>
      </w:tr>
      <w:tr w:rsidR="003623D9" w:rsidRPr="00562E2F" w14:paraId="1700E2B4" w14:textId="77777777" w:rsidTr="00562E2F">
        <w:trPr>
          <w:trHeight w:val="279"/>
        </w:trPr>
        <w:tc>
          <w:tcPr>
            <w:tcW w:w="8647" w:type="dxa"/>
            <w:gridSpan w:val="4"/>
            <w:tcBorders>
              <w:top w:val="nil"/>
              <w:bottom w:val="nil"/>
            </w:tcBorders>
            <w:shd w:val="clear" w:color="auto" w:fill="D9D9D9" w:themeFill="background1" w:themeFillShade="D9"/>
            <w:vAlign w:val="center"/>
          </w:tcPr>
          <w:p w14:paraId="1367FA7A" w14:textId="77777777" w:rsidR="003623D9" w:rsidRPr="00562E2F" w:rsidRDefault="003623D9" w:rsidP="00562E2F">
            <w:pPr>
              <w:pStyle w:val="TableText"/>
              <w:rPr>
                <w:b/>
              </w:rPr>
            </w:pPr>
            <w:r w:rsidRPr="00562E2F">
              <w:rPr>
                <w:b/>
              </w:rPr>
              <w:t>HEALTH SERVICES</w:t>
            </w:r>
          </w:p>
        </w:tc>
      </w:tr>
      <w:tr w:rsidR="003623D9" w:rsidRPr="002F3624" w14:paraId="30B64C43" w14:textId="77777777" w:rsidTr="00562E2F">
        <w:trPr>
          <w:trHeight w:val="552"/>
        </w:trPr>
        <w:tc>
          <w:tcPr>
            <w:tcW w:w="1418" w:type="dxa"/>
            <w:tcBorders>
              <w:top w:val="nil"/>
            </w:tcBorders>
            <w:vAlign w:val="center"/>
          </w:tcPr>
          <w:p w14:paraId="1805D8B4" w14:textId="77777777" w:rsidR="003623D9" w:rsidRPr="002F3624" w:rsidRDefault="003623D9" w:rsidP="00562E2F">
            <w:pPr>
              <w:pStyle w:val="TableText"/>
              <w:rPr>
                <w:rFonts w:eastAsiaTheme="minorHAnsi"/>
                <w:lang w:eastAsia="en-US"/>
              </w:rPr>
            </w:pPr>
            <w:r w:rsidRPr="002F3624">
              <w:rPr>
                <w:rFonts w:eastAsiaTheme="minorHAnsi"/>
                <w:lang w:eastAsia="en-US"/>
              </w:rPr>
              <w:t>Healthline</w:t>
            </w:r>
          </w:p>
        </w:tc>
        <w:tc>
          <w:tcPr>
            <w:tcW w:w="1843" w:type="dxa"/>
            <w:tcBorders>
              <w:top w:val="nil"/>
            </w:tcBorders>
            <w:vAlign w:val="center"/>
          </w:tcPr>
          <w:p w14:paraId="3357258B" w14:textId="77777777" w:rsidR="003623D9" w:rsidRPr="002F3624" w:rsidRDefault="003623D9" w:rsidP="00562E2F">
            <w:pPr>
              <w:pStyle w:val="TableText"/>
            </w:pPr>
            <w:r w:rsidRPr="002F3624">
              <w:t>General Nursing</w:t>
            </w:r>
          </w:p>
        </w:tc>
        <w:tc>
          <w:tcPr>
            <w:tcW w:w="3118" w:type="dxa"/>
            <w:tcBorders>
              <w:top w:val="nil"/>
            </w:tcBorders>
            <w:vAlign w:val="center"/>
          </w:tcPr>
          <w:p w14:paraId="31480928" w14:textId="77777777" w:rsidR="003623D9" w:rsidRPr="002F3624" w:rsidRDefault="003623D9" w:rsidP="00562E2F">
            <w:pPr>
              <w:pStyle w:val="TableText"/>
            </w:pPr>
            <w:r w:rsidRPr="002F3624">
              <w:t>Health triage, advice and information</w:t>
            </w:r>
          </w:p>
        </w:tc>
        <w:tc>
          <w:tcPr>
            <w:tcW w:w="2268" w:type="dxa"/>
            <w:tcBorders>
              <w:top w:val="nil"/>
            </w:tcBorders>
            <w:vAlign w:val="center"/>
          </w:tcPr>
          <w:p w14:paraId="33941E32" w14:textId="77777777" w:rsidR="003623D9" w:rsidRPr="002F3624" w:rsidRDefault="003623D9" w:rsidP="00562E2F">
            <w:pPr>
              <w:pStyle w:val="TableText"/>
            </w:pPr>
            <w:r w:rsidRPr="002F3624">
              <w:t>0800 611 116</w:t>
            </w:r>
          </w:p>
          <w:p w14:paraId="545735C3" w14:textId="77777777" w:rsidR="003623D9" w:rsidRPr="002F3624" w:rsidRDefault="00F25F52" w:rsidP="00562E2F">
            <w:pPr>
              <w:pStyle w:val="TableText"/>
            </w:pPr>
            <w:hyperlink r:id="rId25" w:history="1">
              <w:r w:rsidR="003623D9" w:rsidRPr="002F3624">
                <w:rPr>
                  <w:color w:val="0000FF"/>
                  <w:u w:val="single"/>
                </w:rPr>
                <w:t>www.healthline.govt.nz</w:t>
              </w:r>
            </w:hyperlink>
          </w:p>
        </w:tc>
      </w:tr>
      <w:tr w:rsidR="003623D9" w:rsidRPr="002F3624" w14:paraId="6A53555A" w14:textId="77777777" w:rsidTr="00562E2F">
        <w:trPr>
          <w:trHeight w:val="525"/>
        </w:trPr>
        <w:tc>
          <w:tcPr>
            <w:tcW w:w="1418" w:type="dxa"/>
            <w:vAlign w:val="center"/>
          </w:tcPr>
          <w:p w14:paraId="5C9878AF" w14:textId="77777777" w:rsidR="003623D9" w:rsidRPr="002F3624" w:rsidRDefault="003623D9" w:rsidP="00562E2F">
            <w:pPr>
              <w:pStyle w:val="TableText"/>
              <w:rPr>
                <w:rFonts w:eastAsiaTheme="minorHAnsi"/>
                <w:lang w:eastAsia="en-US"/>
              </w:rPr>
            </w:pPr>
            <w:r w:rsidRPr="002F3624">
              <w:rPr>
                <w:rFonts w:eastAsiaTheme="minorHAnsi"/>
                <w:lang w:eastAsia="en-US"/>
              </w:rPr>
              <w:t>GP After Hours</w:t>
            </w:r>
          </w:p>
        </w:tc>
        <w:tc>
          <w:tcPr>
            <w:tcW w:w="1843" w:type="dxa"/>
            <w:vAlign w:val="center"/>
          </w:tcPr>
          <w:p w14:paraId="605AC350" w14:textId="77777777" w:rsidR="003623D9" w:rsidRPr="002F3624" w:rsidRDefault="003623D9" w:rsidP="00562E2F">
            <w:pPr>
              <w:pStyle w:val="TableText"/>
            </w:pPr>
            <w:r w:rsidRPr="002F3624">
              <w:t>General Nursing</w:t>
            </w:r>
          </w:p>
        </w:tc>
        <w:tc>
          <w:tcPr>
            <w:tcW w:w="3118" w:type="dxa"/>
            <w:vAlign w:val="center"/>
          </w:tcPr>
          <w:p w14:paraId="1503C9ED" w14:textId="77777777" w:rsidR="003623D9" w:rsidRPr="002F3624" w:rsidRDefault="003623D9" w:rsidP="00562E2F">
            <w:pPr>
              <w:pStyle w:val="TableText"/>
            </w:pPr>
            <w:r w:rsidRPr="002F3624">
              <w:t xml:space="preserve">Health triage, advice and information for contracted </w:t>
            </w:r>
            <w:r>
              <w:t>g</w:t>
            </w:r>
            <w:r w:rsidRPr="002F3624">
              <w:t xml:space="preserve">eneral </w:t>
            </w:r>
            <w:r>
              <w:t>p</w:t>
            </w:r>
            <w:r w:rsidRPr="002F3624">
              <w:t>ractices</w:t>
            </w:r>
          </w:p>
        </w:tc>
        <w:tc>
          <w:tcPr>
            <w:tcW w:w="2268" w:type="dxa"/>
            <w:vAlign w:val="center"/>
          </w:tcPr>
          <w:p w14:paraId="4D665839" w14:textId="77777777" w:rsidR="003623D9" w:rsidRPr="002F3624" w:rsidRDefault="003623D9" w:rsidP="00562E2F">
            <w:pPr>
              <w:pStyle w:val="TableText"/>
            </w:pPr>
            <w:r w:rsidRPr="002F3624">
              <w:t>Phone only</w:t>
            </w:r>
          </w:p>
        </w:tc>
      </w:tr>
      <w:tr w:rsidR="003623D9" w:rsidRPr="002F3624" w14:paraId="461CC33D" w14:textId="77777777" w:rsidTr="00562E2F">
        <w:trPr>
          <w:trHeight w:val="525"/>
        </w:trPr>
        <w:tc>
          <w:tcPr>
            <w:tcW w:w="1418" w:type="dxa"/>
            <w:vAlign w:val="center"/>
          </w:tcPr>
          <w:p w14:paraId="19FE44F3" w14:textId="77777777" w:rsidR="003623D9" w:rsidRPr="002F3624" w:rsidRDefault="003623D9" w:rsidP="00562E2F">
            <w:pPr>
              <w:pStyle w:val="TableText"/>
              <w:rPr>
                <w:rFonts w:eastAsiaTheme="minorHAnsi"/>
                <w:lang w:eastAsia="en-US"/>
              </w:rPr>
            </w:pPr>
            <w:r w:rsidRPr="002F3624">
              <w:rPr>
                <w:rFonts w:eastAsiaTheme="minorHAnsi"/>
                <w:lang w:eastAsia="en-US"/>
              </w:rPr>
              <w:t>Immunisation advice</w:t>
            </w:r>
          </w:p>
        </w:tc>
        <w:tc>
          <w:tcPr>
            <w:tcW w:w="1843" w:type="dxa"/>
            <w:vAlign w:val="center"/>
          </w:tcPr>
          <w:p w14:paraId="4AA7DD4B" w14:textId="77777777" w:rsidR="003623D9" w:rsidRPr="002F3624" w:rsidRDefault="003623D9" w:rsidP="00562E2F">
            <w:pPr>
              <w:pStyle w:val="TableText"/>
            </w:pPr>
            <w:r w:rsidRPr="002F3624">
              <w:t>General Nursing</w:t>
            </w:r>
          </w:p>
        </w:tc>
        <w:tc>
          <w:tcPr>
            <w:tcW w:w="3118" w:type="dxa"/>
            <w:vAlign w:val="center"/>
          </w:tcPr>
          <w:p w14:paraId="24E156DF" w14:textId="77777777" w:rsidR="003623D9" w:rsidRPr="002F3624" w:rsidRDefault="003623D9" w:rsidP="00562E2F">
            <w:pPr>
              <w:pStyle w:val="TableText"/>
            </w:pPr>
            <w:r w:rsidRPr="002F3624">
              <w:t>Immunisation advice provided to the public in partnership with the Immunisation Advisory Centre</w:t>
            </w:r>
          </w:p>
        </w:tc>
        <w:tc>
          <w:tcPr>
            <w:tcW w:w="2268" w:type="dxa"/>
            <w:vAlign w:val="center"/>
          </w:tcPr>
          <w:p w14:paraId="73CE6D91" w14:textId="77777777" w:rsidR="003623D9" w:rsidRPr="002F3624" w:rsidRDefault="003623D9" w:rsidP="00562E2F">
            <w:pPr>
              <w:pStyle w:val="TableText"/>
            </w:pPr>
            <w:r w:rsidRPr="002F3624">
              <w:t>0800 IMMUNE</w:t>
            </w:r>
          </w:p>
          <w:p w14:paraId="514E5B98" w14:textId="77777777" w:rsidR="003623D9" w:rsidRPr="002F3624" w:rsidRDefault="00F25F52" w:rsidP="00562E2F">
            <w:pPr>
              <w:pStyle w:val="TableText"/>
            </w:pPr>
            <w:hyperlink r:id="rId26" w:history="1">
              <w:r w:rsidR="003623D9" w:rsidRPr="002F3624">
                <w:rPr>
                  <w:color w:val="0000FF"/>
                  <w:u w:val="single"/>
                </w:rPr>
                <w:t>www.immune.org.nz</w:t>
              </w:r>
            </w:hyperlink>
          </w:p>
        </w:tc>
      </w:tr>
      <w:tr w:rsidR="003623D9" w:rsidRPr="002F3624" w14:paraId="36AADEF1" w14:textId="77777777" w:rsidTr="00562E2F">
        <w:trPr>
          <w:trHeight w:val="494"/>
        </w:trPr>
        <w:tc>
          <w:tcPr>
            <w:tcW w:w="1418" w:type="dxa"/>
            <w:vAlign w:val="center"/>
          </w:tcPr>
          <w:p w14:paraId="587AE003" w14:textId="77777777" w:rsidR="003623D9" w:rsidRPr="002F3624" w:rsidRDefault="003623D9" w:rsidP="00562E2F">
            <w:pPr>
              <w:pStyle w:val="TableText"/>
              <w:rPr>
                <w:rFonts w:eastAsiaTheme="minorHAnsi"/>
                <w:lang w:eastAsia="en-US"/>
              </w:rPr>
            </w:pPr>
            <w:r w:rsidRPr="002F3624">
              <w:rPr>
                <w:rFonts w:eastAsiaTheme="minorHAnsi"/>
                <w:lang w:eastAsia="en-US"/>
              </w:rPr>
              <w:t>Live Kidney Donation</w:t>
            </w:r>
          </w:p>
        </w:tc>
        <w:tc>
          <w:tcPr>
            <w:tcW w:w="1843" w:type="dxa"/>
            <w:vAlign w:val="center"/>
          </w:tcPr>
          <w:p w14:paraId="7CF0BFA8" w14:textId="77777777" w:rsidR="003623D9" w:rsidRPr="002F3624" w:rsidRDefault="003623D9" w:rsidP="00562E2F">
            <w:pPr>
              <w:pStyle w:val="TableText"/>
            </w:pPr>
            <w:r w:rsidRPr="002F3624">
              <w:t>General Nursing</w:t>
            </w:r>
          </w:p>
        </w:tc>
        <w:tc>
          <w:tcPr>
            <w:tcW w:w="3118" w:type="dxa"/>
            <w:vAlign w:val="center"/>
          </w:tcPr>
          <w:p w14:paraId="3AF597CD" w14:textId="77777777" w:rsidR="003623D9" w:rsidRPr="002F3624" w:rsidRDefault="003623D9" w:rsidP="00562E2F">
            <w:pPr>
              <w:pStyle w:val="TableText"/>
            </w:pPr>
            <w:r w:rsidRPr="002F3624">
              <w:t xml:space="preserve">A </w:t>
            </w:r>
            <w:r>
              <w:t>‘</w:t>
            </w:r>
            <w:r w:rsidRPr="002F3624">
              <w:t>front door</w:t>
            </w:r>
            <w:r>
              <w:t>’</w:t>
            </w:r>
            <w:r w:rsidRPr="002F3624">
              <w:t xml:space="preserve"> for people enquiring about being a kidney donor</w:t>
            </w:r>
          </w:p>
        </w:tc>
        <w:tc>
          <w:tcPr>
            <w:tcW w:w="2268" w:type="dxa"/>
            <w:vAlign w:val="center"/>
          </w:tcPr>
          <w:p w14:paraId="7ACD7267" w14:textId="77777777" w:rsidR="003623D9" w:rsidRPr="002F3624" w:rsidRDefault="003623D9" w:rsidP="00562E2F">
            <w:pPr>
              <w:pStyle w:val="TableText"/>
            </w:pPr>
            <w:r w:rsidRPr="002F3624">
              <w:t>0800 LIVE DONOR</w:t>
            </w:r>
          </w:p>
        </w:tc>
      </w:tr>
      <w:tr w:rsidR="003623D9" w:rsidRPr="002F3624" w14:paraId="5C0B4E3E" w14:textId="77777777" w:rsidTr="00562E2F">
        <w:trPr>
          <w:trHeight w:val="705"/>
        </w:trPr>
        <w:tc>
          <w:tcPr>
            <w:tcW w:w="1418" w:type="dxa"/>
            <w:vAlign w:val="center"/>
          </w:tcPr>
          <w:p w14:paraId="54379166" w14:textId="77777777" w:rsidR="003623D9" w:rsidRPr="002F3624" w:rsidRDefault="003623D9" w:rsidP="00562E2F">
            <w:pPr>
              <w:pStyle w:val="TableText"/>
              <w:rPr>
                <w:rFonts w:eastAsiaTheme="minorHAnsi"/>
                <w:lang w:eastAsia="en-US"/>
              </w:rPr>
            </w:pPr>
            <w:r w:rsidRPr="002F3624">
              <w:rPr>
                <w:rFonts w:eastAsiaTheme="minorHAnsi"/>
                <w:lang w:eastAsia="en-US"/>
              </w:rPr>
              <w:t>The Diver Emergency Service (DES)</w:t>
            </w:r>
          </w:p>
        </w:tc>
        <w:tc>
          <w:tcPr>
            <w:tcW w:w="1843" w:type="dxa"/>
            <w:vAlign w:val="center"/>
          </w:tcPr>
          <w:p w14:paraId="72D1EBB0" w14:textId="77777777" w:rsidR="003623D9" w:rsidRPr="002F3624" w:rsidRDefault="003623D9" w:rsidP="00562E2F">
            <w:pPr>
              <w:pStyle w:val="TableText"/>
            </w:pPr>
            <w:r w:rsidRPr="002F3624">
              <w:t>General Nursing</w:t>
            </w:r>
          </w:p>
        </w:tc>
        <w:tc>
          <w:tcPr>
            <w:tcW w:w="3118" w:type="dxa"/>
            <w:vAlign w:val="center"/>
          </w:tcPr>
          <w:p w14:paraId="7A4BC5E1" w14:textId="77777777" w:rsidR="003623D9" w:rsidRPr="002F3624" w:rsidRDefault="003623D9" w:rsidP="00562E2F">
            <w:pPr>
              <w:pStyle w:val="TableText"/>
            </w:pPr>
            <w:r w:rsidRPr="002F3624">
              <w:t>Advice on diving</w:t>
            </w:r>
            <w:r>
              <w:t>-</w:t>
            </w:r>
            <w:r w:rsidRPr="002F3624">
              <w:t>related incidents, accidents or injuries, including the emergency management of decompression illness</w:t>
            </w:r>
          </w:p>
        </w:tc>
        <w:tc>
          <w:tcPr>
            <w:tcW w:w="2268" w:type="dxa"/>
            <w:vAlign w:val="center"/>
          </w:tcPr>
          <w:p w14:paraId="47F34E2F" w14:textId="77777777" w:rsidR="003623D9" w:rsidRPr="002F3624" w:rsidRDefault="003623D9" w:rsidP="00562E2F">
            <w:pPr>
              <w:pStyle w:val="TableText"/>
            </w:pPr>
            <w:r w:rsidRPr="002F3624">
              <w:t>0800 4 DES 111</w:t>
            </w:r>
          </w:p>
        </w:tc>
      </w:tr>
      <w:tr w:rsidR="003623D9" w:rsidRPr="002F3624" w14:paraId="3F20C580" w14:textId="77777777" w:rsidTr="00562E2F">
        <w:trPr>
          <w:trHeight w:val="693"/>
        </w:trPr>
        <w:tc>
          <w:tcPr>
            <w:tcW w:w="1418" w:type="dxa"/>
            <w:vAlign w:val="center"/>
          </w:tcPr>
          <w:p w14:paraId="38C59350" w14:textId="77777777" w:rsidR="003623D9" w:rsidRPr="002F3624" w:rsidRDefault="003623D9" w:rsidP="00562E2F">
            <w:pPr>
              <w:pStyle w:val="TableText"/>
              <w:rPr>
                <w:rFonts w:eastAsiaTheme="minorHAnsi"/>
                <w:lang w:eastAsia="en-US"/>
              </w:rPr>
            </w:pPr>
            <w:r w:rsidRPr="002F3624">
              <w:rPr>
                <w:rFonts w:eastAsiaTheme="minorHAnsi"/>
                <w:lang w:eastAsia="en-US"/>
              </w:rPr>
              <w:t>Emergency Triage</w:t>
            </w:r>
          </w:p>
        </w:tc>
        <w:tc>
          <w:tcPr>
            <w:tcW w:w="1843" w:type="dxa"/>
            <w:vAlign w:val="center"/>
          </w:tcPr>
          <w:p w14:paraId="0EB14865" w14:textId="77777777" w:rsidR="003623D9" w:rsidRPr="002F3624" w:rsidRDefault="003623D9" w:rsidP="00562E2F">
            <w:pPr>
              <w:pStyle w:val="TableText"/>
            </w:pPr>
            <w:r w:rsidRPr="002F3624">
              <w:t>Emergency Nursing Team</w:t>
            </w:r>
          </w:p>
        </w:tc>
        <w:tc>
          <w:tcPr>
            <w:tcW w:w="3118" w:type="dxa"/>
            <w:vAlign w:val="center"/>
          </w:tcPr>
          <w:p w14:paraId="4233067C" w14:textId="77777777" w:rsidR="003623D9" w:rsidRPr="002F3624" w:rsidRDefault="003623D9" w:rsidP="00562E2F">
            <w:pPr>
              <w:pStyle w:val="TableText"/>
            </w:pPr>
            <w:r w:rsidRPr="002F3624">
              <w:t>Clinical telephone assessments by registered nurses for low-acuity 111 calls to St John and Wellington Free Ambulance</w:t>
            </w:r>
          </w:p>
        </w:tc>
        <w:tc>
          <w:tcPr>
            <w:tcW w:w="2268" w:type="dxa"/>
            <w:vAlign w:val="center"/>
          </w:tcPr>
          <w:p w14:paraId="3A8C9AF0" w14:textId="77777777" w:rsidR="003623D9" w:rsidRPr="002F3624" w:rsidRDefault="003623D9" w:rsidP="00562E2F">
            <w:pPr>
              <w:pStyle w:val="TableText"/>
            </w:pPr>
            <w:r w:rsidRPr="002F3624">
              <w:t>111 calls to St John and Wellington Free Ambulance</w:t>
            </w:r>
          </w:p>
        </w:tc>
      </w:tr>
      <w:tr w:rsidR="003623D9" w:rsidRPr="002F3624" w14:paraId="2711F2EB" w14:textId="77777777" w:rsidTr="00562E2F">
        <w:trPr>
          <w:trHeight w:val="705"/>
        </w:trPr>
        <w:tc>
          <w:tcPr>
            <w:tcW w:w="1418" w:type="dxa"/>
            <w:vAlign w:val="center"/>
          </w:tcPr>
          <w:p w14:paraId="674590F2" w14:textId="77777777" w:rsidR="003623D9" w:rsidRPr="002F3624" w:rsidRDefault="003623D9" w:rsidP="00562E2F">
            <w:pPr>
              <w:pStyle w:val="TableText"/>
              <w:rPr>
                <w:rFonts w:eastAsiaTheme="minorHAnsi"/>
                <w:lang w:eastAsia="en-US"/>
              </w:rPr>
            </w:pPr>
            <w:r w:rsidRPr="002F3624">
              <w:rPr>
                <w:rFonts w:eastAsiaTheme="minorHAnsi"/>
                <w:lang w:eastAsia="en-US"/>
              </w:rPr>
              <w:t>Poisons Advice</w:t>
            </w:r>
          </w:p>
        </w:tc>
        <w:tc>
          <w:tcPr>
            <w:tcW w:w="1843" w:type="dxa"/>
            <w:vAlign w:val="center"/>
          </w:tcPr>
          <w:p w14:paraId="72D67EC2" w14:textId="77777777" w:rsidR="003623D9" w:rsidRPr="002F3624" w:rsidRDefault="003623D9" w:rsidP="00562E2F">
            <w:pPr>
              <w:pStyle w:val="TableText"/>
            </w:pPr>
            <w:r w:rsidRPr="002F3624">
              <w:t>Poisons Information Officers</w:t>
            </w:r>
          </w:p>
        </w:tc>
        <w:tc>
          <w:tcPr>
            <w:tcW w:w="3118" w:type="dxa"/>
            <w:vAlign w:val="center"/>
          </w:tcPr>
          <w:p w14:paraId="29C9D96E" w14:textId="77777777" w:rsidR="003623D9" w:rsidRPr="002F3624" w:rsidRDefault="003623D9" w:rsidP="00562E2F">
            <w:pPr>
              <w:pStyle w:val="TableText"/>
            </w:pPr>
            <w:r w:rsidRPr="002F3624">
              <w:t>Poisons advice delivered through the National Poisons Centre</w:t>
            </w:r>
          </w:p>
        </w:tc>
        <w:tc>
          <w:tcPr>
            <w:tcW w:w="2268" w:type="dxa"/>
            <w:vAlign w:val="center"/>
          </w:tcPr>
          <w:p w14:paraId="3FA71BAA" w14:textId="77777777" w:rsidR="003623D9" w:rsidRPr="002F3624" w:rsidRDefault="003623D9" w:rsidP="00562E2F">
            <w:pPr>
              <w:pStyle w:val="TableText"/>
              <w:rPr>
                <w:shd w:val="clear" w:color="auto" w:fill="FFFFFF"/>
              </w:rPr>
            </w:pPr>
            <w:r w:rsidRPr="002F3624">
              <w:rPr>
                <w:shd w:val="clear" w:color="auto" w:fill="FFFFFF"/>
              </w:rPr>
              <w:t>0800 POISON</w:t>
            </w:r>
          </w:p>
          <w:p w14:paraId="08DD2646" w14:textId="77777777" w:rsidR="003623D9" w:rsidRPr="002F3624" w:rsidRDefault="00F25F52" w:rsidP="00562E2F">
            <w:pPr>
              <w:pStyle w:val="TableText"/>
            </w:pPr>
            <w:hyperlink r:id="rId27" w:history="1">
              <w:r w:rsidR="003623D9" w:rsidRPr="002F3624">
                <w:rPr>
                  <w:color w:val="0000FF"/>
                  <w:u w:val="single"/>
                  <w:shd w:val="clear" w:color="auto" w:fill="FFFFFF"/>
                </w:rPr>
                <w:t>www.poisons.co.nz</w:t>
              </w:r>
            </w:hyperlink>
          </w:p>
        </w:tc>
      </w:tr>
      <w:tr w:rsidR="003623D9" w:rsidRPr="002F3624" w14:paraId="1843EAA6" w14:textId="77777777" w:rsidTr="00562E2F">
        <w:trPr>
          <w:trHeight w:val="705"/>
        </w:trPr>
        <w:tc>
          <w:tcPr>
            <w:tcW w:w="1418" w:type="dxa"/>
            <w:vAlign w:val="center"/>
          </w:tcPr>
          <w:p w14:paraId="76A0F0A4" w14:textId="77777777" w:rsidR="003623D9" w:rsidRPr="002F3624" w:rsidRDefault="003623D9" w:rsidP="00562E2F">
            <w:pPr>
              <w:pStyle w:val="TableText"/>
              <w:rPr>
                <w:rFonts w:eastAsiaTheme="minorHAnsi"/>
                <w:lang w:eastAsia="en-US"/>
              </w:rPr>
            </w:pPr>
            <w:r w:rsidRPr="002F3624">
              <w:rPr>
                <w:rFonts w:eastAsiaTheme="minorHAnsi"/>
                <w:lang w:eastAsia="en-US"/>
              </w:rPr>
              <w:t>COVID Healthline</w:t>
            </w:r>
          </w:p>
        </w:tc>
        <w:tc>
          <w:tcPr>
            <w:tcW w:w="1843" w:type="dxa"/>
            <w:vAlign w:val="center"/>
          </w:tcPr>
          <w:p w14:paraId="173CCA87" w14:textId="77777777" w:rsidR="003623D9" w:rsidRPr="002F3624" w:rsidRDefault="003623D9" w:rsidP="00562E2F">
            <w:pPr>
              <w:pStyle w:val="TableText"/>
            </w:pPr>
            <w:r w:rsidRPr="002F3624">
              <w:t>Service and Support Advis</w:t>
            </w:r>
            <w:r>
              <w:t>o</w:t>
            </w:r>
            <w:r w:rsidRPr="002F3624">
              <w:t>rs</w:t>
            </w:r>
          </w:p>
        </w:tc>
        <w:tc>
          <w:tcPr>
            <w:tcW w:w="3118" w:type="dxa"/>
            <w:vAlign w:val="center"/>
          </w:tcPr>
          <w:p w14:paraId="123255C4" w14:textId="77777777" w:rsidR="003623D9" w:rsidRPr="002F3624" w:rsidRDefault="003623D9" w:rsidP="00562E2F">
            <w:pPr>
              <w:pStyle w:val="TableText"/>
            </w:pPr>
            <w:r w:rsidRPr="002F3624">
              <w:t xml:space="preserve">Non-clinical and </w:t>
            </w:r>
            <w:r>
              <w:t>c</w:t>
            </w:r>
            <w:r w:rsidRPr="002F3624">
              <w:t xml:space="preserve">linical advisors support the national COVID-19 information line </w:t>
            </w:r>
          </w:p>
        </w:tc>
        <w:tc>
          <w:tcPr>
            <w:tcW w:w="2268" w:type="dxa"/>
            <w:vAlign w:val="center"/>
          </w:tcPr>
          <w:p w14:paraId="301106F0" w14:textId="77777777" w:rsidR="003623D9" w:rsidRPr="002F3624" w:rsidRDefault="003623D9" w:rsidP="00562E2F">
            <w:pPr>
              <w:pStyle w:val="TableText"/>
            </w:pPr>
            <w:r w:rsidRPr="002F3624">
              <w:t>0800 COVID-19</w:t>
            </w:r>
          </w:p>
        </w:tc>
      </w:tr>
      <w:tr w:rsidR="003623D9" w:rsidRPr="002F3624" w14:paraId="766AE825" w14:textId="77777777" w:rsidTr="00562E2F">
        <w:trPr>
          <w:trHeight w:val="705"/>
        </w:trPr>
        <w:tc>
          <w:tcPr>
            <w:tcW w:w="1418" w:type="dxa"/>
            <w:vAlign w:val="center"/>
          </w:tcPr>
          <w:p w14:paraId="008DA465" w14:textId="77777777" w:rsidR="003623D9" w:rsidRPr="002F3624" w:rsidRDefault="003623D9" w:rsidP="00562E2F">
            <w:pPr>
              <w:pStyle w:val="TableText"/>
              <w:rPr>
                <w:rFonts w:eastAsiaTheme="minorHAnsi"/>
                <w:lang w:eastAsia="en-US"/>
              </w:rPr>
            </w:pPr>
            <w:r w:rsidRPr="002F3624">
              <w:rPr>
                <w:rFonts w:eastAsiaTheme="minorHAnsi"/>
                <w:lang w:eastAsia="en-US"/>
              </w:rPr>
              <w:t>COVID Welfare</w:t>
            </w:r>
          </w:p>
        </w:tc>
        <w:tc>
          <w:tcPr>
            <w:tcW w:w="1843" w:type="dxa"/>
            <w:vAlign w:val="center"/>
          </w:tcPr>
          <w:p w14:paraId="54E8721C" w14:textId="77777777" w:rsidR="003623D9" w:rsidRPr="002F3624" w:rsidRDefault="003623D9" w:rsidP="00562E2F">
            <w:pPr>
              <w:pStyle w:val="TableText"/>
            </w:pPr>
            <w:r w:rsidRPr="002F3624">
              <w:t>Service and Support Advis</w:t>
            </w:r>
            <w:r>
              <w:t>o</w:t>
            </w:r>
            <w:r w:rsidRPr="002F3624">
              <w:t>rs</w:t>
            </w:r>
          </w:p>
        </w:tc>
        <w:tc>
          <w:tcPr>
            <w:tcW w:w="3118" w:type="dxa"/>
            <w:vAlign w:val="center"/>
          </w:tcPr>
          <w:p w14:paraId="746E7795" w14:textId="77777777" w:rsidR="003623D9" w:rsidRPr="002F3624" w:rsidRDefault="003623D9" w:rsidP="00562E2F">
            <w:pPr>
              <w:pStyle w:val="TableText"/>
            </w:pPr>
            <w:r w:rsidRPr="002F3624">
              <w:t>Non-clinical team provide</w:t>
            </w:r>
            <w:r>
              <w:t>s</w:t>
            </w:r>
            <w:r w:rsidRPr="002F3624">
              <w:t xml:space="preserve"> outbound compliance and welfare contacts to those in COVID isolation</w:t>
            </w:r>
          </w:p>
        </w:tc>
        <w:tc>
          <w:tcPr>
            <w:tcW w:w="2268" w:type="dxa"/>
            <w:vAlign w:val="center"/>
          </w:tcPr>
          <w:p w14:paraId="4CEE8B82" w14:textId="77777777" w:rsidR="003623D9" w:rsidRPr="002F3624" w:rsidRDefault="003623D9" w:rsidP="00562E2F">
            <w:pPr>
              <w:pStyle w:val="TableText"/>
            </w:pPr>
            <w:r w:rsidRPr="002F3624">
              <w:t>Outbound only</w:t>
            </w:r>
          </w:p>
        </w:tc>
      </w:tr>
      <w:tr w:rsidR="003623D9" w:rsidRPr="002F3624" w14:paraId="2679D9F8" w14:textId="77777777" w:rsidTr="00562E2F">
        <w:trPr>
          <w:trHeight w:val="705"/>
        </w:trPr>
        <w:tc>
          <w:tcPr>
            <w:tcW w:w="1418" w:type="dxa"/>
            <w:tcBorders>
              <w:bottom w:val="nil"/>
            </w:tcBorders>
            <w:vAlign w:val="center"/>
          </w:tcPr>
          <w:p w14:paraId="7E58BF2F" w14:textId="77777777" w:rsidR="003623D9" w:rsidRPr="002F3624" w:rsidRDefault="003623D9" w:rsidP="00562E2F">
            <w:pPr>
              <w:pStyle w:val="TableText"/>
              <w:rPr>
                <w:rFonts w:eastAsiaTheme="minorHAnsi"/>
                <w:lang w:eastAsia="en-US"/>
              </w:rPr>
            </w:pPr>
            <w:r w:rsidRPr="002F3624">
              <w:rPr>
                <w:rFonts w:eastAsiaTheme="minorHAnsi"/>
                <w:lang w:eastAsia="en-US"/>
              </w:rPr>
              <w:t>COVID Vaccination Healthline</w:t>
            </w:r>
          </w:p>
        </w:tc>
        <w:tc>
          <w:tcPr>
            <w:tcW w:w="1843" w:type="dxa"/>
            <w:tcBorders>
              <w:bottom w:val="nil"/>
            </w:tcBorders>
            <w:vAlign w:val="center"/>
          </w:tcPr>
          <w:p w14:paraId="2DAB7612" w14:textId="77777777" w:rsidR="003623D9" w:rsidRPr="002F3624" w:rsidRDefault="003623D9" w:rsidP="00562E2F">
            <w:pPr>
              <w:pStyle w:val="TableText"/>
            </w:pPr>
            <w:r w:rsidRPr="002F3624">
              <w:t>Service and Support Advis</w:t>
            </w:r>
            <w:r>
              <w:t>o</w:t>
            </w:r>
            <w:r w:rsidRPr="002F3624">
              <w:t>rs</w:t>
            </w:r>
          </w:p>
        </w:tc>
        <w:tc>
          <w:tcPr>
            <w:tcW w:w="3118" w:type="dxa"/>
            <w:tcBorders>
              <w:bottom w:val="nil"/>
            </w:tcBorders>
            <w:vAlign w:val="center"/>
          </w:tcPr>
          <w:p w14:paraId="25DD5E17" w14:textId="77777777" w:rsidR="003623D9" w:rsidRPr="002F3624" w:rsidRDefault="003623D9" w:rsidP="00562E2F">
            <w:pPr>
              <w:pStyle w:val="TableText"/>
            </w:pPr>
            <w:r w:rsidRPr="002F3624">
              <w:t>Non-clinical team provide</w:t>
            </w:r>
            <w:r>
              <w:t>s</w:t>
            </w:r>
            <w:r w:rsidRPr="002F3624">
              <w:t xml:space="preserve"> information and follow</w:t>
            </w:r>
            <w:r>
              <w:t>-</w:t>
            </w:r>
            <w:r w:rsidRPr="002F3624">
              <w:t>up for those invited to participate in the COVID Vaccination Programme</w:t>
            </w:r>
          </w:p>
        </w:tc>
        <w:tc>
          <w:tcPr>
            <w:tcW w:w="2268" w:type="dxa"/>
            <w:tcBorders>
              <w:bottom w:val="nil"/>
            </w:tcBorders>
            <w:vAlign w:val="center"/>
          </w:tcPr>
          <w:p w14:paraId="386F721F" w14:textId="77777777" w:rsidR="003623D9" w:rsidRPr="002F3624" w:rsidRDefault="003623D9" w:rsidP="00562E2F">
            <w:pPr>
              <w:pStyle w:val="TableText"/>
            </w:pPr>
            <w:r w:rsidRPr="002F3624">
              <w:t>0800 2 VAX COVID</w:t>
            </w:r>
          </w:p>
        </w:tc>
      </w:tr>
      <w:tr w:rsidR="003623D9" w:rsidRPr="00562E2F" w14:paraId="757B365F" w14:textId="77777777" w:rsidTr="00562E2F">
        <w:trPr>
          <w:trHeight w:val="301"/>
        </w:trPr>
        <w:tc>
          <w:tcPr>
            <w:tcW w:w="8647" w:type="dxa"/>
            <w:gridSpan w:val="4"/>
            <w:tcBorders>
              <w:top w:val="nil"/>
              <w:bottom w:val="nil"/>
            </w:tcBorders>
            <w:shd w:val="clear" w:color="auto" w:fill="D9D9D9" w:themeFill="background1" w:themeFillShade="D9"/>
            <w:vAlign w:val="center"/>
          </w:tcPr>
          <w:p w14:paraId="2BABB63E" w14:textId="77777777" w:rsidR="003623D9" w:rsidRPr="00562E2F" w:rsidRDefault="003623D9" w:rsidP="00562E2F">
            <w:pPr>
              <w:pStyle w:val="TableText"/>
              <w:rPr>
                <w:b/>
              </w:rPr>
            </w:pPr>
            <w:r w:rsidRPr="00562E2F">
              <w:rPr>
                <w:b/>
              </w:rPr>
              <w:t>MENTAL HEALTH SERVICES</w:t>
            </w:r>
          </w:p>
        </w:tc>
      </w:tr>
      <w:tr w:rsidR="003623D9" w:rsidRPr="002F3624" w14:paraId="5DF25D01" w14:textId="77777777" w:rsidTr="00562E2F">
        <w:trPr>
          <w:trHeight w:val="705"/>
        </w:trPr>
        <w:tc>
          <w:tcPr>
            <w:tcW w:w="1418" w:type="dxa"/>
            <w:tcBorders>
              <w:top w:val="nil"/>
            </w:tcBorders>
            <w:vAlign w:val="center"/>
          </w:tcPr>
          <w:p w14:paraId="12E1D027" w14:textId="77777777" w:rsidR="003623D9" w:rsidRPr="002F3624" w:rsidRDefault="003623D9" w:rsidP="00562E2F">
            <w:pPr>
              <w:pStyle w:val="TableText"/>
              <w:rPr>
                <w:rFonts w:eastAsiaTheme="minorHAnsi"/>
                <w:lang w:eastAsia="en-US"/>
              </w:rPr>
            </w:pPr>
            <w:r w:rsidRPr="002F3624">
              <w:rPr>
                <w:rFonts w:eastAsiaTheme="minorHAnsi"/>
                <w:lang w:eastAsia="en-US"/>
              </w:rPr>
              <w:t xml:space="preserve">1737 Need to </w:t>
            </w:r>
            <w:r>
              <w:rPr>
                <w:rFonts w:eastAsiaTheme="minorHAnsi"/>
                <w:lang w:eastAsia="en-US"/>
              </w:rPr>
              <w:t>T</w:t>
            </w:r>
            <w:r w:rsidRPr="002F3624">
              <w:rPr>
                <w:rFonts w:eastAsiaTheme="minorHAnsi"/>
                <w:lang w:eastAsia="en-US"/>
              </w:rPr>
              <w:t>alk?</w:t>
            </w:r>
          </w:p>
        </w:tc>
        <w:tc>
          <w:tcPr>
            <w:tcW w:w="1843" w:type="dxa"/>
            <w:tcBorders>
              <w:top w:val="nil"/>
            </w:tcBorders>
            <w:vAlign w:val="center"/>
          </w:tcPr>
          <w:p w14:paraId="7BFB2289" w14:textId="77777777" w:rsidR="003623D9" w:rsidRPr="002F3624" w:rsidRDefault="003623D9" w:rsidP="00562E2F">
            <w:pPr>
              <w:pStyle w:val="TableText"/>
            </w:pPr>
            <w:r w:rsidRPr="002F3624">
              <w:t>Mental Health Support Specialists</w:t>
            </w:r>
          </w:p>
        </w:tc>
        <w:tc>
          <w:tcPr>
            <w:tcW w:w="3118" w:type="dxa"/>
            <w:tcBorders>
              <w:top w:val="nil"/>
            </w:tcBorders>
            <w:vAlign w:val="center"/>
          </w:tcPr>
          <w:p w14:paraId="6C68CEB7" w14:textId="77777777" w:rsidR="003623D9" w:rsidRPr="002F3624" w:rsidRDefault="003623D9" w:rsidP="00562E2F">
            <w:pPr>
              <w:pStyle w:val="TableText"/>
            </w:pPr>
            <w:r w:rsidRPr="002F3624">
              <w:t>Front door for anyone dealing with stress, anxiety</w:t>
            </w:r>
            <w:r>
              <w:t xml:space="preserve"> or</w:t>
            </w:r>
            <w:r w:rsidRPr="002F3624">
              <w:t xml:space="preserve"> depression, or just </w:t>
            </w:r>
            <w:r w:rsidRPr="002F3624">
              <w:lastRenderedPageBreak/>
              <w:t>need</w:t>
            </w:r>
            <w:r>
              <w:t>ing</w:t>
            </w:r>
            <w:r w:rsidRPr="002F3624">
              <w:t xml:space="preserve"> to talk</w:t>
            </w:r>
            <w:r>
              <w:t>,</w:t>
            </w:r>
            <w:r w:rsidRPr="002F3624">
              <w:t xml:space="preserve"> to access support from a trained counsellor</w:t>
            </w:r>
          </w:p>
        </w:tc>
        <w:tc>
          <w:tcPr>
            <w:tcW w:w="2268" w:type="dxa"/>
            <w:tcBorders>
              <w:top w:val="nil"/>
            </w:tcBorders>
            <w:vAlign w:val="center"/>
          </w:tcPr>
          <w:p w14:paraId="0BCF2085" w14:textId="77777777" w:rsidR="003623D9" w:rsidRPr="002F3624" w:rsidRDefault="003623D9" w:rsidP="00562E2F">
            <w:pPr>
              <w:pStyle w:val="TableText"/>
            </w:pPr>
            <w:r w:rsidRPr="002F3624">
              <w:lastRenderedPageBreak/>
              <w:t xml:space="preserve">Call or text 1737 </w:t>
            </w:r>
          </w:p>
          <w:p w14:paraId="241F404C" w14:textId="77777777" w:rsidR="003623D9" w:rsidRPr="002F3624" w:rsidRDefault="00F25F52" w:rsidP="00562E2F">
            <w:pPr>
              <w:pStyle w:val="TableText"/>
            </w:pPr>
            <w:hyperlink r:id="rId28" w:history="1">
              <w:r w:rsidR="003623D9" w:rsidRPr="002F3624">
                <w:rPr>
                  <w:color w:val="0000FF"/>
                  <w:u w:val="single"/>
                </w:rPr>
                <w:t>www.1737.org.nz</w:t>
              </w:r>
            </w:hyperlink>
          </w:p>
        </w:tc>
      </w:tr>
      <w:tr w:rsidR="003623D9" w:rsidRPr="002F3624" w14:paraId="15D3C96B" w14:textId="77777777" w:rsidTr="00562E2F">
        <w:trPr>
          <w:trHeight w:val="823"/>
        </w:trPr>
        <w:tc>
          <w:tcPr>
            <w:tcW w:w="1418" w:type="dxa"/>
            <w:vAlign w:val="center"/>
          </w:tcPr>
          <w:p w14:paraId="35E6CE73" w14:textId="77777777" w:rsidR="003623D9" w:rsidRPr="002F3624" w:rsidRDefault="003623D9" w:rsidP="00562E2F">
            <w:pPr>
              <w:pStyle w:val="TableText"/>
              <w:rPr>
                <w:rFonts w:eastAsiaTheme="minorHAnsi"/>
                <w:lang w:eastAsia="en-US"/>
              </w:rPr>
            </w:pPr>
            <w:r w:rsidRPr="002F3624">
              <w:rPr>
                <w:rFonts w:eastAsiaTheme="minorHAnsi"/>
                <w:lang w:eastAsia="en-US"/>
              </w:rPr>
              <w:t>The Depression Helpline</w:t>
            </w:r>
          </w:p>
        </w:tc>
        <w:tc>
          <w:tcPr>
            <w:tcW w:w="1843" w:type="dxa"/>
            <w:vAlign w:val="center"/>
          </w:tcPr>
          <w:p w14:paraId="728AD882" w14:textId="77777777" w:rsidR="003623D9" w:rsidRPr="002F3624" w:rsidRDefault="003623D9" w:rsidP="00562E2F">
            <w:pPr>
              <w:pStyle w:val="TableText"/>
            </w:pPr>
            <w:r w:rsidRPr="002F3624">
              <w:t>Mental Health Support Specialists</w:t>
            </w:r>
          </w:p>
        </w:tc>
        <w:tc>
          <w:tcPr>
            <w:tcW w:w="3118" w:type="dxa"/>
            <w:vAlign w:val="center"/>
          </w:tcPr>
          <w:p w14:paraId="53A0DF0C" w14:textId="77777777" w:rsidR="003623D9" w:rsidRPr="002F3624" w:rsidRDefault="003623D9" w:rsidP="00562E2F">
            <w:pPr>
              <w:pStyle w:val="TableText"/>
            </w:pPr>
            <w:r w:rsidRPr="002F3624">
              <w:t xml:space="preserve">Support tools and information for emotional and psychological issues </w:t>
            </w:r>
          </w:p>
        </w:tc>
        <w:tc>
          <w:tcPr>
            <w:tcW w:w="2268" w:type="dxa"/>
            <w:vAlign w:val="center"/>
          </w:tcPr>
          <w:p w14:paraId="5D99B7E2" w14:textId="77777777" w:rsidR="003623D9" w:rsidRPr="002F3624" w:rsidRDefault="003623D9" w:rsidP="00562E2F">
            <w:pPr>
              <w:pStyle w:val="TableText"/>
            </w:pPr>
            <w:r w:rsidRPr="002F3624">
              <w:t xml:space="preserve">0800 111 757 </w:t>
            </w:r>
          </w:p>
          <w:p w14:paraId="6D3041D9" w14:textId="77777777" w:rsidR="003623D9" w:rsidRPr="002F3624" w:rsidRDefault="003623D9" w:rsidP="00562E2F">
            <w:pPr>
              <w:pStyle w:val="TableText"/>
            </w:pPr>
            <w:r w:rsidRPr="002F3624">
              <w:t>Text 4202</w:t>
            </w:r>
          </w:p>
          <w:p w14:paraId="6F5B1F7C" w14:textId="77777777" w:rsidR="003623D9" w:rsidRPr="002F3624" w:rsidRDefault="00F25F52" w:rsidP="00562E2F">
            <w:pPr>
              <w:pStyle w:val="TableText"/>
            </w:pPr>
            <w:hyperlink r:id="rId29" w:history="1">
              <w:r w:rsidR="003623D9" w:rsidRPr="002F3624">
                <w:rPr>
                  <w:color w:val="0000FF"/>
                  <w:u w:val="single"/>
                </w:rPr>
                <w:t>www.depression.org.nz</w:t>
              </w:r>
            </w:hyperlink>
          </w:p>
        </w:tc>
      </w:tr>
      <w:tr w:rsidR="003623D9" w:rsidRPr="002F3624" w14:paraId="5101AC09" w14:textId="77777777" w:rsidTr="00562E2F">
        <w:trPr>
          <w:trHeight w:val="811"/>
        </w:trPr>
        <w:tc>
          <w:tcPr>
            <w:tcW w:w="1418" w:type="dxa"/>
            <w:vAlign w:val="center"/>
          </w:tcPr>
          <w:p w14:paraId="78E2BA9A" w14:textId="77777777" w:rsidR="003623D9" w:rsidRPr="002F3624" w:rsidRDefault="003623D9" w:rsidP="00562E2F">
            <w:pPr>
              <w:pStyle w:val="TableText"/>
              <w:rPr>
                <w:rFonts w:eastAsiaTheme="minorHAnsi"/>
                <w:lang w:eastAsia="en-US"/>
              </w:rPr>
            </w:pPr>
            <w:r w:rsidRPr="002F3624">
              <w:rPr>
                <w:rFonts w:eastAsiaTheme="minorHAnsi"/>
                <w:lang w:eastAsia="en-US"/>
              </w:rPr>
              <w:t>Alcohol Drug Helpline</w:t>
            </w:r>
          </w:p>
        </w:tc>
        <w:tc>
          <w:tcPr>
            <w:tcW w:w="1843" w:type="dxa"/>
            <w:vAlign w:val="center"/>
          </w:tcPr>
          <w:p w14:paraId="2D1D90A5" w14:textId="77777777" w:rsidR="003623D9" w:rsidRPr="002F3624" w:rsidRDefault="003623D9" w:rsidP="00562E2F">
            <w:pPr>
              <w:pStyle w:val="TableText"/>
            </w:pPr>
            <w:r w:rsidRPr="002F3624">
              <w:t>Mental Health Support Specialists</w:t>
            </w:r>
          </w:p>
        </w:tc>
        <w:tc>
          <w:tcPr>
            <w:tcW w:w="3118" w:type="dxa"/>
            <w:vAlign w:val="center"/>
          </w:tcPr>
          <w:p w14:paraId="6242D697" w14:textId="77777777" w:rsidR="003623D9" w:rsidRPr="002F3624" w:rsidRDefault="003623D9" w:rsidP="00562E2F">
            <w:pPr>
              <w:pStyle w:val="TableText"/>
            </w:pPr>
            <w:r w:rsidRPr="002F3624">
              <w:t xml:space="preserve">Advice, information and support about drinking or other drug use </w:t>
            </w:r>
          </w:p>
          <w:p w14:paraId="392F5817" w14:textId="77777777" w:rsidR="003623D9" w:rsidRPr="002F3624" w:rsidRDefault="003623D9" w:rsidP="00562E2F">
            <w:pPr>
              <w:pStyle w:val="TableText"/>
            </w:pPr>
          </w:p>
        </w:tc>
        <w:tc>
          <w:tcPr>
            <w:tcW w:w="2268" w:type="dxa"/>
            <w:vAlign w:val="center"/>
          </w:tcPr>
          <w:p w14:paraId="68534025" w14:textId="77777777" w:rsidR="003623D9" w:rsidRPr="002F3624" w:rsidRDefault="003623D9" w:rsidP="00562E2F">
            <w:pPr>
              <w:pStyle w:val="TableText"/>
            </w:pPr>
            <w:r w:rsidRPr="002F3624">
              <w:t>0800 787 797</w:t>
            </w:r>
          </w:p>
          <w:p w14:paraId="5CD0CAD1" w14:textId="77777777" w:rsidR="003623D9" w:rsidRPr="002F3624" w:rsidRDefault="003623D9" w:rsidP="00562E2F">
            <w:pPr>
              <w:pStyle w:val="TableText"/>
            </w:pPr>
            <w:r w:rsidRPr="002F3624">
              <w:t xml:space="preserve">Text 8681 </w:t>
            </w:r>
            <w:hyperlink r:id="rId30" w:history="1">
              <w:r w:rsidRPr="002F3624">
                <w:rPr>
                  <w:color w:val="0000FF"/>
                  <w:u w:val="single"/>
                </w:rPr>
                <w:t>www.alcoholdrughelp.org.nz</w:t>
              </w:r>
            </w:hyperlink>
          </w:p>
        </w:tc>
      </w:tr>
      <w:tr w:rsidR="003623D9" w:rsidRPr="002F3624" w14:paraId="6BBC5EC9" w14:textId="77777777" w:rsidTr="00562E2F">
        <w:trPr>
          <w:trHeight w:val="811"/>
        </w:trPr>
        <w:tc>
          <w:tcPr>
            <w:tcW w:w="1418" w:type="dxa"/>
            <w:vAlign w:val="center"/>
          </w:tcPr>
          <w:p w14:paraId="4831B5A1" w14:textId="77777777" w:rsidR="003623D9" w:rsidRPr="002F3624" w:rsidRDefault="003623D9" w:rsidP="00562E2F">
            <w:pPr>
              <w:pStyle w:val="TableText"/>
              <w:rPr>
                <w:rFonts w:eastAsiaTheme="minorHAnsi"/>
                <w:lang w:eastAsia="en-US"/>
              </w:rPr>
            </w:pPr>
            <w:r w:rsidRPr="002F3624">
              <w:rPr>
                <w:rFonts w:eastAsiaTheme="minorHAnsi"/>
                <w:lang w:eastAsia="en-US"/>
              </w:rPr>
              <w:t>Gambling Helpline</w:t>
            </w:r>
          </w:p>
        </w:tc>
        <w:tc>
          <w:tcPr>
            <w:tcW w:w="1843" w:type="dxa"/>
            <w:vAlign w:val="center"/>
          </w:tcPr>
          <w:p w14:paraId="3611AB98" w14:textId="77777777" w:rsidR="003623D9" w:rsidRPr="002F3624" w:rsidRDefault="003623D9" w:rsidP="00562E2F">
            <w:pPr>
              <w:pStyle w:val="TableText"/>
            </w:pPr>
            <w:r w:rsidRPr="002F3624">
              <w:t>Mental Health Support Specialists</w:t>
            </w:r>
          </w:p>
        </w:tc>
        <w:tc>
          <w:tcPr>
            <w:tcW w:w="3118" w:type="dxa"/>
            <w:vAlign w:val="center"/>
          </w:tcPr>
          <w:p w14:paraId="5EF0B258" w14:textId="77777777" w:rsidR="003623D9" w:rsidRPr="002F3624" w:rsidRDefault="003623D9" w:rsidP="00562E2F">
            <w:pPr>
              <w:pStyle w:val="TableText"/>
            </w:pPr>
            <w:r w:rsidRPr="002F3624">
              <w:t xml:space="preserve">Support for those worried about gambling or the gambling of others </w:t>
            </w:r>
          </w:p>
        </w:tc>
        <w:tc>
          <w:tcPr>
            <w:tcW w:w="2268" w:type="dxa"/>
            <w:vAlign w:val="center"/>
          </w:tcPr>
          <w:p w14:paraId="52F6C8C9" w14:textId="77777777" w:rsidR="003623D9" w:rsidRPr="002F3624" w:rsidRDefault="003623D9" w:rsidP="00562E2F">
            <w:pPr>
              <w:pStyle w:val="TableText"/>
            </w:pPr>
            <w:r w:rsidRPr="002F3624">
              <w:t>0800 654 655</w:t>
            </w:r>
          </w:p>
          <w:p w14:paraId="6081B9A8" w14:textId="77777777" w:rsidR="003623D9" w:rsidRPr="002F3624" w:rsidRDefault="003623D9" w:rsidP="00562E2F">
            <w:pPr>
              <w:pStyle w:val="TableText"/>
            </w:pPr>
            <w:r w:rsidRPr="002F3624">
              <w:rPr>
                <w:rFonts w:eastAsiaTheme="minorHAnsi"/>
                <w:lang w:eastAsia="en-US"/>
              </w:rPr>
              <w:t xml:space="preserve">Text 8006 </w:t>
            </w:r>
            <w:hyperlink r:id="rId31" w:history="1">
              <w:r w:rsidRPr="002F3624">
                <w:rPr>
                  <w:rFonts w:eastAsiaTheme="minorHAnsi"/>
                  <w:color w:val="0000FF"/>
                  <w:u w:val="single"/>
                  <w:lang w:eastAsia="en-US"/>
                </w:rPr>
                <w:t>www.gamblinghelpline.co.nz</w:t>
              </w:r>
            </w:hyperlink>
          </w:p>
        </w:tc>
      </w:tr>
      <w:tr w:rsidR="003623D9" w:rsidRPr="002F3624" w14:paraId="714EF0DA" w14:textId="77777777" w:rsidTr="00562E2F">
        <w:trPr>
          <w:trHeight w:val="811"/>
        </w:trPr>
        <w:tc>
          <w:tcPr>
            <w:tcW w:w="1418" w:type="dxa"/>
            <w:vAlign w:val="center"/>
          </w:tcPr>
          <w:p w14:paraId="348D2F6B" w14:textId="77777777" w:rsidR="003623D9" w:rsidRPr="002F3624" w:rsidRDefault="003623D9" w:rsidP="00562E2F">
            <w:pPr>
              <w:pStyle w:val="TableText"/>
              <w:rPr>
                <w:rFonts w:eastAsiaTheme="minorHAnsi"/>
                <w:lang w:eastAsia="en-US"/>
              </w:rPr>
            </w:pPr>
            <w:r w:rsidRPr="002F3624">
              <w:rPr>
                <w:rFonts w:eastAsiaTheme="minorHAnsi"/>
                <w:lang w:eastAsia="en-US"/>
              </w:rPr>
              <w:t>Peer Support Service</w:t>
            </w:r>
          </w:p>
        </w:tc>
        <w:tc>
          <w:tcPr>
            <w:tcW w:w="1843" w:type="dxa"/>
            <w:vAlign w:val="center"/>
          </w:tcPr>
          <w:p w14:paraId="2760F304" w14:textId="77777777" w:rsidR="003623D9" w:rsidRPr="002F3624" w:rsidRDefault="003623D9" w:rsidP="00562E2F">
            <w:pPr>
              <w:pStyle w:val="TableText"/>
            </w:pPr>
            <w:r w:rsidRPr="002F3624">
              <w:t>Lived Experience Peer Support Specialists</w:t>
            </w:r>
          </w:p>
        </w:tc>
        <w:tc>
          <w:tcPr>
            <w:tcW w:w="3118" w:type="dxa"/>
            <w:vAlign w:val="center"/>
          </w:tcPr>
          <w:p w14:paraId="4D579D72" w14:textId="77777777" w:rsidR="003623D9" w:rsidRPr="002F3624" w:rsidRDefault="003623D9" w:rsidP="00562E2F">
            <w:pPr>
              <w:pStyle w:val="TableText"/>
            </w:pPr>
            <w:r w:rsidRPr="002F3624">
              <w:t>Support for anyone dealing with stress, anxiety</w:t>
            </w:r>
            <w:r>
              <w:t xml:space="preserve"> or</w:t>
            </w:r>
            <w:r w:rsidRPr="002F3624">
              <w:t xml:space="preserve"> depression, or just need</w:t>
            </w:r>
            <w:r>
              <w:t>ing</w:t>
            </w:r>
            <w:r w:rsidRPr="002F3624">
              <w:t xml:space="preserve"> to talk to someone who has had a similar experience</w:t>
            </w:r>
          </w:p>
        </w:tc>
        <w:tc>
          <w:tcPr>
            <w:tcW w:w="2268" w:type="dxa"/>
            <w:vAlign w:val="center"/>
          </w:tcPr>
          <w:p w14:paraId="353FF2B6" w14:textId="77777777" w:rsidR="003623D9" w:rsidRPr="002F3624" w:rsidRDefault="003623D9" w:rsidP="00562E2F">
            <w:pPr>
              <w:pStyle w:val="TableText"/>
            </w:pPr>
            <w:r w:rsidRPr="002F3624">
              <w:t>Access through 1737 helpline</w:t>
            </w:r>
          </w:p>
        </w:tc>
      </w:tr>
      <w:tr w:rsidR="003623D9" w:rsidRPr="002F3624" w14:paraId="56B0C500" w14:textId="77777777" w:rsidTr="00562E2F">
        <w:trPr>
          <w:trHeight w:val="811"/>
        </w:trPr>
        <w:tc>
          <w:tcPr>
            <w:tcW w:w="1418" w:type="dxa"/>
            <w:vAlign w:val="center"/>
          </w:tcPr>
          <w:p w14:paraId="7C7AD8FF" w14:textId="77777777" w:rsidR="003623D9" w:rsidRPr="002F3624" w:rsidRDefault="003623D9" w:rsidP="00562E2F">
            <w:pPr>
              <w:pStyle w:val="TableText"/>
              <w:rPr>
                <w:rFonts w:eastAsiaTheme="minorHAnsi"/>
                <w:lang w:eastAsia="en-US"/>
              </w:rPr>
            </w:pPr>
            <w:r w:rsidRPr="002F3624">
              <w:rPr>
                <w:rFonts w:eastAsiaTheme="minorHAnsi"/>
                <w:lang w:eastAsia="en-US"/>
              </w:rPr>
              <w:t>The Lowdown</w:t>
            </w:r>
          </w:p>
        </w:tc>
        <w:tc>
          <w:tcPr>
            <w:tcW w:w="1843" w:type="dxa"/>
            <w:vAlign w:val="center"/>
          </w:tcPr>
          <w:p w14:paraId="0FE3ADF1" w14:textId="77777777" w:rsidR="003623D9" w:rsidRPr="002F3624" w:rsidRDefault="003623D9" w:rsidP="00562E2F">
            <w:pPr>
              <w:pStyle w:val="TableText"/>
            </w:pPr>
            <w:r w:rsidRPr="002F3624">
              <w:t>Mental Health Support Specialists</w:t>
            </w:r>
          </w:p>
        </w:tc>
        <w:tc>
          <w:tcPr>
            <w:tcW w:w="3118" w:type="dxa"/>
            <w:vAlign w:val="center"/>
          </w:tcPr>
          <w:p w14:paraId="2C94C168" w14:textId="77777777" w:rsidR="003623D9" w:rsidRPr="002F3624" w:rsidRDefault="003623D9" w:rsidP="00562E2F">
            <w:pPr>
              <w:pStyle w:val="TableText"/>
            </w:pPr>
            <w:r w:rsidRPr="002F3624">
              <w:t xml:space="preserve">Support to help young people recognise and understand depression or anxiety </w:t>
            </w:r>
          </w:p>
        </w:tc>
        <w:tc>
          <w:tcPr>
            <w:tcW w:w="2268" w:type="dxa"/>
            <w:vAlign w:val="center"/>
          </w:tcPr>
          <w:p w14:paraId="61CC77DD" w14:textId="77777777" w:rsidR="003623D9" w:rsidRPr="002F3624" w:rsidRDefault="003623D9" w:rsidP="00562E2F">
            <w:pPr>
              <w:pStyle w:val="TableText"/>
            </w:pPr>
            <w:r w:rsidRPr="002F3624">
              <w:t xml:space="preserve">www.thelowdown.co.nz </w:t>
            </w:r>
          </w:p>
          <w:p w14:paraId="7C1F4541" w14:textId="77777777" w:rsidR="003623D9" w:rsidRPr="002F3624" w:rsidRDefault="003623D9" w:rsidP="00562E2F">
            <w:pPr>
              <w:pStyle w:val="TableText"/>
            </w:pPr>
            <w:r w:rsidRPr="002F3624">
              <w:t>Text 5626</w:t>
            </w:r>
          </w:p>
        </w:tc>
      </w:tr>
      <w:tr w:rsidR="003623D9" w:rsidRPr="002F3624" w14:paraId="0DA6ABC1" w14:textId="77777777" w:rsidTr="00562E2F">
        <w:trPr>
          <w:trHeight w:val="670"/>
        </w:trPr>
        <w:tc>
          <w:tcPr>
            <w:tcW w:w="1418" w:type="dxa"/>
            <w:vAlign w:val="center"/>
          </w:tcPr>
          <w:p w14:paraId="56826A8A" w14:textId="77777777" w:rsidR="003623D9" w:rsidRPr="002F3624" w:rsidRDefault="003623D9" w:rsidP="00562E2F">
            <w:pPr>
              <w:pStyle w:val="TableText"/>
              <w:rPr>
                <w:rFonts w:eastAsiaTheme="minorHAnsi"/>
                <w:lang w:eastAsia="en-US"/>
              </w:rPr>
            </w:pPr>
            <w:r w:rsidRPr="002F3624">
              <w:rPr>
                <w:rFonts w:eastAsiaTheme="minorHAnsi"/>
                <w:lang w:eastAsia="en-US"/>
              </w:rPr>
              <w:t>The Journal</w:t>
            </w:r>
          </w:p>
        </w:tc>
        <w:tc>
          <w:tcPr>
            <w:tcW w:w="1843" w:type="dxa"/>
            <w:vAlign w:val="center"/>
          </w:tcPr>
          <w:p w14:paraId="643E0C4B" w14:textId="77777777" w:rsidR="003623D9" w:rsidRPr="002F3624" w:rsidRDefault="003623D9" w:rsidP="00562E2F">
            <w:pPr>
              <w:pStyle w:val="TableText"/>
            </w:pPr>
            <w:r w:rsidRPr="002F3624">
              <w:t>Mental Health Support Specialists</w:t>
            </w:r>
          </w:p>
        </w:tc>
        <w:tc>
          <w:tcPr>
            <w:tcW w:w="3118" w:type="dxa"/>
            <w:vAlign w:val="center"/>
          </w:tcPr>
          <w:p w14:paraId="3B6A831F" w14:textId="77777777" w:rsidR="003623D9" w:rsidRPr="002F3624" w:rsidRDefault="003623D9" w:rsidP="00562E2F">
            <w:pPr>
              <w:pStyle w:val="TableText"/>
            </w:pPr>
            <w:r w:rsidRPr="002F3624">
              <w:t>An online programme to help people learn skills to tackle depression</w:t>
            </w:r>
          </w:p>
        </w:tc>
        <w:tc>
          <w:tcPr>
            <w:tcW w:w="2268" w:type="dxa"/>
            <w:vAlign w:val="center"/>
          </w:tcPr>
          <w:p w14:paraId="003508FE" w14:textId="77777777" w:rsidR="003623D9" w:rsidRPr="002F3624" w:rsidRDefault="00F25F52" w:rsidP="00562E2F">
            <w:pPr>
              <w:pStyle w:val="TableText"/>
            </w:pPr>
            <w:hyperlink r:id="rId32" w:history="1">
              <w:r w:rsidR="003623D9" w:rsidRPr="002F3624">
                <w:rPr>
                  <w:rStyle w:val="Hyperlink"/>
                  <w:rFonts w:cs="Segoe UI"/>
                  <w:szCs w:val="18"/>
                </w:rPr>
                <w:t>www.depression.org.nz/thejournal</w:t>
              </w:r>
            </w:hyperlink>
            <w:r w:rsidR="003623D9" w:rsidRPr="002F3624">
              <w:t xml:space="preserve"> </w:t>
            </w:r>
          </w:p>
        </w:tc>
      </w:tr>
      <w:tr w:rsidR="003623D9" w:rsidRPr="002F3624" w14:paraId="574782FA" w14:textId="77777777" w:rsidTr="00562E2F">
        <w:trPr>
          <w:trHeight w:val="917"/>
        </w:trPr>
        <w:tc>
          <w:tcPr>
            <w:tcW w:w="1418" w:type="dxa"/>
            <w:vAlign w:val="center"/>
          </w:tcPr>
          <w:p w14:paraId="4E17B66C" w14:textId="77777777" w:rsidR="003623D9" w:rsidRPr="002F3624" w:rsidRDefault="003623D9" w:rsidP="00562E2F">
            <w:pPr>
              <w:pStyle w:val="TableText"/>
              <w:rPr>
                <w:rFonts w:eastAsiaTheme="minorHAnsi"/>
                <w:lang w:eastAsia="en-US"/>
              </w:rPr>
            </w:pPr>
            <w:r w:rsidRPr="002F3624">
              <w:rPr>
                <w:rFonts w:eastAsiaTheme="minorHAnsi"/>
                <w:lang w:eastAsia="en-US"/>
              </w:rPr>
              <w:t>Earlier Mental Health Response</w:t>
            </w:r>
          </w:p>
        </w:tc>
        <w:tc>
          <w:tcPr>
            <w:tcW w:w="1843" w:type="dxa"/>
            <w:vAlign w:val="center"/>
          </w:tcPr>
          <w:p w14:paraId="7EBE34FD" w14:textId="77777777" w:rsidR="003623D9" w:rsidRPr="002F3624" w:rsidRDefault="003623D9" w:rsidP="00562E2F">
            <w:pPr>
              <w:pStyle w:val="TableText"/>
            </w:pPr>
            <w:r w:rsidRPr="002F3624">
              <w:t>Mental Health Nursing</w:t>
            </w:r>
          </w:p>
        </w:tc>
        <w:tc>
          <w:tcPr>
            <w:tcW w:w="3118" w:type="dxa"/>
            <w:vAlign w:val="center"/>
          </w:tcPr>
          <w:p w14:paraId="6203C592" w14:textId="77777777" w:rsidR="003623D9" w:rsidRPr="002F3624" w:rsidRDefault="003623D9" w:rsidP="00562E2F">
            <w:pPr>
              <w:pStyle w:val="TableText"/>
            </w:pPr>
            <w:r w:rsidRPr="002F3624">
              <w:t>Support for people in social and psychological distress who call 111 for Police or Ambulance. Includes Expert Advice Line, supporting the mental health workforce</w:t>
            </w:r>
          </w:p>
        </w:tc>
        <w:tc>
          <w:tcPr>
            <w:tcW w:w="2268" w:type="dxa"/>
            <w:vAlign w:val="center"/>
          </w:tcPr>
          <w:p w14:paraId="45BF4F06" w14:textId="77777777" w:rsidR="003623D9" w:rsidRPr="002F3624" w:rsidRDefault="003623D9" w:rsidP="00562E2F">
            <w:pPr>
              <w:pStyle w:val="TableText"/>
            </w:pPr>
            <w:r w:rsidRPr="002F3624">
              <w:t xml:space="preserve">111 </w:t>
            </w:r>
            <w:r>
              <w:t>c</w:t>
            </w:r>
            <w:r w:rsidRPr="002F3624">
              <w:t>alls</w:t>
            </w:r>
          </w:p>
        </w:tc>
      </w:tr>
      <w:tr w:rsidR="003623D9" w:rsidRPr="002F3624" w14:paraId="2F019B7D" w14:textId="77777777" w:rsidTr="00562E2F">
        <w:trPr>
          <w:trHeight w:val="764"/>
        </w:trPr>
        <w:tc>
          <w:tcPr>
            <w:tcW w:w="1418" w:type="dxa"/>
            <w:vAlign w:val="center"/>
          </w:tcPr>
          <w:p w14:paraId="6D789CF0" w14:textId="77777777" w:rsidR="003623D9" w:rsidRPr="002F3624" w:rsidRDefault="003623D9" w:rsidP="00562E2F">
            <w:pPr>
              <w:pStyle w:val="TableText"/>
              <w:rPr>
                <w:rFonts w:eastAsiaTheme="minorHAnsi"/>
                <w:lang w:eastAsia="en-US"/>
              </w:rPr>
            </w:pPr>
            <w:r w:rsidRPr="002F3624">
              <w:rPr>
                <w:rFonts w:eastAsiaTheme="minorHAnsi"/>
                <w:lang w:eastAsia="en-US"/>
              </w:rPr>
              <w:t>Mental Health After Hours</w:t>
            </w:r>
          </w:p>
        </w:tc>
        <w:tc>
          <w:tcPr>
            <w:tcW w:w="1843" w:type="dxa"/>
            <w:vAlign w:val="center"/>
          </w:tcPr>
          <w:p w14:paraId="4729A783" w14:textId="77777777" w:rsidR="003623D9" w:rsidRPr="002F3624" w:rsidRDefault="003623D9" w:rsidP="00562E2F">
            <w:pPr>
              <w:pStyle w:val="TableText"/>
            </w:pPr>
            <w:r w:rsidRPr="002F3624">
              <w:t>Mental Health Nursing</w:t>
            </w:r>
          </w:p>
        </w:tc>
        <w:tc>
          <w:tcPr>
            <w:tcW w:w="3118" w:type="dxa"/>
            <w:vAlign w:val="center"/>
          </w:tcPr>
          <w:p w14:paraId="240C1E0A" w14:textId="77777777" w:rsidR="003623D9" w:rsidRPr="002F3624" w:rsidRDefault="003623D9" w:rsidP="00562E2F">
            <w:pPr>
              <w:pStyle w:val="TableText"/>
              <w:rPr>
                <w:highlight w:val="yellow"/>
              </w:rPr>
            </w:pPr>
            <w:r w:rsidRPr="002F3624">
              <w:t xml:space="preserve">Mental </w:t>
            </w:r>
            <w:r>
              <w:t>h</w:t>
            </w:r>
            <w:r w:rsidRPr="002F3624">
              <w:t xml:space="preserve">ealth triage, support and advice for contracted </w:t>
            </w:r>
            <w:r>
              <w:t>d</w:t>
            </w:r>
            <w:r w:rsidRPr="002F3624">
              <w:t xml:space="preserve">istrict </w:t>
            </w:r>
            <w:r>
              <w:t>h</w:t>
            </w:r>
            <w:r w:rsidRPr="002F3624">
              <w:t xml:space="preserve">ealth </w:t>
            </w:r>
            <w:r>
              <w:t>b</w:t>
            </w:r>
            <w:r w:rsidRPr="002F3624">
              <w:t>oards</w:t>
            </w:r>
            <w:r w:rsidRPr="002F3624" w:rsidDel="009113D9">
              <w:t xml:space="preserve"> </w:t>
            </w:r>
            <w:r>
              <w:t>(DHBs)</w:t>
            </w:r>
          </w:p>
        </w:tc>
        <w:tc>
          <w:tcPr>
            <w:tcW w:w="2268" w:type="dxa"/>
            <w:vAlign w:val="center"/>
          </w:tcPr>
          <w:p w14:paraId="7FE92A1D" w14:textId="77777777" w:rsidR="003623D9" w:rsidRPr="002F3624" w:rsidRDefault="003623D9" w:rsidP="00562E2F">
            <w:pPr>
              <w:pStyle w:val="TableText"/>
            </w:pPr>
            <w:r w:rsidRPr="002F3624">
              <w:t>Phone only</w:t>
            </w:r>
          </w:p>
        </w:tc>
      </w:tr>
      <w:tr w:rsidR="003623D9" w:rsidRPr="002F3624" w14:paraId="13907690" w14:textId="77777777" w:rsidTr="00562E2F">
        <w:trPr>
          <w:trHeight w:val="764"/>
        </w:trPr>
        <w:tc>
          <w:tcPr>
            <w:tcW w:w="1418" w:type="dxa"/>
            <w:vAlign w:val="center"/>
          </w:tcPr>
          <w:p w14:paraId="6BB6D51C" w14:textId="77777777" w:rsidR="003623D9" w:rsidRPr="002F3624" w:rsidRDefault="003623D9" w:rsidP="00562E2F">
            <w:pPr>
              <w:pStyle w:val="TableText"/>
              <w:rPr>
                <w:rFonts w:eastAsiaTheme="minorHAnsi"/>
                <w:lang w:eastAsia="en-US"/>
              </w:rPr>
            </w:pPr>
            <w:proofErr w:type="spellStart"/>
            <w:r w:rsidRPr="002F3624">
              <w:rPr>
                <w:rFonts w:eastAsiaTheme="minorHAnsi"/>
                <w:lang w:eastAsia="en-US"/>
              </w:rPr>
              <w:t>Puāwaitanga</w:t>
            </w:r>
            <w:proofErr w:type="spellEnd"/>
          </w:p>
        </w:tc>
        <w:tc>
          <w:tcPr>
            <w:tcW w:w="1843" w:type="dxa"/>
            <w:vAlign w:val="center"/>
          </w:tcPr>
          <w:p w14:paraId="601A970B" w14:textId="77777777" w:rsidR="003623D9" w:rsidRPr="002F3624" w:rsidRDefault="003623D9" w:rsidP="00562E2F">
            <w:pPr>
              <w:pStyle w:val="TableText"/>
            </w:pPr>
            <w:r w:rsidRPr="002F3624">
              <w:t>Mental Health Support Specialists</w:t>
            </w:r>
          </w:p>
        </w:tc>
        <w:tc>
          <w:tcPr>
            <w:tcW w:w="3118" w:type="dxa"/>
            <w:vAlign w:val="center"/>
          </w:tcPr>
          <w:p w14:paraId="77217535" w14:textId="77777777" w:rsidR="003623D9" w:rsidRPr="002F3624" w:rsidRDefault="003623D9" w:rsidP="00562E2F">
            <w:pPr>
              <w:pStyle w:val="TableText"/>
            </w:pPr>
            <w:r w:rsidRPr="002F3624">
              <w:t>Individual phone and virtual counselling for those struggling, but face challenges accessing traditional counselling</w:t>
            </w:r>
          </w:p>
        </w:tc>
        <w:tc>
          <w:tcPr>
            <w:tcW w:w="2268" w:type="dxa"/>
            <w:vAlign w:val="center"/>
          </w:tcPr>
          <w:p w14:paraId="599A67E4" w14:textId="77777777" w:rsidR="003623D9" w:rsidRPr="002F3624" w:rsidRDefault="003623D9" w:rsidP="00562E2F">
            <w:pPr>
              <w:pStyle w:val="TableText"/>
            </w:pPr>
            <w:r w:rsidRPr="002F3624">
              <w:t xml:space="preserve">Phone, web and app by referral </w:t>
            </w:r>
          </w:p>
        </w:tc>
      </w:tr>
      <w:tr w:rsidR="003623D9" w:rsidRPr="002F3624" w14:paraId="620EF5B4" w14:textId="77777777" w:rsidTr="00562E2F">
        <w:trPr>
          <w:trHeight w:val="764"/>
        </w:trPr>
        <w:tc>
          <w:tcPr>
            <w:tcW w:w="1418" w:type="dxa"/>
            <w:vAlign w:val="center"/>
          </w:tcPr>
          <w:p w14:paraId="282138E6" w14:textId="77777777" w:rsidR="003623D9" w:rsidRPr="002F3624" w:rsidRDefault="003623D9" w:rsidP="00562E2F">
            <w:pPr>
              <w:pStyle w:val="TableText"/>
              <w:rPr>
                <w:rFonts w:eastAsiaTheme="minorHAnsi"/>
                <w:lang w:eastAsia="en-US"/>
              </w:rPr>
            </w:pPr>
            <w:proofErr w:type="spellStart"/>
            <w:r w:rsidRPr="002F3624">
              <w:rPr>
                <w:rFonts w:eastAsiaTheme="minorHAnsi"/>
                <w:lang w:eastAsia="en-US"/>
              </w:rPr>
              <w:t>Whītiki</w:t>
            </w:r>
            <w:proofErr w:type="spellEnd"/>
            <w:r w:rsidRPr="002F3624">
              <w:rPr>
                <w:rFonts w:eastAsiaTheme="minorHAnsi"/>
                <w:lang w:eastAsia="en-US"/>
              </w:rPr>
              <w:t xml:space="preserve"> </w:t>
            </w:r>
            <w:proofErr w:type="spellStart"/>
            <w:r w:rsidRPr="002F3624">
              <w:rPr>
                <w:rFonts w:eastAsiaTheme="minorHAnsi"/>
                <w:lang w:eastAsia="en-US"/>
              </w:rPr>
              <w:t>Tauā</w:t>
            </w:r>
            <w:proofErr w:type="spellEnd"/>
          </w:p>
        </w:tc>
        <w:tc>
          <w:tcPr>
            <w:tcW w:w="1843" w:type="dxa"/>
            <w:vAlign w:val="center"/>
          </w:tcPr>
          <w:p w14:paraId="1D908714" w14:textId="77777777" w:rsidR="003623D9" w:rsidRPr="002F3624" w:rsidRDefault="003623D9" w:rsidP="00562E2F">
            <w:pPr>
              <w:pStyle w:val="TableText"/>
            </w:pPr>
            <w:r w:rsidRPr="002F3624">
              <w:t>Lived Experience Support Advis</w:t>
            </w:r>
            <w:r>
              <w:t>o</w:t>
            </w:r>
            <w:r w:rsidRPr="002F3624">
              <w:t>rs</w:t>
            </w:r>
          </w:p>
        </w:tc>
        <w:tc>
          <w:tcPr>
            <w:tcW w:w="3118" w:type="dxa"/>
            <w:vAlign w:val="center"/>
          </w:tcPr>
          <w:p w14:paraId="4C9AD498" w14:textId="77777777" w:rsidR="003623D9" w:rsidRPr="002F3624" w:rsidRDefault="003623D9" w:rsidP="00562E2F">
            <w:pPr>
              <w:pStyle w:val="TableText"/>
            </w:pPr>
            <w:r w:rsidRPr="002F3624">
              <w:t xml:space="preserve">Virtual mentoring for </w:t>
            </w:r>
            <w:r>
              <w:t>Ministry of Social Development’</w:t>
            </w:r>
            <w:r w:rsidRPr="002F3624">
              <w:t>s Mana in Mahi participants who may need some extra support to reach their work goals</w:t>
            </w:r>
          </w:p>
        </w:tc>
        <w:tc>
          <w:tcPr>
            <w:tcW w:w="2268" w:type="dxa"/>
            <w:vAlign w:val="center"/>
          </w:tcPr>
          <w:p w14:paraId="6ADAAC40" w14:textId="77777777" w:rsidR="003623D9" w:rsidRPr="002F3624" w:rsidRDefault="003623D9" w:rsidP="00562E2F">
            <w:pPr>
              <w:pStyle w:val="TableText"/>
            </w:pPr>
            <w:r w:rsidRPr="002F3624">
              <w:t>0800 089 898</w:t>
            </w:r>
          </w:p>
        </w:tc>
      </w:tr>
      <w:tr w:rsidR="003623D9" w:rsidRPr="002F3624" w14:paraId="07AAE810" w14:textId="77777777" w:rsidTr="00562E2F">
        <w:trPr>
          <w:trHeight w:val="752"/>
        </w:trPr>
        <w:tc>
          <w:tcPr>
            <w:tcW w:w="1418" w:type="dxa"/>
            <w:tcBorders>
              <w:bottom w:val="nil"/>
            </w:tcBorders>
            <w:vAlign w:val="center"/>
          </w:tcPr>
          <w:p w14:paraId="72F4EE4D" w14:textId="77777777" w:rsidR="003623D9" w:rsidRPr="002F3624" w:rsidRDefault="003623D9" w:rsidP="00562E2F">
            <w:pPr>
              <w:pStyle w:val="TableText"/>
              <w:rPr>
                <w:rFonts w:eastAsiaTheme="minorHAnsi"/>
                <w:lang w:eastAsia="en-US"/>
              </w:rPr>
            </w:pPr>
            <w:proofErr w:type="spellStart"/>
            <w:r w:rsidRPr="002F3624">
              <w:rPr>
                <w:rFonts w:eastAsiaTheme="minorHAnsi"/>
                <w:lang w:eastAsia="en-US"/>
              </w:rPr>
              <w:t>RecoveRing</w:t>
            </w:r>
            <w:proofErr w:type="spellEnd"/>
          </w:p>
        </w:tc>
        <w:tc>
          <w:tcPr>
            <w:tcW w:w="1843" w:type="dxa"/>
            <w:tcBorders>
              <w:bottom w:val="nil"/>
            </w:tcBorders>
            <w:vAlign w:val="center"/>
          </w:tcPr>
          <w:p w14:paraId="3967001A" w14:textId="77777777" w:rsidR="003623D9" w:rsidRPr="002F3624" w:rsidRDefault="003623D9" w:rsidP="00562E2F">
            <w:pPr>
              <w:pStyle w:val="TableText"/>
            </w:pPr>
            <w:r w:rsidRPr="002F3624">
              <w:t>Mental Health Support Specialists</w:t>
            </w:r>
          </w:p>
        </w:tc>
        <w:tc>
          <w:tcPr>
            <w:tcW w:w="3118" w:type="dxa"/>
            <w:tcBorders>
              <w:bottom w:val="nil"/>
            </w:tcBorders>
            <w:vAlign w:val="center"/>
          </w:tcPr>
          <w:p w14:paraId="3F7BB04D" w14:textId="77777777" w:rsidR="003623D9" w:rsidRPr="002F3624" w:rsidRDefault="003623D9" w:rsidP="00562E2F">
            <w:pPr>
              <w:pStyle w:val="TableText"/>
              <w:rPr>
                <w:shd w:val="clear" w:color="auto" w:fill="FFFFFF"/>
              </w:rPr>
            </w:pPr>
            <w:r w:rsidRPr="002F3624">
              <w:t xml:space="preserve">Support for offenders and prisoners (and their </w:t>
            </w:r>
            <w:proofErr w:type="spellStart"/>
            <w:r w:rsidRPr="002F3624">
              <w:t>whānau</w:t>
            </w:r>
            <w:proofErr w:type="spellEnd"/>
            <w:r w:rsidRPr="002F3624">
              <w:t xml:space="preserve"> who are helping them) regarding alcohol or drug use </w:t>
            </w:r>
          </w:p>
        </w:tc>
        <w:tc>
          <w:tcPr>
            <w:tcW w:w="2268" w:type="dxa"/>
            <w:tcBorders>
              <w:bottom w:val="nil"/>
            </w:tcBorders>
            <w:vAlign w:val="center"/>
          </w:tcPr>
          <w:p w14:paraId="07273F0F" w14:textId="77777777" w:rsidR="003623D9" w:rsidRPr="002F3624" w:rsidRDefault="003623D9" w:rsidP="00562E2F">
            <w:pPr>
              <w:pStyle w:val="TableText"/>
              <w:rPr>
                <w:shd w:val="clear" w:color="auto" w:fill="FFFFFF"/>
              </w:rPr>
            </w:pPr>
            <w:r w:rsidRPr="002F3624">
              <w:t>0800 678 789</w:t>
            </w:r>
          </w:p>
        </w:tc>
      </w:tr>
      <w:tr w:rsidR="003623D9" w:rsidRPr="00562E2F" w14:paraId="7649967E" w14:textId="77777777" w:rsidTr="00562E2F">
        <w:trPr>
          <w:trHeight w:val="314"/>
        </w:trPr>
        <w:tc>
          <w:tcPr>
            <w:tcW w:w="8647" w:type="dxa"/>
            <w:gridSpan w:val="4"/>
            <w:tcBorders>
              <w:top w:val="nil"/>
              <w:bottom w:val="nil"/>
            </w:tcBorders>
            <w:shd w:val="clear" w:color="auto" w:fill="D9D9D9" w:themeFill="background1" w:themeFillShade="D9"/>
            <w:vAlign w:val="center"/>
          </w:tcPr>
          <w:p w14:paraId="42955779" w14:textId="77777777" w:rsidR="003623D9" w:rsidRPr="00562E2F" w:rsidRDefault="003623D9" w:rsidP="00562E2F">
            <w:pPr>
              <w:pStyle w:val="TableText"/>
              <w:rPr>
                <w:b/>
              </w:rPr>
            </w:pPr>
            <w:r w:rsidRPr="00562E2F">
              <w:rPr>
                <w:b/>
              </w:rPr>
              <w:t>SOCIAL HEALTH</w:t>
            </w:r>
          </w:p>
        </w:tc>
      </w:tr>
      <w:tr w:rsidR="003623D9" w:rsidRPr="002F3624" w14:paraId="41457B3E" w14:textId="77777777" w:rsidTr="00562E2F">
        <w:trPr>
          <w:trHeight w:val="584"/>
        </w:trPr>
        <w:tc>
          <w:tcPr>
            <w:tcW w:w="1418" w:type="dxa"/>
            <w:tcBorders>
              <w:top w:val="nil"/>
            </w:tcBorders>
            <w:vAlign w:val="center"/>
          </w:tcPr>
          <w:p w14:paraId="001F624E" w14:textId="77777777" w:rsidR="003623D9" w:rsidRPr="002F3624" w:rsidDel="009113D9" w:rsidRDefault="003623D9" w:rsidP="00562E2F">
            <w:pPr>
              <w:pStyle w:val="TableText"/>
              <w:rPr>
                <w:rFonts w:eastAsiaTheme="minorHAnsi"/>
                <w:lang w:eastAsia="en-US"/>
              </w:rPr>
            </w:pPr>
            <w:r w:rsidRPr="002F3624">
              <w:rPr>
                <w:rFonts w:eastAsiaTheme="minorHAnsi"/>
                <w:lang w:eastAsia="en-US"/>
              </w:rPr>
              <w:t>Safe to Talk</w:t>
            </w:r>
          </w:p>
        </w:tc>
        <w:tc>
          <w:tcPr>
            <w:tcW w:w="1843" w:type="dxa"/>
            <w:tcBorders>
              <w:top w:val="nil"/>
            </w:tcBorders>
            <w:vAlign w:val="center"/>
          </w:tcPr>
          <w:p w14:paraId="4F0AE7A2" w14:textId="77777777" w:rsidR="003623D9" w:rsidRPr="002F3624" w:rsidDel="009113D9" w:rsidRDefault="003623D9" w:rsidP="00562E2F">
            <w:pPr>
              <w:pStyle w:val="TableText"/>
            </w:pPr>
            <w:r w:rsidRPr="002F3624">
              <w:t>Sexual Harm Professionals</w:t>
            </w:r>
          </w:p>
        </w:tc>
        <w:tc>
          <w:tcPr>
            <w:tcW w:w="3118" w:type="dxa"/>
            <w:tcBorders>
              <w:top w:val="nil"/>
            </w:tcBorders>
            <w:vAlign w:val="center"/>
          </w:tcPr>
          <w:p w14:paraId="70650C83" w14:textId="77777777" w:rsidR="003623D9" w:rsidRPr="002F3624" w:rsidDel="009113D9" w:rsidRDefault="003623D9" w:rsidP="00562E2F">
            <w:pPr>
              <w:pStyle w:val="TableText"/>
            </w:pPr>
            <w:r w:rsidRPr="002F3624">
              <w:t>Support and advice for those affected by sexual harm</w:t>
            </w:r>
          </w:p>
        </w:tc>
        <w:tc>
          <w:tcPr>
            <w:tcW w:w="2268" w:type="dxa"/>
            <w:tcBorders>
              <w:top w:val="nil"/>
            </w:tcBorders>
            <w:vAlign w:val="center"/>
          </w:tcPr>
          <w:p w14:paraId="6F9E03EF" w14:textId="77777777" w:rsidR="003623D9" w:rsidRPr="002F3624" w:rsidRDefault="003623D9" w:rsidP="00562E2F">
            <w:pPr>
              <w:pStyle w:val="TableText"/>
            </w:pPr>
            <w:r w:rsidRPr="002F3624">
              <w:t>0800 044 334 or Text 4334</w:t>
            </w:r>
          </w:p>
          <w:p w14:paraId="1C09DBE4" w14:textId="77777777" w:rsidR="003623D9" w:rsidRPr="002F3624" w:rsidDel="009113D9" w:rsidRDefault="00F25F52" w:rsidP="00562E2F">
            <w:pPr>
              <w:pStyle w:val="TableText"/>
            </w:pPr>
            <w:hyperlink r:id="rId33" w:history="1">
              <w:r w:rsidR="003623D9" w:rsidRPr="002F3624">
                <w:rPr>
                  <w:rStyle w:val="Hyperlink"/>
                  <w:rFonts w:cs="Segoe UI"/>
                  <w:szCs w:val="18"/>
                </w:rPr>
                <w:t>www.safetotalk.nz</w:t>
              </w:r>
            </w:hyperlink>
          </w:p>
        </w:tc>
      </w:tr>
      <w:tr w:rsidR="003623D9" w:rsidRPr="002F3624" w14:paraId="3E074465" w14:textId="77777777" w:rsidTr="00562E2F">
        <w:trPr>
          <w:trHeight w:val="705"/>
        </w:trPr>
        <w:tc>
          <w:tcPr>
            <w:tcW w:w="1418" w:type="dxa"/>
            <w:vAlign w:val="center"/>
          </w:tcPr>
          <w:p w14:paraId="2195C2F5" w14:textId="77777777" w:rsidR="003623D9" w:rsidRPr="002F3624" w:rsidRDefault="003623D9" w:rsidP="00562E2F">
            <w:pPr>
              <w:pStyle w:val="TableText"/>
              <w:rPr>
                <w:rFonts w:eastAsiaTheme="minorHAnsi"/>
                <w:lang w:eastAsia="en-US"/>
              </w:rPr>
            </w:pPr>
            <w:r w:rsidRPr="002F3624">
              <w:rPr>
                <w:rFonts w:eastAsiaTheme="minorHAnsi"/>
                <w:lang w:eastAsia="en-US"/>
              </w:rPr>
              <w:lastRenderedPageBreak/>
              <w:t>Family Violence Services</w:t>
            </w:r>
          </w:p>
        </w:tc>
        <w:tc>
          <w:tcPr>
            <w:tcW w:w="1843" w:type="dxa"/>
            <w:vAlign w:val="center"/>
          </w:tcPr>
          <w:p w14:paraId="0964E4C8" w14:textId="77777777" w:rsidR="003623D9" w:rsidRPr="002F3624" w:rsidRDefault="003623D9" w:rsidP="00562E2F">
            <w:pPr>
              <w:pStyle w:val="TableText"/>
              <w:rPr>
                <w:highlight w:val="yellow"/>
              </w:rPr>
            </w:pPr>
            <w:r w:rsidRPr="002F3624">
              <w:t>Family Violence Support Specialists</w:t>
            </w:r>
          </w:p>
        </w:tc>
        <w:tc>
          <w:tcPr>
            <w:tcW w:w="3118" w:type="dxa"/>
            <w:vAlign w:val="center"/>
          </w:tcPr>
          <w:p w14:paraId="7EA993D6" w14:textId="77777777" w:rsidR="003623D9" w:rsidRPr="002F3624" w:rsidRDefault="003623D9" w:rsidP="00562E2F">
            <w:pPr>
              <w:pStyle w:val="TableText"/>
              <w:rPr>
                <w:shd w:val="clear" w:color="auto" w:fill="FFFFFF"/>
              </w:rPr>
            </w:pPr>
            <w:r w:rsidRPr="002F3624">
              <w:rPr>
                <w:shd w:val="clear" w:color="auto" w:fill="FFFFFF"/>
              </w:rPr>
              <w:t xml:space="preserve">Support and advice for those affected by family violence. This includes the Shine Domestic Abuse Helpline </w:t>
            </w:r>
            <w:r>
              <w:rPr>
                <w:shd w:val="clear" w:color="auto" w:fill="FFFFFF"/>
              </w:rPr>
              <w:t>and</w:t>
            </w:r>
            <w:r w:rsidRPr="002F3624">
              <w:rPr>
                <w:shd w:val="clear" w:color="auto" w:fill="FFFFFF"/>
              </w:rPr>
              <w:t xml:space="preserve"> webchat, Family Violence Information Line, Family Services Directory and the Women’s Refuge webchat</w:t>
            </w:r>
          </w:p>
        </w:tc>
        <w:tc>
          <w:tcPr>
            <w:tcW w:w="2268" w:type="dxa"/>
            <w:vAlign w:val="center"/>
          </w:tcPr>
          <w:p w14:paraId="4A996803" w14:textId="77777777" w:rsidR="003623D9" w:rsidRPr="002F3624" w:rsidRDefault="003623D9" w:rsidP="00562E2F">
            <w:pPr>
              <w:pStyle w:val="TableText"/>
            </w:pPr>
            <w:r w:rsidRPr="002F3624">
              <w:t>0508 744 633 and webchat</w:t>
            </w:r>
          </w:p>
          <w:p w14:paraId="7A380AE3" w14:textId="77777777" w:rsidR="003623D9" w:rsidRPr="002F3624" w:rsidRDefault="003623D9" w:rsidP="00562E2F">
            <w:pPr>
              <w:pStyle w:val="TableText"/>
            </w:pPr>
            <w:r w:rsidRPr="002F3624">
              <w:t>0800 456 450</w:t>
            </w:r>
            <w:r w:rsidRPr="002F3624" w:rsidDel="009113D9">
              <w:t xml:space="preserve"> </w:t>
            </w:r>
          </w:p>
          <w:p w14:paraId="53069176" w14:textId="77777777" w:rsidR="003623D9" w:rsidRPr="002F3624" w:rsidRDefault="003623D9" w:rsidP="00562E2F">
            <w:pPr>
              <w:pStyle w:val="TableText"/>
              <w:rPr>
                <w:shd w:val="clear" w:color="auto" w:fill="FFFFFF"/>
              </w:rPr>
            </w:pPr>
            <w:r w:rsidRPr="002F3624">
              <w:rPr>
                <w:shd w:val="clear" w:color="auto" w:fill="FFFFFF"/>
              </w:rPr>
              <w:t>0800 211 211</w:t>
            </w:r>
          </w:p>
        </w:tc>
      </w:tr>
      <w:tr w:rsidR="003623D9" w:rsidRPr="002F3624" w14:paraId="79CAD34E" w14:textId="77777777" w:rsidTr="00562E2F">
        <w:trPr>
          <w:trHeight w:val="705"/>
        </w:trPr>
        <w:tc>
          <w:tcPr>
            <w:tcW w:w="1418" w:type="dxa"/>
            <w:vAlign w:val="center"/>
          </w:tcPr>
          <w:p w14:paraId="37D79914" w14:textId="77777777" w:rsidR="003623D9" w:rsidRPr="002F3624" w:rsidRDefault="003623D9" w:rsidP="00562E2F">
            <w:pPr>
              <w:pStyle w:val="TableText"/>
              <w:rPr>
                <w:rFonts w:eastAsiaTheme="minorHAnsi"/>
                <w:lang w:eastAsia="en-US"/>
              </w:rPr>
            </w:pPr>
            <w:r w:rsidRPr="002F3624">
              <w:rPr>
                <w:rFonts w:eastAsiaTheme="minorHAnsi"/>
                <w:lang w:eastAsia="en-US"/>
              </w:rPr>
              <w:t>Integrated Safety Response</w:t>
            </w:r>
          </w:p>
        </w:tc>
        <w:tc>
          <w:tcPr>
            <w:tcW w:w="1843" w:type="dxa"/>
            <w:vAlign w:val="center"/>
          </w:tcPr>
          <w:p w14:paraId="65186B8E" w14:textId="77777777" w:rsidR="003623D9" w:rsidRPr="002F3624" w:rsidRDefault="003623D9" w:rsidP="00562E2F">
            <w:pPr>
              <w:pStyle w:val="TableText"/>
            </w:pPr>
            <w:r w:rsidRPr="002F3624">
              <w:t>Family Violence Support Specialists</w:t>
            </w:r>
          </w:p>
        </w:tc>
        <w:tc>
          <w:tcPr>
            <w:tcW w:w="3118" w:type="dxa"/>
            <w:vAlign w:val="center"/>
          </w:tcPr>
          <w:p w14:paraId="74E317E0" w14:textId="77777777" w:rsidR="003623D9" w:rsidRPr="002F3624" w:rsidRDefault="003623D9" w:rsidP="00562E2F">
            <w:pPr>
              <w:pStyle w:val="TableText"/>
              <w:rPr>
                <w:shd w:val="clear" w:color="auto" w:fill="FFFFFF"/>
              </w:rPr>
            </w:pPr>
            <w:r w:rsidRPr="002F3624">
              <w:rPr>
                <w:shd w:val="clear" w:color="auto" w:fill="FFFFFF"/>
              </w:rPr>
              <w:t>An outbound calling service operating as a pilot in the Waikato, providing proactive follow</w:t>
            </w:r>
            <w:r>
              <w:rPr>
                <w:shd w:val="clear" w:color="auto" w:fill="FFFFFF"/>
              </w:rPr>
              <w:t>-</w:t>
            </w:r>
            <w:r w:rsidRPr="002F3624">
              <w:rPr>
                <w:shd w:val="clear" w:color="auto" w:fill="FFFFFF"/>
              </w:rPr>
              <w:t>up to people who have interaction with Police and are suspected to be involved in family violence</w:t>
            </w:r>
          </w:p>
        </w:tc>
        <w:tc>
          <w:tcPr>
            <w:tcW w:w="2268" w:type="dxa"/>
            <w:vAlign w:val="center"/>
          </w:tcPr>
          <w:p w14:paraId="4717DECA" w14:textId="77777777" w:rsidR="003623D9" w:rsidRPr="002F3624" w:rsidRDefault="003623D9" w:rsidP="00562E2F">
            <w:pPr>
              <w:pStyle w:val="TableText"/>
            </w:pPr>
            <w:r w:rsidRPr="002F3624">
              <w:t>Police Referral</w:t>
            </w:r>
          </w:p>
        </w:tc>
      </w:tr>
      <w:tr w:rsidR="003623D9" w:rsidRPr="002F3624" w14:paraId="2CA0937C" w14:textId="77777777" w:rsidTr="00562E2F">
        <w:trPr>
          <w:trHeight w:val="705"/>
        </w:trPr>
        <w:tc>
          <w:tcPr>
            <w:tcW w:w="1418" w:type="dxa"/>
            <w:tcBorders>
              <w:bottom w:val="nil"/>
            </w:tcBorders>
            <w:vAlign w:val="center"/>
          </w:tcPr>
          <w:p w14:paraId="75195510" w14:textId="77777777" w:rsidR="003623D9" w:rsidRPr="002F3624" w:rsidRDefault="003623D9" w:rsidP="00562E2F">
            <w:pPr>
              <w:pStyle w:val="TableText"/>
              <w:rPr>
                <w:rFonts w:eastAsiaTheme="minorHAnsi"/>
                <w:lang w:eastAsia="en-US"/>
              </w:rPr>
            </w:pPr>
            <w:r w:rsidRPr="002F3624">
              <w:rPr>
                <w:rFonts w:eastAsiaTheme="minorHAnsi"/>
                <w:lang w:eastAsia="en-US"/>
              </w:rPr>
              <w:t>Elder Abuse Response Service</w:t>
            </w:r>
          </w:p>
        </w:tc>
        <w:tc>
          <w:tcPr>
            <w:tcW w:w="1843" w:type="dxa"/>
            <w:tcBorders>
              <w:bottom w:val="nil"/>
            </w:tcBorders>
            <w:vAlign w:val="center"/>
          </w:tcPr>
          <w:p w14:paraId="67E13F38" w14:textId="77777777" w:rsidR="003623D9" w:rsidRPr="002F3624" w:rsidRDefault="003623D9" w:rsidP="00562E2F">
            <w:pPr>
              <w:pStyle w:val="TableText"/>
            </w:pPr>
            <w:r w:rsidRPr="002F3624">
              <w:t>Mental Health Support Specialists</w:t>
            </w:r>
          </w:p>
        </w:tc>
        <w:tc>
          <w:tcPr>
            <w:tcW w:w="3118" w:type="dxa"/>
            <w:tcBorders>
              <w:bottom w:val="nil"/>
            </w:tcBorders>
            <w:vAlign w:val="center"/>
          </w:tcPr>
          <w:p w14:paraId="474343A6" w14:textId="77777777" w:rsidR="003623D9" w:rsidRPr="002F3624" w:rsidRDefault="003623D9" w:rsidP="00562E2F">
            <w:pPr>
              <w:pStyle w:val="TableText"/>
              <w:rPr>
                <w:shd w:val="clear" w:color="auto" w:fill="FFFFFF"/>
              </w:rPr>
            </w:pPr>
            <w:r w:rsidRPr="002F3624">
              <w:t xml:space="preserve">Advice, information and support about elder abuse </w:t>
            </w:r>
          </w:p>
        </w:tc>
        <w:tc>
          <w:tcPr>
            <w:tcW w:w="2268" w:type="dxa"/>
            <w:tcBorders>
              <w:bottom w:val="nil"/>
            </w:tcBorders>
            <w:vAlign w:val="center"/>
          </w:tcPr>
          <w:p w14:paraId="7A871E41" w14:textId="77777777" w:rsidR="003623D9" w:rsidRPr="002F3624" w:rsidRDefault="003623D9" w:rsidP="00562E2F">
            <w:pPr>
              <w:pStyle w:val="TableText"/>
            </w:pPr>
            <w:r w:rsidRPr="002F3624">
              <w:rPr>
                <w:rFonts w:eastAsiaTheme="minorHAnsi"/>
                <w:lang w:eastAsia="en-US"/>
              </w:rPr>
              <w:t>0800 EA NOT OK</w:t>
            </w:r>
          </w:p>
        </w:tc>
      </w:tr>
      <w:tr w:rsidR="003623D9" w:rsidRPr="00562E2F" w14:paraId="5EE22CAD" w14:textId="77777777" w:rsidTr="00562E2F">
        <w:trPr>
          <w:trHeight w:val="318"/>
        </w:trPr>
        <w:tc>
          <w:tcPr>
            <w:tcW w:w="8647" w:type="dxa"/>
            <w:gridSpan w:val="4"/>
            <w:tcBorders>
              <w:top w:val="nil"/>
              <w:bottom w:val="nil"/>
            </w:tcBorders>
            <w:shd w:val="clear" w:color="auto" w:fill="D9D9D9" w:themeFill="background1" w:themeFillShade="D9"/>
            <w:vAlign w:val="center"/>
          </w:tcPr>
          <w:p w14:paraId="2746B6DE" w14:textId="77777777" w:rsidR="003623D9" w:rsidRPr="00562E2F" w:rsidRDefault="003623D9" w:rsidP="00562E2F">
            <w:pPr>
              <w:pStyle w:val="TableText"/>
              <w:rPr>
                <w:b/>
              </w:rPr>
            </w:pPr>
            <w:r w:rsidRPr="00562E2F">
              <w:rPr>
                <w:b/>
              </w:rPr>
              <w:t>POPULATION HEALTH</w:t>
            </w:r>
          </w:p>
        </w:tc>
      </w:tr>
      <w:tr w:rsidR="003623D9" w:rsidRPr="002F3624" w14:paraId="57E71FDC" w14:textId="77777777" w:rsidTr="00562E2F">
        <w:trPr>
          <w:trHeight w:val="705"/>
        </w:trPr>
        <w:tc>
          <w:tcPr>
            <w:tcW w:w="1418" w:type="dxa"/>
            <w:tcBorders>
              <w:top w:val="nil"/>
            </w:tcBorders>
            <w:vAlign w:val="center"/>
          </w:tcPr>
          <w:p w14:paraId="25D8D45F" w14:textId="77777777" w:rsidR="003623D9" w:rsidRPr="002F3624" w:rsidRDefault="003623D9" w:rsidP="00562E2F">
            <w:pPr>
              <w:pStyle w:val="TableText"/>
              <w:rPr>
                <w:rFonts w:eastAsiaTheme="minorHAnsi"/>
                <w:lang w:eastAsia="en-US"/>
              </w:rPr>
            </w:pPr>
            <w:r w:rsidRPr="002F3624">
              <w:rPr>
                <w:rFonts w:eastAsiaTheme="minorHAnsi"/>
                <w:lang w:eastAsia="en-US"/>
              </w:rPr>
              <w:t>Quitline</w:t>
            </w:r>
          </w:p>
        </w:tc>
        <w:tc>
          <w:tcPr>
            <w:tcW w:w="1843" w:type="dxa"/>
            <w:tcBorders>
              <w:top w:val="nil"/>
            </w:tcBorders>
            <w:vAlign w:val="center"/>
          </w:tcPr>
          <w:p w14:paraId="0A580D18" w14:textId="77777777" w:rsidR="003623D9" w:rsidRPr="002F3624" w:rsidRDefault="003623D9" w:rsidP="00562E2F">
            <w:pPr>
              <w:pStyle w:val="TableText"/>
            </w:pPr>
            <w:r w:rsidRPr="002F3624">
              <w:t>Service and Support Advis</w:t>
            </w:r>
            <w:r>
              <w:t>o</w:t>
            </w:r>
            <w:r w:rsidRPr="002F3624">
              <w:t>rs</w:t>
            </w:r>
          </w:p>
        </w:tc>
        <w:tc>
          <w:tcPr>
            <w:tcW w:w="3118" w:type="dxa"/>
            <w:tcBorders>
              <w:top w:val="nil"/>
            </w:tcBorders>
            <w:vAlign w:val="center"/>
          </w:tcPr>
          <w:p w14:paraId="6EFAF741" w14:textId="77777777" w:rsidR="003623D9" w:rsidRPr="002F3624" w:rsidRDefault="003623D9" w:rsidP="00562E2F">
            <w:pPr>
              <w:pStyle w:val="TableText"/>
              <w:rPr>
                <w:shd w:val="clear" w:color="auto" w:fill="FFFFFF"/>
              </w:rPr>
            </w:pPr>
            <w:r w:rsidRPr="002F3624">
              <w:rPr>
                <w:shd w:val="clear" w:color="auto" w:fill="FFFFFF"/>
              </w:rPr>
              <w:t>Support for those who want to quit smoking and stay quit</w:t>
            </w:r>
          </w:p>
        </w:tc>
        <w:tc>
          <w:tcPr>
            <w:tcW w:w="2268" w:type="dxa"/>
            <w:tcBorders>
              <w:top w:val="nil"/>
            </w:tcBorders>
            <w:vAlign w:val="center"/>
          </w:tcPr>
          <w:p w14:paraId="2CEC78E4" w14:textId="77777777" w:rsidR="003623D9" w:rsidRPr="002F3624" w:rsidRDefault="003623D9" w:rsidP="00562E2F">
            <w:pPr>
              <w:pStyle w:val="TableText"/>
              <w:rPr>
                <w:rFonts w:eastAsiaTheme="minorHAnsi"/>
                <w:lang w:eastAsia="en-US"/>
              </w:rPr>
            </w:pPr>
            <w:r w:rsidRPr="002F3624">
              <w:rPr>
                <w:rFonts w:eastAsiaTheme="minorHAnsi"/>
                <w:lang w:eastAsia="en-US"/>
              </w:rPr>
              <w:t xml:space="preserve">0800 778 778 </w:t>
            </w:r>
            <w:r>
              <w:rPr>
                <w:rFonts w:eastAsiaTheme="minorHAnsi"/>
                <w:lang w:eastAsia="en-US"/>
              </w:rPr>
              <w:t>or</w:t>
            </w:r>
            <w:r w:rsidRPr="002F3624">
              <w:rPr>
                <w:rFonts w:eastAsiaTheme="minorHAnsi"/>
                <w:lang w:eastAsia="en-US"/>
              </w:rPr>
              <w:t xml:space="preserve"> Text 4006</w:t>
            </w:r>
          </w:p>
          <w:p w14:paraId="06E69B79" w14:textId="77777777" w:rsidR="003623D9" w:rsidRPr="002F3624" w:rsidRDefault="00F25F52" w:rsidP="00562E2F">
            <w:pPr>
              <w:pStyle w:val="TableText"/>
            </w:pPr>
            <w:hyperlink r:id="rId34" w:history="1">
              <w:r w:rsidR="003623D9" w:rsidRPr="002F3624">
                <w:rPr>
                  <w:rStyle w:val="Hyperlink"/>
                  <w:rFonts w:eastAsiaTheme="minorHAnsi" w:cs="Segoe UI"/>
                  <w:szCs w:val="18"/>
                  <w:lang w:eastAsia="en-US"/>
                </w:rPr>
                <w:t>www.quit.org.nz</w:t>
              </w:r>
            </w:hyperlink>
            <w:r w:rsidR="003623D9" w:rsidRPr="002F3624">
              <w:rPr>
                <w:shd w:val="clear" w:color="auto" w:fill="FFFFFF"/>
              </w:rPr>
              <w:t xml:space="preserve"> </w:t>
            </w:r>
          </w:p>
        </w:tc>
      </w:tr>
      <w:tr w:rsidR="003623D9" w:rsidRPr="002F3624" w14:paraId="2F2E427A" w14:textId="77777777" w:rsidTr="00562E2F">
        <w:trPr>
          <w:trHeight w:val="705"/>
        </w:trPr>
        <w:tc>
          <w:tcPr>
            <w:tcW w:w="1418" w:type="dxa"/>
            <w:vAlign w:val="center"/>
          </w:tcPr>
          <w:p w14:paraId="58BE2FE2" w14:textId="77777777" w:rsidR="003623D9" w:rsidRPr="002F3624" w:rsidRDefault="003623D9" w:rsidP="00562E2F">
            <w:pPr>
              <w:pStyle w:val="TableText"/>
              <w:rPr>
                <w:rFonts w:eastAsiaTheme="minorHAnsi"/>
                <w:lang w:eastAsia="en-US"/>
              </w:rPr>
            </w:pPr>
            <w:r w:rsidRPr="002F3624">
              <w:rPr>
                <w:rFonts w:eastAsiaTheme="minorHAnsi"/>
                <w:lang w:eastAsia="en-US"/>
              </w:rPr>
              <w:t>National Bowel Screening Programme</w:t>
            </w:r>
          </w:p>
        </w:tc>
        <w:tc>
          <w:tcPr>
            <w:tcW w:w="1843" w:type="dxa"/>
            <w:vAlign w:val="center"/>
          </w:tcPr>
          <w:p w14:paraId="133FDFB3" w14:textId="77777777" w:rsidR="003623D9" w:rsidRPr="002F3624" w:rsidRDefault="003623D9" w:rsidP="00562E2F">
            <w:pPr>
              <w:pStyle w:val="TableText"/>
            </w:pPr>
            <w:r w:rsidRPr="002F3624">
              <w:t>Service and Support Advis</w:t>
            </w:r>
            <w:r>
              <w:t>o</w:t>
            </w:r>
            <w:r w:rsidRPr="002F3624">
              <w:t>rs</w:t>
            </w:r>
          </w:p>
        </w:tc>
        <w:tc>
          <w:tcPr>
            <w:tcW w:w="3118" w:type="dxa"/>
            <w:vAlign w:val="center"/>
          </w:tcPr>
          <w:p w14:paraId="14758D67" w14:textId="77777777" w:rsidR="003623D9" w:rsidRPr="002F3624" w:rsidRDefault="003623D9" w:rsidP="00562E2F">
            <w:pPr>
              <w:pStyle w:val="TableText"/>
              <w:rPr>
                <w:shd w:val="clear" w:color="auto" w:fill="FFFFFF"/>
              </w:rPr>
            </w:pPr>
            <w:r w:rsidRPr="002F3624">
              <w:rPr>
                <w:shd w:val="clear" w:color="auto" w:fill="FFFFFF"/>
              </w:rPr>
              <w:t>Manag</w:t>
            </w:r>
            <w:r>
              <w:rPr>
                <w:shd w:val="clear" w:color="auto" w:fill="FFFFFF"/>
              </w:rPr>
              <w:t>ing</w:t>
            </w:r>
            <w:r w:rsidRPr="002F3624">
              <w:rPr>
                <w:shd w:val="clear" w:color="auto" w:fill="FFFFFF"/>
              </w:rPr>
              <w:t xml:space="preserve"> the database and distribution of invitations for the programme, providing test kits to participants, and ensuring that </w:t>
            </w:r>
            <w:r>
              <w:rPr>
                <w:shd w:val="clear" w:color="auto" w:fill="FFFFFF"/>
              </w:rPr>
              <w:t>general practitioners</w:t>
            </w:r>
            <w:r w:rsidRPr="002F3624">
              <w:rPr>
                <w:shd w:val="clear" w:color="auto" w:fill="FFFFFF"/>
              </w:rPr>
              <w:t xml:space="preserve"> receive their patient</w:t>
            </w:r>
            <w:r>
              <w:rPr>
                <w:shd w:val="clear" w:color="auto" w:fill="FFFFFF"/>
              </w:rPr>
              <w:t>’</w:t>
            </w:r>
            <w:r w:rsidRPr="002F3624">
              <w:rPr>
                <w:shd w:val="clear" w:color="auto" w:fill="FFFFFF"/>
              </w:rPr>
              <w:t>s test results</w:t>
            </w:r>
          </w:p>
        </w:tc>
        <w:tc>
          <w:tcPr>
            <w:tcW w:w="2268" w:type="dxa"/>
            <w:vAlign w:val="center"/>
          </w:tcPr>
          <w:p w14:paraId="7CBE64CF" w14:textId="77777777" w:rsidR="003623D9" w:rsidRPr="002F3624" w:rsidRDefault="003623D9" w:rsidP="00562E2F">
            <w:pPr>
              <w:pStyle w:val="TableText"/>
            </w:pPr>
            <w:r w:rsidRPr="002F3624">
              <w:t>Outbound</w:t>
            </w:r>
          </w:p>
        </w:tc>
      </w:tr>
      <w:tr w:rsidR="003623D9" w:rsidRPr="002F3624" w14:paraId="7C561B4D" w14:textId="77777777" w:rsidTr="00562E2F">
        <w:trPr>
          <w:trHeight w:val="705"/>
        </w:trPr>
        <w:tc>
          <w:tcPr>
            <w:tcW w:w="1418" w:type="dxa"/>
            <w:vAlign w:val="center"/>
          </w:tcPr>
          <w:p w14:paraId="1CB8FDBE" w14:textId="77777777" w:rsidR="003623D9" w:rsidRPr="002F3624" w:rsidRDefault="003623D9" w:rsidP="00562E2F">
            <w:pPr>
              <w:pStyle w:val="TableText"/>
              <w:rPr>
                <w:rFonts w:eastAsiaTheme="minorHAnsi"/>
                <w:lang w:eastAsia="en-US"/>
              </w:rPr>
            </w:pPr>
            <w:r w:rsidRPr="002F3624">
              <w:rPr>
                <w:rFonts w:eastAsiaTheme="minorHAnsi"/>
                <w:lang w:eastAsia="en-US"/>
              </w:rPr>
              <w:t>National Cervical Screening Programme</w:t>
            </w:r>
          </w:p>
        </w:tc>
        <w:tc>
          <w:tcPr>
            <w:tcW w:w="1843" w:type="dxa"/>
            <w:vAlign w:val="center"/>
          </w:tcPr>
          <w:p w14:paraId="7FEB1712" w14:textId="77777777" w:rsidR="003623D9" w:rsidRPr="002F3624" w:rsidRDefault="003623D9" w:rsidP="00562E2F">
            <w:pPr>
              <w:pStyle w:val="TableText"/>
            </w:pPr>
            <w:r w:rsidRPr="002F3624">
              <w:t>Service and Support Advis</w:t>
            </w:r>
            <w:r>
              <w:t>o</w:t>
            </w:r>
            <w:r w:rsidRPr="002F3624">
              <w:t>rs</w:t>
            </w:r>
          </w:p>
        </w:tc>
        <w:tc>
          <w:tcPr>
            <w:tcW w:w="3118" w:type="dxa"/>
            <w:vAlign w:val="center"/>
          </w:tcPr>
          <w:p w14:paraId="78E0FE74" w14:textId="77777777" w:rsidR="003623D9" w:rsidRPr="002F3624" w:rsidRDefault="003623D9" w:rsidP="00562E2F">
            <w:pPr>
              <w:pStyle w:val="TableText"/>
              <w:rPr>
                <w:shd w:val="clear" w:color="auto" w:fill="FFFFFF"/>
              </w:rPr>
            </w:pPr>
            <w:r w:rsidRPr="002F3624">
              <w:rPr>
                <w:shd w:val="clear" w:color="auto" w:fill="FFFFFF"/>
              </w:rPr>
              <w:t>Manag</w:t>
            </w:r>
            <w:r>
              <w:rPr>
                <w:shd w:val="clear" w:color="auto" w:fill="FFFFFF"/>
              </w:rPr>
              <w:t>ing</w:t>
            </w:r>
            <w:r w:rsidRPr="002F3624">
              <w:rPr>
                <w:shd w:val="clear" w:color="auto" w:fill="FFFFFF"/>
              </w:rPr>
              <w:t xml:space="preserve"> correspondence to women, answering questions from the public as well as liaising with the regional centres, smear takers, laboratories, specialists and DHBs about the people they serve</w:t>
            </w:r>
          </w:p>
        </w:tc>
        <w:tc>
          <w:tcPr>
            <w:tcW w:w="2268" w:type="dxa"/>
            <w:vAlign w:val="center"/>
          </w:tcPr>
          <w:p w14:paraId="6A8E9E27" w14:textId="77777777" w:rsidR="003623D9" w:rsidRPr="002F3624" w:rsidRDefault="003623D9" w:rsidP="00562E2F">
            <w:pPr>
              <w:pStyle w:val="TableText"/>
            </w:pPr>
            <w:r w:rsidRPr="002F3624">
              <w:t>Outbound</w:t>
            </w:r>
          </w:p>
        </w:tc>
      </w:tr>
      <w:tr w:rsidR="003623D9" w:rsidRPr="002F3624" w14:paraId="7E3F86F5" w14:textId="77777777" w:rsidTr="00562E2F">
        <w:trPr>
          <w:trHeight w:val="705"/>
        </w:trPr>
        <w:tc>
          <w:tcPr>
            <w:tcW w:w="1418" w:type="dxa"/>
            <w:vAlign w:val="center"/>
          </w:tcPr>
          <w:p w14:paraId="0E6250B6" w14:textId="77777777" w:rsidR="003623D9" w:rsidRPr="002F3624" w:rsidRDefault="003623D9" w:rsidP="00562E2F">
            <w:pPr>
              <w:pStyle w:val="TableText"/>
              <w:rPr>
                <w:rFonts w:eastAsiaTheme="minorHAnsi"/>
                <w:lang w:eastAsia="en-US"/>
              </w:rPr>
            </w:pPr>
            <w:r w:rsidRPr="002F3624">
              <w:rPr>
                <w:rFonts w:eastAsiaTheme="minorHAnsi"/>
                <w:lang w:eastAsia="en-US"/>
              </w:rPr>
              <w:t>Kupe</w:t>
            </w:r>
          </w:p>
        </w:tc>
        <w:tc>
          <w:tcPr>
            <w:tcW w:w="1843" w:type="dxa"/>
            <w:vAlign w:val="center"/>
          </w:tcPr>
          <w:p w14:paraId="6CBF13C8" w14:textId="77777777" w:rsidR="003623D9" w:rsidRPr="002F3624" w:rsidRDefault="003623D9" w:rsidP="00562E2F">
            <w:pPr>
              <w:pStyle w:val="TableText"/>
            </w:pPr>
            <w:r w:rsidRPr="002F3624">
              <w:t>Digital services</w:t>
            </w:r>
          </w:p>
        </w:tc>
        <w:tc>
          <w:tcPr>
            <w:tcW w:w="3118" w:type="dxa"/>
            <w:vAlign w:val="center"/>
          </w:tcPr>
          <w:p w14:paraId="7966CC4D" w14:textId="77777777" w:rsidR="003623D9" w:rsidRPr="002F3624" w:rsidRDefault="003623D9" w:rsidP="00562E2F">
            <w:pPr>
              <w:pStyle w:val="TableText"/>
              <w:rPr>
                <w:shd w:val="clear" w:color="auto" w:fill="FFFFFF"/>
              </w:rPr>
            </w:pPr>
            <w:r w:rsidRPr="002F3624">
              <w:rPr>
                <w:shd w:val="clear" w:color="auto" w:fill="FFFFFF"/>
              </w:rPr>
              <w:t xml:space="preserve">Online decision support tool to help men and their </w:t>
            </w:r>
            <w:proofErr w:type="spellStart"/>
            <w:r w:rsidRPr="002F3624">
              <w:rPr>
                <w:shd w:val="clear" w:color="auto" w:fill="FFFFFF"/>
              </w:rPr>
              <w:t>whānau</w:t>
            </w:r>
            <w:proofErr w:type="spellEnd"/>
            <w:r w:rsidRPr="002F3624">
              <w:rPr>
                <w:shd w:val="clear" w:color="auto" w:fill="FFFFFF"/>
              </w:rPr>
              <w:t xml:space="preserve"> understand more about prostate cancer and to decide if they should see their doctor to get tested </w:t>
            </w:r>
          </w:p>
        </w:tc>
        <w:tc>
          <w:tcPr>
            <w:tcW w:w="2268" w:type="dxa"/>
            <w:vAlign w:val="center"/>
          </w:tcPr>
          <w:p w14:paraId="77B88E7F" w14:textId="77777777" w:rsidR="003623D9" w:rsidRPr="002F3624" w:rsidRDefault="00F25F52" w:rsidP="00562E2F">
            <w:pPr>
              <w:pStyle w:val="TableText"/>
            </w:pPr>
            <w:hyperlink r:id="rId35" w:history="1">
              <w:r w:rsidR="003623D9" w:rsidRPr="002F3624">
                <w:rPr>
                  <w:color w:val="0000FF"/>
                  <w:u w:val="single"/>
                  <w:shd w:val="clear" w:color="auto" w:fill="FFFFFF"/>
                </w:rPr>
                <w:t>www.kupe.net.nz</w:t>
              </w:r>
            </w:hyperlink>
          </w:p>
        </w:tc>
      </w:tr>
    </w:tbl>
    <w:p w14:paraId="662969B3" w14:textId="77777777" w:rsidR="003623D9" w:rsidRPr="002F3624" w:rsidRDefault="003623D9" w:rsidP="003623D9"/>
    <w:p w14:paraId="5DC8EC3D" w14:textId="77777777" w:rsidR="003623D9" w:rsidRPr="002F3624" w:rsidRDefault="003623D9" w:rsidP="003623D9">
      <w:pPr>
        <w:rPr>
          <w:rFonts w:cstheme="minorHAnsi"/>
        </w:rPr>
      </w:pPr>
    </w:p>
    <w:p w14:paraId="105CAAF7" w14:textId="77777777" w:rsidR="003623D9" w:rsidRPr="002F3624" w:rsidRDefault="003623D9" w:rsidP="003623D9">
      <w:pPr>
        <w:rPr>
          <w:rFonts w:cstheme="minorHAnsi"/>
        </w:rPr>
      </w:pPr>
    </w:p>
    <w:p w14:paraId="721F28CA" w14:textId="77777777" w:rsidR="00655936" w:rsidRDefault="00655936" w:rsidP="00243051">
      <w:pPr>
        <w:rPr>
          <w:szCs w:val="22"/>
        </w:rPr>
      </w:pPr>
      <w:r w:rsidRPr="00A00F16">
        <w:rPr>
          <w:szCs w:val="22"/>
        </w:rPr>
        <w:t xml:space="preserve"> </w:t>
      </w:r>
    </w:p>
    <w:sectPr w:rsidR="00655936" w:rsidSect="00243051">
      <w:pgSz w:w="11901" w:h="16817"/>
      <w:pgMar w:top="1418" w:right="1701" w:bottom="1134" w:left="1843"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E63A3" w14:textId="77777777" w:rsidR="00F96391" w:rsidRDefault="00F96391">
      <w:r>
        <w:separator/>
      </w:r>
    </w:p>
    <w:p w14:paraId="35F13ECE" w14:textId="77777777" w:rsidR="00F96391" w:rsidRDefault="00F96391"/>
  </w:endnote>
  <w:endnote w:type="continuationSeparator" w:id="0">
    <w:p w14:paraId="2C40BEC6" w14:textId="77777777" w:rsidR="00F96391" w:rsidRDefault="00F96391">
      <w:r>
        <w:continuationSeparator/>
      </w:r>
    </w:p>
    <w:p w14:paraId="4AE383E7" w14:textId="77777777" w:rsidR="00F96391" w:rsidRDefault="00F96391"/>
  </w:endnote>
  <w:endnote w:type="continuationNotice" w:id="1">
    <w:p w14:paraId="0A39C555" w14:textId="77777777" w:rsidR="00F96391" w:rsidRDefault="00F96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ota Grotesque Alt 3">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ECE2" w14:textId="77777777" w:rsidR="0050452D" w:rsidRDefault="0050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8357" w14:textId="70334683" w:rsidR="00000750" w:rsidRPr="00581136" w:rsidRDefault="00000750" w:rsidP="005A79E5">
    <w:pPr>
      <w:pStyle w:val="Footer"/>
      <w:pBdr>
        <w:bottom w:val="single" w:sz="4" w:space="1" w:color="auto"/>
      </w:pBdr>
      <w:tabs>
        <w:tab w:val="right" w:pos="9639"/>
      </w:tabs>
      <w:rPr>
        <w:b/>
      </w:rPr>
    </w:pPr>
    <w:r w:rsidRPr="00581136">
      <w:rPr>
        <w:b/>
      </w:rPr>
      <w:t>Released 20</w:t>
    </w:r>
    <w:r>
      <w:rPr>
        <w:b/>
      </w:rPr>
      <w:t>2</w:t>
    </w:r>
    <w:r w:rsidR="00B114CD">
      <w:rPr>
        <w:b/>
      </w:rPr>
      <w:t>3</w:t>
    </w:r>
    <w:r w:rsidRPr="00581136">
      <w:rPr>
        <w:b/>
      </w:rPr>
      <w:tab/>
      <w:t>health.govt.nz</w:t>
    </w:r>
  </w:p>
  <w:p w14:paraId="524869F6" w14:textId="77777777" w:rsidR="00000750" w:rsidRPr="005A79E5" w:rsidRDefault="00000750">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5BCA" w14:textId="77777777" w:rsidR="0050452D" w:rsidRDefault="005045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DA70" w14:textId="77777777" w:rsidR="00000750" w:rsidRDefault="00000750" w:rsidP="004D668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0E96" w14:textId="77777777" w:rsidR="00000750" w:rsidRDefault="000007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000750" w14:paraId="4C3A3BF7" w14:textId="77777777" w:rsidTr="00D662F8">
      <w:trPr>
        <w:cantSplit/>
      </w:trPr>
      <w:tc>
        <w:tcPr>
          <w:tcW w:w="709" w:type="dxa"/>
          <w:vAlign w:val="center"/>
        </w:tcPr>
        <w:p w14:paraId="28F87ED7" w14:textId="77777777" w:rsidR="00000750" w:rsidRPr="00931466" w:rsidRDefault="0000075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40DDA22E" w:rsidR="00000750" w:rsidRDefault="00000750" w:rsidP="00926083">
          <w:pPr>
            <w:pStyle w:val="RectoFooter"/>
            <w:jc w:val="left"/>
          </w:pPr>
          <w:r w:rsidRPr="003623D9">
            <w:t>National Telehealth Service: Commissioning for Pae Ora | Healthy Futures case study</w:t>
          </w:r>
        </w:p>
      </w:tc>
    </w:tr>
  </w:tbl>
  <w:p w14:paraId="711B5D80" w14:textId="77777777" w:rsidR="00000750" w:rsidRPr="00571223" w:rsidRDefault="0000075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000750" w14:paraId="58AAB149" w14:textId="77777777" w:rsidTr="00D662F8">
      <w:trPr>
        <w:cantSplit/>
      </w:trPr>
      <w:tc>
        <w:tcPr>
          <w:tcW w:w="8080" w:type="dxa"/>
          <w:vAlign w:val="center"/>
        </w:tcPr>
        <w:p w14:paraId="20E2F0CC" w14:textId="276430D3" w:rsidR="00000750" w:rsidRDefault="00000750" w:rsidP="00926083">
          <w:pPr>
            <w:pStyle w:val="RectoFooter"/>
          </w:pPr>
          <w:r w:rsidRPr="003623D9">
            <w:t>National Telehealth Service: Commissioning for Pae Ora | Healthy Futures case study</w:t>
          </w:r>
        </w:p>
      </w:tc>
      <w:tc>
        <w:tcPr>
          <w:tcW w:w="709" w:type="dxa"/>
          <w:vAlign w:val="center"/>
        </w:tcPr>
        <w:p w14:paraId="3D3C9847" w14:textId="77777777" w:rsidR="00000750" w:rsidRPr="00931466" w:rsidRDefault="00000750"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000750" w:rsidRPr="00581EB8" w:rsidRDefault="0000075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8A9CE" w14:textId="77777777" w:rsidR="00F96391" w:rsidRPr="00A26E6B" w:rsidRDefault="00F96391" w:rsidP="00A26E6B"/>
  </w:footnote>
  <w:footnote w:type="continuationSeparator" w:id="0">
    <w:p w14:paraId="173BC8F6" w14:textId="77777777" w:rsidR="00F96391" w:rsidRDefault="00F96391">
      <w:r>
        <w:continuationSeparator/>
      </w:r>
    </w:p>
    <w:p w14:paraId="6B994607" w14:textId="77777777" w:rsidR="00F96391" w:rsidRDefault="00F96391"/>
  </w:footnote>
  <w:footnote w:type="continuationNotice" w:id="1">
    <w:p w14:paraId="61AA735F" w14:textId="77777777" w:rsidR="00F96391" w:rsidRDefault="00F96391"/>
  </w:footnote>
  <w:footnote w:id="2">
    <w:p w14:paraId="744EA942" w14:textId="77777777" w:rsidR="00000750" w:rsidRPr="00692D66" w:rsidRDefault="00000750" w:rsidP="003623D9">
      <w:pPr>
        <w:pStyle w:val="FootnoteText"/>
        <w:rPr>
          <w:lang w:val="en-US"/>
        </w:rPr>
      </w:pPr>
      <w:r w:rsidRPr="00692D66">
        <w:rPr>
          <w:rStyle w:val="FootnoteReference"/>
          <w:szCs w:val="18"/>
        </w:rPr>
        <w:footnoteRef/>
      </w:r>
      <w:r w:rsidRPr="00692D66">
        <w:t xml:space="preserve"> </w:t>
      </w:r>
      <w:r w:rsidRPr="00692D66">
        <w:rPr>
          <w:lang w:val="en-US"/>
        </w:rPr>
        <w:t>Direct quotes are used but do not identify participants by name or role. Phrases and words used by the participants have been included as much as possible to give the report authenticity and bring the voices to life. Iterations of the report have been shared and co-edited by the contributors. Some quotes have been paraphrased for readability.</w:t>
      </w:r>
      <w:r>
        <w:rPr>
          <w:lang w:val="en-US"/>
        </w:rPr>
        <w:t xml:space="preserve"> The National Telehealth Services webpage is </w:t>
      </w:r>
      <w:hyperlink r:id="rId1" w:history="1">
        <w:r w:rsidRPr="00C72BCC">
          <w:rPr>
            <w:rStyle w:val="Hyperlink"/>
            <w:rFonts w:cstheme="minorHAnsi"/>
            <w:szCs w:val="18"/>
          </w:rPr>
          <w:t>www.health.govt.nz/our-work/national-telehealth-service</w:t>
        </w:r>
      </w:hyperlink>
      <w:r w:rsidRPr="00692D66">
        <w:rPr>
          <w:lang w:val="en-US"/>
        </w:rPr>
        <w:t>.</w:t>
      </w:r>
    </w:p>
  </w:footnote>
  <w:footnote w:id="3">
    <w:p w14:paraId="001BD5CD" w14:textId="77777777" w:rsidR="00000750" w:rsidRPr="00692D66" w:rsidRDefault="00000750" w:rsidP="003623D9">
      <w:pPr>
        <w:pStyle w:val="FootnoteText"/>
      </w:pPr>
      <w:r w:rsidRPr="00692D66">
        <w:rPr>
          <w:rStyle w:val="FootnoteReference"/>
          <w:szCs w:val="18"/>
        </w:rPr>
        <w:footnoteRef/>
      </w:r>
      <w:r w:rsidRPr="00692D66">
        <w:t xml:space="preserve"> </w:t>
      </w:r>
      <w:r w:rsidRPr="002F3624">
        <w:t>SOC Min (13) 13/3</w:t>
      </w:r>
      <w:r>
        <w:t xml:space="preserve">. URL: </w:t>
      </w:r>
      <w:hyperlink r:id="rId2" w:history="1">
        <w:r w:rsidRPr="00C72BCC">
          <w:rPr>
            <w:rStyle w:val="Hyperlink"/>
          </w:rPr>
          <w:t>www.health.govt.nz/system/files/documents/pages/national-telehealth-services-programme-cabpaper_0.pdf</w:t>
        </w:r>
      </w:hyperlink>
      <w:r>
        <w:t xml:space="preserve"> (accessed 7 December 2022).</w:t>
      </w:r>
    </w:p>
  </w:footnote>
  <w:footnote w:id="4">
    <w:p w14:paraId="46E5D3B1" w14:textId="77777777" w:rsidR="00000750" w:rsidRPr="00692D66" w:rsidRDefault="00000750" w:rsidP="003623D9">
      <w:pPr>
        <w:pStyle w:val="FootnoteText"/>
        <w:rPr>
          <w:szCs w:val="18"/>
        </w:rPr>
      </w:pPr>
      <w:r w:rsidRPr="00692D66">
        <w:rPr>
          <w:rStyle w:val="FootnoteReference"/>
          <w:szCs w:val="18"/>
        </w:rPr>
        <w:footnoteRef/>
      </w:r>
      <w:r w:rsidRPr="00692D66">
        <w:rPr>
          <w:szCs w:val="18"/>
        </w:rPr>
        <w:t xml:space="preserve"> </w:t>
      </w:r>
      <w:r>
        <w:rPr>
          <w:szCs w:val="18"/>
        </w:rPr>
        <w:t>Known as Homecare Medical prior to 1 July 2021, when it was</w:t>
      </w:r>
      <w:r>
        <w:rPr>
          <w:rStyle w:val="A8"/>
          <w:rFonts w:cstheme="minorHAnsi"/>
          <w:sz w:val="18"/>
          <w:szCs w:val="18"/>
        </w:rPr>
        <w:t xml:space="preserve"> o</w:t>
      </w:r>
      <w:r w:rsidRPr="00692D66">
        <w:rPr>
          <w:rStyle w:val="A8"/>
          <w:rFonts w:cstheme="minorHAnsi"/>
          <w:sz w:val="18"/>
          <w:szCs w:val="18"/>
        </w:rPr>
        <w:t>wned by primary health organisations ProCare and Pegasus Health.</w:t>
      </w:r>
    </w:p>
  </w:footnote>
  <w:footnote w:id="5">
    <w:p w14:paraId="79F70C4F" w14:textId="77777777" w:rsidR="00000750" w:rsidRPr="00692D66" w:rsidRDefault="00000750" w:rsidP="003623D9">
      <w:pPr>
        <w:pStyle w:val="FootnoteText"/>
        <w:rPr>
          <w:szCs w:val="18"/>
        </w:rPr>
      </w:pPr>
      <w:r w:rsidRPr="00692D66">
        <w:rPr>
          <w:rStyle w:val="FootnoteReference"/>
          <w:szCs w:val="18"/>
        </w:rPr>
        <w:footnoteRef/>
      </w:r>
      <w:r w:rsidRPr="00692D66">
        <w:rPr>
          <w:szCs w:val="18"/>
        </w:rPr>
        <w:t xml:space="preserve"> </w:t>
      </w:r>
      <w:r w:rsidRPr="00692D66">
        <w:rPr>
          <w:szCs w:val="18"/>
          <w:lang w:val="en-US"/>
        </w:rPr>
        <w:t>Homecare Medical is a social enterprise formed by ProCare and Pegasus.</w:t>
      </w:r>
    </w:p>
  </w:footnote>
  <w:footnote w:id="6">
    <w:p w14:paraId="15A02737" w14:textId="77777777" w:rsidR="00000750" w:rsidRPr="00F260A1" w:rsidRDefault="00000750" w:rsidP="003623D9">
      <w:pPr>
        <w:pStyle w:val="FootnoteText"/>
      </w:pPr>
      <w:r w:rsidRPr="00692D66">
        <w:rPr>
          <w:rStyle w:val="FootnoteReference"/>
          <w:szCs w:val="18"/>
        </w:rPr>
        <w:footnoteRef/>
      </w:r>
      <w:r w:rsidRPr="00692D66">
        <w:rPr>
          <w:szCs w:val="18"/>
        </w:rPr>
        <w:t xml:space="preserve"> </w:t>
      </w:r>
      <w:r w:rsidRPr="00692D66">
        <w:rPr>
          <w:rFonts w:cstheme="minorHAnsi"/>
          <w:szCs w:val="18"/>
          <w:lang w:val="en-US"/>
        </w:rPr>
        <w:t xml:space="preserve">The rationale </w:t>
      </w:r>
      <w:r>
        <w:rPr>
          <w:rFonts w:cstheme="minorHAnsi"/>
          <w:szCs w:val="18"/>
          <w:lang w:val="en-US"/>
        </w:rPr>
        <w:t>for</w:t>
      </w:r>
      <w:r w:rsidRPr="00692D66">
        <w:rPr>
          <w:rFonts w:cstheme="minorHAnsi"/>
          <w:szCs w:val="18"/>
          <w:lang w:val="en-US"/>
        </w:rPr>
        <w:t xml:space="preserve"> the extended timeframe was </w:t>
      </w:r>
      <w:r>
        <w:rPr>
          <w:rFonts w:cstheme="minorHAnsi"/>
          <w:szCs w:val="18"/>
          <w:lang w:val="en-US"/>
        </w:rPr>
        <w:t xml:space="preserve">that it </w:t>
      </w:r>
      <w:r w:rsidRPr="00692D66">
        <w:rPr>
          <w:rFonts w:cstheme="minorHAnsi"/>
          <w:szCs w:val="18"/>
          <w:lang w:val="en-US"/>
        </w:rPr>
        <w:t>needed to measure impact and provide a robust service to patients and whānau. Subsequent evaluations have</w:t>
      </w:r>
      <w:r>
        <w:rPr>
          <w:rFonts w:cstheme="minorHAnsi"/>
          <w:szCs w:val="18"/>
          <w:lang w:val="en-US"/>
        </w:rPr>
        <w:t>,</w:t>
      </w:r>
      <w:r w:rsidRPr="00692D66">
        <w:rPr>
          <w:rFonts w:cstheme="minorHAnsi"/>
          <w:szCs w:val="18"/>
          <w:lang w:val="en-US"/>
        </w:rPr>
        <w:t xml:space="preserve"> however</w:t>
      </w:r>
      <w:r>
        <w:rPr>
          <w:rFonts w:cstheme="minorHAnsi"/>
          <w:szCs w:val="18"/>
          <w:lang w:val="en-US"/>
        </w:rPr>
        <w:t>,</w:t>
      </w:r>
      <w:r w:rsidRPr="00692D66">
        <w:rPr>
          <w:rFonts w:cstheme="minorHAnsi"/>
          <w:szCs w:val="18"/>
          <w:lang w:val="en-US"/>
        </w:rPr>
        <w:t xml:space="preserve"> found it challenging to quantify impact. See</w:t>
      </w:r>
      <w:r>
        <w:rPr>
          <w:rFonts w:cstheme="minorHAnsi"/>
          <w:szCs w:val="18"/>
          <w:lang w:val="en-US"/>
        </w:rPr>
        <w:t>:</w:t>
      </w:r>
      <w:r w:rsidRPr="00692D66">
        <w:rPr>
          <w:rFonts w:cstheme="minorHAnsi"/>
          <w:szCs w:val="18"/>
          <w:lang w:val="en-US"/>
        </w:rPr>
        <w:t xml:space="preserve"> </w:t>
      </w:r>
      <w:r>
        <w:rPr>
          <w:rFonts w:cstheme="minorHAnsi"/>
          <w:szCs w:val="18"/>
          <w:lang w:val="en-US"/>
        </w:rPr>
        <w:t xml:space="preserve">Sapere Research Group and Litmus. 2020. </w:t>
      </w:r>
      <w:r w:rsidRPr="00C23421">
        <w:rPr>
          <w:i/>
          <w:iCs/>
        </w:rPr>
        <w:t>Phase 3 Report on the National Telehealth Service Evaluation.</w:t>
      </w:r>
      <w:r>
        <w:rPr>
          <w:rFonts w:cstheme="minorHAnsi"/>
          <w:szCs w:val="18"/>
          <w:lang w:val="en-US"/>
        </w:rPr>
        <w:t xml:space="preserve"> Prepared for the Ministry of Health. URL: </w:t>
      </w:r>
      <w:hyperlink r:id="rId3" w:history="1">
        <w:r w:rsidRPr="00F4019F">
          <w:rPr>
            <w:rStyle w:val="Hyperlink"/>
            <w:szCs w:val="18"/>
          </w:rPr>
          <w:t>www.health.govt.nz/system/files/documents/pages/nts-evaluation-phase-3-report-20-05-20.pdf</w:t>
        </w:r>
      </w:hyperlink>
      <w:r w:rsidRPr="00C23421">
        <w:t xml:space="preserve"> </w:t>
      </w:r>
      <w:r>
        <w:t>(accessed 7 December 2022).</w:t>
      </w:r>
    </w:p>
  </w:footnote>
  <w:footnote w:id="7">
    <w:p w14:paraId="3C0D2DD7" w14:textId="77777777" w:rsidR="00000750" w:rsidRPr="00692D66" w:rsidRDefault="00000750" w:rsidP="003623D9">
      <w:pPr>
        <w:pStyle w:val="FootnoteText"/>
        <w:rPr>
          <w:szCs w:val="18"/>
        </w:rPr>
      </w:pPr>
      <w:r w:rsidRPr="00692D66">
        <w:rPr>
          <w:rStyle w:val="FootnoteReference"/>
          <w:szCs w:val="18"/>
        </w:rPr>
        <w:footnoteRef/>
      </w:r>
      <w:r w:rsidRPr="00692D66">
        <w:rPr>
          <w:szCs w:val="18"/>
        </w:rPr>
        <w:t xml:space="preserve"> While</w:t>
      </w:r>
      <w:r w:rsidRPr="00692D66">
        <w:rPr>
          <w:szCs w:val="18"/>
          <w:lang w:val="en-US"/>
        </w:rPr>
        <w:t xml:space="preserve"> other telehealth contracts exist, such as PlunketLine, they all use the NTS platform to deliver their service. </w:t>
      </w:r>
    </w:p>
  </w:footnote>
  <w:footnote w:id="8">
    <w:p w14:paraId="60A4682C" w14:textId="77777777" w:rsidR="00000750" w:rsidRPr="00692D66" w:rsidRDefault="00000750" w:rsidP="003623D9">
      <w:pPr>
        <w:pStyle w:val="FootnoteText"/>
        <w:rPr>
          <w:szCs w:val="18"/>
        </w:rPr>
      </w:pPr>
      <w:r w:rsidRPr="00692D66">
        <w:rPr>
          <w:rStyle w:val="FootnoteReference"/>
          <w:szCs w:val="18"/>
        </w:rPr>
        <w:footnoteRef/>
      </w:r>
      <w:r w:rsidRPr="00692D66">
        <w:rPr>
          <w:szCs w:val="18"/>
        </w:rPr>
        <w:t xml:space="preserve"> </w:t>
      </w:r>
      <w:r>
        <w:rPr>
          <w:szCs w:val="18"/>
        </w:rPr>
        <w:t xml:space="preserve">The </w:t>
      </w:r>
      <w:r w:rsidRPr="003C6546">
        <w:rPr>
          <w:szCs w:val="18"/>
        </w:rPr>
        <w:t xml:space="preserve">three phase evaluation reports </w:t>
      </w:r>
      <w:r>
        <w:rPr>
          <w:szCs w:val="18"/>
        </w:rPr>
        <w:t xml:space="preserve">are available </w:t>
      </w:r>
      <w:r w:rsidRPr="003C6546">
        <w:rPr>
          <w:szCs w:val="18"/>
        </w:rPr>
        <w:t xml:space="preserve">on the NTS webpage of the </w:t>
      </w:r>
      <w:r>
        <w:rPr>
          <w:szCs w:val="18"/>
        </w:rPr>
        <w:t>Ministry’s</w:t>
      </w:r>
      <w:r w:rsidRPr="003C6546">
        <w:rPr>
          <w:szCs w:val="18"/>
        </w:rPr>
        <w:t xml:space="preserve"> website</w:t>
      </w:r>
      <w:r>
        <w:rPr>
          <w:szCs w:val="18"/>
        </w:rPr>
        <w:t xml:space="preserve">: </w:t>
      </w:r>
      <w:hyperlink r:id="rId4" w:history="1">
        <w:r w:rsidRPr="006037AD">
          <w:rPr>
            <w:rStyle w:val="Hyperlink"/>
            <w:szCs w:val="18"/>
          </w:rPr>
          <w:t>www.health.govt.nz/our-work/national-telehealth-service</w:t>
        </w:r>
      </w:hyperlink>
      <w:r>
        <w:rPr>
          <w:szCs w:val="18"/>
        </w:rPr>
        <w:t>.</w:t>
      </w:r>
    </w:p>
  </w:footnote>
  <w:footnote w:id="9">
    <w:p w14:paraId="1E3D3C60" w14:textId="77777777" w:rsidR="00000750" w:rsidRPr="00BF23F5" w:rsidRDefault="00000750" w:rsidP="003623D9">
      <w:pPr>
        <w:pStyle w:val="FootnoteText"/>
      </w:pPr>
      <w:r>
        <w:rPr>
          <w:rStyle w:val="FootnoteReference"/>
        </w:rPr>
        <w:footnoteRef/>
      </w:r>
      <w:r>
        <w:t xml:space="preserve"> </w:t>
      </w:r>
      <w:r w:rsidRPr="004C3C30">
        <w:rPr>
          <w:rFonts w:cstheme="minorHAnsi"/>
          <w:szCs w:val="18"/>
          <w:lang w:val="en-US"/>
        </w:rPr>
        <w:t xml:space="preserve">For more details, </w:t>
      </w:r>
      <w:r>
        <w:rPr>
          <w:rFonts w:cstheme="minorHAnsi"/>
          <w:szCs w:val="18"/>
          <w:lang w:val="en-US"/>
        </w:rPr>
        <w:t>see</w:t>
      </w:r>
      <w:r w:rsidRPr="004C3C30">
        <w:rPr>
          <w:rFonts w:cstheme="minorHAnsi"/>
          <w:szCs w:val="18"/>
          <w:lang w:val="en-US"/>
        </w:rPr>
        <w:t xml:space="preserve"> </w:t>
      </w:r>
      <w:r>
        <w:rPr>
          <w:rFonts w:cstheme="minorHAnsi"/>
          <w:szCs w:val="18"/>
          <w:lang w:val="en-US"/>
        </w:rPr>
        <w:t xml:space="preserve">the </w:t>
      </w:r>
      <w:r w:rsidRPr="004C3C30">
        <w:rPr>
          <w:rFonts w:cstheme="minorHAnsi"/>
          <w:szCs w:val="18"/>
          <w:lang w:val="en-US"/>
        </w:rPr>
        <w:t>COVID Healthline service offerings</w:t>
      </w:r>
      <w:r w:rsidRPr="00FA44B4">
        <w:rPr>
          <w:rFonts w:cstheme="minorHAnsi"/>
          <w:szCs w:val="18"/>
          <w:lang w:val="en-US"/>
        </w:rPr>
        <w:t xml:space="preserve"> </w:t>
      </w:r>
      <w:r>
        <w:rPr>
          <w:rFonts w:cstheme="minorHAnsi"/>
          <w:szCs w:val="18"/>
          <w:lang w:val="en-US"/>
        </w:rPr>
        <w:t xml:space="preserve">in </w:t>
      </w:r>
      <w:r w:rsidRPr="004C3C30">
        <w:rPr>
          <w:rFonts w:cstheme="minorHAnsi"/>
          <w:szCs w:val="18"/>
          <w:lang w:val="en-US"/>
        </w:rPr>
        <w:t xml:space="preserve">Appendix </w:t>
      </w:r>
      <w:r>
        <w:rPr>
          <w:rFonts w:cstheme="minorHAnsi"/>
          <w:szCs w:val="18"/>
          <w:lang w:val="en-US"/>
        </w:rPr>
        <w:t>1</w:t>
      </w:r>
      <w:r>
        <w:t>.</w:t>
      </w:r>
    </w:p>
  </w:footnote>
  <w:footnote w:id="10">
    <w:p w14:paraId="2E41E0EE" w14:textId="77777777" w:rsidR="00000750" w:rsidRPr="000B797F" w:rsidRDefault="00000750" w:rsidP="003623D9">
      <w:pPr>
        <w:pStyle w:val="FootnoteText"/>
      </w:pPr>
      <w:r>
        <w:rPr>
          <w:rStyle w:val="FootnoteReference"/>
        </w:rPr>
        <w:footnoteRef/>
      </w:r>
      <w:r>
        <w:t xml:space="preserve"> Since the interviews were conducted, cultural training has been implemented across NTS and the equity strategy was due for sign off in August 2021. </w:t>
      </w:r>
    </w:p>
  </w:footnote>
  <w:footnote w:id="11">
    <w:p w14:paraId="305ECAD3" w14:textId="77777777" w:rsidR="00000750" w:rsidRPr="006A3CDA" w:rsidRDefault="00000750" w:rsidP="003623D9">
      <w:pPr>
        <w:pStyle w:val="FootnoteText"/>
      </w:pPr>
      <w:r w:rsidRPr="00692D66">
        <w:rPr>
          <w:rStyle w:val="FootnoteReference"/>
          <w:szCs w:val="18"/>
        </w:rPr>
        <w:footnoteRef/>
      </w:r>
      <w:r>
        <w:rPr>
          <w:szCs w:val="18"/>
          <w:lang w:val="en-US"/>
        </w:rPr>
        <w:t xml:space="preserve"> Te Karere. 2021,</w:t>
      </w:r>
      <w:r w:rsidRPr="00692D66">
        <w:rPr>
          <w:szCs w:val="18"/>
          <w:lang w:val="en-US"/>
        </w:rPr>
        <w:t xml:space="preserve"> 4 March</w:t>
      </w:r>
      <w:r>
        <w:rPr>
          <w:szCs w:val="18"/>
          <w:lang w:val="en-US"/>
        </w:rPr>
        <w:t>.</w:t>
      </w:r>
      <w:r w:rsidRPr="00692D66">
        <w:rPr>
          <w:szCs w:val="18"/>
          <w:lang w:val="en-US"/>
        </w:rPr>
        <w:t xml:space="preserve"> Covid 19: Meet the kaimahi behind HealthLine call centre in Te Tai Tokerau</w:t>
      </w:r>
      <w:r>
        <w:rPr>
          <w:szCs w:val="18"/>
          <w:lang w:val="en-US"/>
        </w:rPr>
        <w:t>. TVNZ video. URL:</w:t>
      </w:r>
      <w:r w:rsidRPr="00692D66">
        <w:rPr>
          <w:szCs w:val="18"/>
          <w:lang w:val="en-US"/>
        </w:rPr>
        <w:t xml:space="preserve"> </w:t>
      </w:r>
      <w:hyperlink r:id="rId5" w:history="1">
        <w:r w:rsidRPr="006A3CDA">
          <w:rPr>
            <w:rStyle w:val="Hyperlink"/>
            <w:szCs w:val="18"/>
          </w:rPr>
          <w:t>www.youtube.com/watch?v=q3qisP9Bayg</w:t>
        </w:r>
      </w:hyperlink>
      <w:r>
        <w:t xml:space="preserve"> (accessed 7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E96D6" w14:textId="77777777" w:rsidR="0050452D" w:rsidRDefault="00504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F182E" w14:textId="77777777" w:rsidR="0050452D" w:rsidRDefault="00504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D6AA3" w14:textId="77777777" w:rsidR="0050452D" w:rsidRDefault="005045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2E4F" w14:textId="77777777" w:rsidR="00000750" w:rsidRDefault="00000750"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117B0" w14:textId="77777777" w:rsidR="00000750" w:rsidRDefault="0000075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D08CED6"/>
    <w:lvl w:ilvl="0">
      <w:start w:val="1"/>
      <w:numFmt w:val="bullet"/>
      <w:pStyle w:val="ListBullet2"/>
      <w:lvlText w:val="-"/>
      <w:lvlJc w:val="left"/>
      <w:pPr>
        <w:ind w:left="717" w:hanging="360"/>
      </w:pPr>
      <w:rPr>
        <w:rFonts w:ascii="Courier New" w:hAnsi="Courier New" w:hint="default"/>
      </w:rPr>
    </w:lvl>
  </w:abstractNum>
  <w:abstractNum w:abstractNumId="1" w15:restartNumberingAfterBreak="0">
    <w:nsid w:val="FFFFFF88"/>
    <w:multiLevelType w:val="singleLevel"/>
    <w:tmpl w:val="164262E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45697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7"/>
  </w:num>
  <w:num w:numId="2">
    <w:abstractNumId w:val="5"/>
  </w:num>
  <w:num w:numId="3">
    <w:abstractNumId w:val="6"/>
  </w:num>
  <w:num w:numId="4">
    <w:abstractNumId w:val="3"/>
  </w:num>
  <w:num w:numId="5">
    <w:abstractNumId w:val="4"/>
  </w:num>
  <w:num w:numId="6">
    <w:abstractNumId w:val="2"/>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0750"/>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D661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32490"/>
    <w:rsid w:val="00235638"/>
    <w:rsid w:val="00243051"/>
    <w:rsid w:val="00246DB1"/>
    <w:rsid w:val="002476B5"/>
    <w:rsid w:val="002520CC"/>
    <w:rsid w:val="0025225C"/>
    <w:rsid w:val="00252B09"/>
    <w:rsid w:val="00253ECF"/>
    <w:rsid w:val="002546A1"/>
    <w:rsid w:val="002628F4"/>
    <w:rsid w:val="00275D08"/>
    <w:rsid w:val="002858E3"/>
    <w:rsid w:val="00286A2A"/>
    <w:rsid w:val="0029190A"/>
    <w:rsid w:val="00292C5A"/>
    <w:rsid w:val="00295241"/>
    <w:rsid w:val="002A4DFC"/>
    <w:rsid w:val="002B047D"/>
    <w:rsid w:val="002B4D76"/>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318"/>
    <w:rsid w:val="003325AB"/>
    <w:rsid w:val="003332D1"/>
    <w:rsid w:val="0033412B"/>
    <w:rsid w:val="00341161"/>
    <w:rsid w:val="00343365"/>
    <w:rsid w:val="003445F4"/>
    <w:rsid w:val="00353501"/>
    <w:rsid w:val="00353734"/>
    <w:rsid w:val="003606F8"/>
    <w:rsid w:val="003623D9"/>
    <w:rsid w:val="003648EF"/>
    <w:rsid w:val="00366E8C"/>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41CB"/>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3A74"/>
    <w:rsid w:val="004D479F"/>
    <w:rsid w:val="004D6689"/>
    <w:rsid w:val="004E1D1D"/>
    <w:rsid w:val="004E7AC8"/>
    <w:rsid w:val="004F0C94"/>
    <w:rsid w:val="005019AE"/>
    <w:rsid w:val="00503749"/>
    <w:rsid w:val="0050452D"/>
    <w:rsid w:val="00504CF4"/>
    <w:rsid w:val="0050635B"/>
    <w:rsid w:val="005151C2"/>
    <w:rsid w:val="0053199F"/>
    <w:rsid w:val="00531E12"/>
    <w:rsid w:val="00533B90"/>
    <w:rsid w:val="005400C0"/>
    <w:rsid w:val="005410F8"/>
    <w:rsid w:val="005448EC"/>
    <w:rsid w:val="00545963"/>
    <w:rsid w:val="00550256"/>
    <w:rsid w:val="00553165"/>
    <w:rsid w:val="00553958"/>
    <w:rsid w:val="00556BB7"/>
    <w:rsid w:val="0055763D"/>
    <w:rsid w:val="00561516"/>
    <w:rsid w:val="005621F2"/>
    <w:rsid w:val="00562E2F"/>
    <w:rsid w:val="005665FD"/>
    <w:rsid w:val="00567B58"/>
    <w:rsid w:val="00571223"/>
    <w:rsid w:val="005763E0"/>
    <w:rsid w:val="00581136"/>
    <w:rsid w:val="00581EB8"/>
    <w:rsid w:val="005A27CA"/>
    <w:rsid w:val="005A43BD"/>
    <w:rsid w:val="005A79E5"/>
    <w:rsid w:val="005C739E"/>
    <w:rsid w:val="005D034C"/>
    <w:rsid w:val="005E226E"/>
    <w:rsid w:val="005E2636"/>
    <w:rsid w:val="005E27C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5936"/>
    <w:rsid w:val="006575F4"/>
    <w:rsid w:val="006579E6"/>
    <w:rsid w:val="00660682"/>
    <w:rsid w:val="00660F74"/>
    <w:rsid w:val="00663EDC"/>
    <w:rsid w:val="006640CF"/>
    <w:rsid w:val="0066502C"/>
    <w:rsid w:val="0066652B"/>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2544"/>
    <w:rsid w:val="006C7134"/>
    <w:rsid w:val="006C78EB"/>
    <w:rsid w:val="006D1660"/>
    <w:rsid w:val="006D63E5"/>
    <w:rsid w:val="006E1753"/>
    <w:rsid w:val="006E3911"/>
    <w:rsid w:val="006F004D"/>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2BE3"/>
    <w:rsid w:val="00886F64"/>
    <w:rsid w:val="008924DE"/>
    <w:rsid w:val="008A3755"/>
    <w:rsid w:val="008B19DC"/>
    <w:rsid w:val="008B264F"/>
    <w:rsid w:val="008B6F83"/>
    <w:rsid w:val="008B7FD8"/>
    <w:rsid w:val="008C1108"/>
    <w:rsid w:val="008C2973"/>
    <w:rsid w:val="008C6324"/>
    <w:rsid w:val="008C64C4"/>
    <w:rsid w:val="008D2CDD"/>
    <w:rsid w:val="008D4592"/>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0DE"/>
    <w:rsid w:val="00921216"/>
    <w:rsid w:val="009216CC"/>
    <w:rsid w:val="00926083"/>
    <w:rsid w:val="00930D08"/>
    <w:rsid w:val="00931466"/>
    <w:rsid w:val="00932D69"/>
    <w:rsid w:val="00935589"/>
    <w:rsid w:val="00940F16"/>
    <w:rsid w:val="00944647"/>
    <w:rsid w:val="0095565C"/>
    <w:rsid w:val="00964AB6"/>
    <w:rsid w:val="00966F9A"/>
    <w:rsid w:val="00977B8A"/>
    <w:rsid w:val="00982971"/>
    <w:rsid w:val="009845AD"/>
    <w:rsid w:val="00984835"/>
    <w:rsid w:val="0098639B"/>
    <w:rsid w:val="009933EF"/>
    <w:rsid w:val="00993BBE"/>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27D16"/>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114CD"/>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0BBE"/>
    <w:rsid w:val="00D37D80"/>
    <w:rsid w:val="00D4476F"/>
    <w:rsid w:val="00D50573"/>
    <w:rsid w:val="00D50581"/>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0C62"/>
    <w:rsid w:val="00DB39CF"/>
    <w:rsid w:val="00DB7256"/>
    <w:rsid w:val="00DC0401"/>
    <w:rsid w:val="00DC20BD"/>
    <w:rsid w:val="00DD0BCD"/>
    <w:rsid w:val="00DD243C"/>
    <w:rsid w:val="00DD447A"/>
    <w:rsid w:val="00DE3B20"/>
    <w:rsid w:val="00DE6C94"/>
    <w:rsid w:val="00DE6FD7"/>
    <w:rsid w:val="00E1659F"/>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EF3083"/>
    <w:rsid w:val="00F024FE"/>
    <w:rsid w:val="00F05AD4"/>
    <w:rsid w:val="00F10EB6"/>
    <w:rsid w:val="00F13F07"/>
    <w:rsid w:val="00F140B2"/>
    <w:rsid w:val="00F25970"/>
    <w:rsid w:val="00F25F52"/>
    <w:rsid w:val="00F311A9"/>
    <w:rsid w:val="00F32C1D"/>
    <w:rsid w:val="00F5180D"/>
    <w:rsid w:val="00F63781"/>
    <w:rsid w:val="00F67496"/>
    <w:rsid w:val="00F801BA"/>
    <w:rsid w:val="00F9366A"/>
    <w:rsid w:val="00F946C9"/>
    <w:rsid w:val="00F96391"/>
    <w:rsid w:val="00FA0EA5"/>
    <w:rsid w:val="00FA6324"/>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8C02372-F0F4-44D5-A202-FB529F58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ListParagraph">
    <w:name w:val="List Paragraph"/>
    <w:aliases w:val="Bullet Heading,Bullet Normal,Colorful List - Accent 11,Dot pt,F5 List Paragraph,L,Level 3,List Bullet indent,List Paragraph numbered,List Paragraph1,List Paragraph11,No Spacing1,Normal text,Rec para,Recommendation,Unordered List Paragraph"/>
    <w:basedOn w:val="Normal"/>
    <w:link w:val="ListParagraphChar"/>
    <w:uiPriority w:val="34"/>
    <w:qFormat/>
    <w:rsid w:val="00655936"/>
    <w:pPr>
      <w:spacing w:after="180" w:line="276" w:lineRule="auto"/>
      <w:ind w:left="720"/>
      <w:contextualSpacing/>
    </w:pPr>
    <w:rPr>
      <w:rFonts w:asciiTheme="minorHAnsi" w:hAnsiTheme="minorHAnsi"/>
      <w:sz w:val="22"/>
      <w:szCs w:val="24"/>
    </w:rPr>
  </w:style>
  <w:style w:type="paragraph" w:styleId="Caption">
    <w:name w:val="caption"/>
    <w:basedOn w:val="Normal"/>
    <w:next w:val="Normal"/>
    <w:uiPriority w:val="35"/>
    <w:unhideWhenUsed/>
    <w:qFormat/>
    <w:rsid w:val="00232490"/>
    <w:pPr>
      <w:spacing w:before="120" w:after="120" w:line="276" w:lineRule="auto"/>
    </w:pPr>
    <w:rPr>
      <w:rFonts w:asciiTheme="minorHAnsi" w:hAnsiTheme="minorHAnsi"/>
      <w:b/>
      <w:bCs/>
      <w:iCs/>
      <w:sz w:val="20"/>
      <w:szCs w:val="18"/>
    </w:rPr>
  </w:style>
  <w:style w:type="paragraph" w:customStyle="1" w:styleId="Tabletext0">
    <w:name w:val="Table text"/>
    <w:basedOn w:val="Normal"/>
    <w:qFormat/>
    <w:rsid w:val="00655936"/>
    <w:pPr>
      <w:tabs>
        <w:tab w:val="left" w:pos="0"/>
      </w:tabs>
      <w:spacing w:before="60" w:after="60" w:line="276" w:lineRule="auto"/>
    </w:pPr>
    <w:rPr>
      <w:rFonts w:ascii="Times" w:hAnsi="Times" w:cs="Arial"/>
      <w:sz w:val="22"/>
    </w:rPr>
  </w:style>
  <w:style w:type="paragraph" w:styleId="ListBullet">
    <w:name w:val="List Bullet"/>
    <w:basedOn w:val="Normal"/>
    <w:uiPriority w:val="99"/>
    <w:unhideWhenUsed/>
    <w:rsid w:val="00655936"/>
    <w:pPr>
      <w:numPr>
        <w:numId w:val="6"/>
      </w:numPr>
      <w:spacing w:after="180" w:line="276" w:lineRule="auto"/>
      <w:contextualSpacing/>
    </w:pPr>
    <w:rPr>
      <w:rFonts w:asciiTheme="minorHAnsi" w:hAnsiTheme="minorHAnsi"/>
      <w:sz w:val="22"/>
      <w:szCs w:val="24"/>
    </w:rPr>
  </w:style>
  <w:style w:type="paragraph" w:styleId="TableofFigures">
    <w:name w:val="table of figures"/>
    <w:basedOn w:val="Normal"/>
    <w:next w:val="Normal"/>
    <w:uiPriority w:val="99"/>
    <w:unhideWhenUsed/>
    <w:rsid w:val="00655936"/>
    <w:pPr>
      <w:tabs>
        <w:tab w:val="right" w:pos="7938"/>
      </w:tabs>
      <w:spacing w:before="90"/>
    </w:pPr>
  </w:style>
  <w:style w:type="paragraph" w:styleId="ListNumber">
    <w:name w:val="List Number"/>
    <w:basedOn w:val="Normal"/>
    <w:uiPriority w:val="99"/>
    <w:unhideWhenUsed/>
    <w:rsid w:val="00993BBE"/>
    <w:pPr>
      <w:numPr>
        <w:numId w:val="7"/>
      </w:numPr>
      <w:spacing w:after="160" w:line="259" w:lineRule="auto"/>
      <w:contextualSpacing/>
      <w:jc w:val="both"/>
    </w:pPr>
    <w:rPr>
      <w:rFonts w:asciiTheme="minorHAnsi" w:eastAsiaTheme="minorHAnsi" w:hAnsiTheme="minorHAnsi" w:cstheme="minorBidi"/>
      <w:sz w:val="22"/>
      <w:szCs w:val="22"/>
      <w:lang w:eastAsia="en-US"/>
    </w:rPr>
  </w:style>
  <w:style w:type="paragraph" w:styleId="ListBullet2">
    <w:name w:val="List Bullet 2"/>
    <w:basedOn w:val="Normal"/>
    <w:uiPriority w:val="99"/>
    <w:unhideWhenUsed/>
    <w:rsid w:val="00993BBE"/>
    <w:pPr>
      <w:numPr>
        <w:numId w:val="8"/>
      </w:numPr>
      <w:spacing w:after="160" w:line="259" w:lineRule="auto"/>
      <w:contextualSpacing/>
      <w:jc w:val="both"/>
    </w:pPr>
    <w:rPr>
      <w:rFonts w:asciiTheme="minorHAnsi" w:eastAsiaTheme="minorHAnsi" w:hAnsiTheme="minorHAnsi" w:cstheme="minorBidi"/>
      <w:sz w:val="22"/>
      <w:szCs w:val="22"/>
      <w:lang w:eastAsia="en-US"/>
    </w:rPr>
  </w:style>
  <w:style w:type="paragraph" w:customStyle="1" w:styleId="Pa3">
    <w:name w:val="Pa3"/>
    <w:basedOn w:val="Normal"/>
    <w:next w:val="Normal"/>
    <w:uiPriority w:val="99"/>
    <w:rsid w:val="003623D9"/>
    <w:pPr>
      <w:autoSpaceDE w:val="0"/>
      <w:autoSpaceDN w:val="0"/>
      <w:adjustRightInd w:val="0"/>
      <w:spacing w:after="160" w:line="241" w:lineRule="atLeast"/>
      <w:jc w:val="both"/>
    </w:pPr>
    <w:rPr>
      <w:rFonts w:ascii="Lota Grotesque Alt 3" w:eastAsiaTheme="minorHAnsi" w:hAnsi="Lota Grotesque Alt 3" w:cstheme="minorBidi"/>
      <w:sz w:val="22"/>
      <w:szCs w:val="22"/>
      <w:lang w:eastAsia="en-US"/>
    </w:rPr>
  </w:style>
  <w:style w:type="character" w:customStyle="1" w:styleId="A8">
    <w:name w:val="A8"/>
    <w:uiPriority w:val="99"/>
    <w:rsid w:val="003623D9"/>
    <w:rPr>
      <w:rFonts w:cs="Lota Grotesque Alt 3"/>
      <w:color w:val="323232"/>
      <w:sz w:val="19"/>
      <w:szCs w:val="19"/>
    </w:rPr>
  </w:style>
  <w:style w:type="character" w:customStyle="1" w:styleId="A33">
    <w:name w:val="A33"/>
    <w:uiPriority w:val="99"/>
    <w:rsid w:val="003623D9"/>
    <w:rPr>
      <w:rFonts w:cs="Lota Grotesque Alt 3"/>
      <w:color w:val="323232"/>
      <w:sz w:val="17"/>
      <w:szCs w:val="17"/>
    </w:rPr>
  </w:style>
  <w:style w:type="character" w:customStyle="1" w:styleId="UnresolvedMention1">
    <w:name w:val="Unresolved Mention1"/>
    <w:basedOn w:val="DefaultParagraphFont"/>
    <w:uiPriority w:val="99"/>
    <w:rsid w:val="003623D9"/>
    <w:rPr>
      <w:color w:val="605E5C"/>
      <w:shd w:val="clear" w:color="auto" w:fill="E1DFDD"/>
    </w:rPr>
  </w:style>
  <w:style w:type="paragraph" w:customStyle="1" w:styleId="Pa6">
    <w:name w:val="Pa6"/>
    <w:basedOn w:val="Normal"/>
    <w:next w:val="Normal"/>
    <w:uiPriority w:val="99"/>
    <w:rsid w:val="003623D9"/>
    <w:pPr>
      <w:autoSpaceDE w:val="0"/>
      <w:autoSpaceDN w:val="0"/>
      <w:adjustRightInd w:val="0"/>
      <w:spacing w:after="160" w:line="241" w:lineRule="atLeast"/>
      <w:jc w:val="both"/>
    </w:pPr>
    <w:rPr>
      <w:rFonts w:ascii="Lota Grotesque Alt 3" w:eastAsiaTheme="minorHAnsi" w:hAnsi="Lota Grotesque Alt 3" w:cstheme="minorBidi"/>
      <w:sz w:val="22"/>
      <w:szCs w:val="22"/>
      <w:lang w:eastAsia="en-US"/>
    </w:rPr>
  </w:style>
  <w:style w:type="paragraph" w:customStyle="1" w:styleId="Pa14">
    <w:name w:val="Pa14"/>
    <w:basedOn w:val="Normal"/>
    <w:next w:val="Normal"/>
    <w:uiPriority w:val="99"/>
    <w:rsid w:val="003623D9"/>
    <w:pPr>
      <w:autoSpaceDE w:val="0"/>
      <w:autoSpaceDN w:val="0"/>
      <w:adjustRightInd w:val="0"/>
      <w:spacing w:after="160" w:line="241" w:lineRule="atLeast"/>
      <w:jc w:val="both"/>
    </w:pPr>
    <w:rPr>
      <w:rFonts w:ascii="Lota Grotesque Alt 3" w:eastAsiaTheme="minorHAnsi" w:hAnsi="Lota Grotesque Alt 3" w:cstheme="minorBidi"/>
      <w:sz w:val="22"/>
      <w:szCs w:val="22"/>
      <w:lang w:eastAsia="en-US"/>
    </w:rPr>
  </w:style>
  <w:style w:type="paragraph" w:styleId="NormalWeb">
    <w:name w:val="Normal (Web)"/>
    <w:basedOn w:val="Normal"/>
    <w:uiPriority w:val="99"/>
    <w:semiHidden/>
    <w:unhideWhenUsed/>
    <w:rsid w:val="003623D9"/>
    <w:pPr>
      <w:spacing w:before="100" w:beforeAutospacing="1" w:after="100" w:afterAutospacing="1" w:line="259" w:lineRule="auto"/>
      <w:jc w:val="both"/>
    </w:pPr>
    <w:rPr>
      <w:rFonts w:ascii="Times New Roman" w:hAnsi="Times New Roman"/>
      <w:sz w:val="22"/>
      <w:szCs w:val="22"/>
    </w:rPr>
  </w:style>
  <w:style w:type="character" w:customStyle="1" w:styleId="ListParagraphChar">
    <w:name w:val="List Paragraph Char"/>
    <w:aliases w:val="Bullet Heading Char,Bullet Normal Char,Colorful List - Accent 11 Char,Dot pt Char,F5 List Paragraph Char,L Char,Level 3 Char,List Bullet indent Char,List Paragraph numbered Char,List Paragraph1 Char,List Paragraph11 Char"/>
    <w:basedOn w:val="DefaultParagraphFont"/>
    <w:link w:val="ListParagraph"/>
    <w:uiPriority w:val="34"/>
    <w:qFormat/>
    <w:rsid w:val="003623D9"/>
    <w:rPr>
      <w:rFonts w:asciiTheme="minorHAnsi" w:hAnsiTheme="minorHAnsi"/>
      <w:sz w:val="22"/>
      <w:szCs w:val="24"/>
      <w:lang w:eastAsia="en-GB"/>
    </w:rPr>
  </w:style>
  <w:style w:type="paragraph" w:styleId="BalloonText">
    <w:name w:val="Balloon Text"/>
    <w:basedOn w:val="Normal"/>
    <w:link w:val="BalloonTextChar"/>
    <w:uiPriority w:val="99"/>
    <w:semiHidden/>
    <w:unhideWhenUsed/>
    <w:rsid w:val="003623D9"/>
    <w:pPr>
      <w:spacing w:after="160" w:line="259" w:lineRule="auto"/>
      <w:jc w:val="both"/>
    </w:pPr>
    <w:rPr>
      <w:rFonts w:eastAsiaTheme="minorHAnsi" w:cs="Segoe UI"/>
      <w:sz w:val="18"/>
      <w:szCs w:val="18"/>
      <w:lang w:eastAsia="en-US"/>
    </w:rPr>
  </w:style>
  <w:style w:type="character" w:customStyle="1" w:styleId="BalloonTextChar">
    <w:name w:val="Balloon Text Char"/>
    <w:basedOn w:val="DefaultParagraphFont"/>
    <w:link w:val="BalloonText"/>
    <w:uiPriority w:val="99"/>
    <w:semiHidden/>
    <w:rsid w:val="003623D9"/>
    <w:rPr>
      <w:rFonts w:ascii="Segoe UI" w:eastAsiaTheme="minorHAnsi" w:hAnsi="Segoe UI" w:cs="Segoe UI"/>
      <w:sz w:val="18"/>
      <w:szCs w:val="18"/>
      <w:lang w:eastAsia="en-US"/>
    </w:rPr>
  </w:style>
  <w:style w:type="character" w:styleId="FollowedHyperlink">
    <w:name w:val="FollowedHyperlink"/>
    <w:basedOn w:val="DefaultParagraphFont"/>
    <w:uiPriority w:val="99"/>
    <w:semiHidden/>
    <w:unhideWhenUsed/>
    <w:rsid w:val="003623D9"/>
    <w:rPr>
      <w:color w:val="800080" w:themeColor="followedHyperlink"/>
      <w:u w:val="single"/>
    </w:rPr>
  </w:style>
  <w:style w:type="character" w:styleId="CommentReference">
    <w:name w:val="annotation reference"/>
    <w:basedOn w:val="DefaultParagraphFont"/>
    <w:uiPriority w:val="99"/>
    <w:semiHidden/>
    <w:unhideWhenUsed/>
    <w:rsid w:val="003623D9"/>
    <w:rPr>
      <w:sz w:val="16"/>
      <w:szCs w:val="16"/>
    </w:rPr>
  </w:style>
  <w:style w:type="paragraph" w:styleId="CommentText">
    <w:name w:val="annotation text"/>
    <w:basedOn w:val="Normal"/>
    <w:link w:val="CommentTextChar"/>
    <w:uiPriority w:val="99"/>
    <w:unhideWhenUsed/>
    <w:rsid w:val="003623D9"/>
    <w:pPr>
      <w:spacing w:after="160" w:line="259" w:lineRule="auto"/>
      <w:jc w:val="both"/>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3623D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623D9"/>
    <w:rPr>
      <w:b/>
      <w:bCs/>
    </w:rPr>
  </w:style>
  <w:style w:type="character" w:customStyle="1" w:styleId="CommentSubjectChar">
    <w:name w:val="Comment Subject Char"/>
    <w:basedOn w:val="CommentTextChar"/>
    <w:link w:val="CommentSubject"/>
    <w:uiPriority w:val="99"/>
    <w:semiHidden/>
    <w:rsid w:val="003623D9"/>
    <w:rPr>
      <w:rFonts w:asciiTheme="minorHAnsi" w:eastAsiaTheme="minorHAnsi" w:hAnsiTheme="minorHAnsi" w:cstheme="minorBidi"/>
      <w:b/>
      <w:bCs/>
      <w:lang w:eastAsia="en-US"/>
    </w:rPr>
  </w:style>
  <w:style w:type="character" w:styleId="UnresolvedMention">
    <w:name w:val="Unresolved Mention"/>
    <w:basedOn w:val="DefaultParagraphFont"/>
    <w:uiPriority w:val="99"/>
    <w:rsid w:val="003623D9"/>
    <w:rPr>
      <w:color w:val="605E5C"/>
      <w:shd w:val="clear" w:color="auto" w:fill="E1DFDD"/>
    </w:rPr>
  </w:style>
  <w:style w:type="table" w:customStyle="1" w:styleId="TableGrid1">
    <w:name w:val="Table Grid1"/>
    <w:basedOn w:val="TableNormal"/>
    <w:next w:val="TableGrid"/>
    <w:uiPriority w:val="39"/>
    <w:rsid w:val="00362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www.immune.org.nz"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quit.org.nz"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www.healthline.govt.nz" TargetMode="External"/><Relationship Id="rId33" Type="http://schemas.openxmlformats.org/officeDocument/2006/relationships/hyperlink" Target="http://www.safetotalk.n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depression.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www.depression.org.nz/thejourna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1737.org.n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gamblinghelpline.co.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www.poisons.co.nz" TargetMode="External"/><Relationship Id="rId30" Type="http://schemas.openxmlformats.org/officeDocument/2006/relationships/hyperlink" Target="http://www.alcoholdrughelp.org.nz" TargetMode="External"/><Relationship Id="rId35" Type="http://schemas.openxmlformats.org/officeDocument/2006/relationships/hyperlink" Target="http://www.kupe.net.n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t.nz/system/files/documents/pages/nts-evaluation-phase-3-report-20-05-20.pdf" TargetMode="External"/><Relationship Id="rId2" Type="http://schemas.openxmlformats.org/officeDocument/2006/relationships/hyperlink" Target="http://www.health.govt.nz/system/files/documents/pages/national-telehealth-services-programme-cabpaper_0.pdf" TargetMode="External"/><Relationship Id="rId1" Type="http://schemas.openxmlformats.org/officeDocument/2006/relationships/hyperlink" Target="http://www.health.govt.nz/our-work/national-telehealth-service" TargetMode="External"/><Relationship Id="rId5" Type="http://schemas.openxmlformats.org/officeDocument/2006/relationships/hyperlink" Target="http://www.youtube.com/watch?v=q3qisP9Bayg" TargetMode="External"/><Relationship Id="rId4" Type="http://schemas.openxmlformats.org/officeDocument/2006/relationships/hyperlink" Target="http://www.health.govt.nz/our-work/national-telehealth-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reinformation xmlns="4f3c4a1c-e017-4d66-9e67-218047e46dfe">Click the three dots, download the document then open in browser to see the insights</Moreinformation>
    <TaxCatchAll xmlns="00a4df5b-51f4-4e7a-b755-8a381a6dfbc5" xsi:nil="true"/>
    <lcf76f155ced4ddcb4097134ff3c332f xmlns="4f3c4a1c-e017-4d66-9e67-218047e46dfe">
      <Terms xmlns="http://schemas.microsoft.com/office/infopath/2007/PartnerControls"/>
    </lcf76f155ced4ddcb4097134ff3c332f>
    <Category xmlns="4f3c4a1c-e017-4d66-9e67-218047e46d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FC9454AF665489687E7396D53C354" ma:contentTypeVersion="19" ma:contentTypeDescription="Create a new document." ma:contentTypeScope="" ma:versionID="ef148a0db5900000607107c2f941ac5d">
  <xsd:schema xmlns:xsd="http://www.w3.org/2001/XMLSchema" xmlns:xs="http://www.w3.org/2001/XMLSchema" xmlns:p="http://schemas.microsoft.com/office/2006/metadata/properties" xmlns:ns2="4f3c4a1c-e017-4d66-9e67-218047e46dfe" xmlns:ns3="ff804206-f34c-4cf1-a530-088e515a7286" xmlns:ns4="00a4df5b-51f4-4e7a-b755-8a381a6dfbc5" targetNamespace="http://schemas.microsoft.com/office/2006/metadata/properties" ma:root="true" ma:fieldsID="88d0b2985262702febffa62e51f94aa1" ns2:_="" ns3:_="" ns4:_="">
    <xsd:import namespace="4f3c4a1c-e017-4d66-9e67-218047e46dfe"/>
    <xsd:import namespace="ff804206-f34c-4cf1-a530-088e515a7286"/>
    <xsd:import namespace="00a4df5b-51f4-4e7a-b755-8a381a6dfbc5"/>
    <xsd:element name="properties">
      <xsd:complexType>
        <xsd:sequence>
          <xsd:element name="documentManagement">
            <xsd:complexType>
              <xsd:all>
                <xsd:element ref="ns2:Moreinformation" minOccurs="0"/>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4a1c-e017-4d66-9e67-218047e46dfe" elementFormDefault="qualified">
    <xsd:import namespace="http://schemas.microsoft.com/office/2006/documentManagement/types"/>
    <xsd:import namespace="http://schemas.microsoft.com/office/infopath/2007/PartnerControls"/>
    <xsd:element name="Moreinformation" ma:index="3" nillable="true" ma:displayName="More information" ma:default="Click the three dots, download the document then open in browser to see the insights" ma:description="Click the three dots, download the document then open in browser to see the insights" ma:format="Dropdown" ma:internalName="Moreinformation" ma:readOnly="false">
      <xsd:simpleType>
        <xsd:restriction base="dms:Note">
          <xsd:maxLength value="255"/>
        </xsd:restriction>
      </xsd:simpleType>
    </xsd:element>
    <xsd:element name="Category" ma:index="4" nillable="true" ma:displayName="Category" ma:description="Higher level category that the report sits under, based on Tatau Kahukura headings - also visible in the Report summary doc" ma:format="Dropdown" ma:internalName="Category"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04206-f34c-4cf1-a530-088e515a728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c91dc2-3e21-4ef4-85f4-e85750907c1f}" ma:internalName="TaxCatchAll" ma:readOnly="false" ma:showField="CatchAllData" ma:web="ff804206-f34c-4cf1-a530-088e515a7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7FFB0-260E-4BEB-AB23-5A43F0263A51}">
  <ds:schemaRefs>
    <ds:schemaRef ds:uri="4f3c4a1c-e017-4d66-9e67-218047e46df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00a4df5b-51f4-4e7a-b755-8a381a6dfbc5"/>
    <ds:schemaRef ds:uri="ff804206-f34c-4cf1-a530-088e515a7286"/>
    <ds:schemaRef ds:uri="http://www.w3.org/XML/1998/namespace"/>
  </ds:schemaRefs>
</ds:datastoreItem>
</file>

<file path=customXml/itemProps2.xml><?xml version="1.0" encoding="utf-8"?>
<ds:datastoreItem xmlns:ds="http://schemas.openxmlformats.org/officeDocument/2006/customXml" ds:itemID="{348F5256-D245-4495-ACBA-A5A376B85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4a1c-e017-4d66-9e67-218047e46dfe"/>
    <ds:schemaRef ds:uri="ff804206-f34c-4cf1-a530-088e515a7286"/>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15</TotalTime>
  <Pages>25</Pages>
  <Words>4245</Words>
  <Characters>26226</Characters>
  <Application>Microsoft Office Word</Application>
  <DocSecurity>0</DocSecurity>
  <Lines>794</Lines>
  <Paragraphs>367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30104</CharactersWithSpaces>
  <SharedDoc>false</SharedDoc>
  <HLinks>
    <vt:vector size="96" baseType="variant">
      <vt:variant>
        <vt:i4>3080244</vt:i4>
      </vt:variant>
      <vt:variant>
        <vt:i4>120</vt:i4>
      </vt:variant>
      <vt:variant>
        <vt:i4>0</vt:i4>
      </vt:variant>
      <vt:variant>
        <vt:i4>5</vt:i4>
      </vt:variant>
      <vt:variant>
        <vt:lpwstr>http://www.kupe.net.nz/</vt:lpwstr>
      </vt:variant>
      <vt:variant>
        <vt:lpwstr/>
      </vt:variant>
      <vt:variant>
        <vt:i4>3866679</vt:i4>
      </vt:variant>
      <vt:variant>
        <vt:i4>117</vt:i4>
      </vt:variant>
      <vt:variant>
        <vt:i4>0</vt:i4>
      </vt:variant>
      <vt:variant>
        <vt:i4>5</vt:i4>
      </vt:variant>
      <vt:variant>
        <vt:lpwstr>http://www.quit.org.nz/</vt:lpwstr>
      </vt:variant>
      <vt:variant>
        <vt:lpwstr/>
      </vt:variant>
      <vt:variant>
        <vt:i4>393311</vt:i4>
      </vt:variant>
      <vt:variant>
        <vt:i4>114</vt:i4>
      </vt:variant>
      <vt:variant>
        <vt:i4>0</vt:i4>
      </vt:variant>
      <vt:variant>
        <vt:i4>5</vt:i4>
      </vt:variant>
      <vt:variant>
        <vt:lpwstr>http://www.safetotalk.nz/</vt:lpwstr>
      </vt:variant>
      <vt:variant>
        <vt:lpwstr/>
      </vt:variant>
      <vt:variant>
        <vt:i4>2293859</vt:i4>
      </vt:variant>
      <vt:variant>
        <vt:i4>111</vt:i4>
      </vt:variant>
      <vt:variant>
        <vt:i4>0</vt:i4>
      </vt:variant>
      <vt:variant>
        <vt:i4>5</vt:i4>
      </vt:variant>
      <vt:variant>
        <vt:lpwstr>http://www.depression.org.nz/thejournal</vt:lpwstr>
      </vt:variant>
      <vt:variant>
        <vt:lpwstr/>
      </vt:variant>
      <vt:variant>
        <vt:i4>2424947</vt:i4>
      </vt:variant>
      <vt:variant>
        <vt:i4>108</vt:i4>
      </vt:variant>
      <vt:variant>
        <vt:i4>0</vt:i4>
      </vt:variant>
      <vt:variant>
        <vt:i4>5</vt:i4>
      </vt:variant>
      <vt:variant>
        <vt:lpwstr>http://www.gamblinghelpline.co.nz/</vt:lpwstr>
      </vt:variant>
      <vt:variant>
        <vt:lpwstr/>
      </vt:variant>
      <vt:variant>
        <vt:i4>6553633</vt:i4>
      </vt:variant>
      <vt:variant>
        <vt:i4>105</vt:i4>
      </vt:variant>
      <vt:variant>
        <vt:i4>0</vt:i4>
      </vt:variant>
      <vt:variant>
        <vt:i4>5</vt:i4>
      </vt:variant>
      <vt:variant>
        <vt:lpwstr>http://www.alcoholdrughelp.org.nz/</vt:lpwstr>
      </vt:variant>
      <vt:variant>
        <vt:lpwstr/>
      </vt:variant>
      <vt:variant>
        <vt:i4>5111893</vt:i4>
      </vt:variant>
      <vt:variant>
        <vt:i4>102</vt:i4>
      </vt:variant>
      <vt:variant>
        <vt:i4>0</vt:i4>
      </vt:variant>
      <vt:variant>
        <vt:i4>5</vt:i4>
      </vt:variant>
      <vt:variant>
        <vt:lpwstr>http://www.depression.org.nz/</vt:lpwstr>
      </vt:variant>
      <vt:variant>
        <vt:lpwstr/>
      </vt:variant>
      <vt:variant>
        <vt:i4>2162742</vt:i4>
      </vt:variant>
      <vt:variant>
        <vt:i4>99</vt:i4>
      </vt:variant>
      <vt:variant>
        <vt:i4>0</vt:i4>
      </vt:variant>
      <vt:variant>
        <vt:i4>5</vt:i4>
      </vt:variant>
      <vt:variant>
        <vt:lpwstr>http://www.1737.org.nz/</vt:lpwstr>
      </vt:variant>
      <vt:variant>
        <vt:lpwstr/>
      </vt:variant>
      <vt:variant>
        <vt:i4>1638413</vt:i4>
      </vt:variant>
      <vt:variant>
        <vt:i4>96</vt:i4>
      </vt:variant>
      <vt:variant>
        <vt:i4>0</vt:i4>
      </vt:variant>
      <vt:variant>
        <vt:i4>5</vt:i4>
      </vt:variant>
      <vt:variant>
        <vt:lpwstr>http://www.poisons.co.nz/</vt:lpwstr>
      </vt:variant>
      <vt:variant>
        <vt:lpwstr/>
      </vt:variant>
      <vt:variant>
        <vt:i4>4784203</vt:i4>
      </vt:variant>
      <vt:variant>
        <vt:i4>93</vt:i4>
      </vt:variant>
      <vt:variant>
        <vt:i4>0</vt:i4>
      </vt:variant>
      <vt:variant>
        <vt:i4>5</vt:i4>
      </vt:variant>
      <vt:variant>
        <vt:lpwstr>http://www.immune.org.nz/</vt:lpwstr>
      </vt:variant>
      <vt:variant>
        <vt:lpwstr/>
      </vt:variant>
      <vt:variant>
        <vt:i4>2097272</vt:i4>
      </vt:variant>
      <vt:variant>
        <vt:i4>90</vt:i4>
      </vt:variant>
      <vt:variant>
        <vt:i4>0</vt:i4>
      </vt:variant>
      <vt:variant>
        <vt:i4>5</vt:i4>
      </vt:variant>
      <vt:variant>
        <vt:lpwstr>http://www.healthline.govt.nz/</vt:lpwstr>
      </vt:variant>
      <vt:variant>
        <vt:lpwstr/>
      </vt:variant>
      <vt:variant>
        <vt:i4>6815862</vt:i4>
      </vt:variant>
      <vt:variant>
        <vt:i4>12</vt:i4>
      </vt:variant>
      <vt:variant>
        <vt:i4>0</vt:i4>
      </vt:variant>
      <vt:variant>
        <vt:i4>5</vt:i4>
      </vt:variant>
      <vt:variant>
        <vt:lpwstr>http://www.youtube.com/watch?v=q3qisP9Bayg</vt:lpwstr>
      </vt:variant>
      <vt:variant>
        <vt:lpwstr/>
      </vt:variant>
      <vt:variant>
        <vt:i4>2818161</vt:i4>
      </vt:variant>
      <vt:variant>
        <vt:i4>9</vt:i4>
      </vt:variant>
      <vt:variant>
        <vt:i4>0</vt:i4>
      </vt:variant>
      <vt:variant>
        <vt:i4>5</vt:i4>
      </vt:variant>
      <vt:variant>
        <vt:lpwstr>http://www.health.govt.nz/our-work/national-telehealth-service</vt:lpwstr>
      </vt:variant>
      <vt:variant>
        <vt:lpwstr/>
      </vt:variant>
      <vt:variant>
        <vt:i4>4522048</vt:i4>
      </vt:variant>
      <vt:variant>
        <vt:i4>6</vt:i4>
      </vt:variant>
      <vt:variant>
        <vt:i4>0</vt:i4>
      </vt:variant>
      <vt:variant>
        <vt:i4>5</vt:i4>
      </vt:variant>
      <vt:variant>
        <vt:lpwstr>http://www.health.govt.nz/system/files/documents/pages/nts-evaluation-phase-3-report-20-05-20.pdf</vt:lpwstr>
      </vt:variant>
      <vt:variant>
        <vt:lpwstr/>
      </vt:variant>
      <vt:variant>
        <vt:i4>5308454</vt:i4>
      </vt:variant>
      <vt:variant>
        <vt:i4>3</vt:i4>
      </vt:variant>
      <vt:variant>
        <vt:i4>0</vt:i4>
      </vt:variant>
      <vt:variant>
        <vt:i4>5</vt:i4>
      </vt:variant>
      <vt:variant>
        <vt:lpwstr>http://www.health.govt.nz/system/files/documents/pages/national-telehealth-services-programme-cabpaper_0.pdf</vt:lpwstr>
      </vt:variant>
      <vt:variant>
        <vt:lpwstr/>
      </vt:variant>
      <vt:variant>
        <vt:i4>2818161</vt:i4>
      </vt:variant>
      <vt:variant>
        <vt:i4>0</vt:i4>
      </vt:variant>
      <vt:variant>
        <vt:i4>0</vt:i4>
      </vt:variant>
      <vt:variant>
        <vt:i4>5</vt:i4>
      </vt:variant>
      <vt:variant>
        <vt:lpwstr>http://www.health.govt.nz/our-work/national-telehealth-service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Telehealth Service: Commissioning for Pae Ora | Healthy Futures case study</dc:title>
  <dc:subject/>
  <dc:creator>ThinkPlace</dc:creator>
  <cp:keywords/>
  <cp:lastModifiedBy>Megan BELL</cp:lastModifiedBy>
  <cp:revision>18</cp:revision>
  <cp:lastPrinted>2015-11-18T02:02:00Z</cp:lastPrinted>
  <dcterms:created xsi:type="dcterms:W3CDTF">2023-01-10T18:21:00Z</dcterms:created>
  <dcterms:modified xsi:type="dcterms:W3CDTF">2023-01-16T20:45:00Z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0x0101005DBFC9454AF665489687E7396D53C354</vt:lpwstr>
  </property>
  <property fmtid="{D5CDD505-2E9C-101B-9397-08002B2CF9AE}" pid="3" name="MediaServiceImageTags">
    <vt:lpwstr/>
  </property>
</Properties>
</file>