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F94F76" w14:textId="5E868CC1" w:rsidR="008405D2" w:rsidRDefault="00DC0F08">
      <w:pPr>
        <w:rPr>
          <w:lang w:eastAsia="en-GB"/>
        </w:rPr>
      </w:pPr>
      <w:r>
        <w:rPr>
          <w:noProof/>
        </w:rPr>
        <w:drawing>
          <wp:anchor distT="0" distB="0" distL="114300" distR="114300" simplePos="0" relativeHeight="251658243" behindDoc="1" locked="0" layoutInCell="1" allowOverlap="1" wp14:anchorId="6AD2B4AF" wp14:editId="2A94A017">
            <wp:simplePos x="0" y="0"/>
            <wp:positionH relativeFrom="page">
              <wp:posOffset>-9525</wp:posOffset>
            </wp:positionH>
            <wp:positionV relativeFrom="page">
              <wp:posOffset>38100</wp:posOffset>
            </wp:positionV>
            <wp:extent cx="7545516" cy="10673254"/>
            <wp:effectExtent l="0" t="0" r="0" b="0"/>
            <wp:wrapNone/>
            <wp:docPr id="4" name="Picture 4" descr="P1#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1#y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45516" cy="10673254"/>
                    </a:xfrm>
                    <a:prstGeom prst="rect">
                      <a:avLst/>
                    </a:prstGeom>
                  </pic:spPr>
                </pic:pic>
              </a:graphicData>
            </a:graphic>
            <wp14:sizeRelH relativeFrom="margin">
              <wp14:pctWidth>0</wp14:pctWidth>
            </wp14:sizeRelH>
            <wp14:sizeRelV relativeFrom="margin">
              <wp14:pctHeight>0</wp14:pctHeight>
            </wp14:sizeRelV>
          </wp:anchor>
        </w:drawing>
      </w:r>
    </w:p>
    <w:p w14:paraId="4C6A8CF8" w14:textId="77777777" w:rsidR="008405D2" w:rsidRDefault="008405D2">
      <w:pPr>
        <w:rPr>
          <w:lang w:eastAsia="en-GB"/>
        </w:rPr>
      </w:pPr>
    </w:p>
    <w:p w14:paraId="082D4A57" w14:textId="77777777" w:rsidR="008405D2" w:rsidRDefault="008405D2">
      <w:pPr>
        <w:rPr>
          <w:lang w:eastAsia="en-GB"/>
        </w:rPr>
      </w:pPr>
    </w:p>
    <w:p w14:paraId="59211DD9" w14:textId="77777777" w:rsidR="008405D2" w:rsidRDefault="008405D2">
      <w:pPr>
        <w:rPr>
          <w:lang w:eastAsia="en-GB"/>
        </w:rPr>
      </w:pPr>
    </w:p>
    <w:p w14:paraId="36A6B3D3" w14:textId="4C89AF91" w:rsidR="008405D2" w:rsidRDefault="008405D2">
      <w:pPr>
        <w:rPr>
          <w:lang w:eastAsia="en-GB"/>
        </w:rPr>
        <w:sectPr w:rsidR="008405D2" w:rsidSect="00191BE0">
          <w:headerReference w:type="even" r:id="rId12"/>
          <w:pgSz w:w="11906" w:h="16838"/>
          <w:pgMar w:top="2693" w:right="1701" w:bottom="851" w:left="1701" w:header="737" w:footer="0" w:gutter="0"/>
          <w:cols w:space="708"/>
          <w:titlePg/>
          <w:docGrid w:linePitch="360"/>
        </w:sectPr>
      </w:pPr>
    </w:p>
    <w:p w14:paraId="4C4C5B89" w14:textId="7B2206CD" w:rsidR="007823EF" w:rsidRDefault="007823EF" w:rsidP="00E8270A">
      <w:pPr>
        <w:rPr>
          <w:color w:val="000000" w:themeColor="text1"/>
        </w:rPr>
      </w:pPr>
    </w:p>
    <w:p w14:paraId="636BDDE8" w14:textId="2AC3110A" w:rsidR="00210EE6" w:rsidRDefault="00210EE6" w:rsidP="00E8270A">
      <w:pPr>
        <w:rPr>
          <w:color w:val="000000" w:themeColor="text1"/>
        </w:rPr>
      </w:pPr>
    </w:p>
    <w:p w14:paraId="18716F2C" w14:textId="52C2A9D9" w:rsidR="00210EE6" w:rsidRDefault="00210EE6" w:rsidP="00E8270A">
      <w:pPr>
        <w:rPr>
          <w:color w:val="000000" w:themeColor="text1"/>
        </w:rPr>
      </w:pPr>
    </w:p>
    <w:p w14:paraId="10FAD2E2" w14:textId="0178F4E8" w:rsidR="00210EE6" w:rsidRDefault="00210EE6" w:rsidP="00E8270A">
      <w:pPr>
        <w:rPr>
          <w:color w:val="000000" w:themeColor="text1"/>
        </w:rPr>
      </w:pPr>
    </w:p>
    <w:p w14:paraId="185822BA" w14:textId="08390720" w:rsidR="00210EE6" w:rsidRDefault="00210EE6" w:rsidP="00E8270A">
      <w:pPr>
        <w:rPr>
          <w:color w:val="000000" w:themeColor="text1"/>
        </w:rPr>
      </w:pPr>
    </w:p>
    <w:p w14:paraId="0ED31588" w14:textId="52EDB565" w:rsidR="00210EE6" w:rsidRDefault="00210EE6" w:rsidP="00E8270A">
      <w:pPr>
        <w:rPr>
          <w:color w:val="000000" w:themeColor="text1"/>
        </w:rPr>
      </w:pPr>
    </w:p>
    <w:p w14:paraId="0454C19E" w14:textId="429484FE" w:rsidR="00210EE6" w:rsidRDefault="00210EE6" w:rsidP="00E8270A">
      <w:pPr>
        <w:rPr>
          <w:color w:val="000000" w:themeColor="text1"/>
        </w:rPr>
      </w:pPr>
    </w:p>
    <w:p w14:paraId="56BEDFC3" w14:textId="739B0D5C" w:rsidR="00210EE6" w:rsidRDefault="00210EE6" w:rsidP="00E8270A">
      <w:pPr>
        <w:rPr>
          <w:color w:val="000000" w:themeColor="text1"/>
        </w:rPr>
      </w:pPr>
    </w:p>
    <w:p w14:paraId="1E5C743E" w14:textId="368DBA31" w:rsidR="00210EE6" w:rsidRDefault="00210EE6" w:rsidP="00E8270A">
      <w:pPr>
        <w:rPr>
          <w:color w:val="000000" w:themeColor="text1"/>
        </w:rPr>
      </w:pPr>
    </w:p>
    <w:p w14:paraId="762CC07D" w14:textId="038C054B" w:rsidR="00DC0F08" w:rsidRDefault="00DC0F08" w:rsidP="00E8270A">
      <w:pPr>
        <w:rPr>
          <w:color w:val="000000" w:themeColor="text1"/>
        </w:rPr>
      </w:pPr>
    </w:p>
    <w:p w14:paraId="2DB3AE18" w14:textId="612A89C3" w:rsidR="00DC0F08" w:rsidRDefault="00DC0F08" w:rsidP="00E8270A">
      <w:pPr>
        <w:rPr>
          <w:color w:val="000000" w:themeColor="text1"/>
        </w:rPr>
      </w:pPr>
    </w:p>
    <w:p w14:paraId="37F3DCC6" w14:textId="77777777" w:rsidR="00DC0F08" w:rsidRDefault="00DC0F08" w:rsidP="00E8270A">
      <w:pPr>
        <w:rPr>
          <w:color w:val="000000" w:themeColor="text1"/>
        </w:rPr>
      </w:pPr>
    </w:p>
    <w:p w14:paraId="597AB15C" w14:textId="5CDFAD95" w:rsidR="00210EE6" w:rsidRDefault="00210EE6" w:rsidP="00E8270A">
      <w:pPr>
        <w:rPr>
          <w:color w:val="000000" w:themeColor="text1"/>
        </w:rPr>
      </w:pPr>
    </w:p>
    <w:p w14:paraId="064BEAB4" w14:textId="3D68C00E" w:rsidR="00210EE6" w:rsidRDefault="00210EE6" w:rsidP="00E8270A">
      <w:pPr>
        <w:rPr>
          <w:color w:val="000000" w:themeColor="text1"/>
        </w:rPr>
      </w:pPr>
    </w:p>
    <w:p w14:paraId="51141CAD" w14:textId="5865E391" w:rsidR="00210EE6" w:rsidRDefault="00210EE6" w:rsidP="00E8270A">
      <w:pPr>
        <w:rPr>
          <w:color w:val="000000" w:themeColor="text1"/>
        </w:rPr>
      </w:pPr>
    </w:p>
    <w:p w14:paraId="22F3EF20" w14:textId="57D80AEA" w:rsidR="00210EE6" w:rsidRDefault="00DC0F08" w:rsidP="00E8270A">
      <w:pPr>
        <w:rPr>
          <w:color w:val="000000" w:themeColor="text1"/>
        </w:rPr>
      </w:pPr>
      <w:r>
        <w:rPr>
          <w:noProof/>
        </w:rPr>
        <w:drawing>
          <wp:anchor distT="0" distB="0" distL="114300" distR="114300" simplePos="0" relativeHeight="251658242" behindDoc="0" locked="0" layoutInCell="1" allowOverlap="1" wp14:anchorId="7B117613" wp14:editId="702B6357">
            <wp:simplePos x="0" y="0"/>
            <wp:positionH relativeFrom="page">
              <wp:posOffset>1080135</wp:posOffset>
            </wp:positionH>
            <wp:positionV relativeFrom="page">
              <wp:posOffset>6212117</wp:posOffset>
            </wp:positionV>
            <wp:extent cx="1387175" cy="656945"/>
            <wp:effectExtent l="0" t="0" r="3810" b="0"/>
            <wp:wrapTight wrapText="bothSides">
              <wp:wrapPolygon edited="0">
                <wp:start x="0" y="0"/>
                <wp:lineTo x="0" y="20681"/>
                <wp:lineTo x="21363" y="20681"/>
                <wp:lineTo x="21363" y="0"/>
                <wp:lineTo x="0" y="0"/>
              </wp:wrapPolygon>
            </wp:wrapTight>
            <wp:docPr id="2" name="Picture 2" descr="P2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21#y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387175" cy="656945"/>
                    </a:xfrm>
                    <a:prstGeom prst="rect">
                      <a:avLst/>
                    </a:prstGeom>
                  </pic:spPr>
                </pic:pic>
              </a:graphicData>
            </a:graphic>
            <wp14:sizeRelH relativeFrom="margin">
              <wp14:pctWidth>0</wp14:pctWidth>
            </wp14:sizeRelH>
            <wp14:sizeRelV relativeFrom="margin">
              <wp14:pctHeight>0</wp14:pctHeight>
            </wp14:sizeRelV>
          </wp:anchor>
        </w:drawing>
      </w:r>
    </w:p>
    <w:p w14:paraId="63733ECA" w14:textId="1B747894" w:rsidR="00210EE6" w:rsidRPr="00386C2F" w:rsidRDefault="00210EE6" w:rsidP="00E8270A">
      <w:pPr>
        <w:rPr>
          <w:color w:val="000000" w:themeColor="text1"/>
        </w:rPr>
      </w:pPr>
    </w:p>
    <w:p w14:paraId="7751840D" w14:textId="63C41A7D" w:rsidR="007823EF" w:rsidRPr="006C5A87" w:rsidRDefault="007823EF" w:rsidP="007823EF">
      <w:pPr>
        <w:pStyle w:val="Imprint"/>
        <w:rPr>
          <w:rFonts w:cs="Segoe UI"/>
          <w:color w:val="000000" w:themeColor="text1"/>
        </w:rPr>
      </w:pPr>
    </w:p>
    <w:p w14:paraId="0D43D7A5" w14:textId="292DD238" w:rsidR="007823EF" w:rsidRPr="00091722" w:rsidRDefault="007823EF" w:rsidP="00210EE6">
      <w:pPr>
        <w:pStyle w:val="Imprint"/>
        <w:rPr>
          <w:rFonts w:cs="Segoe UI"/>
          <w:color w:val="000000" w:themeColor="text1"/>
          <w:sz w:val="21"/>
          <w:szCs w:val="21"/>
        </w:rPr>
      </w:pPr>
      <w:r w:rsidRPr="00091722">
        <w:rPr>
          <w:rFonts w:cs="Segoe UI"/>
          <w:color w:val="000000" w:themeColor="text1"/>
          <w:sz w:val="21"/>
          <w:szCs w:val="21"/>
        </w:rPr>
        <w:t>Citation: Ministry of Health. 202</w:t>
      </w:r>
      <w:r w:rsidR="00C5728B">
        <w:rPr>
          <w:rFonts w:cs="Segoe UI"/>
          <w:color w:val="000000" w:themeColor="text1"/>
          <w:sz w:val="21"/>
          <w:szCs w:val="21"/>
        </w:rPr>
        <w:t>3</w:t>
      </w:r>
      <w:r w:rsidRPr="00091722">
        <w:rPr>
          <w:rFonts w:cs="Segoe UI"/>
          <w:color w:val="000000" w:themeColor="text1"/>
          <w:sz w:val="21"/>
          <w:szCs w:val="21"/>
        </w:rPr>
        <w:t xml:space="preserve">. </w:t>
      </w:r>
      <w:r w:rsidR="00210EE6" w:rsidRPr="00091722">
        <w:rPr>
          <w:i/>
          <w:sz w:val="21"/>
          <w:szCs w:val="21"/>
        </w:rPr>
        <w:t xml:space="preserve">Commissioning for Pae Ora Healthy Futures. </w:t>
      </w:r>
      <w:r w:rsidRPr="00091722">
        <w:rPr>
          <w:rFonts w:cs="Segoe UI"/>
          <w:color w:val="000000" w:themeColor="text1"/>
          <w:sz w:val="21"/>
          <w:szCs w:val="21"/>
        </w:rPr>
        <w:t>Wellington: Ministry of Health.</w:t>
      </w:r>
    </w:p>
    <w:p w14:paraId="6D5B5421" w14:textId="601A6F4D" w:rsidR="007823EF" w:rsidRPr="006C5A87" w:rsidRDefault="007823EF" w:rsidP="00761FD3">
      <w:r w:rsidRPr="006C5A87">
        <w:t>Published in</w:t>
      </w:r>
      <w:r w:rsidR="002206CD">
        <w:t xml:space="preserve"> </w:t>
      </w:r>
      <w:r w:rsidR="00C5728B">
        <w:t>January 2023</w:t>
      </w:r>
      <w:r w:rsidR="00761FD3">
        <w:t xml:space="preserve"> </w:t>
      </w:r>
      <w:r w:rsidRPr="006C5A87">
        <w:t>by the Ministry of Health</w:t>
      </w:r>
      <w:r w:rsidRPr="006C5A87">
        <w:br/>
        <w:t>PO Box 5013, Wellington 6140, New Zealand</w:t>
      </w:r>
    </w:p>
    <w:p w14:paraId="63B766E7" w14:textId="04A6A765" w:rsidR="007823EF" w:rsidRPr="006C5A87" w:rsidRDefault="00FB098B" w:rsidP="00761FD3">
      <w:r w:rsidRPr="00091722">
        <w:t>ISBN</w:t>
      </w:r>
      <w:r w:rsidR="004147CC" w:rsidRPr="00091722">
        <w:t xml:space="preserve"> </w:t>
      </w:r>
      <w:r w:rsidR="005A3F64" w:rsidRPr="005A3F64">
        <w:t>978-1-991075-01-7</w:t>
      </w:r>
      <w:r w:rsidR="004147CC" w:rsidRPr="00091722">
        <w:t xml:space="preserve"> (online)</w:t>
      </w:r>
      <w:r w:rsidR="004147CC" w:rsidRPr="00091722">
        <w:br/>
        <w:t>HP</w:t>
      </w:r>
      <w:r w:rsidR="00EC0FFF" w:rsidRPr="00091722">
        <w:t xml:space="preserve"> </w:t>
      </w:r>
      <w:r w:rsidR="00A45F79">
        <w:t>8653</w:t>
      </w:r>
    </w:p>
    <w:p w14:paraId="56980485" w14:textId="197DED1E" w:rsidR="007823EF" w:rsidRPr="006C5A87" w:rsidRDefault="007823EF" w:rsidP="00761FD3">
      <w:r w:rsidRPr="006C5A87">
        <w:t>This document is available at</w:t>
      </w:r>
      <w:r w:rsidR="004B634F">
        <w:t xml:space="preserve"> </w:t>
      </w:r>
      <w:hyperlink r:id="rId14" w:history="1">
        <w:r w:rsidR="004B634F" w:rsidRPr="00920AEA">
          <w:rPr>
            <w:rStyle w:val="Hyperlink"/>
            <w:b/>
            <w:bCs w:val="0"/>
            <w:color w:val="595959" w:themeColor="text1" w:themeTint="A6"/>
            <w:u w:val="none"/>
          </w:rPr>
          <w:t>health.govt.nz</w:t>
        </w:r>
      </w:hyperlink>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5528"/>
      </w:tblGrid>
      <w:tr w:rsidR="007823EF" w:rsidRPr="006C5A87" w14:paraId="73F1176A" w14:textId="77777777" w:rsidTr="00761FD3">
        <w:trPr>
          <w:cantSplit/>
          <w:trHeight w:val="1238"/>
        </w:trPr>
        <w:tc>
          <w:tcPr>
            <w:tcW w:w="1843" w:type="dxa"/>
          </w:tcPr>
          <w:p w14:paraId="20F25316" w14:textId="77777777" w:rsidR="007823EF" w:rsidRPr="006C5A87" w:rsidRDefault="007823EF" w:rsidP="00C76DBF">
            <w:pPr>
              <w:rPr>
                <w:rFonts w:cs="Segoe UI"/>
                <w:color w:val="000000" w:themeColor="text1"/>
                <w:sz w:val="15"/>
                <w:szCs w:val="15"/>
              </w:rPr>
            </w:pPr>
            <w:r w:rsidRPr="006C5A87">
              <w:rPr>
                <w:rFonts w:cs="Segoe UI"/>
                <w:b/>
                <w:noProof/>
                <w:color w:val="000000" w:themeColor="text1"/>
                <w:sz w:val="15"/>
                <w:szCs w:val="15"/>
                <w:lang w:eastAsia="en-NZ"/>
              </w:rPr>
              <w:drawing>
                <wp:anchor distT="0" distB="0" distL="114300" distR="114300" simplePos="0" relativeHeight="251658240" behindDoc="0" locked="0" layoutInCell="1" allowOverlap="1" wp14:anchorId="65FA4BDC" wp14:editId="5B867A3C">
                  <wp:simplePos x="0" y="0"/>
                  <wp:positionH relativeFrom="column">
                    <wp:posOffset>-68377</wp:posOffset>
                  </wp:positionH>
                  <wp:positionV relativeFrom="paragraph">
                    <wp:posOffset>106782</wp:posOffset>
                  </wp:positionV>
                  <wp:extent cx="1119223" cy="395020"/>
                  <wp:effectExtent l="0" t="0" r="5080" b="5080"/>
                  <wp:wrapTopAndBottom/>
                  <wp:docPr id="3" name="Picture 3" descr="P28C1T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28C1T1#y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19223" cy="395020"/>
                          </a:xfrm>
                          <a:prstGeom prst="rect">
                            <a:avLst/>
                          </a:prstGeom>
                          <a:noFill/>
                          <a:ln>
                            <a:noFill/>
                          </a:ln>
                        </pic:spPr>
                      </pic:pic>
                    </a:graphicData>
                  </a:graphic>
                </wp:anchor>
              </w:drawing>
            </w:r>
          </w:p>
        </w:tc>
        <w:tc>
          <w:tcPr>
            <w:tcW w:w="5528" w:type="dxa"/>
          </w:tcPr>
          <w:p w14:paraId="5736FF68" w14:textId="754826AF" w:rsidR="007823EF" w:rsidRPr="00761FD3" w:rsidRDefault="007823EF" w:rsidP="00761FD3">
            <w:pPr>
              <w:pStyle w:val="Imprint"/>
              <w:spacing w:before="200" w:after="0" w:line="180" w:lineRule="atLeast"/>
              <w:rPr>
                <w:sz w:val="15"/>
                <w:szCs w:val="15"/>
              </w:rPr>
            </w:pPr>
            <w:r w:rsidRPr="00761FD3">
              <w:rPr>
                <w:sz w:val="15"/>
                <w:szCs w:val="15"/>
              </w:rPr>
              <w:t>This work is licensed under the Creative Commons Attribution 4.0 International licence. In essence, you are free to: share ie, copy and redistribute the material in any medium or format; adapt ie, remix, transform and build upon the material. You must give appropriate credit, provide a link to the licence and indicate if changes were made.</w:t>
            </w:r>
          </w:p>
        </w:tc>
      </w:tr>
    </w:tbl>
    <w:p w14:paraId="0A3D8511" w14:textId="77777777" w:rsidR="00191BE0" w:rsidRDefault="007823EF" w:rsidP="007823EF">
      <w:pPr>
        <w:sectPr w:rsidR="00191BE0" w:rsidSect="00191BE0">
          <w:headerReference w:type="even" r:id="rId16"/>
          <w:headerReference w:type="default" r:id="rId17"/>
          <w:headerReference w:type="first" r:id="rId18"/>
          <w:footerReference w:type="first" r:id="rId19"/>
          <w:pgSz w:w="11906" w:h="16838"/>
          <w:pgMar w:top="2693" w:right="1701" w:bottom="851" w:left="1701" w:header="737" w:footer="0" w:gutter="0"/>
          <w:cols w:space="708"/>
          <w:titlePg/>
          <w:docGrid w:linePitch="360"/>
        </w:sectPr>
      </w:pPr>
      <w:bookmarkStart w:id="0" w:name="_Toc46858852"/>
      <w:bookmarkStart w:id="1" w:name="_Toc405792991"/>
      <w:bookmarkStart w:id="2" w:name="_Toc405793224"/>
      <w:r w:rsidRPr="00E055D9">
        <w:br w:type="page"/>
      </w:r>
    </w:p>
    <w:p w14:paraId="31FF362E" w14:textId="1198A5BE" w:rsidR="00210EE6" w:rsidRPr="00507CA1" w:rsidRDefault="002A04E1" w:rsidP="00507CA1">
      <w:pPr>
        <w:pStyle w:val="Contents"/>
        <w:spacing w:after="680"/>
        <w:rPr>
          <w:rStyle w:val="1Orange"/>
          <w:b w:val="0"/>
          <w:bCs/>
        </w:rPr>
      </w:pPr>
      <w:bookmarkStart w:id="3" w:name="_Toc89322733"/>
      <w:r w:rsidRPr="00507CA1">
        <w:rPr>
          <w:rStyle w:val="1Orange"/>
          <w:b w:val="0"/>
          <w:bCs/>
        </w:rPr>
        <w:lastRenderedPageBreak/>
        <w:t>Acknowledgements</w:t>
      </w:r>
    </w:p>
    <w:p w14:paraId="3D6508F4" w14:textId="2BB20704" w:rsidR="00507CA1" w:rsidRPr="00507CA1" w:rsidRDefault="00507CA1" w:rsidP="00507CA1">
      <w:pPr>
        <w:pStyle w:val="NormalwIndent"/>
        <w:rPr>
          <w:rStyle w:val="1Orange"/>
          <w:b w:val="0"/>
          <w:color w:val="000000"/>
          <w:spacing w:val="0"/>
        </w:rPr>
      </w:pPr>
      <w:r w:rsidRPr="00507CA1">
        <w:rPr>
          <w:rStyle w:val="1Orange"/>
          <w:b w:val="0"/>
          <w:color w:val="000000"/>
          <w:spacing w:val="0"/>
        </w:rPr>
        <w:t xml:space="preserve">Over the last </w:t>
      </w:r>
      <w:r w:rsidR="0034677C">
        <w:rPr>
          <w:rStyle w:val="1Orange"/>
          <w:b w:val="0"/>
          <w:color w:val="000000"/>
          <w:spacing w:val="0"/>
        </w:rPr>
        <w:t>2</w:t>
      </w:r>
      <w:r w:rsidR="0034677C" w:rsidRPr="00507CA1">
        <w:rPr>
          <w:rStyle w:val="1Orange"/>
          <w:b w:val="0"/>
          <w:color w:val="000000"/>
          <w:spacing w:val="0"/>
        </w:rPr>
        <w:t xml:space="preserve"> </w:t>
      </w:r>
      <w:r w:rsidRPr="00507CA1">
        <w:rPr>
          <w:rStyle w:val="1Orange"/>
          <w:b w:val="0"/>
          <w:color w:val="000000"/>
          <w:spacing w:val="0"/>
        </w:rPr>
        <w:t xml:space="preserve">years, </w:t>
      </w:r>
      <w:r w:rsidR="004E2E5E">
        <w:t>Manat</w:t>
      </w:r>
      <w:r w:rsidR="004E2E5E">
        <w:rPr>
          <w:rFonts w:ascii="Calibri" w:hAnsi="Calibri" w:cs="Calibri"/>
        </w:rPr>
        <w:t>ū</w:t>
      </w:r>
      <w:r w:rsidR="004E2E5E">
        <w:t xml:space="preserve"> Hauora </w:t>
      </w:r>
      <w:r w:rsidR="00545194">
        <w:t>(</w:t>
      </w:r>
      <w:r w:rsidRPr="00507CA1">
        <w:rPr>
          <w:rStyle w:val="1Orange"/>
          <w:b w:val="0"/>
          <w:color w:val="000000"/>
          <w:spacing w:val="0"/>
        </w:rPr>
        <w:t>the Ministry of Health</w:t>
      </w:r>
      <w:r w:rsidR="00545194">
        <w:rPr>
          <w:rStyle w:val="1Orange"/>
          <w:b w:val="0"/>
          <w:color w:val="000000"/>
          <w:spacing w:val="0"/>
        </w:rPr>
        <w:t>)</w:t>
      </w:r>
      <w:r w:rsidRPr="00507CA1">
        <w:rPr>
          <w:rStyle w:val="1Orange"/>
          <w:b w:val="0"/>
          <w:color w:val="000000"/>
          <w:spacing w:val="0"/>
        </w:rPr>
        <w:t xml:space="preserve"> has developed this evidence-based Commissioning for Pae Ora framework, which is grounded in Te Tiriti o Waitangi. It is a response to the findings on primary and community care from</w:t>
      </w:r>
      <w:r w:rsidR="00D21244">
        <w:rPr>
          <w:rStyle w:val="1Orange"/>
          <w:b w:val="0"/>
          <w:color w:val="000000"/>
          <w:spacing w:val="0"/>
        </w:rPr>
        <w:t>:</w:t>
      </w:r>
      <w:r w:rsidRPr="00507CA1">
        <w:rPr>
          <w:rStyle w:val="1Orange"/>
          <w:b w:val="0"/>
          <w:color w:val="000000"/>
          <w:spacing w:val="0"/>
        </w:rPr>
        <w:t xml:space="preserve"> the Wai 2575 Health Services and Outcomes Kaupapa Inquiry</w:t>
      </w:r>
      <w:r w:rsidR="0097746E">
        <w:rPr>
          <w:rStyle w:val="1Orange"/>
          <w:b w:val="0"/>
          <w:color w:val="000000"/>
          <w:spacing w:val="0"/>
        </w:rPr>
        <w:t xml:space="preserve"> (Waitangi Tribunal 2019)</w:t>
      </w:r>
      <w:r w:rsidRPr="00507CA1">
        <w:rPr>
          <w:rStyle w:val="1Orange"/>
          <w:b w:val="0"/>
          <w:color w:val="000000"/>
          <w:spacing w:val="0"/>
        </w:rPr>
        <w:t>; Te Puni Kōkiri-led Te Piringa research</w:t>
      </w:r>
      <w:r w:rsidR="00E77123">
        <w:rPr>
          <w:rStyle w:val="1Orange"/>
          <w:b w:val="0"/>
          <w:color w:val="000000"/>
          <w:spacing w:val="0"/>
        </w:rPr>
        <w:t xml:space="preserve"> (</w:t>
      </w:r>
      <w:r w:rsidR="00E77123" w:rsidRPr="00507CA1">
        <w:rPr>
          <w:rStyle w:val="1Orange"/>
          <w:b w:val="0"/>
          <w:color w:val="000000"/>
          <w:spacing w:val="0"/>
        </w:rPr>
        <w:t>Te Puni Kōkiri</w:t>
      </w:r>
      <w:r w:rsidR="00E77123">
        <w:rPr>
          <w:rStyle w:val="1Orange"/>
          <w:b w:val="0"/>
          <w:color w:val="000000"/>
          <w:spacing w:val="0"/>
        </w:rPr>
        <w:t xml:space="preserve"> 2020)</w:t>
      </w:r>
      <w:r w:rsidRPr="00507CA1">
        <w:rPr>
          <w:rStyle w:val="1Orange"/>
          <w:b w:val="0"/>
          <w:color w:val="000000"/>
          <w:spacing w:val="0"/>
        </w:rPr>
        <w:t>; Health and Disability System Review</w:t>
      </w:r>
      <w:r w:rsidR="00FF47AF">
        <w:rPr>
          <w:rStyle w:val="1Orange"/>
          <w:b w:val="0"/>
          <w:color w:val="000000"/>
          <w:spacing w:val="0"/>
        </w:rPr>
        <w:t xml:space="preserve"> (2019)</w:t>
      </w:r>
      <w:r w:rsidRPr="00507CA1">
        <w:rPr>
          <w:rStyle w:val="1Orange"/>
          <w:b w:val="0"/>
          <w:color w:val="000000"/>
          <w:spacing w:val="0"/>
        </w:rPr>
        <w:t xml:space="preserve"> recommendations; and insights from Whatua </w:t>
      </w:r>
      <w:r w:rsidR="001217B0">
        <w:rPr>
          <w:rStyle w:val="1Orange"/>
          <w:b w:val="0"/>
          <w:color w:val="000000"/>
          <w:spacing w:val="0"/>
        </w:rPr>
        <w:t xml:space="preserve">(Ministry of Health 2020c) </w:t>
      </w:r>
      <w:r w:rsidRPr="00507CA1">
        <w:rPr>
          <w:rStyle w:val="1Orange"/>
          <w:b w:val="0"/>
          <w:color w:val="000000"/>
          <w:spacing w:val="0"/>
        </w:rPr>
        <w:t>and Hui Whakaoranga</w:t>
      </w:r>
      <w:r w:rsidR="00022A1C">
        <w:rPr>
          <w:rStyle w:val="1Orange"/>
          <w:b w:val="0"/>
          <w:color w:val="000000"/>
          <w:spacing w:val="0"/>
        </w:rPr>
        <w:t xml:space="preserve"> 2021</w:t>
      </w:r>
      <w:r w:rsidR="005843A2">
        <w:rPr>
          <w:rStyle w:val="1Orange"/>
          <w:b w:val="0"/>
          <w:color w:val="000000"/>
          <w:spacing w:val="0"/>
        </w:rPr>
        <w:t xml:space="preserve"> (Ministry of Health 2021)</w:t>
      </w:r>
      <w:r w:rsidRPr="00507CA1">
        <w:rPr>
          <w:rStyle w:val="1Orange"/>
          <w:b w:val="0"/>
          <w:color w:val="000000"/>
          <w:spacing w:val="0"/>
        </w:rPr>
        <w:t>.</w:t>
      </w:r>
    </w:p>
    <w:p w14:paraId="68154417" w14:textId="6244D458" w:rsidR="00507CA1" w:rsidRPr="00507CA1" w:rsidRDefault="00507CA1" w:rsidP="00507CA1">
      <w:pPr>
        <w:pStyle w:val="NormalwIndent"/>
        <w:rPr>
          <w:rStyle w:val="1Orange"/>
          <w:b w:val="0"/>
          <w:color w:val="000000"/>
          <w:spacing w:val="0"/>
        </w:rPr>
      </w:pPr>
      <w:r w:rsidRPr="00507CA1">
        <w:rPr>
          <w:rStyle w:val="1Orange"/>
          <w:b w:val="0"/>
          <w:color w:val="000000"/>
          <w:spacing w:val="0"/>
        </w:rPr>
        <w:t>The framework</w:t>
      </w:r>
      <w:r w:rsidR="00FF47AF" w:rsidRPr="00507CA1">
        <w:rPr>
          <w:rStyle w:val="1Orange"/>
          <w:b w:val="0"/>
          <w:color w:val="000000"/>
          <w:spacing w:val="0"/>
        </w:rPr>
        <w:t xml:space="preserve"> </w:t>
      </w:r>
      <w:r w:rsidRPr="00507CA1">
        <w:rPr>
          <w:rStyle w:val="1Orange"/>
          <w:b w:val="0"/>
          <w:color w:val="000000"/>
          <w:spacing w:val="0"/>
        </w:rPr>
        <w:t>seeks to bring the Whānau Ora vision</w:t>
      </w:r>
      <w:r w:rsidR="00FF47AF" w:rsidRPr="00507CA1">
        <w:rPr>
          <w:rStyle w:val="1Orange"/>
          <w:b w:val="0"/>
          <w:color w:val="000000"/>
          <w:spacing w:val="0"/>
        </w:rPr>
        <w:t xml:space="preserve"> </w:t>
      </w:r>
      <w:r w:rsidRPr="00507CA1">
        <w:rPr>
          <w:rStyle w:val="1Orange"/>
          <w:b w:val="0"/>
          <w:color w:val="000000"/>
          <w:spacing w:val="0"/>
        </w:rPr>
        <w:t xml:space="preserve">into the health system, and builds on the insights from Enabling Good Lives, the </w:t>
      </w:r>
      <w:r w:rsidR="00FD1093">
        <w:rPr>
          <w:rStyle w:val="1Orange"/>
          <w:b w:val="0"/>
          <w:color w:val="000000"/>
          <w:spacing w:val="0"/>
        </w:rPr>
        <w:t>closest</w:t>
      </w:r>
      <w:r w:rsidR="00FD1093" w:rsidRPr="00507CA1">
        <w:rPr>
          <w:rStyle w:val="1Orange"/>
          <w:b w:val="0"/>
          <w:color w:val="000000"/>
          <w:spacing w:val="0"/>
        </w:rPr>
        <w:t xml:space="preserve"> </w:t>
      </w:r>
      <w:r w:rsidRPr="00507CA1">
        <w:rPr>
          <w:rStyle w:val="1Orange"/>
          <w:b w:val="0"/>
          <w:color w:val="000000"/>
          <w:spacing w:val="0"/>
        </w:rPr>
        <w:t xml:space="preserve">expression of Whānau Ora in the mainstream health system. It has drawn ideas from diverse literature on areas ranging from commissioning to innovation and human learning systems.  </w:t>
      </w:r>
    </w:p>
    <w:p w14:paraId="12E22330" w14:textId="760CA9CA" w:rsidR="00507CA1" w:rsidRPr="00507CA1" w:rsidRDefault="004D6021" w:rsidP="00507CA1">
      <w:pPr>
        <w:pStyle w:val="NormalwIndent"/>
        <w:rPr>
          <w:rStyle w:val="1Orange"/>
          <w:b w:val="0"/>
          <w:color w:val="000000"/>
          <w:spacing w:val="0"/>
        </w:rPr>
      </w:pPr>
      <w:r>
        <w:rPr>
          <w:rStyle w:val="1Orange"/>
          <w:b w:val="0"/>
          <w:color w:val="000000"/>
          <w:spacing w:val="0"/>
        </w:rPr>
        <w:t xml:space="preserve">The </w:t>
      </w:r>
      <w:r w:rsidR="00507CA1" w:rsidRPr="00507CA1">
        <w:rPr>
          <w:rStyle w:val="1Orange"/>
          <w:b w:val="0"/>
          <w:color w:val="000000"/>
          <w:spacing w:val="0"/>
        </w:rPr>
        <w:t>Commissioning for Pae Ora</w:t>
      </w:r>
      <w:r>
        <w:rPr>
          <w:rStyle w:val="1Orange"/>
          <w:b w:val="0"/>
          <w:color w:val="000000"/>
          <w:spacing w:val="0"/>
        </w:rPr>
        <w:t xml:space="preserve"> framework</w:t>
      </w:r>
      <w:r w:rsidR="00507CA1" w:rsidRPr="00507CA1">
        <w:rPr>
          <w:rStyle w:val="1Orange"/>
          <w:b w:val="0"/>
          <w:color w:val="000000"/>
          <w:spacing w:val="0"/>
        </w:rPr>
        <w:t xml:space="preserve"> is the result of collaboration across </w:t>
      </w:r>
      <w:r w:rsidR="004E2E5E">
        <w:t>Manat</w:t>
      </w:r>
      <w:r w:rsidR="004E2E5E">
        <w:rPr>
          <w:rFonts w:ascii="Calibri" w:hAnsi="Calibri" w:cs="Calibri"/>
        </w:rPr>
        <w:t>ū</w:t>
      </w:r>
      <w:r w:rsidR="004E2E5E">
        <w:t xml:space="preserve"> Hauora</w:t>
      </w:r>
      <w:r w:rsidR="00507CA1" w:rsidRPr="00507CA1">
        <w:rPr>
          <w:rStyle w:val="1Orange"/>
          <w:b w:val="0"/>
          <w:color w:val="000000"/>
          <w:spacing w:val="0"/>
        </w:rPr>
        <w:t xml:space="preserve"> as a key deliverable under Whakamaua: Māori Health Action Plan 2020–2025. </w:t>
      </w:r>
    </w:p>
    <w:p w14:paraId="086CB372" w14:textId="5D63D800" w:rsidR="00507CA1" w:rsidRPr="00507CA1" w:rsidRDefault="00507CA1" w:rsidP="00507CA1">
      <w:pPr>
        <w:pStyle w:val="NormalwIndent"/>
        <w:rPr>
          <w:rStyle w:val="1Orange"/>
          <w:b w:val="0"/>
          <w:color w:val="000000"/>
          <w:spacing w:val="0"/>
        </w:rPr>
      </w:pPr>
      <w:r w:rsidRPr="00507CA1">
        <w:rPr>
          <w:rStyle w:val="1Orange"/>
          <w:b w:val="0"/>
          <w:color w:val="000000"/>
          <w:spacing w:val="0"/>
        </w:rPr>
        <w:t xml:space="preserve">The ideas in </w:t>
      </w:r>
      <w:r w:rsidRPr="00194E5C">
        <w:rPr>
          <w:rStyle w:val="1Orange"/>
          <w:b w:val="0"/>
          <w:i/>
          <w:iCs/>
          <w:color w:val="000000"/>
          <w:spacing w:val="0"/>
        </w:rPr>
        <w:t xml:space="preserve">Commissioning for Pae Ora </w:t>
      </w:r>
      <w:r w:rsidR="004D6021" w:rsidRPr="00194E5C">
        <w:rPr>
          <w:rStyle w:val="1Orange"/>
          <w:b w:val="0"/>
          <w:i/>
          <w:iCs/>
          <w:color w:val="000000"/>
          <w:spacing w:val="0"/>
        </w:rPr>
        <w:t>Healthy Futures</w:t>
      </w:r>
      <w:r w:rsidR="004D6021">
        <w:rPr>
          <w:rStyle w:val="1Orange"/>
          <w:b w:val="0"/>
          <w:color w:val="000000"/>
          <w:spacing w:val="0"/>
        </w:rPr>
        <w:t xml:space="preserve"> </w:t>
      </w:r>
      <w:r w:rsidRPr="00507CA1">
        <w:rPr>
          <w:rStyle w:val="1Orange"/>
          <w:b w:val="0"/>
          <w:color w:val="000000"/>
          <w:spacing w:val="0"/>
        </w:rPr>
        <w:t xml:space="preserve">have been tested and refined in workshops with social sector agencies, district health board commissioners, Māori and other providers, and mana whenua, with a focus on what is needed to enable mātauranga Māori and system change. Work has also included a series of case studies to gain a deeper understanding of different parts of the commissioning process and its impact on outcomes. </w:t>
      </w:r>
      <w:r w:rsidR="009C2214">
        <w:rPr>
          <w:rStyle w:val="1Orange"/>
          <w:b w:val="0"/>
          <w:color w:val="000000"/>
          <w:spacing w:val="0"/>
        </w:rPr>
        <w:t>T</w:t>
      </w:r>
      <w:r w:rsidRPr="00507CA1">
        <w:rPr>
          <w:rStyle w:val="1Orange"/>
          <w:b w:val="0"/>
          <w:color w:val="000000"/>
          <w:spacing w:val="0"/>
        </w:rPr>
        <w:t xml:space="preserve">his document </w:t>
      </w:r>
      <w:r w:rsidR="009C2214">
        <w:rPr>
          <w:rStyle w:val="1Orange"/>
          <w:b w:val="0"/>
          <w:color w:val="000000"/>
          <w:spacing w:val="0"/>
        </w:rPr>
        <w:t xml:space="preserve">references these case studies where relevant. Reports on them </w:t>
      </w:r>
      <w:r w:rsidRPr="00507CA1">
        <w:rPr>
          <w:rStyle w:val="1Orange"/>
          <w:b w:val="0"/>
          <w:color w:val="000000"/>
          <w:spacing w:val="0"/>
        </w:rPr>
        <w:t xml:space="preserve">will be available over time on </w:t>
      </w:r>
      <w:r w:rsidR="00884118">
        <w:t>the Ministry</w:t>
      </w:r>
      <w:r w:rsidRPr="00507CA1">
        <w:rPr>
          <w:rStyle w:val="1Orange"/>
          <w:b w:val="0"/>
          <w:color w:val="000000"/>
          <w:spacing w:val="0"/>
        </w:rPr>
        <w:t>’s website.</w:t>
      </w:r>
    </w:p>
    <w:p w14:paraId="54D9C1D2" w14:textId="4A321F1B" w:rsidR="00507CA1" w:rsidRDefault="00507CA1" w:rsidP="00507CA1">
      <w:pPr>
        <w:pStyle w:val="NormalwIndent"/>
        <w:rPr>
          <w:rStyle w:val="1Orange"/>
          <w:b w:val="0"/>
          <w:color w:val="000000"/>
          <w:spacing w:val="0"/>
        </w:rPr>
      </w:pPr>
      <w:r w:rsidRPr="00507CA1">
        <w:rPr>
          <w:rStyle w:val="1Orange"/>
          <w:b w:val="0"/>
          <w:color w:val="000000"/>
          <w:spacing w:val="0"/>
        </w:rPr>
        <w:t>We mihi all those who have contributed to this work, both for their input and for their commitment to turning conventional commissioning on its head so it starts with ‘what matters to whānau’.</w:t>
      </w:r>
    </w:p>
    <w:p w14:paraId="0F304775" w14:textId="77777777" w:rsidR="00507CA1" w:rsidRDefault="00507CA1" w:rsidP="00507CA1">
      <w:pPr>
        <w:pStyle w:val="NormalwIndent"/>
        <w:rPr>
          <w:rStyle w:val="1Orange"/>
        </w:rPr>
      </w:pPr>
    </w:p>
    <w:p w14:paraId="0895D8C7" w14:textId="02C9A517" w:rsidR="00507CA1" w:rsidRPr="002A04E1" w:rsidRDefault="00507CA1" w:rsidP="00507CA1">
      <w:pPr>
        <w:pStyle w:val="NormalwIndent"/>
        <w:rPr>
          <w:rStyle w:val="1Orange"/>
        </w:rPr>
        <w:sectPr w:rsidR="00507CA1" w:rsidRPr="002A04E1" w:rsidSect="002654C1">
          <w:headerReference w:type="even" r:id="rId20"/>
          <w:headerReference w:type="default" r:id="rId21"/>
          <w:headerReference w:type="first" r:id="rId22"/>
          <w:footerReference w:type="first" r:id="rId23"/>
          <w:pgSz w:w="11906" w:h="16838"/>
          <w:pgMar w:top="2778" w:right="1701" w:bottom="851" w:left="1701" w:header="737" w:footer="0" w:gutter="0"/>
          <w:cols w:space="708"/>
          <w:titlePg/>
          <w:docGrid w:linePitch="360"/>
        </w:sectPr>
      </w:pPr>
    </w:p>
    <w:p w14:paraId="5F83D66F" w14:textId="3F038556" w:rsidR="00A86A62" w:rsidRDefault="00A86A62" w:rsidP="008405D2">
      <w:pPr>
        <w:pStyle w:val="Contents"/>
        <w:rPr>
          <w:rStyle w:val="1Orange"/>
          <w:b w:val="0"/>
          <w:bCs/>
        </w:rPr>
      </w:pPr>
      <w:r w:rsidRPr="000D6A02">
        <w:rPr>
          <w:rStyle w:val="1Orange"/>
          <w:b w:val="0"/>
          <w:bCs/>
        </w:rPr>
        <w:lastRenderedPageBreak/>
        <w:t>Contents</w:t>
      </w:r>
    </w:p>
    <w:p w14:paraId="408F3DC3" w14:textId="77777777" w:rsidR="008405D2" w:rsidRPr="008405D2" w:rsidRDefault="008405D2" w:rsidP="008405D2"/>
    <w:p w14:paraId="1E1E4912" w14:textId="009A2A89" w:rsidR="00873C59" w:rsidRDefault="00873C59">
      <w:pPr>
        <w:pStyle w:val="TOC1"/>
        <w:rPr>
          <w:rFonts w:asciiTheme="minorHAnsi" w:eastAsiaTheme="minorEastAsia" w:hAnsiTheme="minorHAnsi"/>
          <w:b w:val="0"/>
          <w:color w:val="auto"/>
          <w:sz w:val="22"/>
          <w:lang w:val="en-NZ" w:eastAsia="en-NZ"/>
        </w:rPr>
      </w:pPr>
      <w:r>
        <w:rPr>
          <w:bCs/>
        </w:rPr>
        <w:fldChar w:fldCharType="begin"/>
      </w:r>
      <w:r>
        <w:rPr>
          <w:bCs/>
        </w:rPr>
        <w:instrText xml:space="preserve"> TOC \h \z \t "Heading 1 - no numbering,1,Heading 2 - no numbering,2,Heading 2A,2" </w:instrText>
      </w:r>
      <w:r>
        <w:rPr>
          <w:bCs/>
        </w:rPr>
        <w:fldChar w:fldCharType="separate"/>
      </w:r>
      <w:hyperlink w:anchor="_Toc124933814" w:history="1">
        <w:r w:rsidRPr="007E52D8">
          <w:rPr>
            <w:rStyle w:val="Hyperlink"/>
          </w:rPr>
          <w:t>Overview</w:t>
        </w:r>
        <w:r>
          <w:rPr>
            <w:webHidden/>
          </w:rPr>
          <w:tab/>
        </w:r>
        <w:r>
          <w:rPr>
            <w:webHidden/>
          </w:rPr>
          <w:fldChar w:fldCharType="begin"/>
        </w:r>
        <w:r>
          <w:rPr>
            <w:webHidden/>
          </w:rPr>
          <w:instrText xml:space="preserve"> PAGEREF _Toc124933814 \h </w:instrText>
        </w:r>
        <w:r>
          <w:rPr>
            <w:webHidden/>
          </w:rPr>
        </w:r>
        <w:r>
          <w:rPr>
            <w:webHidden/>
          </w:rPr>
          <w:fldChar w:fldCharType="separate"/>
        </w:r>
        <w:r w:rsidR="00B27208">
          <w:rPr>
            <w:webHidden/>
          </w:rPr>
          <w:t>1</w:t>
        </w:r>
        <w:r>
          <w:rPr>
            <w:webHidden/>
          </w:rPr>
          <w:fldChar w:fldCharType="end"/>
        </w:r>
      </w:hyperlink>
    </w:p>
    <w:p w14:paraId="0AE5EB05" w14:textId="15E51BEC" w:rsidR="00873C59" w:rsidRDefault="00DD7A05">
      <w:pPr>
        <w:pStyle w:val="TOC2"/>
        <w:rPr>
          <w:rFonts w:asciiTheme="minorHAnsi" w:eastAsiaTheme="minorEastAsia" w:hAnsiTheme="minorHAnsi" w:cstheme="minorBidi"/>
          <w:color w:val="auto"/>
          <w:sz w:val="22"/>
          <w:lang w:val="en-NZ" w:eastAsia="en-NZ"/>
        </w:rPr>
      </w:pPr>
      <w:hyperlink w:anchor="_Toc124933815" w:history="1">
        <w:r w:rsidR="00873C59" w:rsidRPr="007E52D8">
          <w:rPr>
            <w:rStyle w:val="Hyperlink"/>
          </w:rPr>
          <w:t>Purpose</w:t>
        </w:r>
        <w:r w:rsidR="00873C59">
          <w:rPr>
            <w:webHidden/>
          </w:rPr>
          <w:tab/>
        </w:r>
        <w:r w:rsidR="00873C59">
          <w:rPr>
            <w:webHidden/>
          </w:rPr>
          <w:fldChar w:fldCharType="begin"/>
        </w:r>
        <w:r w:rsidR="00873C59">
          <w:rPr>
            <w:webHidden/>
          </w:rPr>
          <w:instrText xml:space="preserve"> PAGEREF _Toc124933815 \h </w:instrText>
        </w:r>
        <w:r w:rsidR="00873C59">
          <w:rPr>
            <w:webHidden/>
          </w:rPr>
        </w:r>
        <w:r w:rsidR="00873C59">
          <w:rPr>
            <w:webHidden/>
          </w:rPr>
          <w:fldChar w:fldCharType="separate"/>
        </w:r>
        <w:r w:rsidR="00B27208">
          <w:rPr>
            <w:webHidden/>
          </w:rPr>
          <w:t>1</w:t>
        </w:r>
        <w:r w:rsidR="00873C59">
          <w:rPr>
            <w:webHidden/>
          </w:rPr>
          <w:fldChar w:fldCharType="end"/>
        </w:r>
      </w:hyperlink>
    </w:p>
    <w:p w14:paraId="3175CA20" w14:textId="1CA25E19" w:rsidR="00873C59" w:rsidRDefault="00DD7A05">
      <w:pPr>
        <w:pStyle w:val="TOC2"/>
        <w:rPr>
          <w:rFonts w:asciiTheme="minorHAnsi" w:eastAsiaTheme="minorEastAsia" w:hAnsiTheme="minorHAnsi" w:cstheme="minorBidi"/>
          <w:color w:val="auto"/>
          <w:sz w:val="22"/>
          <w:lang w:val="en-NZ" w:eastAsia="en-NZ"/>
        </w:rPr>
      </w:pPr>
      <w:hyperlink w:anchor="_Toc124933816" w:history="1">
        <w:r w:rsidR="00873C59" w:rsidRPr="007E52D8">
          <w:rPr>
            <w:rStyle w:val="Hyperlink"/>
          </w:rPr>
          <w:t>Why we need a new approach to commissioning</w:t>
        </w:r>
        <w:r w:rsidR="00873C59">
          <w:rPr>
            <w:webHidden/>
          </w:rPr>
          <w:tab/>
        </w:r>
        <w:r w:rsidR="00873C59">
          <w:rPr>
            <w:webHidden/>
          </w:rPr>
          <w:fldChar w:fldCharType="begin"/>
        </w:r>
        <w:r w:rsidR="00873C59">
          <w:rPr>
            <w:webHidden/>
          </w:rPr>
          <w:instrText xml:space="preserve"> PAGEREF _Toc124933816 \h </w:instrText>
        </w:r>
        <w:r w:rsidR="00873C59">
          <w:rPr>
            <w:webHidden/>
          </w:rPr>
        </w:r>
        <w:r w:rsidR="00873C59">
          <w:rPr>
            <w:webHidden/>
          </w:rPr>
          <w:fldChar w:fldCharType="separate"/>
        </w:r>
        <w:r w:rsidR="00B27208">
          <w:rPr>
            <w:webHidden/>
          </w:rPr>
          <w:t>1</w:t>
        </w:r>
        <w:r w:rsidR="00873C59">
          <w:rPr>
            <w:webHidden/>
          </w:rPr>
          <w:fldChar w:fldCharType="end"/>
        </w:r>
      </w:hyperlink>
    </w:p>
    <w:p w14:paraId="0ED80705" w14:textId="5E8A7061" w:rsidR="00873C59" w:rsidRDefault="00DD7A05">
      <w:pPr>
        <w:pStyle w:val="TOC2"/>
        <w:rPr>
          <w:rFonts w:asciiTheme="minorHAnsi" w:eastAsiaTheme="minorEastAsia" w:hAnsiTheme="minorHAnsi" w:cstheme="minorBidi"/>
          <w:color w:val="auto"/>
          <w:sz w:val="22"/>
          <w:lang w:val="en-NZ" w:eastAsia="en-NZ"/>
        </w:rPr>
      </w:pPr>
      <w:hyperlink w:anchor="_Toc124933817" w:history="1">
        <w:r w:rsidR="00873C59" w:rsidRPr="007E52D8">
          <w:rPr>
            <w:rStyle w:val="Hyperlink"/>
          </w:rPr>
          <w:t>The Ministry of Health’s response to the evidence</w:t>
        </w:r>
        <w:r w:rsidR="00873C59">
          <w:rPr>
            <w:webHidden/>
          </w:rPr>
          <w:tab/>
        </w:r>
        <w:r w:rsidR="00873C59">
          <w:rPr>
            <w:webHidden/>
          </w:rPr>
          <w:fldChar w:fldCharType="begin"/>
        </w:r>
        <w:r w:rsidR="00873C59">
          <w:rPr>
            <w:webHidden/>
          </w:rPr>
          <w:instrText xml:space="preserve"> PAGEREF _Toc124933817 \h </w:instrText>
        </w:r>
        <w:r w:rsidR="00873C59">
          <w:rPr>
            <w:webHidden/>
          </w:rPr>
        </w:r>
        <w:r w:rsidR="00873C59">
          <w:rPr>
            <w:webHidden/>
          </w:rPr>
          <w:fldChar w:fldCharType="separate"/>
        </w:r>
        <w:r w:rsidR="00B27208">
          <w:rPr>
            <w:webHidden/>
          </w:rPr>
          <w:t>3</w:t>
        </w:r>
        <w:r w:rsidR="00873C59">
          <w:rPr>
            <w:webHidden/>
          </w:rPr>
          <w:fldChar w:fldCharType="end"/>
        </w:r>
      </w:hyperlink>
    </w:p>
    <w:p w14:paraId="1091F2AE" w14:textId="03EE79C1" w:rsidR="00873C59" w:rsidRDefault="00DD7A05">
      <w:pPr>
        <w:pStyle w:val="TOC2"/>
        <w:rPr>
          <w:rFonts w:asciiTheme="minorHAnsi" w:eastAsiaTheme="minorEastAsia" w:hAnsiTheme="minorHAnsi" w:cstheme="minorBidi"/>
          <w:color w:val="auto"/>
          <w:sz w:val="22"/>
          <w:lang w:val="en-NZ" w:eastAsia="en-NZ"/>
        </w:rPr>
      </w:pPr>
      <w:hyperlink w:anchor="_Toc124933818" w:history="1">
        <w:r w:rsidR="00873C59" w:rsidRPr="007E52D8">
          <w:rPr>
            <w:rStyle w:val="Hyperlink"/>
          </w:rPr>
          <w:t>Bringing the Whānau Ora vision into the health system</w:t>
        </w:r>
        <w:r w:rsidR="00873C59">
          <w:rPr>
            <w:webHidden/>
          </w:rPr>
          <w:tab/>
        </w:r>
        <w:r w:rsidR="00873C59">
          <w:rPr>
            <w:webHidden/>
          </w:rPr>
          <w:fldChar w:fldCharType="begin"/>
        </w:r>
        <w:r w:rsidR="00873C59">
          <w:rPr>
            <w:webHidden/>
          </w:rPr>
          <w:instrText xml:space="preserve"> PAGEREF _Toc124933818 \h </w:instrText>
        </w:r>
        <w:r w:rsidR="00873C59">
          <w:rPr>
            <w:webHidden/>
          </w:rPr>
        </w:r>
        <w:r w:rsidR="00873C59">
          <w:rPr>
            <w:webHidden/>
          </w:rPr>
          <w:fldChar w:fldCharType="separate"/>
        </w:r>
        <w:r w:rsidR="00B27208">
          <w:rPr>
            <w:webHidden/>
          </w:rPr>
          <w:t>4</w:t>
        </w:r>
        <w:r w:rsidR="00873C59">
          <w:rPr>
            <w:webHidden/>
          </w:rPr>
          <w:fldChar w:fldCharType="end"/>
        </w:r>
      </w:hyperlink>
    </w:p>
    <w:p w14:paraId="4A17C8F7" w14:textId="1082E5D0" w:rsidR="00873C59" w:rsidRDefault="00DD7A05">
      <w:pPr>
        <w:pStyle w:val="TOC2"/>
        <w:rPr>
          <w:rFonts w:asciiTheme="minorHAnsi" w:eastAsiaTheme="minorEastAsia" w:hAnsiTheme="minorHAnsi" w:cstheme="minorBidi"/>
          <w:color w:val="auto"/>
          <w:sz w:val="22"/>
          <w:lang w:val="en-NZ" w:eastAsia="en-NZ"/>
        </w:rPr>
      </w:pPr>
      <w:hyperlink w:anchor="_Toc124933819" w:history="1">
        <w:r w:rsidR="00873C59" w:rsidRPr="007E52D8">
          <w:rPr>
            <w:rStyle w:val="Hyperlink"/>
          </w:rPr>
          <w:t>Embedding Te Tiriti o Waitangi principles</w:t>
        </w:r>
        <w:r w:rsidR="00873C59">
          <w:rPr>
            <w:webHidden/>
          </w:rPr>
          <w:tab/>
        </w:r>
        <w:r w:rsidR="00873C59">
          <w:rPr>
            <w:webHidden/>
          </w:rPr>
          <w:fldChar w:fldCharType="begin"/>
        </w:r>
        <w:r w:rsidR="00873C59">
          <w:rPr>
            <w:webHidden/>
          </w:rPr>
          <w:instrText xml:space="preserve"> PAGEREF _Toc124933819 \h </w:instrText>
        </w:r>
        <w:r w:rsidR="00873C59">
          <w:rPr>
            <w:webHidden/>
          </w:rPr>
        </w:r>
        <w:r w:rsidR="00873C59">
          <w:rPr>
            <w:webHidden/>
          </w:rPr>
          <w:fldChar w:fldCharType="separate"/>
        </w:r>
        <w:r w:rsidR="00B27208">
          <w:rPr>
            <w:webHidden/>
          </w:rPr>
          <w:t>5</w:t>
        </w:r>
        <w:r w:rsidR="00873C59">
          <w:rPr>
            <w:webHidden/>
          </w:rPr>
          <w:fldChar w:fldCharType="end"/>
        </w:r>
      </w:hyperlink>
    </w:p>
    <w:p w14:paraId="0D8577B6" w14:textId="70A1B04E" w:rsidR="00873C59" w:rsidRDefault="00DD7A05">
      <w:pPr>
        <w:pStyle w:val="TOC2"/>
        <w:rPr>
          <w:rFonts w:asciiTheme="minorHAnsi" w:eastAsiaTheme="minorEastAsia" w:hAnsiTheme="minorHAnsi" w:cstheme="minorBidi"/>
          <w:color w:val="auto"/>
          <w:sz w:val="22"/>
          <w:lang w:val="en-NZ" w:eastAsia="en-NZ"/>
        </w:rPr>
      </w:pPr>
      <w:hyperlink w:anchor="_Toc124933820" w:history="1">
        <w:r w:rsidR="00873C59" w:rsidRPr="007E52D8">
          <w:rPr>
            <w:rStyle w:val="Hyperlink"/>
          </w:rPr>
          <w:t>Changing context and roles of entities</w:t>
        </w:r>
        <w:r w:rsidR="00873C59">
          <w:rPr>
            <w:webHidden/>
          </w:rPr>
          <w:tab/>
        </w:r>
        <w:r w:rsidR="00873C59">
          <w:rPr>
            <w:webHidden/>
          </w:rPr>
          <w:fldChar w:fldCharType="begin"/>
        </w:r>
        <w:r w:rsidR="00873C59">
          <w:rPr>
            <w:webHidden/>
          </w:rPr>
          <w:instrText xml:space="preserve"> PAGEREF _Toc124933820 \h </w:instrText>
        </w:r>
        <w:r w:rsidR="00873C59">
          <w:rPr>
            <w:webHidden/>
          </w:rPr>
        </w:r>
        <w:r w:rsidR="00873C59">
          <w:rPr>
            <w:webHidden/>
          </w:rPr>
          <w:fldChar w:fldCharType="separate"/>
        </w:r>
        <w:r w:rsidR="00B27208">
          <w:rPr>
            <w:webHidden/>
          </w:rPr>
          <w:t>5</w:t>
        </w:r>
        <w:r w:rsidR="00873C59">
          <w:rPr>
            <w:webHidden/>
          </w:rPr>
          <w:fldChar w:fldCharType="end"/>
        </w:r>
      </w:hyperlink>
    </w:p>
    <w:p w14:paraId="544E3BA3" w14:textId="37F2045A" w:rsidR="00873C59" w:rsidRDefault="00DD7A05">
      <w:pPr>
        <w:pStyle w:val="TOC2"/>
        <w:rPr>
          <w:rFonts w:asciiTheme="minorHAnsi" w:eastAsiaTheme="minorEastAsia" w:hAnsiTheme="minorHAnsi" w:cstheme="minorBidi"/>
          <w:color w:val="auto"/>
          <w:sz w:val="22"/>
          <w:lang w:val="en-NZ" w:eastAsia="en-NZ"/>
        </w:rPr>
      </w:pPr>
      <w:hyperlink w:anchor="_Toc124933821" w:history="1">
        <w:r w:rsidR="00873C59" w:rsidRPr="007E52D8">
          <w:rPr>
            <w:rStyle w:val="Hyperlink"/>
          </w:rPr>
          <w:t>Commissioning for Pae Ora remains relevant</w:t>
        </w:r>
        <w:r w:rsidR="00873C59">
          <w:rPr>
            <w:webHidden/>
          </w:rPr>
          <w:tab/>
        </w:r>
        <w:r w:rsidR="00873C59">
          <w:rPr>
            <w:webHidden/>
          </w:rPr>
          <w:fldChar w:fldCharType="begin"/>
        </w:r>
        <w:r w:rsidR="00873C59">
          <w:rPr>
            <w:webHidden/>
          </w:rPr>
          <w:instrText xml:space="preserve"> PAGEREF _Toc124933821 \h </w:instrText>
        </w:r>
        <w:r w:rsidR="00873C59">
          <w:rPr>
            <w:webHidden/>
          </w:rPr>
        </w:r>
        <w:r w:rsidR="00873C59">
          <w:rPr>
            <w:webHidden/>
          </w:rPr>
          <w:fldChar w:fldCharType="separate"/>
        </w:r>
        <w:r w:rsidR="00B27208">
          <w:rPr>
            <w:webHidden/>
          </w:rPr>
          <w:t>7</w:t>
        </w:r>
        <w:r w:rsidR="00873C59">
          <w:rPr>
            <w:webHidden/>
          </w:rPr>
          <w:fldChar w:fldCharType="end"/>
        </w:r>
      </w:hyperlink>
    </w:p>
    <w:p w14:paraId="5852B0BC" w14:textId="6F593F01" w:rsidR="00873C59" w:rsidRDefault="00DD7A05">
      <w:pPr>
        <w:pStyle w:val="TOC2"/>
        <w:rPr>
          <w:rFonts w:asciiTheme="minorHAnsi" w:eastAsiaTheme="minorEastAsia" w:hAnsiTheme="minorHAnsi" w:cstheme="minorBidi"/>
          <w:color w:val="auto"/>
          <w:sz w:val="22"/>
          <w:lang w:val="en-NZ" w:eastAsia="en-NZ"/>
        </w:rPr>
      </w:pPr>
      <w:hyperlink w:anchor="_Toc124933822" w:history="1">
        <w:r w:rsidR="00873C59" w:rsidRPr="007E52D8">
          <w:rPr>
            <w:rStyle w:val="Hyperlink"/>
          </w:rPr>
          <w:t>Overview of what’s needed</w:t>
        </w:r>
        <w:r w:rsidR="00873C59">
          <w:rPr>
            <w:webHidden/>
          </w:rPr>
          <w:tab/>
        </w:r>
        <w:r w:rsidR="00873C59">
          <w:rPr>
            <w:webHidden/>
          </w:rPr>
          <w:fldChar w:fldCharType="begin"/>
        </w:r>
        <w:r w:rsidR="00873C59">
          <w:rPr>
            <w:webHidden/>
          </w:rPr>
          <w:instrText xml:space="preserve"> PAGEREF _Toc124933822 \h </w:instrText>
        </w:r>
        <w:r w:rsidR="00873C59">
          <w:rPr>
            <w:webHidden/>
          </w:rPr>
        </w:r>
        <w:r w:rsidR="00873C59">
          <w:rPr>
            <w:webHidden/>
          </w:rPr>
          <w:fldChar w:fldCharType="separate"/>
        </w:r>
        <w:r w:rsidR="00B27208">
          <w:rPr>
            <w:webHidden/>
          </w:rPr>
          <w:t>9</w:t>
        </w:r>
        <w:r w:rsidR="00873C59">
          <w:rPr>
            <w:webHidden/>
          </w:rPr>
          <w:fldChar w:fldCharType="end"/>
        </w:r>
      </w:hyperlink>
    </w:p>
    <w:p w14:paraId="7752F1F0" w14:textId="316E10AB" w:rsidR="00873C59" w:rsidRDefault="00DD7A05">
      <w:pPr>
        <w:pStyle w:val="TOC2"/>
        <w:rPr>
          <w:rFonts w:asciiTheme="minorHAnsi" w:eastAsiaTheme="minorEastAsia" w:hAnsiTheme="minorHAnsi" w:cstheme="minorBidi"/>
          <w:color w:val="auto"/>
          <w:sz w:val="22"/>
          <w:lang w:val="en-NZ" w:eastAsia="en-NZ"/>
        </w:rPr>
      </w:pPr>
      <w:hyperlink w:anchor="_Toc124933823" w:history="1">
        <w:r w:rsidR="00873C59" w:rsidRPr="007E52D8">
          <w:rPr>
            <w:rStyle w:val="Hyperlink"/>
          </w:rPr>
          <w:t>Application</w:t>
        </w:r>
        <w:r w:rsidR="00873C59">
          <w:rPr>
            <w:webHidden/>
          </w:rPr>
          <w:tab/>
        </w:r>
        <w:r w:rsidR="00873C59">
          <w:rPr>
            <w:webHidden/>
          </w:rPr>
          <w:fldChar w:fldCharType="begin"/>
        </w:r>
        <w:r w:rsidR="00873C59">
          <w:rPr>
            <w:webHidden/>
          </w:rPr>
          <w:instrText xml:space="preserve"> PAGEREF _Toc124933823 \h </w:instrText>
        </w:r>
        <w:r w:rsidR="00873C59">
          <w:rPr>
            <w:webHidden/>
          </w:rPr>
        </w:r>
        <w:r w:rsidR="00873C59">
          <w:rPr>
            <w:webHidden/>
          </w:rPr>
          <w:fldChar w:fldCharType="separate"/>
        </w:r>
        <w:r w:rsidR="00B27208">
          <w:rPr>
            <w:webHidden/>
          </w:rPr>
          <w:t>10</w:t>
        </w:r>
        <w:r w:rsidR="00873C59">
          <w:rPr>
            <w:webHidden/>
          </w:rPr>
          <w:fldChar w:fldCharType="end"/>
        </w:r>
      </w:hyperlink>
    </w:p>
    <w:p w14:paraId="441875A1" w14:textId="2AFE0659" w:rsidR="00873C59" w:rsidRDefault="00DD7A05">
      <w:pPr>
        <w:pStyle w:val="TOC2"/>
        <w:rPr>
          <w:rFonts w:asciiTheme="minorHAnsi" w:eastAsiaTheme="minorEastAsia" w:hAnsiTheme="minorHAnsi" w:cstheme="minorBidi"/>
          <w:color w:val="auto"/>
          <w:sz w:val="22"/>
          <w:lang w:val="en-NZ" w:eastAsia="en-NZ"/>
        </w:rPr>
      </w:pPr>
      <w:hyperlink w:anchor="_Toc124933824" w:history="1">
        <w:r w:rsidR="00873C59" w:rsidRPr="007E52D8">
          <w:rPr>
            <w:rStyle w:val="Hyperlink"/>
          </w:rPr>
          <w:t>A journey for all involved</w:t>
        </w:r>
        <w:r w:rsidR="00873C59">
          <w:rPr>
            <w:webHidden/>
          </w:rPr>
          <w:tab/>
        </w:r>
        <w:r w:rsidR="00873C59">
          <w:rPr>
            <w:webHidden/>
          </w:rPr>
          <w:fldChar w:fldCharType="begin"/>
        </w:r>
        <w:r w:rsidR="00873C59">
          <w:rPr>
            <w:webHidden/>
          </w:rPr>
          <w:instrText xml:space="preserve"> PAGEREF _Toc124933824 \h </w:instrText>
        </w:r>
        <w:r w:rsidR="00873C59">
          <w:rPr>
            <w:webHidden/>
          </w:rPr>
        </w:r>
        <w:r w:rsidR="00873C59">
          <w:rPr>
            <w:webHidden/>
          </w:rPr>
          <w:fldChar w:fldCharType="separate"/>
        </w:r>
        <w:r w:rsidR="00B27208">
          <w:rPr>
            <w:webHidden/>
          </w:rPr>
          <w:t>11</w:t>
        </w:r>
        <w:r w:rsidR="00873C59">
          <w:rPr>
            <w:webHidden/>
          </w:rPr>
          <w:fldChar w:fldCharType="end"/>
        </w:r>
      </w:hyperlink>
    </w:p>
    <w:p w14:paraId="79657BA0" w14:textId="1B4CFE88" w:rsidR="00873C59" w:rsidRDefault="00DD7A05">
      <w:pPr>
        <w:pStyle w:val="TOC1"/>
        <w:rPr>
          <w:rFonts w:asciiTheme="minorHAnsi" w:eastAsiaTheme="minorEastAsia" w:hAnsiTheme="minorHAnsi"/>
          <w:b w:val="0"/>
          <w:color w:val="auto"/>
          <w:sz w:val="22"/>
          <w:lang w:val="en-NZ" w:eastAsia="en-NZ"/>
        </w:rPr>
      </w:pPr>
      <w:hyperlink w:anchor="_Toc124933825" w:history="1">
        <w:r w:rsidR="00873C59" w:rsidRPr="007E52D8">
          <w:rPr>
            <w:rStyle w:val="Hyperlink"/>
          </w:rPr>
          <w:t>Why commissioning needs to change</w:t>
        </w:r>
        <w:r w:rsidR="00873C59">
          <w:rPr>
            <w:webHidden/>
          </w:rPr>
          <w:tab/>
        </w:r>
        <w:r w:rsidR="00873C59">
          <w:rPr>
            <w:webHidden/>
          </w:rPr>
          <w:fldChar w:fldCharType="begin"/>
        </w:r>
        <w:r w:rsidR="00873C59">
          <w:rPr>
            <w:webHidden/>
          </w:rPr>
          <w:instrText xml:space="preserve"> PAGEREF _Toc124933825 \h </w:instrText>
        </w:r>
        <w:r w:rsidR="00873C59">
          <w:rPr>
            <w:webHidden/>
          </w:rPr>
        </w:r>
        <w:r w:rsidR="00873C59">
          <w:rPr>
            <w:webHidden/>
          </w:rPr>
          <w:fldChar w:fldCharType="separate"/>
        </w:r>
        <w:r w:rsidR="00B27208">
          <w:rPr>
            <w:webHidden/>
          </w:rPr>
          <w:t>12</w:t>
        </w:r>
        <w:r w:rsidR="00873C59">
          <w:rPr>
            <w:webHidden/>
          </w:rPr>
          <w:fldChar w:fldCharType="end"/>
        </w:r>
      </w:hyperlink>
    </w:p>
    <w:p w14:paraId="454496AC" w14:textId="2A1E4B04" w:rsidR="00873C59" w:rsidRDefault="00DD7A05">
      <w:pPr>
        <w:pStyle w:val="TOC2"/>
        <w:rPr>
          <w:rFonts w:asciiTheme="minorHAnsi" w:eastAsiaTheme="minorEastAsia" w:hAnsiTheme="minorHAnsi" w:cstheme="minorBidi"/>
          <w:color w:val="auto"/>
          <w:sz w:val="22"/>
          <w:lang w:val="en-NZ" w:eastAsia="en-NZ"/>
        </w:rPr>
      </w:pPr>
      <w:hyperlink w:anchor="_Toc124933826" w:history="1">
        <w:r w:rsidR="00873C59" w:rsidRPr="007E52D8">
          <w:rPr>
            <w:rStyle w:val="Hyperlink"/>
          </w:rPr>
          <w:t>What commissioning is</w:t>
        </w:r>
        <w:r w:rsidR="00873C59">
          <w:rPr>
            <w:webHidden/>
          </w:rPr>
          <w:tab/>
        </w:r>
        <w:r w:rsidR="00873C59">
          <w:rPr>
            <w:webHidden/>
          </w:rPr>
          <w:fldChar w:fldCharType="begin"/>
        </w:r>
        <w:r w:rsidR="00873C59">
          <w:rPr>
            <w:webHidden/>
          </w:rPr>
          <w:instrText xml:space="preserve"> PAGEREF _Toc124933826 \h </w:instrText>
        </w:r>
        <w:r w:rsidR="00873C59">
          <w:rPr>
            <w:webHidden/>
          </w:rPr>
        </w:r>
        <w:r w:rsidR="00873C59">
          <w:rPr>
            <w:webHidden/>
          </w:rPr>
          <w:fldChar w:fldCharType="separate"/>
        </w:r>
        <w:r w:rsidR="00B27208">
          <w:rPr>
            <w:webHidden/>
          </w:rPr>
          <w:t>13</w:t>
        </w:r>
        <w:r w:rsidR="00873C59">
          <w:rPr>
            <w:webHidden/>
          </w:rPr>
          <w:fldChar w:fldCharType="end"/>
        </w:r>
      </w:hyperlink>
    </w:p>
    <w:p w14:paraId="73550D89" w14:textId="4CF37571" w:rsidR="00873C59" w:rsidRDefault="00DD7A05">
      <w:pPr>
        <w:pStyle w:val="TOC2"/>
        <w:rPr>
          <w:rFonts w:asciiTheme="minorHAnsi" w:eastAsiaTheme="minorEastAsia" w:hAnsiTheme="minorHAnsi" w:cstheme="minorBidi"/>
          <w:color w:val="auto"/>
          <w:sz w:val="22"/>
          <w:lang w:val="en-NZ" w:eastAsia="en-NZ"/>
        </w:rPr>
      </w:pPr>
      <w:hyperlink w:anchor="_Toc124933827" w:history="1">
        <w:r w:rsidR="00873C59" w:rsidRPr="007E52D8">
          <w:rPr>
            <w:rStyle w:val="Hyperlink"/>
          </w:rPr>
          <w:t>Key roles in the commissioning ecosystem</w:t>
        </w:r>
        <w:r w:rsidR="00873C59">
          <w:rPr>
            <w:webHidden/>
          </w:rPr>
          <w:tab/>
        </w:r>
        <w:r w:rsidR="00873C59">
          <w:rPr>
            <w:webHidden/>
          </w:rPr>
          <w:fldChar w:fldCharType="begin"/>
        </w:r>
        <w:r w:rsidR="00873C59">
          <w:rPr>
            <w:webHidden/>
          </w:rPr>
          <w:instrText xml:space="preserve"> PAGEREF _Toc124933827 \h </w:instrText>
        </w:r>
        <w:r w:rsidR="00873C59">
          <w:rPr>
            <w:webHidden/>
          </w:rPr>
        </w:r>
        <w:r w:rsidR="00873C59">
          <w:rPr>
            <w:webHidden/>
          </w:rPr>
          <w:fldChar w:fldCharType="separate"/>
        </w:r>
        <w:r w:rsidR="00B27208">
          <w:rPr>
            <w:webHidden/>
          </w:rPr>
          <w:t>14</w:t>
        </w:r>
        <w:r w:rsidR="00873C59">
          <w:rPr>
            <w:webHidden/>
          </w:rPr>
          <w:fldChar w:fldCharType="end"/>
        </w:r>
      </w:hyperlink>
    </w:p>
    <w:p w14:paraId="20F544CC" w14:textId="55B9B02B" w:rsidR="00873C59" w:rsidRDefault="00DD7A05">
      <w:pPr>
        <w:pStyle w:val="TOC2"/>
        <w:rPr>
          <w:rFonts w:asciiTheme="minorHAnsi" w:eastAsiaTheme="minorEastAsia" w:hAnsiTheme="minorHAnsi" w:cstheme="minorBidi"/>
          <w:color w:val="auto"/>
          <w:sz w:val="22"/>
          <w:lang w:val="en-NZ" w:eastAsia="en-NZ"/>
        </w:rPr>
      </w:pPr>
      <w:hyperlink w:anchor="_Toc124933828" w:history="1">
        <w:r w:rsidR="00873C59" w:rsidRPr="007E52D8">
          <w:rPr>
            <w:rStyle w:val="Hyperlink"/>
          </w:rPr>
          <w:t>Who commissions in the health sector</w:t>
        </w:r>
        <w:r w:rsidR="00873C59">
          <w:rPr>
            <w:webHidden/>
          </w:rPr>
          <w:tab/>
        </w:r>
        <w:r w:rsidR="00873C59">
          <w:rPr>
            <w:webHidden/>
          </w:rPr>
          <w:fldChar w:fldCharType="begin"/>
        </w:r>
        <w:r w:rsidR="00873C59">
          <w:rPr>
            <w:webHidden/>
          </w:rPr>
          <w:instrText xml:space="preserve"> PAGEREF _Toc124933828 \h </w:instrText>
        </w:r>
        <w:r w:rsidR="00873C59">
          <w:rPr>
            <w:webHidden/>
          </w:rPr>
        </w:r>
        <w:r w:rsidR="00873C59">
          <w:rPr>
            <w:webHidden/>
          </w:rPr>
          <w:fldChar w:fldCharType="separate"/>
        </w:r>
        <w:r w:rsidR="00B27208">
          <w:rPr>
            <w:webHidden/>
          </w:rPr>
          <w:t>15</w:t>
        </w:r>
        <w:r w:rsidR="00873C59">
          <w:rPr>
            <w:webHidden/>
          </w:rPr>
          <w:fldChar w:fldCharType="end"/>
        </w:r>
      </w:hyperlink>
    </w:p>
    <w:p w14:paraId="7C5CFBAE" w14:textId="0767C83A" w:rsidR="00873C59" w:rsidRDefault="00DD7A05">
      <w:pPr>
        <w:pStyle w:val="TOC2"/>
        <w:rPr>
          <w:rFonts w:asciiTheme="minorHAnsi" w:eastAsiaTheme="minorEastAsia" w:hAnsiTheme="minorHAnsi" w:cstheme="minorBidi"/>
          <w:color w:val="auto"/>
          <w:sz w:val="22"/>
          <w:lang w:val="en-NZ" w:eastAsia="en-NZ"/>
        </w:rPr>
      </w:pPr>
      <w:hyperlink w:anchor="_Toc124933829" w:history="1">
        <w:r w:rsidR="00873C59" w:rsidRPr="007E52D8">
          <w:rPr>
            <w:rStyle w:val="Hyperlink"/>
          </w:rPr>
          <w:t>When commissioning happens</w:t>
        </w:r>
        <w:r w:rsidR="00873C59">
          <w:rPr>
            <w:webHidden/>
          </w:rPr>
          <w:tab/>
        </w:r>
        <w:r w:rsidR="00873C59">
          <w:rPr>
            <w:webHidden/>
          </w:rPr>
          <w:fldChar w:fldCharType="begin"/>
        </w:r>
        <w:r w:rsidR="00873C59">
          <w:rPr>
            <w:webHidden/>
          </w:rPr>
          <w:instrText xml:space="preserve"> PAGEREF _Toc124933829 \h </w:instrText>
        </w:r>
        <w:r w:rsidR="00873C59">
          <w:rPr>
            <w:webHidden/>
          </w:rPr>
        </w:r>
        <w:r w:rsidR="00873C59">
          <w:rPr>
            <w:webHidden/>
          </w:rPr>
          <w:fldChar w:fldCharType="separate"/>
        </w:r>
        <w:r w:rsidR="00B27208">
          <w:rPr>
            <w:webHidden/>
          </w:rPr>
          <w:t>18</w:t>
        </w:r>
        <w:r w:rsidR="00873C59">
          <w:rPr>
            <w:webHidden/>
          </w:rPr>
          <w:fldChar w:fldCharType="end"/>
        </w:r>
      </w:hyperlink>
    </w:p>
    <w:p w14:paraId="16303D8C" w14:textId="47CBD28C" w:rsidR="00873C59" w:rsidRDefault="00DD7A05">
      <w:pPr>
        <w:pStyle w:val="TOC2"/>
        <w:rPr>
          <w:rFonts w:asciiTheme="minorHAnsi" w:eastAsiaTheme="minorEastAsia" w:hAnsiTheme="minorHAnsi" w:cstheme="minorBidi"/>
          <w:color w:val="auto"/>
          <w:sz w:val="22"/>
          <w:lang w:val="en-NZ" w:eastAsia="en-NZ"/>
        </w:rPr>
      </w:pPr>
      <w:hyperlink w:anchor="_Toc124933830" w:history="1">
        <w:r w:rsidR="00873C59" w:rsidRPr="007E52D8">
          <w:rPr>
            <w:rStyle w:val="Hyperlink"/>
          </w:rPr>
          <w:t>How Commissioning for Pae Ora will be supported</w:t>
        </w:r>
        <w:r w:rsidR="00873C59">
          <w:rPr>
            <w:webHidden/>
          </w:rPr>
          <w:tab/>
        </w:r>
        <w:r w:rsidR="00873C59">
          <w:rPr>
            <w:webHidden/>
          </w:rPr>
          <w:fldChar w:fldCharType="begin"/>
        </w:r>
        <w:r w:rsidR="00873C59">
          <w:rPr>
            <w:webHidden/>
          </w:rPr>
          <w:instrText xml:space="preserve"> PAGEREF _Toc124933830 \h </w:instrText>
        </w:r>
        <w:r w:rsidR="00873C59">
          <w:rPr>
            <w:webHidden/>
          </w:rPr>
        </w:r>
        <w:r w:rsidR="00873C59">
          <w:rPr>
            <w:webHidden/>
          </w:rPr>
          <w:fldChar w:fldCharType="separate"/>
        </w:r>
        <w:r w:rsidR="00B27208">
          <w:rPr>
            <w:webHidden/>
          </w:rPr>
          <w:t>19</w:t>
        </w:r>
        <w:r w:rsidR="00873C59">
          <w:rPr>
            <w:webHidden/>
          </w:rPr>
          <w:fldChar w:fldCharType="end"/>
        </w:r>
      </w:hyperlink>
    </w:p>
    <w:p w14:paraId="53B5D6BC" w14:textId="01691CCF" w:rsidR="00873C59" w:rsidRDefault="00DD7A05">
      <w:pPr>
        <w:pStyle w:val="TOC1"/>
        <w:rPr>
          <w:rFonts w:asciiTheme="minorHAnsi" w:eastAsiaTheme="minorEastAsia" w:hAnsiTheme="minorHAnsi"/>
          <w:b w:val="0"/>
          <w:color w:val="auto"/>
          <w:sz w:val="22"/>
          <w:lang w:val="en-NZ" w:eastAsia="en-NZ"/>
        </w:rPr>
      </w:pPr>
      <w:hyperlink w:anchor="_Toc124933831" w:history="1">
        <w:r w:rsidR="00873C59" w:rsidRPr="007E52D8">
          <w:rPr>
            <w:rStyle w:val="Hyperlink"/>
          </w:rPr>
          <w:t>What we can change to</w:t>
        </w:r>
        <w:r w:rsidR="00873C59">
          <w:rPr>
            <w:webHidden/>
          </w:rPr>
          <w:tab/>
        </w:r>
        <w:r w:rsidR="00873C59">
          <w:rPr>
            <w:webHidden/>
          </w:rPr>
          <w:fldChar w:fldCharType="begin"/>
        </w:r>
        <w:r w:rsidR="00873C59">
          <w:rPr>
            <w:webHidden/>
          </w:rPr>
          <w:instrText xml:space="preserve"> PAGEREF _Toc124933831 \h </w:instrText>
        </w:r>
        <w:r w:rsidR="00873C59">
          <w:rPr>
            <w:webHidden/>
          </w:rPr>
        </w:r>
        <w:r w:rsidR="00873C59">
          <w:rPr>
            <w:webHidden/>
          </w:rPr>
          <w:fldChar w:fldCharType="separate"/>
        </w:r>
        <w:r w:rsidR="00B27208">
          <w:rPr>
            <w:webHidden/>
          </w:rPr>
          <w:t>20</w:t>
        </w:r>
        <w:r w:rsidR="00873C59">
          <w:rPr>
            <w:webHidden/>
          </w:rPr>
          <w:fldChar w:fldCharType="end"/>
        </w:r>
      </w:hyperlink>
    </w:p>
    <w:p w14:paraId="01FBD0F4" w14:textId="10B99074" w:rsidR="00873C59" w:rsidRDefault="00DD7A05">
      <w:pPr>
        <w:pStyle w:val="TOC2"/>
        <w:rPr>
          <w:rFonts w:asciiTheme="minorHAnsi" w:eastAsiaTheme="minorEastAsia" w:hAnsiTheme="minorHAnsi" w:cstheme="minorBidi"/>
          <w:color w:val="auto"/>
          <w:sz w:val="22"/>
          <w:lang w:val="en-NZ" w:eastAsia="en-NZ"/>
        </w:rPr>
      </w:pPr>
      <w:hyperlink w:anchor="_Toc124933832" w:history="1">
        <w:r w:rsidR="00873C59" w:rsidRPr="007E52D8">
          <w:rPr>
            <w:rStyle w:val="Hyperlink"/>
          </w:rPr>
          <w:t>Whānau-led and Māori-led commissioning</w:t>
        </w:r>
        <w:r w:rsidR="00873C59">
          <w:rPr>
            <w:webHidden/>
          </w:rPr>
          <w:tab/>
        </w:r>
        <w:r w:rsidR="00873C59">
          <w:rPr>
            <w:webHidden/>
          </w:rPr>
          <w:fldChar w:fldCharType="begin"/>
        </w:r>
        <w:r w:rsidR="00873C59">
          <w:rPr>
            <w:webHidden/>
          </w:rPr>
          <w:instrText xml:space="preserve"> PAGEREF _Toc124933832 \h </w:instrText>
        </w:r>
        <w:r w:rsidR="00873C59">
          <w:rPr>
            <w:webHidden/>
          </w:rPr>
        </w:r>
        <w:r w:rsidR="00873C59">
          <w:rPr>
            <w:webHidden/>
          </w:rPr>
          <w:fldChar w:fldCharType="separate"/>
        </w:r>
        <w:r w:rsidR="00B27208">
          <w:rPr>
            <w:webHidden/>
          </w:rPr>
          <w:t>20</w:t>
        </w:r>
        <w:r w:rsidR="00873C59">
          <w:rPr>
            <w:webHidden/>
          </w:rPr>
          <w:fldChar w:fldCharType="end"/>
        </w:r>
      </w:hyperlink>
    </w:p>
    <w:p w14:paraId="348BCE46" w14:textId="0076AA71" w:rsidR="00873C59" w:rsidRDefault="00DD7A05">
      <w:pPr>
        <w:pStyle w:val="TOC2"/>
        <w:rPr>
          <w:rFonts w:asciiTheme="minorHAnsi" w:eastAsiaTheme="minorEastAsia" w:hAnsiTheme="minorHAnsi" w:cstheme="minorBidi"/>
          <w:color w:val="auto"/>
          <w:sz w:val="22"/>
          <w:lang w:val="en-NZ" w:eastAsia="en-NZ"/>
        </w:rPr>
      </w:pPr>
      <w:hyperlink w:anchor="_Toc124933833" w:history="1">
        <w:r w:rsidR="00873C59" w:rsidRPr="007E52D8">
          <w:rPr>
            <w:rStyle w:val="Hyperlink"/>
          </w:rPr>
          <w:t>How this commissioning framework is different</w:t>
        </w:r>
        <w:r w:rsidR="00873C59">
          <w:rPr>
            <w:webHidden/>
          </w:rPr>
          <w:tab/>
        </w:r>
        <w:r w:rsidR="00873C59">
          <w:rPr>
            <w:webHidden/>
          </w:rPr>
          <w:fldChar w:fldCharType="begin"/>
        </w:r>
        <w:r w:rsidR="00873C59">
          <w:rPr>
            <w:webHidden/>
          </w:rPr>
          <w:instrText xml:space="preserve"> PAGEREF _Toc124933833 \h </w:instrText>
        </w:r>
        <w:r w:rsidR="00873C59">
          <w:rPr>
            <w:webHidden/>
          </w:rPr>
        </w:r>
        <w:r w:rsidR="00873C59">
          <w:rPr>
            <w:webHidden/>
          </w:rPr>
          <w:fldChar w:fldCharType="separate"/>
        </w:r>
        <w:r w:rsidR="00B27208">
          <w:rPr>
            <w:webHidden/>
          </w:rPr>
          <w:t>21</w:t>
        </w:r>
        <w:r w:rsidR="00873C59">
          <w:rPr>
            <w:webHidden/>
          </w:rPr>
          <w:fldChar w:fldCharType="end"/>
        </w:r>
      </w:hyperlink>
    </w:p>
    <w:p w14:paraId="72751EA8" w14:textId="280ED2B2" w:rsidR="00873C59" w:rsidRDefault="00DD7A05">
      <w:pPr>
        <w:pStyle w:val="TOC2"/>
        <w:rPr>
          <w:rFonts w:asciiTheme="minorHAnsi" w:eastAsiaTheme="minorEastAsia" w:hAnsiTheme="minorHAnsi" w:cstheme="minorBidi"/>
          <w:color w:val="auto"/>
          <w:sz w:val="22"/>
          <w:lang w:val="en-NZ" w:eastAsia="en-NZ"/>
        </w:rPr>
      </w:pPr>
      <w:hyperlink w:anchor="_Toc124933834" w:history="1">
        <w:r w:rsidR="00873C59" w:rsidRPr="007E52D8">
          <w:rPr>
            <w:rStyle w:val="Hyperlink"/>
          </w:rPr>
          <w:t>What we can do differently</w:t>
        </w:r>
        <w:r w:rsidR="00873C59">
          <w:rPr>
            <w:webHidden/>
          </w:rPr>
          <w:tab/>
        </w:r>
        <w:r w:rsidR="00873C59">
          <w:rPr>
            <w:webHidden/>
          </w:rPr>
          <w:fldChar w:fldCharType="begin"/>
        </w:r>
        <w:r w:rsidR="00873C59">
          <w:rPr>
            <w:webHidden/>
          </w:rPr>
          <w:instrText xml:space="preserve"> PAGEREF _Toc124933834 \h </w:instrText>
        </w:r>
        <w:r w:rsidR="00873C59">
          <w:rPr>
            <w:webHidden/>
          </w:rPr>
        </w:r>
        <w:r w:rsidR="00873C59">
          <w:rPr>
            <w:webHidden/>
          </w:rPr>
          <w:fldChar w:fldCharType="separate"/>
        </w:r>
        <w:r w:rsidR="00B27208">
          <w:rPr>
            <w:webHidden/>
          </w:rPr>
          <w:t>22</w:t>
        </w:r>
        <w:r w:rsidR="00873C59">
          <w:rPr>
            <w:webHidden/>
          </w:rPr>
          <w:fldChar w:fldCharType="end"/>
        </w:r>
      </w:hyperlink>
    </w:p>
    <w:p w14:paraId="122611F7" w14:textId="648EEA43" w:rsidR="00873C59" w:rsidRDefault="00DD7A05">
      <w:pPr>
        <w:pStyle w:val="TOC1"/>
        <w:rPr>
          <w:rFonts w:asciiTheme="minorHAnsi" w:eastAsiaTheme="minorEastAsia" w:hAnsiTheme="minorHAnsi"/>
          <w:b w:val="0"/>
          <w:color w:val="auto"/>
          <w:sz w:val="22"/>
          <w:lang w:val="en-NZ" w:eastAsia="en-NZ"/>
        </w:rPr>
      </w:pPr>
      <w:hyperlink w:anchor="_Toc124933835" w:history="1">
        <w:r w:rsidR="00873C59" w:rsidRPr="007E52D8">
          <w:rPr>
            <w:rStyle w:val="Hyperlink"/>
          </w:rPr>
          <w:t>How change can happen</w:t>
        </w:r>
        <w:r w:rsidR="00873C59">
          <w:rPr>
            <w:webHidden/>
          </w:rPr>
          <w:tab/>
        </w:r>
        <w:r w:rsidR="00873C59">
          <w:rPr>
            <w:webHidden/>
          </w:rPr>
          <w:fldChar w:fldCharType="begin"/>
        </w:r>
        <w:r w:rsidR="00873C59">
          <w:rPr>
            <w:webHidden/>
          </w:rPr>
          <w:instrText xml:space="preserve"> PAGEREF _Toc124933835 \h </w:instrText>
        </w:r>
        <w:r w:rsidR="00873C59">
          <w:rPr>
            <w:webHidden/>
          </w:rPr>
        </w:r>
        <w:r w:rsidR="00873C59">
          <w:rPr>
            <w:webHidden/>
          </w:rPr>
          <w:fldChar w:fldCharType="separate"/>
        </w:r>
        <w:r w:rsidR="00B27208">
          <w:rPr>
            <w:webHidden/>
          </w:rPr>
          <w:t>25</w:t>
        </w:r>
        <w:r w:rsidR="00873C59">
          <w:rPr>
            <w:webHidden/>
          </w:rPr>
          <w:fldChar w:fldCharType="end"/>
        </w:r>
      </w:hyperlink>
    </w:p>
    <w:p w14:paraId="598BD8D1" w14:textId="6AB4C503" w:rsidR="00873C59" w:rsidRDefault="00DD7A05">
      <w:pPr>
        <w:pStyle w:val="TOC2"/>
        <w:rPr>
          <w:rFonts w:asciiTheme="minorHAnsi" w:eastAsiaTheme="minorEastAsia" w:hAnsiTheme="minorHAnsi" w:cstheme="minorBidi"/>
          <w:color w:val="auto"/>
          <w:sz w:val="22"/>
          <w:lang w:val="en-NZ" w:eastAsia="en-NZ"/>
        </w:rPr>
      </w:pPr>
      <w:hyperlink w:anchor="_Toc124933836" w:history="1">
        <w:r w:rsidR="00873C59" w:rsidRPr="007E52D8">
          <w:rPr>
            <w:rStyle w:val="Hyperlink"/>
          </w:rPr>
          <w:t>Changes at each stage of the commissioning cycle</w:t>
        </w:r>
        <w:r w:rsidR="00873C59">
          <w:rPr>
            <w:webHidden/>
          </w:rPr>
          <w:tab/>
        </w:r>
        <w:r w:rsidR="00873C59">
          <w:rPr>
            <w:webHidden/>
          </w:rPr>
          <w:fldChar w:fldCharType="begin"/>
        </w:r>
        <w:r w:rsidR="00873C59">
          <w:rPr>
            <w:webHidden/>
          </w:rPr>
          <w:instrText xml:space="preserve"> PAGEREF _Toc124933836 \h </w:instrText>
        </w:r>
        <w:r w:rsidR="00873C59">
          <w:rPr>
            <w:webHidden/>
          </w:rPr>
        </w:r>
        <w:r w:rsidR="00873C59">
          <w:rPr>
            <w:webHidden/>
          </w:rPr>
          <w:fldChar w:fldCharType="separate"/>
        </w:r>
        <w:r w:rsidR="00B27208">
          <w:rPr>
            <w:webHidden/>
          </w:rPr>
          <w:t>25</w:t>
        </w:r>
        <w:r w:rsidR="00873C59">
          <w:rPr>
            <w:webHidden/>
          </w:rPr>
          <w:fldChar w:fldCharType="end"/>
        </w:r>
      </w:hyperlink>
    </w:p>
    <w:p w14:paraId="6509AA95" w14:textId="22B22DDB" w:rsidR="00873C59" w:rsidRDefault="00DD7A05">
      <w:pPr>
        <w:pStyle w:val="TOC2"/>
        <w:rPr>
          <w:rFonts w:asciiTheme="minorHAnsi" w:eastAsiaTheme="minorEastAsia" w:hAnsiTheme="minorHAnsi" w:cstheme="minorBidi"/>
          <w:color w:val="auto"/>
          <w:sz w:val="22"/>
          <w:lang w:val="en-NZ" w:eastAsia="en-NZ"/>
        </w:rPr>
      </w:pPr>
      <w:hyperlink w:anchor="_Toc124933837" w:history="1">
        <w:r w:rsidR="00873C59" w:rsidRPr="007E52D8">
          <w:rPr>
            <w:rStyle w:val="Hyperlink"/>
          </w:rPr>
          <w:t>Purpose and understanding</w:t>
        </w:r>
        <w:r w:rsidR="00873C59">
          <w:rPr>
            <w:webHidden/>
          </w:rPr>
          <w:tab/>
        </w:r>
        <w:r w:rsidR="00873C59">
          <w:rPr>
            <w:webHidden/>
          </w:rPr>
          <w:fldChar w:fldCharType="begin"/>
        </w:r>
        <w:r w:rsidR="00873C59">
          <w:rPr>
            <w:webHidden/>
          </w:rPr>
          <w:instrText xml:space="preserve"> PAGEREF _Toc124933837 \h </w:instrText>
        </w:r>
        <w:r w:rsidR="00873C59">
          <w:rPr>
            <w:webHidden/>
          </w:rPr>
        </w:r>
        <w:r w:rsidR="00873C59">
          <w:rPr>
            <w:webHidden/>
          </w:rPr>
          <w:fldChar w:fldCharType="separate"/>
        </w:r>
        <w:r w:rsidR="00B27208">
          <w:rPr>
            <w:webHidden/>
          </w:rPr>
          <w:t>26</w:t>
        </w:r>
        <w:r w:rsidR="00873C59">
          <w:rPr>
            <w:webHidden/>
          </w:rPr>
          <w:fldChar w:fldCharType="end"/>
        </w:r>
      </w:hyperlink>
    </w:p>
    <w:p w14:paraId="3EE1FC1B" w14:textId="1C33E5C0" w:rsidR="00873C59" w:rsidRDefault="00DD7A05">
      <w:pPr>
        <w:pStyle w:val="TOC2"/>
        <w:rPr>
          <w:rFonts w:asciiTheme="minorHAnsi" w:eastAsiaTheme="minorEastAsia" w:hAnsiTheme="minorHAnsi" w:cstheme="minorBidi"/>
          <w:color w:val="auto"/>
          <w:sz w:val="22"/>
          <w:lang w:val="en-NZ" w:eastAsia="en-NZ"/>
        </w:rPr>
      </w:pPr>
      <w:hyperlink w:anchor="_Toc124933838" w:history="1">
        <w:r w:rsidR="00873C59" w:rsidRPr="007E52D8">
          <w:rPr>
            <w:rStyle w:val="Hyperlink"/>
          </w:rPr>
          <w:t>Designing and planning</w:t>
        </w:r>
        <w:r w:rsidR="00873C59">
          <w:rPr>
            <w:webHidden/>
          </w:rPr>
          <w:tab/>
        </w:r>
        <w:r w:rsidR="00873C59">
          <w:rPr>
            <w:webHidden/>
          </w:rPr>
          <w:fldChar w:fldCharType="begin"/>
        </w:r>
        <w:r w:rsidR="00873C59">
          <w:rPr>
            <w:webHidden/>
          </w:rPr>
          <w:instrText xml:space="preserve"> PAGEREF _Toc124933838 \h </w:instrText>
        </w:r>
        <w:r w:rsidR="00873C59">
          <w:rPr>
            <w:webHidden/>
          </w:rPr>
        </w:r>
        <w:r w:rsidR="00873C59">
          <w:rPr>
            <w:webHidden/>
          </w:rPr>
          <w:fldChar w:fldCharType="separate"/>
        </w:r>
        <w:r w:rsidR="00B27208">
          <w:rPr>
            <w:webHidden/>
          </w:rPr>
          <w:t>32</w:t>
        </w:r>
        <w:r w:rsidR="00873C59">
          <w:rPr>
            <w:webHidden/>
          </w:rPr>
          <w:fldChar w:fldCharType="end"/>
        </w:r>
      </w:hyperlink>
    </w:p>
    <w:p w14:paraId="7E9179D0" w14:textId="718D3D7F" w:rsidR="00873C59" w:rsidRDefault="00DD7A05">
      <w:pPr>
        <w:pStyle w:val="TOC2"/>
        <w:rPr>
          <w:rFonts w:asciiTheme="minorHAnsi" w:eastAsiaTheme="minorEastAsia" w:hAnsiTheme="minorHAnsi" w:cstheme="minorBidi"/>
          <w:color w:val="auto"/>
          <w:sz w:val="22"/>
          <w:lang w:val="en-NZ" w:eastAsia="en-NZ"/>
        </w:rPr>
      </w:pPr>
      <w:hyperlink w:anchor="_Toc124933839" w:history="1">
        <w:r w:rsidR="00873C59" w:rsidRPr="007E52D8">
          <w:rPr>
            <w:rStyle w:val="Hyperlink"/>
          </w:rPr>
          <w:t>Sourcing and investing</w:t>
        </w:r>
        <w:r w:rsidR="00873C59">
          <w:rPr>
            <w:webHidden/>
          </w:rPr>
          <w:tab/>
        </w:r>
        <w:r w:rsidR="00873C59">
          <w:rPr>
            <w:webHidden/>
          </w:rPr>
          <w:fldChar w:fldCharType="begin"/>
        </w:r>
        <w:r w:rsidR="00873C59">
          <w:rPr>
            <w:webHidden/>
          </w:rPr>
          <w:instrText xml:space="preserve"> PAGEREF _Toc124933839 \h </w:instrText>
        </w:r>
        <w:r w:rsidR="00873C59">
          <w:rPr>
            <w:webHidden/>
          </w:rPr>
        </w:r>
        <w:r w:rsidR="00873C59">
          <w:rPr>
            <w:webHidden/>
          </w:rPr>
          <w:fldChar w:fldCharType="separate"/>
        </w:r>
        <w:r w:rsidR="00B27208">
          <w:rPr>
            <w:webHidden/>
          </w:rPr>
          <w:t>41</w:t>
        </w:r>
        <w:r w:rsidR="00873C59">
          <w:rPr>
            <w:webHidden/>
          </w:rPr>
          <w:fldChar w:fldCharType="end"/>
        </w:r>
      </w:hyperlink>
    </w:p>
    <w:p w14:paraId="2DFB10E2" w14:textId="27B26A2A" w:rsidR="00873C59" w:rsidRDefault="00DD7A05">
      <w:pPr>
        <w:pStyle w:val="TOC2"/>
        <w:rPr>
          <w:rFonts w:asciiTheme="minorHAnsi" w:eastAsiaTheme="minorEastAsia" w:hAnsiTheme="minorHAnsi" w:cstheme="minorBidi"/>
          <w:color w:val="auto"/>
          <w:sz w:val="22"/>
          <w:lang w:val="en-NZ" w:eastAsia="en-NZ"/>
        </w:rPr>
      </w:pPr>
      <w:hyperlink w:anchor="_Toc124933840" w:history="1">
        <w:r w:rsidR="00873C59" w:rsidRPr="007E52D8">
          <w:rPr>
            <w:rStyle w:val="Hyperlink"/>
          </w:rPr>
          <w:t>Delivering, monitoring and evaluating</w:t>
        </w:r>
        <w:r w:rsidR="00873C59">
          <w:rPr>
            <w:webHidden/>
          </w:rPr>
          <w:tab/>
        </w:r>
        <w:r w:rsidR="00873C59">
          <w:rPr>
            <w:webHidden/>
          </w:rPr>
          <w:fldChar w:fldCharType="begin"/>
        </w:r>
        <w:r w:rsidR="00873C59">
          <w:rPr>
            <w:webHidden/>
          </w:rPr>
          <w:instrText xml:space="preserve"> PAGEREF _Toc124933840 \h </w:instrText>
        </w:r>
        <w:r w:rsidR="00873C59">
          <w:rPr>
            <w:webHidden/>
          </w:rPr>
        </w:r>
        <w:r w:rsidR="00873C59">
          <w:rPr>
            <w:webHidden/>
          </w:rPr>
          <w:fldChar w:fldCharType="separate"/>
        </w:r>
        <w:r w:rsidR="00B27208">
          <w:rPr>
            <w:webHidden/>
          </w:rPr>
          <w:t>52</w:t>
        </w:r>
        <w:r w:rsidR="00873C59">
          <w:rPr>
            <w:webHidden/>
          </w:rPr>
          <w:fldChar w:fldCharType="end"/>
        </w:r>
      </w:hyperlink>
    </w:p>
    <w:p w14:paraId="13C36C5F" w14:textId="3FFA315A" w:rsidR="00873C59" w:rsidRDefault="00DD7A05">
      <w:pPr>
        <w:pStyle w:val="TOC1"/>
        <w:rPr>
          <w:rFonts w:asciiTheme="minorHAnsi" w:eastAsiaTheme="minorEastAsia" w:hAnsiTheme="minorHAnsi"/>
          <w:b w:val="0"/>
          <w:color w:val="auto"/>
          <w:sz w:val="22"/>
          <w:lang w:val="en-NZ" w:eastAsia="en-NZ"/>
        </w:rPr>
      </w:pPr>
      <w:hyperlink w:anchor="_Toc124933841" w:history="1">
        <w:r w:rsidR="00873C59" w:rsidRPr="007E52D8">
          <w:rPr>
            <w:rStyle w:val="Hyperlink"/>
            <w:bCs/>
          </w:rPr>
          <w:t>Implementing Commissioning for Pae Ora</w:t>
        </w:r>
        <w:r w:rsidR="00873C59">
          <w:rPr>
            <w:webHidden/>
          </w:rPr>
          <w:tab/>
        </w:r>
        <w:r w:rsidR="00873C59">
          <w:rPr>
            <w:webHidden/>
          </w:rPr>
          <w:fldChar w:fldCharType="begin"/>
        </w:r>
        <w:r w:rsidR="00873C59">
          <w:rPr>
            <w:webHidden/>
          </w:rPr>
          <w:instrText xml:space="preserve"> PAGEREF _Toc124933841 \h </w:instrText>
        </w:r>
        <w:r w:rsidR="00873C59">
          <w:rPr>
            <w:webHidden/>
          </w:rPr>
        </w:r>
        <w:r w:rsidR="00873C59">
          <w:rPr>
            <w:webHidden/>
          </w:rPr>
          <w:fldChar w:fldCharType="separate"/>
        </w:r>
        <w:r w:rsidR="00B27208">
          <w:rPr>
            <w:webHidden/>
          </w:rPr>
          <w:t>61</w:t>
        </w:r>
        <w:r w:rsidR="00873C59">
          <w:rPr>
            <w:webHidden/>
          </w:rPr>
          <w:fldChar w:fldCharType="end"/>
        </w:r>
      </w:hyperlink>
    </w:p>
    <w:p w14:paraId="4B2129D0" w14:textId="5CA9CC3A" w:rsidR="00873C59" w:rsidRDefault="00DD7A05">
      <w:pPr>
        <w:pStyle w:val="TOC2"/>
        <w:rPr>
          <w:rFonts w:asciiTheme="minorHAnsi" w:eastAsiaTheme="minorEastAsia" w:hAnsiTheme="minorHAnsi" w:cstheme="minorBidi"/>
          <w:color w:val="auto"/>
          <w:sz w:val="22"/>
          <w:lang w:val="en-NZ" w:eastAsia="en-NZ"/>
        </w:rPr>
      </w:pPr>
      <w:hyperlink w:anchor="_Toc124933842" w:history="1">
        <w:r w:rsidR="00873C59" w:rsidRPr="007E52D8">
          <w:rPr>
            <w:rStyle w:val="Hyperlink"/>
          </w:rPr>
          <w:t>Summary of what’s needed for good commissioning</w:t>
        </w:r>
        <w:r w:rsidR="00873C59">
          <w:rPr>
            <w:webHidden/>
          </w:rPr>
          <w:tab/>
        </w:r>
        <w:r w:rsidR="00873C59">
          <w:rPr>
            <w:webHidden/>
          </w:rPr>
          <w:fldChar w:fldCharType="begin"/>
        </w:r>
        <w:r w:rsidR="00873C59">
          <w:rPr>
            <w:webHidden/>
          </w:rPr>
          <w:instrText xml:space="preserve"> PAGEREF _Toc124933842 \h </w:instrText>
        </w:r>
        <w:r w:rsidR="00873C59">
          <w:rPr>
            <w:webHidden/>
          </w:rPr>
        </w:r>
        <w:r w:rsidR="00873C59">
          <w:rPr>
            <w:webHidden/>
          </w:rPr>
          <w:fldChar w:fldCharType="separate"/>
        </w:r>
        <w:r w:rsidR="00B27208">
          <w:rPr>
            <w:webHidden/>
          </w:rPr>
          <w:t>61</w:t>
        </w:r>
        <w:r w:rsidR="00873C59">
          <w:rPr>
            <w:webHidden/>
          </w:rPr>
          <w:fldChar w:fldCharType="end"/>
        </w:r>
      </w:hyperlink>
    </w:p>
    <w:p w14:paraId="524DFE55" w14:textId="79995A34" w:rsidR="00873C59" w:rsidRDefault="00DD7A05">
      <w:pPr>
        <w:pStyle w:val="TOC2"/>
        <w:rPr>
          <w:rFonts w:asciiTheme="minorHAnsi" w:eastAsiaTheme="minorEastAsia" w:hAnsiTheme="minorHAnsi" w:cstheme="minorBidi"/>
          <w:color w:val="auto"/>
          <w:sz w:val="22"/>
          <w:lang w:val="en-NZ" w:eastAsia="en-NZ"/>
        </w:rPr>
      </w:pPr>
      <w:hyperlink w:anchor="_Toc124933843" w:history="1">
        <w:r w:rsidR="00873C59" w:rsidRPr="007E52D8">
          <w:rPr>
            <w:rStyle w:val="Hyperlink"/>
          </w:rPr>
          <w:t>What’s needed at national, regional and local levels</w:t>
        </w:r>
        <w:r w:rsidR="00873C59">
          <w:rPr>
            <w:webHidden/>
          </w:rPr>
          <w:tab/>
        </w:r>
        <w:r w:rsidR="00873C59">
          <w:rPr>
            <w:webHidden/>
          </w:rPr>
          <w:fldChar w:fldCharType="begin"/>
        </w:r>
        <w:r w:rsidR="00873C59">
          <w:rPr>
            <w:webHidden/>
          </w:rPr>
          <w:instrText xml:space="preserve"> PAGEREF _Toc124933843 \h </w:instrText>
        </w:r>
        <w:r w:rsidR="00873C59">
          <w:rPr>
            <w:webHidden/>
          </w:rPr>
        </w:r>
        <w:r w:rsidR="00873C59">
          <w:rPr>
            <w:webHidden/>
          </w:rPr>
          <w:fldChar w:fldCharType="separate"/>
        </w:r>
        <w:r w:rsidR="00B27208">
          <w:rPr>
            <w:webHidden/>
          </w:rPr>
          <w:t>63</w:t>
        </w:r>
        <w:r w:rsidR="00873C59">
          <w:rPr>
            <w:webHidden/>
          </w:rPr>
          <w:fldChar w:fldCharType="end"/>
        </w:r>
      </w:hyperlink>
    </w:p>
    <w:p w14:paraId="1522E0B1" w14:textId="5EC7D165" w:rsidR="00873C59" w:rsidRDefault="00DD7A05">
      <w:pPr>
        <w:pStyle w:val="TOC1"/>
        <w:rPr>
          <w:rFonts w:asciiTheme="minorHAnsi" w:eastAsiaTheme="minorEastAsia" w:hAnsiTheme="minorHAnsi"/>
          <w:b w:val="0"/>
          <w:color w:val="auto"/>
          <w:sz w:val="22"/>
          <w:lang w:val="en-NZ" w:eastAsia="en-NZ"/>
        </w:rPr>
      </w:pPr>
      <w:hyperlink w:anchor="_Toc124933844" w:history="1">
        <w:r w:rsidR="00873C59" w:rsidRPr="007E52D8">
          <w:rPr>
            <w:rStyle w:val="Hyperlink"/>
          </w:rPr>
          <w:t>References</w:t>
        </w:r>
        <w:r w:rsidR="00873C59">
          <w:rPr>
            <w:webHidden/>
          </w:rPr>
          <w:tab/>
        </w:r>
        <w:r w:rsidR="00873C59">
          <w:rPr>
            <w:webHidden/>
          </w:rPr>
          <w:fldChar w:fldCharType="begin"/>
        </w:r>
        <w:r w:rsidR="00873C59">
          <w:rPr>
            <w:webHidden/>
          </w:rPr>
          <w:instrText xml:space="preserve"> PAGEREF _Toc124933844 \h </w:instrText>
        </w:r>
        <w:r w:rsidR="00873C59">
          <w:rPr>
            <w:webHidden/>
          </w:rPr>
        </w:r>
        <w:r w:rsidR="00873C59">
          <w:rPr>
            <w:webHidden/>
          </w:rPr>
          <w:fldChar w:fldCharType="separate"/>
        </w:r>
        <w:r w:rsidR="00B27208">
          <w:rPr>
            <w:webHidden/>
          </w:rPr>
          <w:t>66</w:t>
        </w:r>
        <w:r w:rsidR="00873C59">
          <w:rPr>
            <w:webHidden/>
          </w:rPr>
          <w:fldChar w:fldCharType="end"/>
        </w:r>
      </w:hyperlink>
    </w:p>
    <w:p w14:paraId="7612A9A9" w14:textId="7D7BDA33" w:rsidR="00873C59" w:rsidRDefault="00DD7A05">
      <w:pPr>
        <w:pStyle w:val="TOC1"/>
        <w:rPr>
          <w:rFonts w:asciiTheme="minorHAnsi" w:eastAsiaTheme="minorEastAsia" w:hAnsiTheme="minorHAnsi"/>
          <w:b w:val="0"/>
          <w:color w:val="auto"/>
          <w:sz w:val="22"/>
          <w:lang w:val="en-NZ" w:eastAsia="en-NZ"/>
        </w:rPr>
      </w:pPr>
      <w:hyperlink w:anchor="_Toc124933845" w:history="1">
        <w:r w:rsidR="00873C59" w:rsidRPr="007E52D8">
          <w:rPr>
            <w:rStyle w:val="Hyperlink"/>
          </w:rPr>
          <w:t>Appendices</w:t>
        </w:r>
        <w:r w:rsidR="00873C59">
          <w:rPr>
            <w:webHidden/>
          </w:rPr>
          <w:tab/>
        </w:r>
        <w:r w:rsidR="00873C59">
          <w:rPr>
            <w:webHidden/>
          </w:rPr>
          <w:fldChar w:fldCharType="begin"/>
        </w:r>
        <w:r w:rsidR="00873C59">
          <w:rPr>
            <w:webHidden/>
          </w:rPr>
          <w:instrText xml:space="preserve"> PAGEREF _Toc124933845 \h </w:instrText>
        </w:r>
        <w:r w:rsidR="00873C59">
          <w:rPr>
            <w:webHidden/>
          </w:rPr>
        </w:r>
        <w:r w:rsidR="00873C59">
          <w:rPr>
            <w:webHidden/>
          </w:rPr>
          <w:fldChar w:fldCharType="separate"/>
        </w:r>
        <w:r w:rsidR="00B27208">
          <w:rPr>
            <w:webHidden/>
          </w:rPr>
          <w:t>70</w:t>
        </w:r>
        <w:r w:rsidR="00873C59">
          <w:rPr>
            <w:webHidden/>
          </w:rPr>
          <w:fldChar w:fldCharType="end"/>
        </w:r>
      </w:hyperlink>
    </w:p>
    <w:p w14:paraId="45039D8C" w14:textId="1F306A19" w:rsidR="00873C59" w:rsidRDefault="00DD7A05">
      <w:pPr>
        <w:pStyle w:val="TOC2"/>
        <w:rPr>
          <w:rFonts w:asciiTheme="minorHAnsi" w:eastAsiaTheme="minorEastAsia" w:hAnsiTheme="minorHAnsi" w:cstheme="minorBidi"/>
          <w:color w:val="auto"/>
          <w:sz w:val="22"/>
          <w:lang w:val="en-NZ" w:eastAsia="en-NZ"/>
        </w:rPr>
      </w:pPr>
      <w:hyperlink w:anchor="_Toc124933846" w:history="1">
        <w:r w:rsidR="00873C59" w:rsidRPr="007E52D8">
          <w:rPr>
            <w:rStyle w:val="Hyperlink"/>
          </w:rPr>
          <w:t>Appendix 1: What needs to change</w:t>
        </w:r>
        <w:r w:rsidR="00873C59">
          <w:rPr>
            <w:webHidden/>
          </w:rPr>
          <w:tab/>
        </w:r>
        <w:r w:rsidR="00873C59">
          <w:rPr>
            <w:webHidden/>
          </w:rPr>
          <w:fldChar w:fldCharType="begin"/>
        </w:r>
        <w:r w:rsidR="00873C59">
          <w:rPr>
            <w:webHidden/>
          </w:rPr>
          <w:instrText xml:space="preserve"> PAGEREF _Toc124933846 \h </w:instrText>
        </w:r>
        <w:r w:rsidR="00873C59">
          <w:rPr>
            <w:webHidden/>
          </w:rPr>
        </w:r>
        <w:r w:rsidR="00873C59">
          <w:rPr>
            <w:webHidden/>
          </w:rPr>
          <w:fldChar w:fldCharType="separate"/>
        </w:r>
        <w:r w:rsidR="00B27208">
          <w:rPr>
            <w:webHidden/>
          </w:rPr>
          <w:t>70</w:t>
        </w:r>
        <w:r w:rsidR="00873C59">
          <w:rPr>
            <w:webHidden/>
          </w:rPr>
          <w:fldChar w:fldCharType="end"/>
        </w:r>
      </w:hyperlink>
    </w:p>
    <w:p w14:paraId="36BFE617" w14:textId="34C2674D" w:rsidR="00873C59" w:rsidRDefault="00DD7A05">
      <w:pPr>
        <w:pStyle w:val="TOC2"/>
        <w:rPr>
          <w:rFonts w:asciiTheme="minorHAnsi" w:eastAsiaTheme="minorEastAsia" w:hAnsiTheme="minorHAnsi" w:cstheme="minorBidi"/>
          <w:color w:val="auto"/>
          <w:sz w:val="22"/>
          <w:lang w:val="en-NZ" w:eastAsia="en-NZ"/>
        </w:rPr>
      </w:pPr>
      <w:hyperlink w:anchor="_Toc124933847" w:history="1">
        <w:r w:rsidR="00873C59" w:rsidRPr="007E52D8">
          <w:rPr>
            <w:rStyle w:val="Hyperlink"/>
          </w:rPr>
          <w:t>Appendix 2: Using Commissioning for Pae Ora for investment planning</w:t>
        </w:r>
        <w:r w:rsidR="00873C59">
          <w:rPr>
            <w:webHidden/>
          </w:rPr>
          <w:tab/>
        </w:r>
        <w:r w:rsidR="00873C59">
          <w:rPr>
            <w:webHidden/>
          </w:rPr>
          <w:fldChar w:fldCharType="begin"/>
        </w:r>
        <w:r w:rsidR="00873C59">
          <w:rPr>
            <w:webHidden/>
          </w:rPr>
          <w:instrText xml:space="preserve"> PAGEREF _Toc124933847 \h </w:instrText>
        </w:r>
        <w:r w:rsidR="00873C59">
          <w:rPr>
            <w:webHidden/>
          </w:rPr>
        </w:r>
        <w:r w:rsidR="00873C59">
          <w:rPr>
            <w:webHidden/>
          </w:rPr>
          <w:fldChar w:fldCharType="separate"/>
        </w:r>
        <w:r w:rsidR="00B27208">
          <w:rPr>
            <w:webHidden/>
          </w:rPr>
          <w:t>72</w:t>
        </w:r>
        <w:r w:rsidR="00873C59">
          <w:rPr>
            <w:webHidden/>
          </w:rPr>
          <w:fldChar w:fldCharType="end"/>
        </w:r>
      </w:hyperlink>
    </w:p>
    <w:p w14:paraId="7AEADF36" w14:textId="5A5156CC" w:rsidR="00873C59" w:rsidRDefault="00DD7A05">
      <w:pPr>
        <w:pStyle w:val="TOC2"/>
        <w:rPr>
          <w:rFonts w:asciiTheme="minorHAnsi" w:eastAsiaTheme="minorEastAsia" w:hAnsiTheme="minorHAnsi" w:cstheme="minorBidi"/>
          <w:color w:val="auto"/>
          <w:sz w:val="22"/>
          <w:lang w:val="en-NZ" w:eastAsia="en-NZ"/>
        </w:rPr>
      </w:pPr>
      <w:hyperlink w:anchor="_Toc124933848" w:history="1">
        <w:r w:rsidR="00873C59" w:rsidRPr="007E52D8">
          <w:rPr>
            <w:rStyle w:val="Hyperlink"/>
          </w:rPr>
          <w:t>Appendix 3: Developing models of care</w:t>
        </w:r>
        <w:r w:rsidR="00873C59">
          <w:rPr>
            <w:webHidden/>
          </w:rPr>
          <w:tab/>
        </w:r>
        <w:r w:rsidR="00873C59">
          <w:rPr>
            <w:webHidden/>
          </w:rPr>
          <w:fldChar w:fldCharType="begin"/>
        </w:r>
        <w:r w:rsidR="00873C59">
          <w:rPr>
            <w:webHidden/>
          </w:rPr>
          <w:instrText xml:space="preserve"> PAGEREF _Toc124933848 \h </w:instrText>
        </w:r>
        <w:r w:rsidR="00873C59">
          <w:rPr>
            <w:webHidden/>
          </w:rPr>
        </w:r>
        <w:r w:rsidR="00873C59">
          <w:rPr>
            <w:webHidden/>
          </w:rPr>
          <w:fldChar w:fldCharType="separate"/>
        </w:r>
        <w:r w:rsidR="00B27208">
          <w:rPr>
            <w:webHidden/>
          </w:rPr>
          <w:t>73</w:t>
        </w:r>
        <w:r w:rsidR="00873C59">
          <w:rPr>
            <w:webHidden/>
          </w:rPr>
          <w:fldChar w:fldCharType="end"/>
        </w:r>
      </w:hyperlink>
    </w:p>
    <w:p w14:paraId="1F82192C" w14:textId="0F3E9DE8" w:rsidR="00873C59" w:rsidRDefault="00DD7A05">
      <w:pPr>
        <w:pStyle w:val="TOC2"/>
        <w:rPr>
          <w:rFonts w:asciiTheme="minorHAnsi" w:eastAsiaTheme="minorEastAsia" w:hAnsiTheme="minorHAnsi" w:cstheme="minorBidi"/>
          <w:color w:val="auto"/>
          <w:sz w:val="22"/>
          <w:lang w:val="en-NZ" w:eastAsia="en-NZ"/>
        </w:rPr>
      </w:pPr>
      <w:hyperlink w:anchor="_Toc124933849" w:history="1">
        <w:r w:rsidR="00873C59" w:rsidRPr="007E52D8">
          <w:rPr>
            <w:rStyle w:val="Hyperlink"/>
          </w:rPr>
          <w:t>Appendix 4: Examples of other commissioning frameworks</w:t>
        </w:r>
        <w:r w:rsidR="00873C59">
          <w:rPr>
            <w:webHidden/>
          </w:rPr>
          <w:tab/>
        </w:r>
        <w:r w:rsidR="00873C59">
          <w:rPr>
            <w:webHidden/>
          </w:rPr>
          <w:fldChar w:fldCharType="begin"/>
        </w:r>
        <w:r w:rsidR="00873C59">
          <w:rPr>
            <w:webHidden/>
          </w:rPr>
          <w:instrText xml:space="preserve"> PAGEREF _Toc124933849 \h </w:instrText>
        </w:r>
        <w:r w:rsidR="00873C59">
          <w:rPr>
            <w:webHidden/>
          </w:rPr>
        </w:r>
        <w:r w:rsidR="00873C59">
          <w:rPr>
            <w:webHidden/>
          </w:rPr>
          <w:fldChar w:fldCharType="separate"/>
        </w:r>
        <w:r w:rsidR="00B27208">
          <w:rPr>
            <w:webHidden/>
          </w:rPr>
          <w:t>75</w:t>
        </w:r>
        <w:r w:rsidR="00873C59">
          <w:rPr>
            <w:webHidden/>
          </w:rPr>
          <w:fldChar w:fldCharType="end"/>
        </w:r>
      </w:hyperlink>
    </w:p>
    <w:p w14:paraId="5D0C7EE1" w14:textId="5B722C2A" w:rsidR="00873C59" w:rsidRDefault="00DD7A05">
      <w:pPr>
        <w:pStyle w:val="TOC2"/>
        <w:rPr>
          <w:rFonts w:asciiTheme="minorHAnsi" w:eastAsiaTheme="minorEastAsia" w:hAnsiTheme="minorHAnsi" w:cstheme="minorBidi"/>
          <w:color w:val="auto"/>
          <w:sz w:val="22"/>
          <w:lang w:val="en-NZ" w:eastAsia="en-NZ"/>
        </w:rPr>
      </w:pPr>
      <w:hyperlink w:anchor="_Toc124933850" w:history="1">
        <w:r w:rsidR="00873C59" w:rsidRPr="007E52D8">
          <w:rPr>
            <w:rStyle w:val="Hyperlink"/>
          </w:rPr>
          <w:t>Appendix 5: Commissioning case studies</w:t>
        </w:r>
        <w:r w:rsidR="00873C59">
          <w:rPr>
            <w:webHidden/>
          </w:rPr>
          <w:tab/>
        </w:r>
        <w:r w:rsidR="00873C59">
          <w:rPr>
            <w:webHidden/>
          </w:rPr>
          <w:fldChar w:fldCharType="begin"/>
        </w:r>
        <w:r w:rsidR="00873C59">
          <w:rPr>
            <w:webHidden/>
          </w:rPr>
          <w:instrText xml:space="preserve"> PAGEREF _Toc124933850 \h </w:instrText>
        </w:r>
        <w:r w:rsidR="00873C59">
          <w:rPr>
            <w:webHidden/>
          </w:rPr>
        </w:r>
        <w:r w:rsidR="00873C59">
          <w:rPr>
            <w:webHidden/>
          </w:rPr>
          <w:fldChar w:fldCharType="separate"/>
        </w:r>
        <w:r w:rsidR="00B27208">
          <w:rPr>
            <w:webHidden/>
          </w:rPr>
          <w:t>78</w:t>
        </w:r>
        <w:r w:rsidR="00873C59">
          <w:rPr>
            <w:webHidden/>
          </w:rPr>
          <w:fldChar w:fldCharType="end"/>
        </w:r>
      </w:hyperlink>
    </w:p>
    <w:p w14:paraId="35B95FA1" w14:textId="436C6C08" w:rsidR="009C2214" w:rsidRDefault="00873C59" w:rsidP="009C2214">
      <w:pPr>
        <w:pStyle w:val="Heading3"/>
        <w:rPr>
          <w:noProof/>
        </w:rPr>
      </w:pPr>
      <w:r>
        <w:rPr>
          <w:rFonts w:ascii="Portada" w:hAnsi="Portada" w:cstheme="minorBidi"/>
          <w:bCs w:val="0"/>
          <w:noProof/>
          <w:color w:val="000000" w:themeColor="text1"/>
          <w:sz w:val="21"/>
          <w:szCs w:val="22"/>
        </w:rPr>
        <w:fldChar w:fldCharType="end"/>
      </w:r>
      <w:r w:rsidR="009C2214">
        <w:rPr>
          <w:noProof/>
        </w:rPr>
        <w:t>List of figures</w:t>
      </w:r>
    </w:p>
    <w:p w14:paraId="2075BB82" w14:textId="730027C3" w:rsidR="0073350E" w:rsidRPr="0073350E" w:rsidRDefault="009C2214">
      <w:pPr>
        <w:pStyle w:val="TableofFigures"/>
        <w:tabs>
          <w:tab w:val="right" w:leader="dot" w:pos="8494"/>
        </w:tabs>
        <w:rPr>
          <w:rFonts w:ascii="Portada" w:eastAsiaTheme="minorEastAsia" w:hAnsi="Portada"/>
          <w:bCs w:val="0"/>
          <w:noProof/>
          <w:color w:val="auto"/>
          <w:sz w:val="22"/>
          <w:lang w:val="en-AU" w:eastAsia="en-AU"/>
        </w:rPr>
      </w:pPr>
      <w:r>
        <w:rPr>
          <w:lang w:val="en-US"/>
        </w:rPr>
        <w:fldChar w:fldCharType="begin"/>
      </w:r>
      <w:r>
        <w:rPr>
          <w:lang w:val="en-US"/>
        </w:rPr>
        <w:instrText xml:space="preserve"> TOC \h \z \c "Figure" </w:instrText>
      </w:r>
      <w:r>
        <w:rPr>
          <w:lang w:val="en-US"/>
        </w:rPr>
        <w:fldChar w:fldCharType="separate"/>
      </w:r>
      <w:hyperlink w:anchor="_Toc120206622" w:history="1">
        <w:r w:rsidR="0073350E" w:rsidRPr="0073350E">
          <w:rPr>
            <w:rStyle w:val="Hyperlink"/>
            <w:noProof/>
          </w:rPr>
          <w:t xml:space="preserve">Figure 1: Three approaches to commissioning </w:t>
        </w:r>
        <w:r w:rsidR="0073350E" w:rsidRPr="0073350E">
          <w:rPr>
            <w:rStyle w:val="Hyperlink"/>
            <w:rFonts w:cs="Segoe UI Semibold"/>
            <w:noProof/>
          </w:rPr>
          <w:t>—</w:t>
        </w:r>
        <w:r w:rsidR="0073350E" w:rsidRPr="0073350E">
          <w:rPr>
            <w:rStyle w:val="Hyperlink"/>
            <w:noProof/>
          </w:rPr>
          <w:t xml:space="preserve"> conventional, improved, and whānau- and Māori-led</w:t>
        </w:r>
        <w:r w:rsidR="0073350E" w:rsidRPr="0073350E">
          <w:rPr>
            <w:rFonts w:ascii="Portada" w:hAnsi="Portada"/>
            <w:noProof/>
            <w:webHidden/>
          </w:rPr>
          <w:tab/>
        </w:r>
        <w:r w:rsidR="0073350E" w:rsidRPr="0073350E">
          <w:rPr>
            <w:rFonts w:ascii="Portada" w:hAnsi="Portada"/>
            <w:noProof/>
            <w:webHidden/>
          </w:rPr>
          <w:fldChar w:fldCharType="begin"/>
        </w:r>
        <w:r w:rsidR="0073350E" w:rsidRPr="0073350E">
          <w:rPr>
            <w:rFonts w:ascii="Portada" w:hAnsi="Portada"/>
            <w:noProof/>
            <w:webHidden/>
          </w:rPr>
          <w:instrText xml:space="preserve"> PAGEREF _Toc120206622 \h </w:instrText>
        </w:r>
        <w:r w:rsidR="0073350E" w:rsidRPr="0073350E">
          <w:rPr>
            <w:rFonts w:ascii="Portada" w:hAnsi="Portada"/>
            <w:noProof/>
            <w:webHidden/>
          </w:rPr>
        </w:r>
        <w:r w:rsidR="0073350E" w:rsidRPr="0073350E">
          <w:rPr>
            <w:rFonts w:ascii="Portada" w:hAnsi="Portada"/>
            <w:noProof/>
            <w:webHidden/>
          </w:rPr>
          <w:fldChar w:fldCharType="separate"/>
        </w:r>
        <w:r w:rsidR="00B27208">
          <w:rPr>
            <w:rFonts w:ascii="Portada" w:hAnsi="Portada"/>
            <w:noProof/>
            <w:webHidden/>
          </w:rPr>
          <w:t>4</w:t>
        </w:r>
        <w:r w:rsidR="0073350E" w:rsidRPr="0073350E">
          <w:rPr>
            <w:rFonts w:ascii="Portada" w:hAnsi="Portada"/>
            <w:noProof/>
            <w:webHidden/>
          </w:rPr>
          <w:fldChar w:fldCharType="end"/>
        </w:r>
      </w:hyperlink>
    </w:p>
    <w:p w14:paraId="5FA72E09" w14:textId="3B2CF521" w:rsidR="0073350E" w:rsidRPr="0073350E" w:rsidRDefault="00DD7A05">
      <w:pPr>
        <w:pStyle w:val="TableofFigures"/>
        <w:tabs>
          <w:tab w:val="right" w:leader="dot" w:pos="8494"/>
        </w:tabs>
        <w:rPr>
          <w:rFonts w:ascii="Portada" w:eastAsiaTheme="minorEastAsia" w:hAnsi="Portada"/>
          <w:bCs w:val="0"/>
          <w:noProof/>
          <w:color w:val="auto"/>
          <w:sz w:val="22"/>
          <w:lang w:val="en-AU" w:eastAsia="en-AU"/>
        </w:rPr>
      </w:pPr>
      <w:hyperlink w:anchor="_Toc120206623" w:history="1">
        <w:r w:rsidR="0073350E" w:rsidRPr="0073350E">
          <w:rPr>
            <w:rStyle w:val="Hyperlink"/>
            <w:noProof/>
          </w:rPr>
          <w:t>Figure 2: Application and outcomes of the Commissioning for Pae Ora framework</w:t>
        </w:r>
        <w:r w:rsidR="0073350E" w:rsidRPr="0073350E">
          <w:rPr>
            <w:rFonts w:ascii="Portada" w:hAnsi="Portada"/>
            <w:noProof/>
            <w:webHidden/>
          </w:rPr>
          <w:tab/>
        </w:r>
        <w:r w:rsidR="0073350E" w:rsidRPr="0073350E">
          <w:rPr>
            <w:rFonts w:ascii="Portada" w:hAnsi="Portada"/>
            <w:noProof/>
            <w:webHidden/>
          </w:rPr>
          <w:fldChar w:fldCharType="begin"/>
        </w:r>
        <w:r w:rsidR="0073350E" w:rsidRPr="0073350E">
          <w:rPr>
            <w:rFonts w:ascii="Portada" w:hAnsi="Portada"/>
            <w:noProof/>
            <w:webHidden/>
          </w:rPr>
          <w:instrText xml:space="preserve"> PAGEREF _Toc120206623 \h </w:instrText>
        </w:r>
        <w:r w:rsidR="0073350E" w:rsidRPr="0073350E">
          <w:rPr>
            <w:rFonts w:ascii="Portada" w:hAnsi="Portada"/>
            <w:noProof/>
            <w:webHidden/>
          </w:rPr>
        </w:r>
        <w:r w:rsidR="0073350E" w:rsidRPr="0073350E">
          <w:rPr>
            <w:rFonts w:ascii="Portada" w:hAnsi="Portada"/>
            <w:noProof/>
            <w:webHidden/>
          </w:rPr>
          <w:fldChar w:fldCharType="separate"/>
        </w:r>
        <w:r w:rsidR="00B27208">
          <w:rPr>
            <w:rFonts w:ascii="Portada" w:hAnsi="Portada"/>
            <w:noProof/>
            <w:webHidden/>
          </w:rPr>
          <w:t>10</w:t>
        </w:r>
        <w:r w:rsidR="0073350E" w:rsidRPr="0073350E">
          <w:rPr>
            <w:rFonts w:ascii="Portada" w:hAnsi="Portada"/>
            <w:noProof/>
            <w:webHidden/>
          </w:rPr>
          <w:fldChar w:fldCharType="end"/>
        </w:r>
      </w:hyperlink>
    </w:p>
    <w:p w14:paraId="2B9DF7DF" w14:textId="0454F0D3" w:rsidR="0073350E" w:rsidRPr="0073350E" w:rsidRDefault="00DD7A05">
      <w:pPr>
        <w:pStyle w:val="TableofFigures"/>
        <w:tabs>
          <w:tab w:val="right" w:leader="dot" w:pos="8494"/>
        </w:tabs>
        <w:rPr>
          <w:rFonts w:ascii="Portada" w:eastAsiaTheme="minorEastAsia" w:hAnsi="Portada"/>
          <w:bCs w:val="0"/>
          <w:noProof/>
          <w:color w:val="auto"/>
          <w:sz w:val="22"/>
          <w:lang w:val="en-AU" w:eastAsia="en-AU"/>
        </w:rPr>
      </w:pPr>
      <w:hyperlink w:anchor="_Toc120206624" w:history="1">
        <w:r w:rsidR="0073350E" w:rsidRPr="0073350E">
          <w:rPr>
            <w:rStyle w:val="Hyperlink"/>
            <w:noProof/>
          </w:rPr>
          <w:t>Figure 3: Questions to help decide where to allocate responsibilities for the commissioning process</w:t>
        </w:r>
        <w:r w:rsidR="0073350E" w:rsidRPr="0073350E">
          <w:rPr>
            <w:rFonts w:ascii="Portada" w:hAnsi="Portada"/>
            <w:noProof/>
            <w:webHidden/>
          </w:rPr>
          <w:tab/>
        </w:r>
        <w:r w:rsidR="0073350E" w:rsidRPr="0073350E">
          <w:rPr>
            <w:rFonts w:ascii="Portada" w:hAnsi="Portada"/>
            <w:noProof/>
            <w:webHidden/>
          </w:rPr>
          <w:fldChar w:fldCharType="begin"/>
        </w:r>
        <w:r w:rsidR="0073350E" w:rsidRPr="0073350E">
          <w:rPr>
            <w:rFonts w:ascii="Portada" w:hAnsi="Portada"/>
            <w:noProof/>
            <w:webHidden/>
          </w:rPr>
          <w:instrText xml:space="preserve"> PAGEREF _Toc120206624 \h </w:instrText>
        </w:r>
        <w:r w:rsidR="0073350E" w:rsidRPr="0073350E">
          <w:rPr>
            <w:rFonts w:ascii="Portada" w:hAnsi="Portada"/>
            <w:noProof/>
            <w:webHidden/>
          </w:rPr>
        </w:r>
        <w:r w:rsidR="0073350E" w:rsidRPr="0073350E">
          <w:rPr>
            <w:rFonts w:ascii="Portada" w:hAnsi="Portada"/>
            <w:noProof/>
            <w:webHidden/>
          </w:rPr>
          <w:fldChar w:fldCharType="separate"/>
        </w:r>
        <w:r w:rsidR="00B27208">
          <w:rPr>
            <w:rFonts w:ascii="Portada" w:hAnsi="Portada"/>
            <w:noProof/>
            <w:webHidden/>
          </w:rPr>
          <w:t>36</w:t>
        </w:r>
        <w:r w:rsidR="0073350E" w:rsidRPr="0073350E">
          <w:rPr>
            <w:rFonts w:ascii="Portada" w:hAnsi="Portada"/>
            <w:noProof/>
            <w:webHidden/>
          </w:rPr>
          <w:fldChar w:fldCharType="end"/>
        </w:r>
      </w:hyperlink>
    </w:p>
    <w:p w14:paraId="1C1EC79E" w14:textId="663AEF5D" w:rsidR="009C2214" w:rsidRPr="00194E5C" w:rsidRDefault="009C2214" w:rsidP="009C2214">
      <w:pPr>
        <w:rPr>
          <w:lang w:val="en-US"/>
        </w:rPr>
      </w:pPr>
      <w:r>
        <w:rPr>
          <w:lang w:val="en-US"/>
        </w:rPr>
        <w:fldChar w:fldCharType="end"/>
      </w:r>
    </w:p>
    <w:p w14:paraId="1E9931F9" w14:textId="14E87ABD" w:rsidR="00191BE0" w:rsidRDefault="00A86A62" w:rsidP="00D6402F">
      <w:r w:rsidRPr="00D6402F">
        <w:br w:type="page"/>
      </w:r>
    </w:p>
    <w:p w14:paraId="7C722004" w14:textId="25649447" w:rsidR="009C2214" w:rsidRDefault="009C2214" w:rsidP="00D6402F">
      <w:pPr>
        <w:sectPr w:rsidR="009C2214" w:rsidSect="002654C1">
          <w:pgSz w:w="11906" w:h="16838"/>
          <w:pgMar w:top="2778" w:right="1701" w:bottom="851" w:left="1701" w:header="737" w:footer="0" w:gutter="0"/>
          <w:cols w:space="708"/>
          <w:titlePg/>
          <w:docGrid w:linePitch="360"/>
        </w:sectPr>
      </w:pPr>
    </w:p>
    <w:p w14:paraId="6A1707DD" w14:textId="3C6C7645" w:rsidR="007823EF" w:rsidRPr="00194E5C" w:rsidRDefault="00507CA1" w:rsidP="003079E7">
      <w:pPr>
        <w:pStyle w:val="Heading1-nonumbering"/>
        <w:rPr>
          <w:rStyle w:val="1Orange"/>
          <w:b w:val="0"/>
          <w:spacing w:val="0"/>
        </w:rPr>
      </w:pPr>
      <w:bookmarkStart w:id="4" w:name="_Toc124933814"/>
      <w:bookmarkEnd w:id="0"/>
      <w:bookmarkEnd w:id="3"/>
      <w:r w:rsidRPr="00194E5C">
        <w:rPr>
          <w:rStyle w:val="1Orange"/>
          <w:b w:val="0"/>
          <w:spacing w:val="0"/>
        </w:rPr>
        <w:lastRenderedPageBreak/>
        <w:t>Overview</w:t>
      </w:r>
      <w:bookmarkEnd w:id="4"/>
    </w:p>
    <w:p w14:paraId="28021859" w14:textId="6AF688BC" w:rsidR="00507CA1" w:rsidRDefault="00507CA1" w:rsidP="00507CA1">
      <w:pPr>
        <w:pStyle w:val="Heading2-nonumbering"/>
      </w:pPr>
      <w:bookmarkStart w:id="5" w:name="_Toc124933815"/>
      <w:r w:rsidRPr="00507CA1">
        <w:t>Purpose</w:t>
      </w:r>
      <w:bookmarkEnd w:id="5"/>
    </w:p>
    <w:p w14:paraId="68235906" w14:textId="77777777" w:rsidR="00507CA1" w:rsidRPr="00507CA1" w:rsidRDefault="00507CA1" w:rsidP="00507CA1">
      <w:pPr>
        <w:pStyle w:val="NormalwIndent"/>
      </w:pPr>
    </w:p>
    <w:p w14:paraId="2F7235CC" w14:textId="1C192BFC" w:rsidR="00507CA1" w:rsidRDefault="00507CA1" w:rsidP="00507CA1">
      <w:pPr>
        <w:pStyle w:val="NormalwIndent"/>
      </w:pPr>
      <w:r w:rsidRPr="00194E5C">
        <w:rPr>
          <w:i/>
          <w:iCs/>
        </w:rPr>
        <w:t>Commissioning for Pae Ora</w:t>
      </w:r>
      <w:r w:rsidR="00C0086D" w:rsidRPr="00194E5C">
        <w:rPr>
          <w:i/>
          <w:iCs/>
        </w:rPr>
        <w:t xml:space="preserve"> Healthy Futures</w:t>
      </w:r>
      <w:r w:rsidRPr="00507CA1">
        <w:t xml:space="preserve"> provides guidance on how to bring the </w:t>
      </w:r>
      <w:r w:rsidR="004B7EA7">
        <w:t>Whānau Ora</w:t>
      </w:r>
      <w:r w:rsidRPr="00507CA1">
        <w:t xml:space="preserve"> vision into</w:t>
      </w:r>
      <w:r w:rsidR="005C1BE6">
        <w:t xml:space="preserve"> the</w:t>
      </w:r>
      <w:r w:rsidRPr="00507CA1">
        <w:t xml:space="preserve"> mainstream </w:t>
      </w:r>
      <w:r w:rsidR="00A50A35">
        <w:t xml:space="preserve">of </w:t>
      </w:r>
      <w:r w:rsidRPr="00507CA1">
        <w:t>health</w:t>
      </w:r>
      <w:r w:rsidR="00A50A35">
        <w:t xml:space="preserve"> </w:t>
      </w:r>
      <w:r w:rsidR="0006568C">
        <w:t>stewardship, system and services</w:t>
      </w:r>
      <w:r w:rsidR="00E87709">
        <w:t>. This will</w:t>
      </w:r>
      <w:r w:rsidRPr="00507CA1">
        <w:t xml:space="preserve"> enable whānau to exercise rangatiratanga, and </w:t>
      </w:r>
      <w:r w:rsidR="00194E5C">
        <w:t>strengthen</w:t>
      </w:r>
      <w:r w:rsidR="00194E5C" w:rsidRPr="00507CA1">
        <w:t xml:space="preserve"> </w:t>
      </w:r>
      <w:r w:rsidRPr="00507CA1">
        <w:t>the voice of whānau and communities in design</w:t>
      </w:r>
      <w:r w:rsidR="00411C99">
        <w:t>ing</w:t>
      </w:r>
      <w:r w:rsidRPr="00507CA1">
        <w:t>, deliver</w:t>
      </w:r>
      <w:r w:rsidR="00411C99">
        <w:t>ing</w:t>
      </w:r>
      <w:r w:rsidRPr="00507CA1">
        <w:t xml:space="preserve"> and improv</w:t>
      </w:r>
      <w:r w:rsidR="00411C99">
        <w:t>ing</w:t>
      </w:r>
      <w:r w:rsidRPr="00507CA1">
        <w:t xml:space="preserve"> health services and other investments.  </w:t>
      </w:r>
    </w:p>
    <w:p w14:paraId="16859BB1" w14:textId="77777777" w:rsidR="00106D35" w:rsidRDefault="00106D35" w:rsidP="00507CA1">
      <w:pPr>
        <w:pStyle w:val="NormalwIndent"/>
      </w:pPr>
    </w:p>
    <w:tbl>
      <w:tblPr>
        <w:tblStyle w:val="TableGrid"/>
        <w:tblW w:w="0" w:type="auto"/>
        <w:tblBorders>
          <w:top w:val="single" w:sz="4" w:space="0" w:color="EC643C"/>
          <w:left w:val="none" w:sz="0" w:space="0" w:color="auto"/>
          <w:bottom w:val="single" w:sz="4" w:space="0" w:color="EC643C"/>
          <w:right w:val="none" w:sz="0" w:space="0" w:color="auto"/>
          <w:insideH w:val="single" w:sz="4" w:space="0" w:color="EC643C"/>
          <w:insideV w:val="single" w:sz="4" w:space="0" w:color="EC643C"/>
        </w:tblBorders>
        <w:tblLook w:val="04A0" w:firstRow="1" w:lastRow="0" w:firstColumn="1" w:lastColumn="0" w:noHBand="0" w:noVBand="1"/>
      </w:tblPr>
      <w:tblGrid>
        <w:gridCol w:w="567"/>
        <w:gridCol w:w="1134"/>
        <w:gridCol w:w="6803"/>
      </w:tblGrid>
      <w:tr w:rsidR="00106D35" w14:paraId="442A1E13" w14:textId="77777777" w:rsidTr="00C059A9">
        <w:trPr>
          <w:gridBefore w:val="2"/>
          <w:wBefore w:w="1701" w:type="dxa"/>
        </w:trPr>
        <w:tc>
          <w:tcPr>
            <w:tcW w:w="6803" w:type="dxa"/>
            <w:shd w:val="clear" w:color="auto" w:fill="auto"/>
          </w:tcPr>
          <w:p w14:paraId="020A5870" w14:textId="77777777" w:rsidR="00106D35" w:rsidRDefault="00106D35" w:rsidP="00106D35">
            <w:pPr>
              <w:pStyle w:val="Quotepara"/>
              <w:ind w:left="0"/>
            </w:pPr>
            <w:r w:rsidRPr="00106D35">
              <w:t>What commissioning is</w:t>
            </w:r>
          </w:p>
          <w:p w14:paraId="398F2924" w14:textId="4179C010" w:rsidR="00106D35" w:rsidRDefault="00106D35" w:rsidP="00106D35">
            <w:pPr>
              <w:pStyle w:val="NormalwIndent"/>
              <w:ind w:left="29"/>
            </w:pPr>
            <w:r w:rsidRPr="00507CA1">
              <w:t>Within health, commissioning is a strategic process for assessing the needs and strengths of people, whānau and communities alongside current services and support,</w:t>
            </w:r>
            <w:r w:rsidR="00411C99">
              <w:t xml:space="preserve"> and</w:t>
            </w:r>
            <w:r w:rsidRPr="00507CA1">
              <w:t xml:space="preserve"> then designing and investing </w:t>
            </w:r>
            <w:r w:rsidR="00411C99">
              <w:t>to achieve</w:t>
            </w:r>
            <w:r w:rsidR="00411C99" w:rsidRPr="00507CA1">
              <w:t xml:space="preserve"> </w:t>
            </w:r>
            <w:r w:rsidR="00194E5C" w:rsidRPr="00507CA1">
              <w:t xml:space="preserve">equity </w:t>
            </w:r>
            <w:r w:rsidR="00194E5C">
              <w:t xml:space="preserve">and </w:t>
            </w:r>
            <w:r w:rsidRPr="00507CA1">
              <w:t xml:space="preserve">the best health outcomes. Commissioning is an end-to-end process </w:t>
            </w:r>
            <w:r w:rsidR="00340C10">
              <w:rPr>
                <w:rFonts w:ascii="Calibri" w:hAnsi="Calibri" w:cs="Calibri"/>
              </w:rPr>
              <w:t>—</w:t>
            </w:r>
            <w:r w:rsidRPr="00507CA1">
              <w:t xml:space="preserve"> from purpose</w:t>
            </w:r>
            <w:r w:rsidR="00411C99">
              <w:t xml:space="preserve"> to</w:t>
            </w:r>
            <w:r w:rsidRPr="00507CA1">
              <w:t xml:space="preserve"> design, </w:t>
            </w:r>
            <w:r w:rsidR="00411C99">
              <w:t xml:space="preserve">through to </w:t>
            </w:r>
            <w:r w:rsidRPr="00507CA1">
              <w:t>delivery and assessment</w:t>
            </w:r>
            <w:r w:rsidR="006F2B98">
              <w:t>. It</w:t>
            </w:r>
            <w:r w:rsidRPr="00507CA1">
              <w:t xml:space="preserve"> is repeated within an ever-changing context and with a growing understanding of what works.</w:t>
            </w:r>
          </w:p>
        </w:tc>
      </w:tr>
      <w:tr w:rsidR="00507CA1" w:rsidRPr="000C72D2" w14:paraId="643BC737" w14:textId="77777777" w:rsidTr="00106D35">
        <w:tblPrEx>
          <w:tblBorders>
            <w:top w:val="single" w:sz="8" w:space="0" w:color="EC643C"/>
            <w:bottom w:val="none" w:sz="0" w:space="0" w:color="auto"/>
            <w:insideH w:val="none" w:sz="0" w:space="0" w:color="auto"/>
            <w:insideV w:val="none" w:sz="0" w:space="0" w:color="auto"/>
          </w:tblBorders>
        </w:tblPrEx>
        <w:trPr>
          <w:gridAfter w:val="2"/>
          <w:wAfter w:w="7937" w:type="dxa"/>
          <w:trHeight w:val="170"/>
        </w:trPr>
        <w:tc>
          <w:tcPr>
            <w:tcW w:w="567" w:type="dxa"/>
          </w:tcPr>
          <w:p w14:paraId="00A565B7" w14:textId="77777777" w:rsidR="00507CA1" w:rsidRPr="000C72D2" w:rsidRDefault="00507CA1" w:rsidP="009055B4">
            <w:pPr>
              <w:pStyle w:val="0RULE"/>
            </w:pPr>
          </w:p>
        </w:tc>
      </w:tr>
    </w:tbl>
    <w:p w14:paraId="59E1EFEA" w14:textId="77777777" w:rsidR="00106D35" w:rsidRDefault="00106D35" w:rsidP="00106D35">
      <w:pPr>
        <w:pStyle w:val="NormalwIndent"/>
      </w:pPr>
    </w:p>
    <w:p w14:paraId="5700AB0D" w14:textId="213171DB" w:rsidR="00507CA1" w:rsidRDefault="00507CA1" w:rsidP="00507CA1">
      <w:pPr>
        <w:pStyle w:val="Heading2-nonumbering"/>
      </w:pPr>
      <w:bookmarkStart w:id="6" w:name="_Toc124933816"/>
      <w:r w:rsidRPr="00507CA1">
        <w:t xml:space="preserve">Why </w:t>
      </w:r>
      <w:r w:rsidR="006F2B98">
        <w:t xml:space="preserve">we need </w:t>
      </w:r>
      <w:r w:rsidRPr="00507CA1">
        <w:t>a new approach to commissioning</w:t>
      </w:r>
      <w:bookmarkEnd w:id="6"/>
    </w:p>
    <w:p w14:paraId="4A31739B" w14:textId="77777777" w:rsidR="00106D35" w:rsidRDefault="00106D35" w:rsidP="00507CA1">
      <w:pPr>
        <w:pStyle w:val="NormalwIndent"/>
      </w:pPr>
    </w:p>
    <w:p w14:paraId="5CC1C89F" w14:textId="3510E260" w:rsidR="00507CA1" w:rsidRDefault="00507CA1" w:rsidP="00507CA1">
      <w:pPr>
        <w:pStyle w:val="NormalwIndent"/>
      </w:pPr>
      <w:r w:rsidRPr="00507CA1">
        <w:t xml:space="preserve">The health system works well for many people. However, </w:t>
      </w:r>
      <w:r w:rsidR="008D4035" w:rsidRPr="00507CA1">
        <w:t xml:space="preserve">groups in our population </w:t>
      </w:r>
      <w:r w:rsidR="008D4035">
        <w:t>differ</w:t>
      </w:r>
      <w:r w:rsidRPr="00507CA1">
        <w:t xml:space="preserve"> significant</w:t>
      </w:r>
      <w:r w:rsidR="008D4035">
        <w:t>ly</w:t>
      </w:r>
      <w:r w:rsidR="008D4035" w:rsidRPr="00507CA1">
        <w:t xml:space="preserve"> </w:t>
      </w:r>
      <w:r w:rsidRPr="00507CA1">
        <w:t xml:space="preserve">in </w:t>
      </w:r>
      <w:r w:rsidR="008D4035">
        <w:t xml:space="preserve">their </w:t>
      </w:r>
      <w:r w:rsidRPr="00507CA1">
        <w:t xml:space="preserve">health outcomes. Across </w:t>
      </w:r>
      <w:r w:rsidR="008D4035">
        <w:t>a range of</w:t>
      </w:r>
      <w:r w:rsidR="008D4035" w:rsidRPr="00507CA1">
        <w:t xml:space="preserve"> </w:t>
      </w:r>
      <w:r w:rsidRPr="00507CA1">
        <w:t>outcomes, the same groups are consistently under-served and left behind: Māori, Pacific peoples and disabled people, including tāngata whaikaha</w:t>
      </w:r>
      <w:r w:rsidR="00304C87">
        <w:t xml:space="preserve"> </w:t>
      </w:r>
      <w:r w:rsidR="00304C87" w:rsidRPr="00FA327D">
        <w:t>M</w:t>
      </w:r>
      <w:r w:rsidR="00304C87" w:rsidRPr="00FA327D">
        <w:rPr>
          <w:lang w:val="mi-NZ"/>
        </w:rPr>
        <w:t>āori</w:t>
      </w:r>
      <w:r w:rsidRPr="00507CA1">
        <w:t xml:space="preserve">. On average these groups die younger and </w:t>
      </w:r>
      <w:r w:rsidR="006F2B98">
        <w:t>spend</w:t>
      </w:r>
      <w:r w:rsidR="006F2B98" w:rsidRPr="00507CA1">
        <w:t xml:space="preserve"> </w:t>
      </w:r>
      <w:r w:rsidRPr="00507CA1">
        <w:t xml:space="preserve">more of their lives in poor health than their fellow New Zealanders. Many other communities also experience inequity on the basis of their condition, culture, ethnicity, gender, sexual orientation, where they live and other factors. When the system fails people, the human and system costs can be immense. </w:t>
      </w:r>
    </w:p>
    <w:p w14:paraId="627B4B7E" w14:textId="2F0C01CF" w:rsidR="00106D35" w:rsidRDefault="00106D35" w:rsidP="00507CA1">
      <w:pPr>
        <w:pStyle w:val="NormalwIndent"/>
      </w:pPr>
    </w:p>
    <w:tbl>
      <w:tblPr>
        <w:tblStyle w:val="TableGrid"/>
        <w:tblW w:w="0" w:type="auto"/>
        <w:tblBorders>
          <w:top w:val="single" w:sz="4" w:space="0" w:color="EC643C"/>
          <w:left w:val="none" w:sz="0" w:space="0" w:color="auto"/>
          <w:bottom w:val="single" w:sz="4" w:space="0" w:color="EC643C"/>
          <w:right w:val="none" w:sz="0" w:space="0" w:color="auto"/>
          <w:insideH w:val="single" w:sz="4" w:space="0" w:color="EC643C"/>
          <w:insideV w:val="single" w:sz="4" w:space="0" w:color="EC643C"/>
        </w:tblBorders>
        <w:tblLook w:val="04A0" w:firstRow="1" w:lastRow="0" w:firstColumn="1" w:lastColumn="0" w:noHBand="0" w:noVBand="1"/>
      </w:tblPr>
      <w:tblGrid>
        <w:gridCol w:w="567"/>
        <w:gridCol w:w="1134"/>
        <w:gridCol w:w="6803"/>
      </w:tblGrid>
      <w:tr w:rsidR="00106D35" w14:paraId="3D550CC8" w14:textId="77777777" w:rsidTr="00C059A9">
        <w:trPr>
          <w:gridBefore w:val="2"/>
          <w:wBefore w:w="1701" w:type="dxa"/>
        </w:trPr>
        <w:tc>
          <w:tcPr>
            <w:tcW w:w="6803" w:type="dxa"/>
            <w:shd w:val="clear" w:color="auto" w:fill="auto"/>
          </w:tcPr>
          <w:p w14:paraId="47C5AE43" w14:textId="6DD692F8" w:rsidR="00106D35" w:rsidRDefault="00171A5F" w:rsidP="00106D35">
            <w:pPr>
              <w:pStyle w:val="Quotepara"/>
              <w:ind w:left="0"/>
            </w:pPr>
            <w:r>
              <w:t>D</w:t>
            </w:r>
            <w:r w:rsidR="00106D35">
              <w:t xml:space="preserve">efinition of </w:t>
            </w:r>
            <w:r w:rsidR="00B915DB">
              <w:t>equity</w:t>
            </w:r>
            <w:r>
              <w:t xml:space="preserve"> for </w:t>
            </w:r>
            <w:r w:rsidRPr="00171A5F">
              <w:t>Manat</w:t>
            </w:r>
            <w:r w:rsidRPr="00171A5F">
              <w:rPr>
                <w:rFonts w:hint="eastAsia"/>
              </w:rPr>
              <w:t>ū</w:t>
            </w:r>
            <w:r w:rsidRPr="00171A5F">
              <w:t xml:space="preserve"> Hauor</w:t>
            </w:r>
            <w:r>
              <w:t>a</w:t>
            </w:r>
            <w:r w:rsidR="004D7920">
              <w:rPr>
                <w:rFonts w:ascii="ZWAdobeF" w:hAnsi="ZWAdobeF" w:cs="ZWAdobeF"/>
                <w:color w:val="auto"/>
                <w:spacing w:val="0"/>
                <w:sz w:val="2"/>
                <w:szCs w:val="2"/>
              </w:rPr>
              <w:t>0F</w:t>
            </w:r>
            <w:r w:rsidR="00106D35" w:rsidRPr="00106D35">
              <w:rPr>
                <w:rStyle w:val="FootnoteReference"/>
                <w:sz w:val="18"/>
                <w:szCs w:val="22"/>
              </w:rPr>
              <w:footnoteReference w:id="2"/>
            </w:r>
            <w:r w:rsidR="00106D35" w:rsidRPr="00106D35">
              <w:rPr>
                <w:sz w:val="30"/>
                <w:szCs w:val="22"/>
              </w:rPr>
              <w:t xml:space="preserve"> </w:t>
            </w:r>
          </w:p>
          <w:p w14:paraId="2EDF087A" w14:textId="59DEC5DC" w:rsidR="00106D35" w:rsidRDefault="00106D35" w:rsidP="00106D35">
            <w:pPr>
              <w:pStyle w:val="NormalwIndent"/>
              <w:ind w:left="29"/>
            </w:pPr>
            <w:r w:rsidRPr="00106D35">
              <w:t>In Aotearoa New Zealand</w:t>
            </w:r>
            <w:r w:rsidR="006F2B98">
              <w:t>,</w:t>
            </w:r>
            <w:r w:rsidRPr="00106D35">
              <w:t xml:space="preserve"> people have differences in health that are not only avoidable but unfair and unjust. Equity recognises different people with different levels of advantage require different approaches and resources to get equitable outcomes.</w:t>
            </w:r>
          </w:p>
        </w:tc>
      </w:tr>
      <w:tr w:rsidR="00106D35" w:rsidRPr="000C72D2" w14:paraId="3B51463D" w14:textId="77777777" w:rsidTr="00B7468C">
        <w:tblPrEx>
          <w:tblBorders>
            <w:top w:val="single" w:sz="8" w:space="0" w:color="EC643C"/>
            <w:bottom w:val="none" w:sz="0" w:space="0" w:color="auto"/>
            <w:insideH w:val="none" w:sz="0" w:space="0" w:color="auto"/>
            <w:insideV w:val="none" w:sz="0" w:space="0" w:color="auto"/>
          </w:tblBorders>
        </w:tblPrEx>
        <w:trPr>
          <w:gridAfter w:val="2"/>
          <w:wAfter w:w="7937" w:type="dxa"/>
          <w:trHeight w:val="170"/>
        </w:trPr>
        <w:tc>
          <w:tcPr>
            <w:tcW w:w="567" w:type="dxa"/>
          </w:tcPr>
          <w:p w14:paraId="02D8340B" w14:textId="77777777" w:rsidR="00106D35" w:rsidRPr="000C72D2" w:rsidRDefault="00106D35" w:rsidP="009055B4">
            <w:pPr>
              <w:pStyle w:val="0RULE"/>
            </w:pPr>
          </w:p>
        </w:tc>
      </w:tr>
    </w:tbl>
    <w:p w14:paraId="7AAE1E4A" w14:textId="553834AE" w:rsidR="00106D35" w:rsidRDefault="00106D35" w:rsidP="00C059A9">
      <w:pPr>
        <w:pStyle w:val="NormalwIndent"/>
        <w:spacing w:before="0" w:after="0"/>
      </w:pPr>
    </w:p>
    <w:p w14:paraId="021D7983" w14:textId="3C05B77C" w:rsidR="00106D35" w:rsidRDefault="00106D35" w:rsidP="00106D35">
      <w:pPr>
        <w:pStyle w:val="NormalwIndent"/>
      </w:pPr>
      <w:r>
        <w:t>The health system does not always engage</w:t>
      </w:r>
      <w:r w:rsidR="00535C54">
        <w:t xml:space="preserve"> with</w:t>
      </w:r>
      <w:r>
        <w:t xml:space="preserve"> and involve the people it serves when planning, delivering and evaluating services and other investments</w:t>
      </w:r>
      <w:r w:rsidR="00535C54">
        <w:t>. As a result</w:t>
      </w:r>
      <w:r>
        <w:t>:</w:t>
      </w:r>
    </w:p>
    <w:p w14:paraId="3FCB445F" w14:textId="425CDA4D" w:rsidR="00106D35" w:rsidRDefault="00535C54" w:rsidP="00106D35">
      <w:pPr>
        <w:pStyle w:val="ListBullet"/>
        <w:ind w:left="1985" w:hanging="284"/>
      </w:pPr>
      <w:r>
        <w:t xml:space="preserve">services </w:t>
      </w:r>
      <w:r w:rsidR="00106D35">
        <w:t xml:space="preserve">are not always designed around the needs, aspirations and strengths of people, whānau and communities  </w:t>
      </w:r>
    </w:p>
    <w:p w14:paraId="740AC9AD" w14:textId="7F2F9608" w:rsidR="00106D35" w:rsidRDefault="00535C54" w:rsidP="00106D35">
      <w:pPr>
        <w:pStyle w:val="ListBullet"/>
        <w:ind w:left="1985" w:hanging="284"/>
      </w:pPr>
      <w:r>
        <w:t>t</w:t>
      </w:r>
      <w:r w:rsidR="00106D35">
        <w:t>here is not enough focus on co-design, partnership and engagement with other sectors</w:t>
      </w:r>
    </w:p>
    <w:p w14:paraId="6849E847" w14:textId="5BD12708" w:rsidR="00106D35" w:rsidRDefault="00535C54" w:rsidP="00106D35">
      <w:pPr>
        <w:pStyle w:val="ListBullet"/>
        <w:ind w:left="1985" w:hanging="284"/>
      </w:pPr>
      <w:r>
        <w:t>i</w:t>
      </w:r>
      <w:r w:rsidR="00106D35">
        <w:t>nterventions that focus on preventing illness and addressing wider determinants</w:t>
      </w:r>
      <w:r>
        <w:t xml:space="preserve"> of health</w:t>
      </w:r>
      <w:r w:rsidR="004D7920">
        <w:rPr>
          <w:rFonts w:ascii="ZWAdobeF" w:hAnsi="ZWAdobeF" w:cs="ZWAdobeF"/>
          <w:color w:val="auto"/>
          <w:sz w:val="2"/>
          <w:szCs w:val="2"/>
        </w:rPr>
        <w:t>1F</w:t>
      </w:r>
      <w:r w:rsidR="00106D35" w:rsidRPr="00106D35">
        <w:rPr>
          <w:rStyle w:val="FootnoteReference"/>
          <w:sz w:val="18"/>
          <w:szCs w:val="24"/>
        </w:rPr>
        <w:footnoteReference w:id="3"/>
      </w:r>
      <w:r w:rsidR="00106D35">
        <w:t xml:space="preserve"> are too often deprioritised</w:t>
      </w:r>
      <w:r w:rsidR="004D2066">
        <w:t>, with the result that</w:t>
      </w:r>
      <w:r w:rsidR="00106D35">
        <w:t xml:space="preserve"> opportunities </w:t>
      </w:r>
      <w:r w:rsidR="004D2066">
        <w:t xml:space="preserve">are </w:t>
      </w:r>
      <w:r w:rsidR="00106D35">
        <w:t>missed.</w:t>
      </w:r>
    </w:p>
    <w:p w14:paraId="4FC1EDE6" w14:textId="77777777" w:rsidR="00106D35" w:rsidRDefault="00106D35" w:rsidP="00106D35">
      <w:pPr>
        <w:pStyle w:val="NormalwIndent"/>
      </w:pPr>
    </w:p>
    <w:tbl>
      <w:tblPr>
        <w:tblStyle w:val="TableGrid"/>
        <w:tblW w:w="0" w:type="auto"/>
        <w:tblBorders>
          <w:top w:val="single" w:sz="4" w:space="0" w:color="EC643C"/>
          <w:left w:val="none" w:sz="0" w:space="0" w:color="auto"/>
          <w:bottom w:val="single" w:sz="4" w:space="0" w:color="EC643C"/>
          <w:right w:val="none" w:sz="0" w:space="0" w:color="auto"/>
          <w:insideH w:val="single" w:sz="4" w:space="0" w:color="EC643C"/>
          <w:insideV w:val="single" w:sz="4" w:space="0" w:color="EC643C"/>
        </w:tblBorders>
        <w:tblLook w:val="04A0" w:firstRow="1" w:lastRow="0" w:firstColumn="1" w:lastColumn="0" w:noHBand="0" w:noVBand="1"/>
      </w:tblPr>
      <w:tblGrid>
        <w:gridCol w:w="567"/>
        <w:gridCol w:w="1134"/>
        <w:gridCol w:w="6803"/>
      </w:tblGrid>
      <w:tr w:rsidR="00106D35" w14:paraId="5C3D4307" w14:textId="77777777" w:rsidTr="00C059A9">
        <w:trPr>
          <w:gridBefore w:val="2"/>
          <w:wBefore w:w="1701" w:type="dxa"/>
        </w:trPr>
        <w:tc>
          <w:tcPr>
            <w:tcW w:w="6803" w:type="dxa"/>
            <w:shd w:val="clear" w:color="auto" w:fill="auto"/>
          </w:tcPr>
          <w:p w14:paraId="5EDB9823" w14:textId="77777777" w:rsidR="00106D35" w:rsidRDefault="00106D35" w:rsidP="00B7468C">
            <w:pPr>
              <w:pStyle w:val="NormalwIndent"/>
              <w:ind w:left="29"/>
              <w:rPr>
                <w:iCs/>
                <w:color w:val="EC643C"/>
                <w:sz w:val="28"/>
              </w:rPr>
            </w:pPr>
            <w:r w:rsidRPr="00106D35">
              <w:rPr>
                <w:iCs/>
                <w:color w:val="EC643C"/>
                <w:sz w:val="28"/>
              </w:rPr>
              <w:t>Improving the health system and services through engagement with whānau and communities</w:t>
            </w:r>
          </w:p>
          <w:p w14:paraId="22DB9058" w14:textId="59A7F125" w:rsidR="00106D35" w:rsidRDefault="00106D35" w:rsidP="00B7468C">
            <w:pPr>
              <w:pStyle w:val="NormalwIndent"/>
              <w:ind w:left="29"/>
            </w:pPr>
            <w:r w:rsidRPr="00106D35">
              <w:t>Health and disability services perform best if they engage well, understand experience and act on what the people and communities who use them say</w:t>
            </w:r>
            <w:r w:rsidR="004D2066">
              <w:t xml:space="preserve"> they need</w:t>
            </w:r>
            <w:r w:rsidRPr="00106D35">
              <w:t xml:space="preserve"> (Doyle et al 2013). Engaging with and responding to</w:t>
            </w:r>
            <w:r w:rsidR="0037281D">
              <w:t xml:space="preserve"> the</w:t>
            </w:r>
            <w:r w:rsidRPr="00106D35">
              <w:t xml:space="preserve"> needs, strengths, aspirations and preferences</w:t>
            </w:r>
            <w:r w:rsidR="0037281D">
              <w:t xml:space="preserve"> of</w:t>
            </w:r>
            <w:r w:rsidR="0037281D" w:rsidRPr="00106D35">
              <w:t xml:space="preserve"> service users, whānau and communities</w:t>
            </w:r>
            <w:r w:rsidRPr="00106D35">
              <w:t xml:space="preserve"> is a powerful mechanism for improving services and systems (Thorstensen-Woll et al 2021)</w:t>
            </w:r>
            <w:r w:rsidR="00862284">
              <w:t>. That</w:t>
            </w:r>
            <w:r w:rsidR="000962F9">
              <w:t xml:space="preserve"> </w:t>
            </w:r>
            <w:r w:rsidRPr="00106D35">
              <w:t>includ</w:t>
            </w:r>
            <w:r w:rsidR="00862284">
              <w:t>es improving</w:t>
            </w:r>
            <w:r w:rsidRPr="00106D35">
              <w:t xml:space="preserve"> the quality and </w:t>
            </w:r>
            <w:r w:rsidR="00862284">
              <w:t xml:space="preserve">increasing the </w:t>
            </w:r>
            <w:r w:rsidRPr="00106D35">
              <w:t xml:space="preserve">relevance of </w:t>
            </w:r>
            <w:r w:rsidR="00862284">
              <w:t>the services</w:t>
            </w:r>
            <w:r w:rsidR="009E1010">
              <w:t xml:space="preserve"> </w:t>
            </w:r>
            <w:r w:rsidRPr="00106D35">
              <w:t xml:space="preserve">delivered (Bolz-Johnson et al 2020).   </w:t>
            </w:r>
          </w:p>
        </w:tc>
      </w:tr>
      <w:tr w:rsidR="00106D35" w:rsidRPr="000C72D2" w14:paraId="262124A4" w14:textId="77777777" w:rsidTr="00B7468C">
        <w:tblPrEx>
          <w:tblBorders>
            <w:top w:val="single" w:sz="8" w:space="0" w:color="EC643C"/>
            <w:bottom w:val="none" w:sz="0" w:space="0" w:color="auto"/>
            <w:insideH w:val="none" w:sz="0" w:space="0" w:color="auto"/>
            <w:insideV w:val="none" w:sz="0" w:space="0" w:color="auto"/>
          </w:tblBorders>
        </w:tblPrEx>
        <w:trPr>
          <w:gridAfter w:val="2"/>
          <w:wAfter w:w="7937" w:type="dxa"/>
          <w:trHeight w:val="170"/>
        </w:trPr>
        <w:tc>
          <w:tcPr>
            <w:tcW w:w="567" w:type="dxa"/>
          </w:tcPr>
          <w:p w14:paraId="35415330" w14:textId="77777777" w:rsidR="00106D35" w:rsidRPr="000C72D2" w:rsidRDefault="00106D35" w:rsidP="009055B4">
            <w:pPr>
              <w:pStyle w:val="0RULE"/>
            </w:pPr>
          </w:p>
        </w:tc>
      </w:tr>
    </w:tbl>
    <w:p w14:paraId="60877700" w14:textId="77777777" w:rsidR="00106D35" w:rsidRDefault="00106D35" w:rsidP="00106D35">
      <w:pPr>
        <w:pStyle w:val="NormalwIndent"/>
      </w:pPr>
    </w:p>
    <w:p w14:paraId="65495870" w14:textId="0952B3C6" w:rsidR="008E0770" w:rsidRDefault="00884118" w:rsidP="008E0770">
      <w:pPr>
        <w:pStyle w:val="Heading2-nonumbering"/>
      </w:pPr>
      <w:bookmarkStart w:id="7" w:name="_Toc124933817"/>
      <w:r>
        <w:lastRenderedPageBreak/>
        <w:t>The Ministry of Health</w:t>
      </w:r>
      <w:r w:rsidR="008E0770" w:rsidRPr="008E0770">
        <w:t>’s response to the evidence</w:t>
      </w:r>
      <w:bookmarkEnd w:id="7"/>
      <w:r w:rsidR="008E0770" w:rsidRPr="008E0770">
        <w:t xml:space="preserve"> </w:t>
      </w:r>
    </w:p>
    <w:p w14:paraId="2B54E66B" w14:textId="77777777" w:rsidR="008E0770" w:rsidRDefault="008E0770" w:rsidP="008E0770">
      <w:pPr>
        <w:pStyle w:val="NormalwIndent"/>
      </w:pPr>
    </w:p>
    <w:p w14:paraId="76B24381" w14:textId="0697A1CC" w:rsidR="008E0770" w:rsidRDefault="00545194" w:rsidP="008E0770">
      <w:pPr>
        <w:pStyle w:val="NormalwIndent"/>
      </w:pPr>
      <w:r>
        <w:t>Manat</w:t>
      </w:r>
      <w:r>
        <w:rPr>
          <w:rFonts w:ascii="Calibri" w:hAnsi="Calibri" w:cs="Calibri"/>
        </w:rPr>
        <w:t>ū</w:t>
      </w:r>
      <w:r>
        <w:t xml:space="preserve"> Hauora (t</w:t>
      </w:r>
      <w:r w:rsidR="008E0770">
        <w:t>he Ministry of Health</w:t>
      </w:r>
      <w:r>
        <w:t>, ‘the Ministry’)</w:t>
      </w:r>
      <w:r w:rsidR="008E0770">
        <w:t xml:space="preserve"> began developing </w:t>
      </w:r>
      <w:r w:rsidR="00C0086D">
        <w:t xml:space="preserve">the </w:t>
      </w:r>
      <w:r w:rsidR="008E0770">
        <w:t xml:space="preserve">Commissioning for Pae Ora </w:t>
      </w:r>
      <w:r w:rsidR="00C0086D">
        <w:t xml:space="preserve">framework </w:t>
      </w:r>
      <w:r w:rsidR="008E0770">
        <w:t>in 2020 as part of implementing Whakamaua: Māori Health Action Plan 2020</w:t>
      </w:r>
      <w:r w:rsidR="004E2E5E">
        <w:rPr>
          <w:rFonts w:ascii="Courier New" w:hAnsi="Courier New" w:cs="Courier New"/>
        </w:rPr>
        <w:t>-</w:t>
      </w:r>
      <w:r w:rsidR="008E0770">
        <w:t xml:space="preserve">2025 (Ministry of Health 2020b). </w:t>
      </w:r>
      <w:r w:rsidR="00E278FD">
        <w:t>A key action in</w:t>
      </w:r>
      <w:r w:rsidR="008E0770">
        <w:t xml:space="preserve"> Whakamaua </w:t>
      </w:r>
      <w:r w:rsidR="00E278FD">
        <w:t>is to</w:t>
      </w:r>
      <w:r w:rsidR="008E0770">
        <w:t xml:space="preserve"> strengthen commissioning </w:t>
      </w:r>
      <w:r w:rsidR="00E278FD">
        <w:t xml:space="preserve">with the aim of </w:t>
      </w:r>
      <w:r w:rsidR="008E0770">
        <w:t>increas</w:t>
      </w:r>
      <w:r w:rsidR="00E278FD">
        <w:t>ing</w:t>
      </w:r>
      <w:r w:rsidR="008E0770">
        <w:t xml:space="preserve"> Māori provider innovation and develop</w:t>
      </w:r>
      <w:r w:rsidR="00E278FD">
        <w:t>ing</w:t>
      </w:r>
      <w:r w:rsidR="008E0770">
        <w:t xml:space="preserve"> and spread</w:t>
      </w:r>
      <w:r w:rsidR="00E278FD">
        <w:t>ing</w:t>
      </w:r>
      <w:r w:rsidR="008E0770">
        <w:t xml:space="preserve"> effective Māori health and whānau-centred services. This work reflected the significant roles the Ministry had at that time in commissioning as well as </w:t>
      </w:r>
      <w:r w:rsidR="000B7201">
        <w:t xml:space="preserve">providing </w:t>
      </w:r>
      <w:r w:rsidR="008E0770">
        <w:t xml:space="preserve">overall health system leadership. </w:t>
      </w:r>
    </w:p>
    <w:p w14:paraId="2FD4AADE" w14:textId="05F0DAD5" w:rsidR="008E0770" w:rsidRDefault="008E0770" w:rsidP="008E0770">
      <w:pPr>
        <w:pStyle w:val="NormalwIndent"/>
      </w:pPr>
      <w:r>
        <w:t xml:space="preserve">Whakamaua includes </w:t>
      </w:r>
      <w:bookmarkStart w:id="8" w:name="_Hlk124930360"/>
      <w:r w:rsidR="00884118">
        <w:t xml:space="preserve">the </w:t>
      </w:r>
      <w:r>
        <w:t>Te Tiriti o Waitangi framework</w:t>
      </w:r>
      <w:r w:rsidR="00154E21">
        <w:t xml:space="preserve"> </w:t>
      </w:r>
      <w:r>
        <w:t xml:space="preserve">and </w:t>
      </w:r>
      <w:r w:rsidR="00884118">
        <w:t xml:space="preserve">the </w:t>
      </w:r>
      <w:r>
        <w:t xml:space="preserve">description of </w:t>
      </w:r>
      <w:r w:rsidR="00E42F14">
        <w:t xml:space="preserve">Te Tiriti </w:t>
      </w:r>
      <w:r>
        <w:t>principles</w:t>
      </w:r>
      <w:r w:rsidR="00884118">
        <w:t xml:space="preserve"> for </w:t>
      </w:r>
      <w:r w:rsidR="00884118" w:rsidRPr="00884118">
        <w:t>Manatū Hauora</w:t>
      </w:r>
      <w:bookmarkEnd w:id="8"/>
      <w:r w:rsidR="00E42F14">
        <w:t>:</w:t>
      </w:r>
      <w:r>
        <w:t xml:space="preserve"> tino rangatiratanga, equity, active protection, partnership and options.</w:t>
      </w:r>
    </w:p>
    <w:p w14:paraId="0CABDBFF" w14:textId="77777777" w:rsidR="008E0770" w:rsidRDefault="008E0770" w:rsidP="008E0770">
      <w:pPr>
        <w:pStyle w:val="NormalwIndent"/>
      </w:pPr>
      <w:r>
        <w:t xml:space="preserve">The Commissioning for Pae Ora approach: </w:t>
      </w:r>
    </w:p>
    <w:p w14:paraId="382374D8" w14:textId="01D35053" w:rsidR="008E0770" w:rsidRPr="008E0770" w:rsidRDefault="00E42F14" w:rsidP="008E0770">
      <w:pPr>
        <w:pStyle w:val="ListBullet"/>
        <w:ind w:left="1985" w:hanging="284"/>
      </w:pPr>
      <w:r>
        <w:t>i</w:t>
      </w:r>
      <w:r w:rsidR="008E0770" w:rsidRPr="008E0770">
        <w:t xml:space="preserve">s grounded in Te Tiriti o Waitangi principles and </w:t>
      </w:r>
      <w:r>
        <w:t>has drawn</w:t>
      </w:r>
      <w:r w:rsidRPr="008E0770">
        <w:t xml:space="preserve"> </w:t>
      </w:r>
      <w:r w:rsidR="008E0770" w:rsidRPr="008E0770">
        <w:t>on the insights from Puao-te-Ata-tu</w:t>
      </w:r>
      <w:r w:rsidR="00B42093">
        <w:t xml:space="preserve"> (</w:t>
      </w:r>
      <w:r w:rsidR="00B42093" w:rsidRPr="0026484B">
        <w:rPr>
          <w:rStyle w:val="CommentReference"/>
          <w:sz w:val="21"/>
          <w:szCs w:val="21"/>
        </w:rPr>
        <w:t>Ministerial Advisory Committee on a Māori Perspective for the Department of Social Welfare</w:t>
      </w:r>
      <w:r w:rsidR="00B42093">
        <w:rPr>
          <w:rStyle w:val="CommentReference"/>
          <w:sz w:val="21"/>
          <w:szCs w:val="21"/>
        </w:rPr>
        <w:t xml:space="preserve"> 1988</w:t>
      </w:r>
      <w:r w:rsidR="00B42093">
        <w:t>)</w:t>
      </w:r>
      <w:r w:rsidR="00771380">
        <w:t>,</w:t>
      </w:r>
      <w:r w:rsidR="008E0770" w:rsidRPr="008E0770">
        <w:t xml:space="preserve"> Te </w:t>
      </w:r>
      <w:r w:rsidR="004B7EA7">
        <w:t>W</w:t>
      </w:r>
      <w:r w:rsidR="008E0770" w:rsidRPr="008E0770">
        <w:t xml:space="preserve">hare </w:t>
      </w:r>
      <w:r w:rsidR="004B7EA7">
        <w:t>T</w:t>
      </w:r>
      <w:r w:rsidR="008E0770" w:rsidRPr="008E0770">
        <w:t xml:space="preserve">apa </w:t>
      </w:r>
      <w:r w:rsidR="004B7EA7">
        <w:t>W</w:t>
      </w:r>
      <w:r w:rsidR="008E0770" w:rsidRPr="008E0770">
        <w:t>hā, He Korowai Oranga</w:t>
      </w:r>
      <w:r w:rsidR="00771380">
        <w:t>,</w:t>
      </w:r>
      <w:r w:rsidR="004D7920">
        <w:rPr>
          <w:rFonts w:ascii="ZWAdobeF" w:hAnsi="ZWAdobeF" w:cs="ZWAdobeF"/>
          <w:color w:val="auto"/>
          <w:sz w:val="2"/>
          <w:szCs w:val="2"/>
        </w:rPr>
        <w:t>2F</w:t>
      </w:r>
      <w:r w:rsidR="008E0770" w:rsidRPr="008E0770">
        <w:rPr>
          <w:rStyle w:val="FootnoteReference"/>
          <w:sz w:val="18"/>
          <w:szCs w:val="24"/>
        </w:rPr>
        <w:footnoteReference w:id="4"/>
      </w:r>
      <w:r w:rsidR="008E0770" w:rsidRPr="008E0770">
        <w:t xml:space="preserve"> Whānau Ora development and evolution</w:t>
      </w:r>
      <w:r w:rsidR="00215904">
        <w:t xml:space="preserve"> (</w:t>
      </w:r>
      <w:r w:rsidR="00215904" w:rsidRPr="008E0770">
        <w:t>Te Puni Kōkiri 2013, 2015, 2016</w:t>
      </w:r>
      <w:r w:rsidR="00215904">
        <w:t>)</w:t>
      </w:r>
      <w:r w:rsidR="008E0770" w:rsidRPr="008E0770">
        <w:t xml:space="preserve"> and Te Piringa research into whānau-centred primary care</w:t>
      </w:r>
      <w:r w:rsidR="00215904">
        <w:t xml:space="preserve"> (</w:t>
      </w:r>
      <w:r w:rsidR="00215904" w:rsidRPr="008E0770">
        <w:t>Te Puni Kōkiri</w:t>
      </w:r>
      <w:r w:rsidR="00215904">
        <w:t xml:space="preserve"> 2020)</w:t>
      </w:r>
    </w:p>
    <w:p w14:paraId="43464694" w14:textId="518C00FA" w:rsidR="008E0770" w:rsidRDefault="00215904" w:rsidP="008E0770">
      <w:pPr>
        <w:pStyle w:val="ListBullet"/>
        <w:ind w:left="1985" w:hanging="284"/>
      </w:pPr>
      <w:r>
        <w:t>has drawn</w:t>
      </w:r>
      <w:r w:rsidR="008E0770">
        <w:t xml:space="preserve"> on the disability transformation work programme, which is based on the Enabling Good Lives vision</w:t>
      </w:r>
      <w:r w:rsidR="004D7920">
        <w:rPr>
          <w:rFonts w:ascii="ZWAdobeF" w:hAnsi="ZWAdobeF" w:cs="ZWAdobeF"/>
          <w:color w:val="auto"/>
          <w:sz w:val="2"/>
          <w:szCs w:val="2"/>
        </w:rPr>
        <w:t>3F</w:t>
      </w:r>
      <w:r w:rsidR="008E0770" w:rsidRPr="008E0770">
        <w:rPr>
          <w:rStyle w:val="FootnoteReference"/>
          <w:sz w:val="18"/>
          <w:szCs w:val="24"/>
        </w:rPr>
        <w:footnoteReference w:id="5"/>
      </w:r>
      <w:r w:rsidR="008E0770">
        <w:t xml:space="preserve"> and principles</w:t>
      </w:r>
      <w:r w:rsidR="004D7920">
        <w:rPr>
          <w:rFonts w:ascii="ZWAdobeF" w:hAnsi="ZWAdobeF" w:cs="ZWAdobeF"/>
          <w:color w:val="auto"/>
          <w:sz w:val="2"/>
          <w:szCs w:val="2"/>
        </w:rPr>
        <w:t>4F</w:t>
      </w:r>
      <w:r w:rsidR="008E0770" w:rsidRPr="008E0770">
        <w:rPr>
          <w:rStyle w:val="FootnoteReference"/>
          <w:sz w:val="18"/>
          <w:szCs w:val="24"/>
        </w:rPr>
        <w:footnoteReference w:id="6"/>
      </w:r>
      <w:r w:rsidR="008E0770">
        <w:t xml:space="preserve"> and seen as the closest current example of </w:t>
      </w:r>
      <w:r w:rsidR="004B7EA7">
        <w:t>W</w:t>
      </w:r>
      <w:r w:rsidR="008E0770">
        <w:t xml:space="preserve">hānau </w:t>
      </w:r>
      <w:r w:rsidR="004B7EA7">
        <w:t>O</w:t>
      </w:r>
      <w:r w:rsidR="008E0770">
        <w:t>ra within the health and disability support system</w:t>
      </w:r>
    </w:p>
    <w:p w14:paraId="749725A4" w14:textId="78E164EA" w:rsidR="008E0770" w:rsidRDefault="00E42F14" w:rsidP="008E0770">
      <w:pPr>
        <w:pStyle w:val="ListBullet"/>
        <w:ind w:left="1985" w:hanging="284"/>
      </w:pPr>
      <w:r>
        <w:t>r</w:t>
      </w:r>
      <w:r w:rsidR="008E0770">
        <w:t>eflect</w:t>
      </w:r>
      <w:r w:rsidR="007635ED">
        <w:t>s</w:t>
      </w:r>
      <w:r w:rsidR="008E0770">
        <w:t xml:space="preserve"> the Health and Disability System Re</w:t>
      </w:r>
      <w:r w:rsidR="003551C4">
        <w:t>view (2019)</w:t>
      </w:r>
      <w:r w:rsidR="008E0770">
        <w:t xml:space="preserve"> recommendations, the Wai 2575 Health Services and Outcomes Kaupapa Inquiry recommendations</w:t>
      </w:r>
      <w:r w:rsidR="004B740C">
        <w:t xml:space="preserve"> (Waitangi Tribu</w:t>
      </w:r>
      <w:r w:rsidR="002C4A4E">
        <w:t>n</w:t>
      </w:r>
      <w:r w:rsidR="004B740C">
        <w:t>al 2019)</w:t>
      </w:r>
      <w:r w:rsidR="008E0770">
        <w:t xml:space="preserve">, insights from Hui Whakaoranga 2021 </w:t>
      </w:r>
      <w:r w:rsidR="002C4A4E">
        <w:t>(Ministry of Health 2021)</w:t>
      </w:r>
      <w:r w:rsidR="008E0770">
        <w:t xml:space="preserve"> and a range of literature on commissioning, human-centred design, human learning systems and behavioural economics.</w:t>
      </w:r>
    </w:p>
    <w:p w14:paraId="79C9DC93" w14:textId="77777777" w:rsidR="008E0770" w:rsidRDefault="008E0770" w:rsidP="008E0770">
      <w:pPr>
        <w:pStyle w:val="NormalwIndent"/>
        <w:sectPr w:rsidR="008E0770" w:rsidSect="00442363">
          <w:headerReference w:type="even" r:id="rId24"/>
          <w:headerReference w:type="default" r:id="rId25"/>
          <w:footerReference w:type="default" r:id="rId26"/>
          <w:headerReference w:type="first" r:id="rId27"/>
          <w:footerReference w:type="first" r:id="rId28"/>
          <w:pgSz w:w="11906" w:h="16838"/>
          <w:pgMar w:top="2778" w:right="1701" w:bottom="454" w:left="1701" w:header="567" w:footer="567" w:gutter="0"/>
          <w:pgNumType w:start="1"/>
          <w:cols w:space="708"/>
          <w:titlePg/>
          <w:docGrid w:linePitch="360"/>
        </w:sectPr>
      </w:pPr>
    </w:p>
    <w:p w14:paraId="2E5D4F68" w14:textId="75998679" w:rsidR="008E0770" w:rsidRDefault="008E0770" w:rsidP="008E0770">
      <w:pPr>
        <w:pStyle w:val="Heading2-nonumbering"/>
      </w:pPr>
      <w:bookmarkStart w:id="9" w:name="_Toc124933818"/>
      <w:r>
        <w:lastRenderedPageBreak/>
        <w:t xml:space="preserve">Bringing the </w:t>
      </w:r>
      <w:r w:rsidR="004B7EA7">
        <w:t>W</w:t>
      </w:r>
      <w:r>
        <w:t xml:space="preserve">hānau </w:t>
      </w:r>
      <w:r w:rsidR="004B7EA7">
        <w:t>O</w:t>
      </w:r>
      <w:r>
        <w:t>ra vision into the health system</w:t>
      </w:r>
      <w:bookmarkEnd w:id="9"/>
    </w:p>
    <w:p w14:paraId="71CEF5B6" w14:textId="77777777" w:rsidR="008E0770" w:rsidRDefault="008E0770" w:rsidP="008E0770">
      <w:pPr>
        <w:pStyle w:val="NormalwIndent"/>
      </w:pPr>
    </w:p>
    <w:p w14:paraId="73E5E12A" w14:textId="3DF5975B" w:rsidR="008E0770" w:rsidRPr="009D2F3B" w:rsidRDefault="008E0770" w:rsidP="008E0770">
      <w:pPr>
        <w:pStyle w:val="NormalwIndent"/>
      </w:pPr>
      <w:r w:rsidRPr="009D2F3B">
        <w:t xml:space="preserve">Commissioning for Pae Ora aims to bring the </w:t>
      </w:r>
      <w:r w:rsidR="004B7EA7">
        <w:t>W</w:t>
      </w:r>
      <w:r w:rsidRPr="009D2F3B">
        <w:t xml:space="preserve">hānau </w:t>
      </w:r>
      <w:r w:rsidR="004B7EA7">
        <w:t>O</w:t>
      </w:r>
      <w:r w:rsidRPr="009D2F3B">
        <w:t>ra vision into the mainstream of health stewardship, system and services. It takes a whānau-</w:t>
      </w:r>
      <w:r w:rsidR="00DD0761">
        <w:t>led</w:t>
      </w:r>
      <w:r w:rsidR="00C544C7">
        <w:t xml:space="preserve"> (Walker 2017)</w:t>
      </w:r>
      <w:r w:rsidR="00DD0761">
        <w:t xml:space="preserve"> </w:t>
      </w:r>
      <w:r w:rsidRPr="009D2F3B">
        <w:t xml:space="preserve">and Māori-led approach to commissioning, which turns conventional commissioning upside down. It starts with whakawhanaungatanga </w:t>
      </w:r>
      <w:r w:rsidR="002D2ED8">
        <w:rPr>
          <w:rFonts w:ascii="Calibri" w:hAnsi="Calibri" w:cs="Calibri"/>
        </w:rPr>
        <w:t>—</w:t>
      </w:r>
      <w:r w:rsidRPr="009D2F3B">
        <w:t xml:space="preserve"> building relationships </w:t>
      </w:r>
      <w:r w:rsidR="002D2ED8">
        <w:rPr>
          <w:rFonts w:ascii="Calibri" w:hAnsi="Calibri" w:cs="Calibri"/>
        </w:rPr>
        <w:t>—</w:t>
      </w:r>
      <w:r w:rsidRPr="009D2F3B">
        <w:t xml:space="preserve"> by connecting with whānau to deeply understand </w:t>
      </w:r>
      <w:r w:rsidRPr="00EE4B7F">
        <w:rPr>
          <w:color w:val="auto"/>
        </w:rPr>
        <w:t>what matters to them</w:t>
      </w:r>
      <w:r w:rsidRPr="009D2F3B">
        <w:t xml:space="preserve"> and their communities, and then works together with them on how best to respond. This contrasts with the conventional approach of prioritising what the system assume</w:t>
      </w:r>
      <w:r w:rsidR="002D2ED8">
        <w:t>s people</w:t>
      </w:r>
      <w:r w:rsidRPr="009D2F3B">
        <w:t xml:space="preserve"> need (</w:t>
      </w:r>
      <w:r w:rsidR="009055B4">
        <w:fldChar w:fldCharType="begin" w:fldLock="1"/>
      </w:r>
      <w:r w:rsidR="009055B4">
        <w:instrText xml:space="preserve"> REF _Ref120206353 \h </w:instrText>
      </w:r>
      <w:r w:rsidR="009055B4">
        <w:fldChar w:fldCharType="separate"/>
      </w:r>
      <w:r w:rsidR="00B24B20" w:rsidRPr="00831CBA">
        <w:t xml:space="preserve">Figure </w:t>
      </w:r>
      <w:r w:rsidR="00B24B20">
        <w:rPr>
          <w:noProof/>
        </w:rPr>
        <w:t>1</w:t>
      </w:r>
      <w:r w:rsidR="009055B4">
        <w:fldChar w:fldCharType="end"/>
      </w:r>
      <w:r w:rsidRPr="009D2F3B">
        <w:t xml:space="preserve">). </w:t>
      </w:r>
    </w:p>
    <w:p w14:paraId="0505AE80" w14:textId="4BF903BD" w:rsidR="008E0770" w:rsidRDefault="00D93657" w:rsidP="00680740">
      <w:pPr>
        <w:pStyle w:val="Caption"/>
      </w:pPr>
      <w:bookmarkStart w:id="10" w:name="_Ref120206353"/>
      <w:bookmarkStart w:id="11" w:name="_Toc120206622"/>
      <w:r w:rsidRPr="00831CBA">
        <w:t xml:space="preserve">Figure </w:t>
      </w:r>
      <w:r w:rsidRPr="00831CBA">
        <w:fldChar w:fldCharType="begin"/>
      </w:r>
      <w:r w:rsidRPr="00831CBA">
        <w:instrText xml:space="preserve"> SEQ Figure \* ARABIC </w:instrText>
      </w:r>
      <w:r w:rsidRPr="00831CBA">
        <w:fldChar w:fldCharType="separate"/>
      </w:r>
      <w:r w:rsidR="00B27208">
        <w:t>1</w:t>
      </w:r>
      <w:r w:rsidRPr="00831CBA">
        <w:fldChar w:fldCharType="end"/>
      </w:r>
      <w:bookmarkEnd w:id="10"/>
      <w:r w:rsidRPr="00831CBA">
        <w:t xml:space="preserve">: Three approaches to commissioning </w:t>
      </w:r>
      <w:r w:rsidR="00340C10">
        <w:rPr>
          <w:rFonts w:cs="Segoe UI Semibold"/>
        </w:rPr>
        <w:t>—</w:t>
      </w:r>
      <w:r w:rsidRPr="00831CBA">
        <w:t xml:space="preserve"> conventional, improved, and whānau- and Māori-led</w:t>
      </w:r>
      <w:bookmarkEnd w:id="11"/>
      <w:r>
        <w:t xml:space="preserve"> </w:t>
      </w:r>
    </w:p>
    <w:p w14:paraId="64E2141B" w14:textId="0D52E359" w:rsidR="00DC0F08" w:rsidRDefault="00DC0F08" w:rsidP="00DC0F08">
      <w:pPr>
        <w:spacing w:after="240"/>
      </w:pPr>
      <w:r>
        <w:rPr>
          <w:noProof/>
        </w:rPr>
        <w:drawing>
          <wp:inline distT="0" distB="0" distL="0" distR="0" wp14:anchorId="317B17F7" wp14:editId="72EFA65F">
            <wp:extent cx="5496760" cy="2353586"/>
            <wp:effectExtent l="0" t="0" r="8890" b="8890"/>
            <wp:docPr id="6" name="Picture 6" descr="P1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131#yIS1"/>
                    <pic:cNvPicPr/>
                  </pic:nvPicPr>
                  <pic:blipFill rotWithShape="1">
                    <a:blip r:embed="rId29" cstate="print">
                      <a:extLst>
                        <a:ext uri="{28A0092B-C50C-407E-A947-70E740481C1C}">
                          <a14:useLocalDpi xmlns:a14="http://schemas.microsoft.com/office/drawing/2010/main" val="0"/>
                        </a:ext>
                      </a:extLst>
                    </a:blip>
                    <a:srcRect t="11016"/>
                    <a:stretch/>
                  </pic:blipFill>
                  <pic:spPr bwMode="auto">
                    <a:xfrm>
                      <a:off x="0" y="0"/>
                      <a:ext cx="5505767" cy="2357442"/>
                    </a:xfrm>
                    <a:prstGeom prst="rect">
                      <a:avLst/>
                    </a:prstGeom>
                    <a:ln>
                      <a:noFill/>
                    </a:ln>
                    <a:extLst>
                      <a:ext uri="{53640926-AAD7-44D8-BBD7-CCE9431645EC}">
                        <a14:shadowObscured xmlns:a14="http://schemas.microsoft.com/office/drawing/2010/main"/>
                      </a:ext>
                    </a:extLst>
                  </pic:spPr>
                </pic:pic>
              </a:graphicData>
            </a:graphic>
          </wp:inline>
        </w:drawing>
      </w:r>
    </w:p>
    <w:p w14:paraId="3FE88A1A" w14:textId="77777777" w:rsidR="001B01C8" w:rsidRPr="00DC0F08" w:rsidRDefault="001B01C8" w:rsidP="00DC0F08">
      <w:pPr>
        <w:spacing w:after="240"/>
      </w:pPr>
    </w:p>
    <w:p w14:paraId="7EDDF101" w14:textId="77777777" w:rsidR="001B01C8" w:rsidRDefault="001B01C8" w:rsidP="00831CBA">
      <w:pPr>
        <w:pStyle w:val="Heading2-nonumbering"/>
        <w:sectPr w:rsidR="001B01C8" w:rsidSect="00C345BC">
          <w:pgSz w:w="11906" w:h="16838"/>
          <w:pgMar w:top="2778" w:right="1701" w:bottom="454" w:left="1701" w:header="567" w:footer="567" w:gutter="0"/>
          <w:cols w:space="708"/>
          <w:titlePg/>
          <w:docGrid w:linePitch="360"/>
        </w:sectPr>
      </w:pPr>
    </w:p>
    <w:p w14:paraId="6349F14A" w14:textId="24A23BD4" w:rsidR="00831CBA" w:rsidRDefault="00831CBA" w:rsidP="00831CBA">
      <w:pPr>
        <w:pStyle w:val="Heading2-nonumbering"/>
        <w:rPr>
          <w:bCs/>
        </w:rPr>
      </w:pPr>
      <w:bookmarkStart w:id="12" w:name="_Toc124933819"/>
      <w:r>
        <w:lastRenderedPageBreak/>
        <w:t>Embedding Te Tiriti o Waitangi principles</w:t>
      </w:r>
      <w:bookmarkEnd w:id="12"/>
    </w:p>
    <w:p w14:paraId="2D83F550" w14:textId="77777777" w:rsidR="00831CBA" w:rsidRDefault="00831CBA" w:rsidP="00DC0F08">
      <w:pPr>
        <w:pStyle w:val="NormalwIndent"/>
      </w:pPr>
    </w:p>
    <w:p w14:paraId="26BA8E22" w14:textId="030E63D8" w:rsidR="00831CBA" w:rsidRDefault="00831CBA" w:rsidP="00831CBA">
      <w:pPr>
        <w:pStyle w:val="NormalwIndent"/>
      </w:pPr>
      <w:r>
        <w:t>The Commissioning for Pae Ora approach embeds Te Tiriti o Waitangi principles</w:t>
      </w:r>
      <w:r w:rsidR="00884118">
        <w:t xml:space="preserve"> for </w:t>
      </w:r>
      <w:r w:rsidR="00884118" w:rsidRPr="00884118">
        <w:t>Manatū Hauora</w:t>
      </w:r>
      <w:r w:rsidR="00884118">
        <w:t>.</w:t>
      </w:r>
      <w:r w:rsidR="00884118" w:rsidRPr="00884118">
        <w:t xml:space="preserve"> </w:t>
      </w:r>
      <w:r w:rsidR="004D7920">
        <w:rPr>
          <w:rFonts w:ascii="ZWAdobeF" w:hAnsi="ZWAdobeF" w:cs="ZWAdobeF"/>
          <w:color w:val="auto"/>
          <w:sz w:val="2"/>
          <w:szCs w:val="2"/>
        </w:rPr>
        <w:t>5F</w:t>
      </w:r>
      <w:r w:rsidR="00C975CF" w:rsidRPr="00831CBA">
        <w:rPr>
          <w:rStyle w:val="FootnoteReference"/>
          <w:sz w:val="18"/>
          <w:szCs w:val="24"/>
        </w:rPr>
        <w:footnoteReference w:id="7"/>
      </w:r>
      <w:r w:rsidR="00C975CF">
        <w:t xml:space="preserve"> </w:t>
      </w:r>
      <w:r w:rsidR="00C544C7">
        <w:t xml:space="preserve">It </w:t>
      </w:r>
      <w:r>
        <w:t>aims to improve health outcomes and equity by:</w:t>
      </w:r>
    </w:p>
    <w:p w14:paraId="5DEB778E" w14:textId="0F1BC9E7" w:rsidR="00831CBA" w:rsidRPr="009D2F3B" w:rsidRDefault="00831CBA" w:rsidP="00831CBA">
      <w:pPr>
        <w:pStyle w:val="ListBullet"/>
        <w:ind w:left="1985" w:hanging="284"/>
      </w:pPr>
      <w:r w:rsidRPr="009D2F3B">
        <w:t xml:space="preserve">supporting </w:t>
      </w:r>
      <w:r w:rsidRPr="003D7A22">
        <w:rPr>
          <w:b/>
          <w:bCs w:val="0"/>
          <w:color w:val="auto"/>
        </w:rPr>
        <w:t xml:space="preserve">tino rangatiratanga </w:t>
      </w:r>
      <w:r w:rsidRPr="009D2F3B">
        <w:t>by taking a strengths-based approach and enabling choice, control and autonomy of decision-making for whānau</w:t>
      </w:r>
    </w:p>
    <w:p w14:paraId="2D566E2F" w14:textId="7B53DAB3" w:rsidR="00831CBA" w:rsidRPr="009D2F3B" w:rsidRDefault="00831CBA" w:rsidP="00831CBA">
      <w:pPr>
        <w:pStyle w:val="ListBullet"/>
        <w:ind w:left="1985" w:hanging="284"/>
      </w:pPr>
      <w:r w:rsidRPr="009D2F3B">
        <w:t xml:space="preserve">creating </w:t>
      </w:r>
      <w:r w:rsidRPr="003D7A22">
        <w:rPr>
          <w:b/>
          <w:bCs w:val="0"/>
          <w:color w:val="auto"/>
        </w:rPr>
        <w:t>options</w:t>
      </w:r>
      <w:r w:rsidRPr="009D2F3B">
        <w:rPr>
          <w:color w:val="EC643C"/>
        </w:rPr>
        <w:t xml:space="preserve"> </w:t>
      </w:r>
      <w:r w:rsidR="00A05B58">
        <w:t xml:space="preserve">and </w:t>
      </w:r>
      <w:r w:rsidR="00A05B58" w:rsidRPr="009D2F3B">
        <w:t xml:space="preserve">facilitating choice </w:t>
      </w:r>
      <w:r w:rsidRPr="009D2F3B">
        <w:t xml:space="preserve">for whānau by </w:t>
      </w:r>
      <w:r w:rsidR="00A05B58">
        <w:t>offering</w:t>
      </w:r>
      <w:r w:rsidR="00A05B58" w:rsidRPr="009D2F3B">
        <w:t xml:space="preserve"> </w:t>
      </w:r>
      <w:r w:rsidRPr="009D2F3B">
        <w:t>a range of accessible, culturally safe and effective services and supports</w:t>
      </w:r>
    </w:p>
    <w:p w14:paraId="67CDD49E" w14:textId="14ACEFF2" w:rsidR="00831CBA" w:rsidRPr="009D2F3B" w:rsidRDefault="00831CBA" w:rsidP="00831CBA">
      <w:pPr>
        <w:pStyle w:val="ListBullet"/>
        <w:ind w:left="1985" w:hanging="284"/>
      </w:pPr>
      <w:r w:rsidRPr="009D2F3B">
        <w:t xml:space="preserve">building </w:t>
      </w:r>
      <w:r w:rsidRPr="003D7A22">
        <w:rPr>
          <w:b/>
          <w:bCs w:val="0"/>
          <w:color w:val="auto"/>
        </w:rPr>
        <w:t>partnerships</w:t>
      </w:r>
      <w:r w:rsidRPr="009D2F3B">
        <w:rPr>
          <w:color w:val="EC643C"/>
        </w:rPr>
        <w:t xml:space="preserve"> </w:t>
      </w:r>
      <w:r w:rsidRPr="009D2F3B">
        <w:t>through investing in effective and accessible Māori health service providers and supporting diversity and resilience in provider markets</w:t>
      </w:r>
    </w:p>
    <w:p w14:paraId="5E629F8B" w14:textId="79FB0DCC" w:rsidR="00831CBA" w:rsidRPr="009D2F3B" w:rsidRDefault="00831CBA" w:rsidP="00831CBA">
      <w:pPr>
        <w:pStyle w:val="ListBullet"/>
        <w:ind w:left="1985" w:hanging="284"/>
      </w:pPr>
      <w:r w:rsidRPr="009D2F3B">
        <w:t xml:space="preserve">investing in </w:t>
      </w:r>
      <w:r w:rsidRPr="003D7A22">
        <w:rPr>
          <w:b/>
          <w:bCs w:val="0"/>
          <w:color w:val="auto"/>
        </w:rPr>
        <w:t xml:space="preserve">active protection </w:t>
      </w:r>
      <w:r w:rsidRPr="009D2F3B">
        <w:t>by building the capability of people, whānau, providers and communities, and influencing the conditions that contribute to health and wellbeing.</w:t>
      </w:r>
    </w:p>
    <w:p w14:paraId="79520207" w14:textId="088F71CA" w:rsidR="00831CBA" w:rsidRPr="009D2F3B" w:rsidRDefault="00831CBA" w:rsidP="00831CBA">
      <w:pPr>
        <w:pStyle w:val="NormalwIndent"/>
      </w:pPr>
      <w:r w:rsidRPr="009D2F3B">
        <w:t xml:space="preserve">Together these strengths combine to improve </w:t>
      </w:r>
      <w:r w:rsidRPr="003D7A22">
        <w:rPr>
          <w:b/>
          <w:bCs w:val="0"/>
          <w:color w:val="auto"/>
          <w:lang w:eastAsia="en-US"/>
        </w:rPr>
        <w:t>equity</w:t>
      </w:r>
      <w:r w:rsidRPr="009D2F3B">
        <w:rPr>
          <w:color w:val="EC643C"/>
          <w:lang w:eastAsia="en-US"/>
        </w:rPr>
        <w:t xml:space="preserve"> </w:t>
      </w:r>
      <w:r w:rsidRPr="009D2F3B">
        <w:t xml:space="preserve">of health and wellbeing outcomes, by responding to people in the context of their whole selves, their whānau and their community.   </w:t>
      </w:r>
    </w:p>
    <w:p w14:paraId="274955C9" w14:textId="77777777" w:rsidR="008E0770" w:rsidRDefault="008E0770" w:rsidP="008E0770">
      <w:pPr>
        <w:pStyle w:val="NormalwIndent"/>
      </w:pPr>
    </w:p>
    <w:p w14:paraId="235A5BB7" w14:textId="5C7D30C1" w:rsidR="00831CBA" w:rsidRDefault="00831CBA" w:rsidP="00442363">
      <w:pPr>
        <w:pStyle w:val="Heading2-nonumbering"/>
      </w:pPr>
      <w:bookmarkStart w:id="13" w:name="_Toc124933820"/>
      <w:r w:rsidRPr="00831CBA">
        <w:t>Changing context and roles of entities</w:t>
      </w:r>
      <w:bookmarkEnd w:id="13"/>
    </w:p>
    <w:p w14:paraId="1C9CA5D4" w14:textId="77777777" w:rsidR="00442363" w:rsidRDefault="00442363" w:rsidP="00831CBA">
      <w:pPr>
        <w:pStyle w:val="NormalwIndent"/>
      </w:pPr>
    </w:p>
    <w:p w14:paraId="2B9303F5" w14:textId="53317DF5" w:rsidR="00831CBA" w:rsidRDefault="00543551" w:rsidP="00831CBA">
      <w:pPr>
        <w:pStyle w:val="NormalwIndent"/>
      </w:pPr>
      <w:r>
        <w:t>When Manat</w:t>
      </w:r>
      <w:r>
        <w:rPr>
          <w:rFonts w:ascii="Calibri" w:hAnsi="Calibri" w:cs="Calibri"/>
        </w:rPr>
        <w:t>ū</w:t>
      </w:r>
      <w:r>
        <w:t xml:space="preserve"> Hauora began developing </w:t>
      </w:r>
      <w:r w:rsidR="00C0086D">
        <w:t xml:space="preserve">the </w:t>
      </w:r>
      <w:r w:rsidR="00A26AFD">
        <w:t>Commissioning for Pae Ora</w:t>
      </w:r>
      <w:r w:rsidR="00C0086D">
        <w:t xml:space="preserve"> framework</w:t>
      </w:r>
      <w:r>
        <w:t>, the intention was to</w:t>
      </w:r>
      <w:r w:rsidR="00831CBA">
        <w:t xml:space="preserve"> test </w:t>
      </w:r>
      <w:r>
        <w:t xml:space="preserve">the approach </w:t>
      </w:r>
      <w:r w:rsidR="00831CBA">
        <w:t>through implement</w:t>
      </w:r>
      <w:r>
        <w:t>ing it</w:t>
      </w:r>
      <w:r w:rsidR="00831CBA">
        <w:t xml:space="preserve"> within the Ministry’s own commissioning functions and within some district health boards (DHBs). Consistent with this expectation, the Ministry adopted Commissioning for Pae Ora as its overall framework for commissioning and entered into learning partnerships with some DHBs and community groups who were testing different ways of commissioning.  </w:t>
      </w:r>
    </w:p>
    <w:p w14:paraId="2ABB5ADA" w14:textId="5A1913F5" w:rsidR="00A56667" w:rsidRDefault="00A05B58" w:rsidP="00831CBA">
      <w:pPr>
        <w:pStyle w:val="NormalwIndent"/>
      </w:pPr>
      <w:r>
        <w:t>Since then, t</w:t>
      </w:r>
      <w:r w:rsidR="00831CBA">
        <w:t xml:space="preserve">he Government’s response to the </w:t>
      </w:r>
      <w:r w:rsidR="000305BC">
        <w:t>Health and Disability System Re</w:t>
      </w:r>
      <w:r w:rsidR="008D0CD3">
        <w:t>view (2019)</w:t>
      </w:r>
      <w:r w:rsidR="000305BC" w:rsidRPr="000305BC">
        <w:t xml:space="preserve"> </w:t>
      </w:r>
      <w:r w:rsidR="000305BC">
        <w:t>recommendations</w:t>
      </w:r>
      <w:r w:rsidR="00831CBA">
        <w:t>, reflected in the Pae Ora (Healthy Futures) Act 2022</w:t>
      </w:r>
      <w:r w:rsidR="00070548">
        <w:t>,</w:t>
      </w:r>
      <w:r w:rsidR="004D7920">
        <w:rPr>
          <w:rFonts w:ascii="ZWAdobeF" w:hAnsi="ZWAdobeF" w:cs="ZWAdobeF"/>
          <w:color w:val="auto"/>
          <w:sz w:val="2"/>
          <w:szCs w:val="2"/>
        </w:rPr>
        <w:t>6F</w:t>
      </w:r>
      <w:r w:rsidR="00831CBA">
        <w:rPr>
          <w:rStyle w:val="FootnoteReference"/>
        </w:rPr>
        <w:footnoteReference w:id="8"/>
      </w:r>
      <w:r w:rsidR="00831CBA">
        <w:t xml:space="preserve"> has resulted in significant changes to the Ministry’s responsibilities. </w:t>
      </w:r>
    </w:p>
    <w:p w14:paraId="420B87A0" w14:textId="0FCB41D5" w:rsidR="00831CBA" w:rsidRDefault="00741E56" w:rsidP="00831CBA">
      <w:pPr>
        <w:pStyle w:val="NormalwIndent"/>
      </w:pPr>
      <w:r>
        <w:lastRenderedPageBreak/>
        <w:t>As of</w:t>
      </w:r>
      <w:r w:rsidR="00831CBA">
        <w:t xml:space="preserve"> 1 July 2022: </w:t>
      </w:r>
    </w:p>
    <w:p w14:paraId="4F5ED2C0" w14:textId="5BC6814A" w:rsidR="00831CBA" w:rsidRDefault="00070548" w:rsidP="00831CBA">
      <w:pPr>
        <w:pStyle w:val="ListBullet"/>
        <w:ind w:left="1985" w:hanging="284"/>
      </w:pPr>
      <w:r>
        <w:t>t</w:t>
      </w:r>
      <w:r w:rsidR="00831CBA">
        <w:t xml:space="preserve">he Ministry </w:t>
      </w:r>
      <w:r w:rsidR="00E63A0F">
        <w:t xml:space="preserve">is </w:t>
      </w:r>
      <w:r w:rsidR="00831CBA">
        <w:t>no longer commission</w:t>
      </w:r>
      <w:r w:rsidR="00E63A0F">
        <w:t>ing</w:t>
      </w:r>
      <w:r w:rsidR="00831CBA">
        <w:t xml:space="preserve"> health services but </w:t>
      </w:r>
      <w:r w:rsidR="00A05B58">
        <w:t xml:space="preserve">remains </w:t>
      </w:r>
      <w:r w:rsidR="00831CBA">
        <w:t>a steward of the</w:t>
      </w:r>
      <w:r w:rsidR="00741E56">
        <w:t xml:space="preserve"> health and disability</w:t>
      </w:r>
      <w:r w:rsidR="00831CBA">
        <w:t xml:space="preserve"> system</w:t>
      </w:r>
    </w:p>
    <w:p w14:paraId="03C7F07D" w14:textId="3BB06986" w:rsidR="007F60BA" w:rsidRPr="007F60BA" w:rsidRDefault="00070548" w:rsidP="00421241">
      <w:pPr>
        <w:pStyle w:val="ListBullet"/>
        <w:ind w:left="1985" w:hanging="284"/>
        <w:rPr>
          <w:rFonts w:ascii="Calibri" w:hAnsi="Calibri" w:cs="Calibri"/>
          <w:color w:val="auto"/>
          <w:sz w:val="22"/>
        </w:rPr>
      </w:pPr>
      <w:r>
        <w:t>r</w:t>
      </w:r>
      <w:r w:rsidR="00831CBA">
        <w:t>esponsibilities for commissioning health services</w:t>
      </w:r>
      <w:r>
        <w:t xml:space="preserve"> have</w:t>
      </w:r>
      <w:r w:rsidR="00831CBA">
        <w:t xml:space="preserve"> shift</w:t>
      </w:r>
      <w:r>
        <w:t>ed</w:t>
      </w:r>
      <w:r w:rsidR="00831CBA">
        <w:t xml:space="preserve"> from the Ministry and DHBs to Te Whatu Ora </w:t>
      </w:r>
      <w:r w:rsidR="00E63A0F">
        <w:t xml:space="preserve">| </w:t>
      </w:r>
      <w:r w:rsidR="00831CBA">
        <w:t xml:space="preserve">Health New Zealand and Te Aka Whai Ora </w:t>
      </w:r>
      <w:r w:rsidR="00E63A0F">
        <w:t>|</w:t>
      </w:r>
      <w:r w:rsidR="00831CBA">
        <w:t xml:space="preserve"> Māori Health Authority, supported by Iwi-Māori Partnership Boards and locality networks</w:t>
      </w:r>
    </w:p>
    <w:p w14:paraId="6252369C" w14:textId="77777777" w:rsidR="007F60BA" w:rsidRPr="007F60BA" w:rsidRDefault="007F60BA" w:rsidP="00421241">
      <w:pPr>
        <w:pStyle w:val="ListBullet"/>
        <w:ind w:left="1985" w:hanging="284"/>
        <w:rPr>
          <w:rFonts w:ascii="Calibri" w:hAnsi="Calibri" w:cs="Calibri"/>
          <w:color w:val="auto"/>
          <w:sz w:val="22"/>
        </w:rPr>
      </w:pPr>
      <w:r>
        <w:t>commissioning of Disability Support Services (DSS) has moved from Manatū Hauora to Whaikaha | Ministry of Disabled People, however Manatū Hauora retains responsibility for strategy and policy that supports improved health outcomes and addresses inequities for all disabled people, including tāngata whaikaha Māori.</w:t>
      </w:r>
    </w:p>
    <w:p w14:paraId="41367D60" w14:textId="481421D0" w:rsidR="00831CBA" w:rsidRDefault="00ED447D" w:rsidP="00831CBA">
      <w:pPr>
        <w:pStyle w:val="NormalwIndent"/>
      </w:pPr>
      <w:r>
        <w:t xml:space="preserve">Under the reformed system, </w:t>
      </w:r>
      <w:r w:rsidR="00BA3DF9">
        <w:t>Manat</w:t>
      </w:r>
      <w:r w:rsidR="00BA3DF9">
        <w:rPr>
          <w:rFonts w:ascii="Calibri" w:hAnsi="Calibri" w:cs="Calibri"/>
        </w:rPr>
        <w:t>ū</w:t>
      </w:r>
      <w:r w:rsidR="00BA3DF9">
        <w:t xml:space="preserve"> Hauora</w:t>
      </w:r>
      <w:r w:rsidR="00831CBA">
        <w:t xml:space="preserve"> </w:t>
      </w:r>
      <w:r w:rsidR="004D06E8">
        <w:t>still has</w:t>
      </w:r>
      <w:r w:rsidR="00831CBA">
        <w:t xml:space="preserve"> a critical role providing the policy settings and stewardship of commissioning across the health sector. </w:t>
      </w:r>
      <w:r w:rsidR="00741E56">
        <w:t>It</w:t>
      </w:r>
      <w:r w:rsidR="00831CBA">
        <w:t xml:space="preserve"> also support</w:t>
      </w:r>
      <w:r w:rsidR="004E0E19">
        <w:t>s</w:t>
      </w:r>
      <w:r w:rsidR="00831CBA">
        <w:t xml:space="preserve"> cross-sector collaboration</w:t>
      </w:r>
      <w:r>
        <w:t>, which is</w:t>
      </w:r>
      <w:r w:rsidR="00831CBA">
        <w:t xml:space="preserve"> needed to respond to the wider determinants of health. This </w:t>
      </w:r>
      <w:r w:rsidR="008125B9">
        <w:t xml:space="preserve">role </w:t>
      </w:r>
      <w:r w:rsidR="00831CBA">
        <w:t xml:space="preserve">includes supporting the </w:t>
      </w:r>
      <w:r w:rsidR="00C367F1">
        <w:t>S</w:t>
      </w:r>
      <w:r w:rsidR="00831CBA">
        <w:t xml:space="preserve">ocial </w:t>
      </w:r>
      <w:r w:rsidR="00C367F1">
        <w:t>S</w:t>
      </w:r>
      <w:r w:rsidR="00831CBA">
        <w:t xml:space="preserve">ector </w:t>
      </w:r>
      <w:r w:rsidR="00C367F1">
        <w:t>C</w:t>
      </w:r>
      <w:r w:rsidR="00831CBA">
        <w:t>ommissioning work programme</w:t>
      </w:r>
      <w:r w:rsidR="008125B9">
        <w:t>.</w:t>
      </w:r>
      <w:r w:rsidR="004D7920">
        <w:rPr>
          <w:rFonts w:ascii="ZWAdobeF" w:hAnsi="ZWAdobeF" w:cs="ZWAdobeF"/>
          <w:color w:val="auto"/>
          <w:sz w:val="2"/>
          <w:szCs w:val="2"/>
        </w:rPr>
        <w:t>7F</w:t>
      </w:r>
      <w:r w:rsidR="00831CBA" w:rsidRPr="00831CBA">
        <w:rPr>
          <w:rStyle w:val="FootnoteReference"/>
          <w:sz w:val="18"/>
          <w:szCs w:val="24"/>
        </w:rPr>
        <w:footnoteReference w:id="9"/>
      </w:r>
      <w:r w:rsidR="00831CBA">
        <w:t xml:space="preserve"> </w:t>
      </w:r>
      <w:r w:rsidR="008125B9">
        <w:t>The programme</w:t>
      </w:r>
      <w:r w:rsidR="00831CBA">
        <w:t xml:space="preserve"> aims to address system-wide policy issues</w:t>
      </w:r>
      <w:r w:rsidR="004D7920">
        <w:rPr>
          <w:rFonts w:ascii="ZWAdobeF" w:hAnsi="ZWAdobeF" w:cs="ZWAdobeF"/>
          <w:color w:val="auto"/>
          <w:sz w:val="2"/>
          <w:szCs w:val="2"/>
        </w:rPr>
        <w:t>8F</w:t>
      </w:r>
      <w:r w:rsidR="00831CBA" w:rsidRPr="00831CBA">
        <w:rPr>
          <w:rStyle w:val="FootnoteReference"/>
          <w:sz w:val="18"/>
          <w:szCs w:val="24"/>
        </w:rPr>
        <w:footnoteReference w:id="10"/>
      </w:r>
      <w:r w:rsidR="00831CBA">
        <w:t xml:space="preserve"> where:</w:t>
      </w:r>
    </w:p>
    <w:p w14:paraId="62749634" w14:textId="1ADC5536" w:rsidR="00831CBA" w:rsidRDefault="008125B9" w:rsidP="00831CBA">
      <w:pPr>
        <w:pStyle w:val="ListBullet"/>
        <w:ind w:left="1985" w:hanging="284"/>
      </w:pPr>
      <w:r>
        <w:t>t</w:t>
      </w:r>
      <w:r w:rsidR="00831CBA">
        <w:t>he actions of one agency impact on the demand for another agency’s services (eg, the impact of housing on health and vice</w:t>
      </w:r>
      <w:r>
        <w:t xml:space="preserve"> </w:t>
      </w:r>
      <w:r w:rsidR="00831CBA">
        <w:t>versa)</w:t>
      </w:r>
    </w:p>
    <w:p w14:paraId="2DB329ED" w14:textId="36D00BC0" w:rsidR="00831CBA" w:rsidRDefault="008125B9" w:rsidP="00831CBA">
      <w:pPr>
        <w:pStyle w:val="ListBullet"/>
        <w:ind w:left="1985" w:hanging="284"/>
      </w:pPr>
      <w:r>
        <w:t>p</w:t>
      </w:r>
      <w:r w:rsidR="00831CBA">
        <w:t>eople, families and whānau need to deal with a range of different agencies</w:t>
      </w:r>
    </w:p>
    <w:p w14:paraId="4AFBE7C1" w14:textId="665F9931" w:rsidR="00831CBA" w:rsidRDefault="008125B9" w:rsidP="00831CBA">
      <w:pPr>
        <w:pStyle w:val="ListBullet"/>
        <w:ind w:left="1985" w:hanging="284"/>
      </w:pPr>
      <w:r>
        <w:t>t</w:t>
      </w:r>
      <w:r w:rsidR="00831CBA">
        <w:t>he same issues affect all agencies and communities (eg, government procurement rules, unified responses to cross-cutting issues like child wellbeing and poverty reduction enabled under the Public Service Act 2020).</w:t>
      </w:r>
    </w:p>
    <w:p w14:paraId="1DF02894" w14:textId="62F36147" w:rsidR="003521B3" w:rsidRDefault="00147978" w:rsidP="0071378B">
      <w:pPr>
        <w:pStyle w:val="ListBullet"/>
        <w:numPr>
          <w:ilvl w:val="0"/>
          <w:numId w:val="0"/>
        </w:numPr>
        <w:ind w:left="1701"/>
      </w:pPr>
      <w:r>
        <w:t>The recently published</w:t>
      </w:r>
      <w:r w:rsidR="003521B3">
        <w:t xml:space="preserve"> Social Sector Commissioning 2022-2028 Action Plan </w:t>
      </w:r>
      <w:r w:rsidR="00880C49">
        <w:t>reflects Commissioning for Pae Ora's emphasis on Te Tiriti o Waitangi as a foundational document and the importance of collaboration across the sector at all stages of the commissioning process.</w:t>
      </w:r>
    </w:p>
    <w:p w14:paraId="0DC7767F" w14:textId="77777777" w:rsidR="00831CBA" w:rsidRDefault="00831CBA" w:rsidP="00831CBA"/>
    <w:p w14:paraId="236D7A2B" w14:textId="77777777" w:rsidR="00E17697" w:rsidRDefault="00E17697" w:rsidP="00831CBA">
      <w:pPr>
        <w:pStyle w:val="Heading2-nonumbering"/>
        <w:sectPr w:rsidR="00E17697" w:rsidSect="00C345BC">
          <w:pgSz w:w="11906" w:h="16838"/>
          <w:pgMar w:top="2778" w:right="1701" w:bottom="454" w:left="1701" w:header="567" w:footer="567" w:gutter="0"/>
          <w:cols w:space="708"/>
          <w:titlePg/>
          <w:docGrid w:linePitch="360"/>
        </w:sectPr>
      </w:pPr>
    </w:p>
    <w:p w14:paraId="4B5A545C" w14:textId="259D6D0E" w:rsidR="00831CBA" w:rsidRDefault="00831CBA" w:rsidP="00831CBA">
      <w:pPr>
        <w:pStyle w:val="Heading2-nonumbering"/>
      </w:pPr>
      <w:bookmarkStart w:id="14" w:name="_Toc124933821"/>
      <w:r w:rsidRPr="00831CBA">
        <w:lastRenderedPageBreak/>
        <w:t>Commissioning for Pae Ora remains relevant</w:t>
      </w:r>
      <w:bookmarkEnd w:id="14"/>
      <w:r w:rsidRPr="00831CBA">
        <w:t xml:space="preserve"> </w:t>
      </w:r>
    </w:p>
    <w:p w14:paraId="6D844B68" w14:textId="77777777" w:rsidR="00831CBA" w:rsidRDefault="00831CBA" w:rsidP="00831CBA">
      <w:pPr>
        <w:pStyle w:val="NormalwIndent"/>
      </w:pPr>
    </w:p>
    <w:p w14:paraId="3C142DD5" w14:textId="36FB8A34" w:rsidR="00831CBA" w:rsidRDefault="00831CBA" w:rsidP="00831CBA">
      <w:pPr>
        <w:pStyle w:val="NormalwIndent"/>
      </w:pPr>
      <w:r>
        <w:t>Even though the roles of different entities and the broader context</w:t>
      </w:r>
      <w:r w:rsidR="00450199">
        <w:t xml:space="preserve"> have changed</w:t>
      </w:r>
      <w:r>
        <w:t>, Commissioning for Pae Ora remains relevant to the health system in several ways</w:t>
      </w:r>
      <w:r w:rsidR="00450199">
        <w:t>.</w:t>
      </w:r>
    </w:p>
    <w:p w14:paraId="6D2F15D3" w14:textId="6AF1BA24" w:rsidR="00831CBA" w:rsidRPr="003D7A22" w:rsidRDefault="00831CBA" w:rsidP="00831CBA">
      <w:pPr>
        <w:pStyle w:val="ListBullet"/>
        <w:ind w:left="1985" w:hanging="284"/>
        <w:rPr>
          <w:color w:val="auto"/>
        </w:rPr>
      </w:pPr>
      <w:r w:rsidRPr="003D7A22">
        <w:rPr>
          <w:color w:val="auto"/>
        </w:rPr>
        <w:t xml:space="preserve">Having health services that are effective for </w:t>
      </w:r>
      <w:r w:rsidR="004B7EA7">
        <w:rPr>
          <w:color w:val="auto"/>
        </w:rPr>
        <w:t>Māori</w:t>
      </w:r>
      <w:r w:rsidRPr="003D7A22">
        <w:rPr>
          <w:color w:val="auto"/>
        </w:rPr>
        <w:t xml:space="preserve"> is central to the Pae Ora (Healthy Futures) Act 2022</w:t>
      </w:r>
      <w:r w:rsidR="007F7C47">
        <w:rPr>
          <w:color w:val="auto"/>
        </w:rPr>
        <w:t>. Equally,</w:t>
      </w:r>
      <w:r w:rsidRPr="003D7A22">
        <w:rPr>
          <w:color w:val="auto"/>
        </w:rPr>
        <w:t xml:space="preserve"> delivering what works for </w:t>
      </w:r>
      <w:r w:rsidR="004B7EA7">
        <w:rPr>
          <w:color w:val="auto"/>
        </w:rPr>
        <w:t>Māori</w:t>
      </w:r>
      <w:r w:rsidRPr="003D7A22">
        <w:rPr>
          <w:color w:val="auto"/>
        </w:rPr>
        <w:t xml:space="preserve"> is central to </w:t>
      </w:r>
      <w:r w:rsidR="00450199">
        <w:rPr>
          <w:color w:val="auto"/>
        </w:rPr>
        <w:t xml:space="preserve">the </w:t>
      </w:r>
      <w:r w:rsidRPr="003D7A22">
        <w:rPr>
          <w:color w:val="auto"/>
        </w:rPr>
        <w:t xml:space="preserve">design of the Commissioning for Pae Ora approach. </w:t>
      </w:r>
    </w:p>
    <w:p w14:paraId="42652A80" w14:textId="768C4827" w:rsidR="00831CBA" w:rsidRPr="003D7A22" w:rsidRDefault="00831CBA" w:rsidP="00831CBA">
      <w:pPr>
        <w:pStyle w:val="ListBullet"/>
        <w:ind w:left="1985" w:hanging="284"/>
        <w:rPr>
          <w:color w:val="auto"/>
        </w:rPr>
      </w:pPr>
      <w:r w:rsidRPr="003D7A22">
        <w:rPr>
          <w:color w:val="auto"/>
        </w:rPr>
        <w:t>The Ministry offers Commissioning for Pae Ora</w:t>
      </w:r>
      <w:r w:rsidR="00A75E10">
        <w:rPr>
          <w:color w:val="auto"/>
        </w:rPr>
        <w:t xml:space="preserve"> </w:t>
      </w:r>
      <w:r w:rsidRPr="003D7A22">
        <w:rPr>
          <w:color w:val="auto"/>
        </w:rPr>
        <w:t xml:space="preserve">to Te Whatu Ora, Te Aka Whai Ora, Iwi-Māori Partnership Boards and locality networks </w:t>
      </w:r>
      <w:r w:rsidR="00A26AFD">
        <w:rPr>
          <w:color w:val="auto"/>
        </w:rPr>
        <w:t xml:space="preserve">as a foundation </w:t>
      </w:r>
      <w:r w:rsidRPr="003D7A22">
        <w:rPr>
          <w:color w:val="auto"/>
        </w:rPr>
        <w:t>to</w:t>
      </w:r>
      <w:r w:rsidR="00566C6C">
        <w:rPr>
          <w:color w:val="auto"/>
        </w:rPr>
        <w:t xml:space="preserve"> help</w:t>
      </w:r>
      <w:r w:rsidRPr="003D7A22">
        <w:rPr>
          <w:color w:val="auto"/>
        </w:rPr>
        <w:t xml:space="preserve"> </w:t>
      </w:r>
      <w:r w:rsidR="00566C6C">
        <w:rPr>
          <w:color w:val="auto"/>
        </w:rPr>
        <w:t>inform</w:t>
      </w:r>
      <w:r w:rsidRPr="003D7A22">
        <w:rPr>
          <w:color w:val="auto"/>
        </w:rPr>
        <w:t xml:space="preserve"> their commissioning work. </w:t>
      </w:r>
    </w:p>
    <w:p w14:paraId="3E1C4B3D" w14:textId="4B15322B" w:rsidR="00831CBA" w:rsidRPr="003D7A22" w:rsidRDefault="00831CBA" w:rsidP="00831CBA">
      <w:pPr>
        <w:pStyle w:val="ListBullet"/>
        <w:ind w:left="1985" w:hanging="284"/>
        <w:rPr>
          <w:color w:val="auto"/>
        </w:rPr>
      </w:pPr>
      <w:r w:rsidRPr="003D7A22">
        <w:rPr>
          <w:color w:val="auto"/>
        </w:rPr>
        <w:t xml:space="preserve">The Ministry </w:t>
      </w:r>
      <w:r w:rsidR="00D1538D">
        <w:rPr>
          <w:color w:val="auto"/>
        </w:rPr>
        <w:t>has</w:t>
      </w:r>
      <w:r w:rsidRPr="003D7A22">
        <w:rPr>
          <w:color w:val="auto"/>
        </w:rPr>
        <w:t xml:space="preserve"> a leadership role in supporting the adoption of cross-government arrangements that are consistent with Commissioning for Pae Ora. </w:t>
      </w:r>
      <w:r w:rsidR="00935DFD">
        <w:rPr>
          <w:color w:val="auto"/>
        </w:rPr>
        <w:t>Other</w:t>
      </w:r>
      <w:r w:rsidRPr="003D7A22">
        <w:rPr>
          <w:color w:val="auto"/>
        </w:rPr>
        <w:t xml:space="preserve"> parts of government commission</w:t>
      </w:r>
      <w:r w:rsidR="002B260F">
        <w:rPr>
          <w:color w:val="auto"/>
        </w:rPr>
        <w:t>ing</w:t>
      </w:r>
      <w:r w:rsidRPr="003D7A22">
        <w:rPr>
          <w:color w:val="auto"/>
        </w:rPr>
        <w:t xml:space="preserve"> services </w:t>
      </w:r>
      <w:r w:rsidR="002B260F">
        <w:rPr>
          <w:rFonts w:ascii="Calibri" w:hAnsi="Calibri" w:cs="Calibri"/>
          <w:color w:val="auto"/>
        </w:rPr>
        <w:t>—</w:t>
      </w:r>
      <w:r w:rsidRPr="003D7A22">
        <w:rPr>
          <w:color w:val="auto"/>
        </w:rPr>
        <w:t xml:space="preserve"> supported by other levers such as regulation and government policy </w:t>
      </w:r>
      <w:r w:rsidR="002B260F">
        <w:rPr>
          <w:rFonts w:ascii="Calibri" w:hAnsi="Calibri" w:cs="Calibri"/>
          <w:color w:val="auto"/>
        </w:rPr>
        <w:t>—</w:t>
      </w:r>
      <w:r w:rsidR="002A10ED">
        <w:rPr>
          <w:color w:val="auto"/>
        </w:rPr>
        <w:t xml:space="preserve">can </w:t>
      </w:r>
      <w:r w:rsidRPr="003D7A22">
        <w:rPr>
          <w:color w:val="auto"/>
        </w:rPr>
        <w:t xml:space="preserve">have a major impact on the demand for health services </w:t>
      </w:r>
      <w:r w:rsidR="002B260F">
        <w:rPr>
          <w:color w:val="auto"/>
        </w:rPr>
        <w:t>because</w:t>
      </w:r>
      <w:r w:rsidR="002B260F" w:rsidRPr="003D7A22">
        <w:rPr>
          <w:color w:val="auto"/>
        </w:rPr>
        <w:t xml:space="preserve"> </w:t>
      </w:r>
      <w:r w:rsidR="00BD69B6">
        <w:rPr>
          <w:color w:val="auto"/>
        </w:rPr>
        <w:t xml:space="preserve">a significant number </w:t>
      </w:r>
      <w:r w:rsidRPr="003D7A22">
        <w:rPr>
          <w:color w:val="auto"/>
        </w:rPr>
        <w:t xml:space="preserve">of the determinants of health sit outside of Vote Health. </w:t>
      </w:r>
      <w:r w:rsidR="0039578B">
        <w:rPr>
          <w:color w:val="auto"/>
        </w:rPr>
        <w:t>Th</w:t>
      </w:r>
      <w:r w:rsidR="00AD32CA">
        <w:rPr>
          <w:color w:val="auto"/>
        </w:rPr>
        <w:t xml:space="preserve">is cross-government leadership role </w:t>
      </w:r>
      <w:r w:rsidRPr="003D7A22">
        <w:rPr>
          <w:color w:val="auto"/>
        </w:rPr>
        <w:t xml:space="preserve">also </w:t>
      </w:r>
      <w:r w:rsidR="009D5FCD">
        <w:rPr>
          <w:color w:val="auto"/>
        </w:rPr>
        <w:t>can have</w:t>
      </w:r>
      <w:r w:rsidRPr="003D7A22">
        <w:rPr>
          <w:color w:val="auto"/>
        </w:rPr>
        <w:t xml:space="preserve"> a significant impact on overall population health</w:t>
      </w:r>
      <w:r w:rsidR="002B260F">
        <w:rPr>
          <w:color w:val="auto"/>
        </w:rPr>
        <w:t xml:space="preserve">. It </w:t>
      </w:r>
      <w:r w:rsidR="009D5FCD">
        <w:rPr>
          <w:color w:val="auto"/>
        </w:rPr>
        <w:t>can</w:t>
      </w:r>
      <w:r w:rsidR="002B260F">
        <w:rPr>
          <w:color w:val="auto"/>
        </w:rPr>
        <w:t xml:space="preserve"> have a particular impact on</w:t>
      </w:r>
      <w:r w:rsidRPr="003D7A22">
        <w:rPr>
          <w:color w:val="auto"/>
        </w:rPr>
        <w:t xml:space="preserve"> those groups </w:t>
      </w:r>
      <w:r w:rsidR="00624E03">
        <w:rPr>
          <w:color w:val="auto"/>
        </w:rPr>
        <w:t>that</w:t>
      </w:r>
      <w:r w:rsidR="00624E03" w:rsidRPr="003D7A22">
        <w:rPr>
          <w:color w:val="auto"/>
        </w:rPr>
        <w:t xml:space="preserve"> </w:t>
      </w:r>
      <w:r w:rsidRPr="003D7A22">
        <w:rPr>
          <w:color w:val="auto"/>
        </w:rPr>
        <w:t xml:space="preserve">tend to have poorer health status now, including Māori, Pacific peoples, people with disabilities, </w:t>
      </w:r>
      <w:r w:rsidR="002B260F">
        <w:rPr>
          <w:color w:val="auto"/>
        </w:rPr>
        <w:t>R</w:t>
      </w:r>
      <w:r w:rsidRPr="003D7A22">
        <w:rPr>
          <w:color w:val="auto"/>
        </w:rPr>
        <w:t xml:space="preserve">ainbow communities, those experiencing economic hardship, </w:t>
      </w:r>
      <w:r w:rsidR="002B260F">
        <w:rPr>
          <w:color w:val="auto"/>
        </w:rPr>
        <w:t xml:space="preserve">and people who </w:t>
      </w:r>
      <w:r w:rsidRPr="003D7A22">
        <w:rPr>
          <w:color w:val="auto"/>
        </w:rPr>
        <w:t xml:space="preserve">are disenfranchised </w:t>
      </w:r>
      <w:r w:rsidR="00624E03">
        <w:rPr>
          <w:color w:val="auto"/>
        </w:rPr>
        <w:t>or</w:t>
      </w:r>
      <w:r w:rsidRPr="003D7A22">
        <w:rPr>
          <w:color w:val="auto"/>
        </w:rPr>
        <w:t xml:space="preserve"> are socially isolated.</w:t>
      </w:r>
    </w:p>
    <w:p w14:paraId="5E7F3BB9" w14:textId="4788922E" w:rsidR="00831CBA" w:rsidRDefault="00831CBA" w:rsidP="00831CBA">
      <w:pPr>
        <w:pStyle w:val="NormalwIndent"/>
      </w:pPr>
      <w:r>
        <w:t>Taking a cross-government perspective has other benefits</w:t>
      </w:r>
      <w:r w:rsidR="00332440">
        <w:t>.</w:t>
      </w:r>
    </w:p>
    <w:p w14:paraId="52231CDF" w14:textId="12523C97" w:rsidR="00831CBA" w:rsidRDefault="00831CBA" w:rsidP="00831CBA">
      <w:pPr>
        <w:pStyle w:val="ListBullet"/>
        <w:ind w:left="1985" w:hanging="284"/>
      </w:pPr>
      <w:r>
        <w:t xml:space="preserve">It avoids the distorting incentives that </w:t>
      </w:r>
      <w:r w:rsidR="001B497F">
        <w:t xml:space="preserve">can </w:t>
      </w:r>
      <w:r>
        <w:t>come from focusing on technical efficiency only (eg, cost savings in an existing service) and shift</w:t>
      </w:r>
      <w:r w:rsidR="00E813DF">
        <w:t>s</w:t>
      </w:r>
      <w:r>
        <w:t xml:space="preserve"> the focus to allocative efficiency (commissioning the right investment, at the right time and place).</w:t>
      </w:r>
    </w:p>
    <w:p w14:paraId="281769BC" w14:textId="6F995E7B" w:rsidR="00831CBA" w:rsidRDefault="00831CBA" w:rsidP="00831CBA">
      <w:pPr>
        <w:pStyle w:val="ListBullet"/>
        <w:ind w:left="1985" w:hanging="284"/>
      </w:pPr>
      <w:r>
        <w:t xml:space="preserve">It addresses </w:t>
      </w:r>
      <w:r w:rsidR="00E5349B">
        <w:t xml:space="preserve">any </w:t>
      </w:r>
      <w:r>
        <w:t xml:space="preserve">perverse incentives and experiences for both service providers (eg, </w:t>
      </w:r>
      <w:r w:rsidR="00AE3938">
        <w:t>that can</w:t>
      </w:r>
      <w:r w:rsidR="008E4809">
        <w:t xml:space="preserve"> result in</w:t>
      </w:r>
      <w:r w:rsidR="00625A4A">
        <w:t xml:space="preserve"> a bias towards</w:t>
      </w:r>
      <w:r>
        <w:t xml:space="preserve"> </w:t>
      </w:r>
      <w:r w:rsidR="0097442E">
        <w:t xml:space="preserve">taking on </w:t>
      </w:r>
      <w:r>
        <w:t>simpler cases) and service users (eg, only users with agency are able to navigate the system).</w:t>
      </w:r>
    </w:p>
    <w:p w14:paraId="25401928" w14:textId="23FD80E5" w:rsidR="00831CBA" w:rsidRDefault="00831CBA" w:rsidP="00831CBA">
      <w:pPr>
        <w:pStyle w:val="ListBullet"/>
        <w:ind w:left="1985" w:hanging="284"/>
      </w:pPr>
      <w:r>
        <w:t xml:space="preserve">It reduces the human costs and inefficiencies </w:t>
      </w:r>
      <w:r w:rsidR="00930F1C">
        <w:t xml:space="preserve">that come </w:t>
      </w:r>
      <w:r>
        <w:t xml:space="preserve">from cost-shifting between sectors (eg, where Police </w:t>
      </w:r>
      <w:r w:rsidR="00D576F1">
        <w:t xml:space="preserve">may </w:t>
      </w:r>
      <w:r>
        <w:t>end up as mental health workers in practice).</w:t>
      </w:r>
    </w:p>
    <w:p w14:paraId="3B545868" w14:textId="2DD07269" w:rsidR="009210BB" w:rsidRDefault="009210BB">
      <w:pPr>
        <w:spacing w:line="300" w:lineRule="exact"/>
      </w:pPr>
      <w:r>
        <w:br w:type="page"/>
      </w:r>
    </w:p>
    <w:p w14:paraId="2711CE6D" w14:textId="405C9EDC" w:rsidR="00831CBA" w:rsidRDefault="00831CBA" w:rsidP="00831CBA">
      <w:pPr>
        <w:pStyle w:val="ListBullet"/>
        <w:ind w:left="1985" w:hanging="284"/>
      </w:pPr>
      <w:r>
        <w:lastRenderedPageBreak/>
        <w:t>It can help reduce the risk that legislation and regulations unintentionally constrain innovation in commissioning</w:t>
      </w:r>
      <w:r w:rsidR="00FF71FB">
        <w:t>.</w:t>
      </w:r>
    </w:p>
    <w:p w14:paraId="7128FC98" w14:textId="2F779DD1" w:rsidR="00831CBA" w:rsidRDefault="00831CBA" w:rsidP="00831CBA">
      <w:pPr>
        <w:pStyle w:val="ListBullet"/>
        <w:ind w:left="1985" w:hanging="284"/>
      </w:pPr>
      <w:r>
        <w:t xml:space="preserve">It </w:t>
      </w:r>
      <w:r w:rsidR="00C6143C">
        <w:t xml:space="preserve">improves </w:t>
      </w:r>
      <w:r>
        <w:t>understanding of the limits of each lever for change, and uses multi-stranded approaches</w:t>
      </w:r>
      <w:r w:rsidR="00C021FE">
        <w:t>.</w:t>
      </w:r>
    </w:p>
    <w:p w14:paraId="417483EE" w14:textId="09618D64" w:rsidR="00E17697" w:rsidRDefault="00831CBA" w:rsidP="00831CBA">
      <w:pPr>
        <w:pStyle w:val="ListBullet"/>
        <w:ind w:left="1985" w:hanging="284"/>
      </w:pPr>
      <w:r>
        <w:t xml:space="preserve">It identifies when other parts of the system need to invest more or in different ways (eg, recognising that commissioned services alone cannot address the impact of poverty now </w:t>
      </w:r>
      <w:r w:rsidR="00340C10">
        <w:rPr>
          <w:rFonts w:ascii="Calibri" w:hAnsi="Calibri" w:cs="Calibri"/>
        </w:rPr>
        <w:t>—</w:t>
      </w:r>
      <w:r>
        <w:t xml:space="preserve"> and through generations).</w:t>
      </w:r>
    </w:p>
    <w:p w14:paraId="2F560E6F" w14:textId="77777777" w:rsidR="00E17697" w:rsidRDefault="00930552" w:rsidP="00E17697">
      <w:pPr>
        <w:pStyle w:val="ListBullet"/>
        <w:numPr>
          <w:ilvl w:val="0"/>
          <w:numId w:val="0"/>
        </w:numPr>
        <w:ind w:left="360" w:hanging="360"/>
        <w:sectPr w:rsidR="00E17697" w:rsidSect="00C345BC">
          <w:pgSz w:w="11906" w:h="16838"/>
          <w:pgMar w:top="2778" w:right="1701" w:bottom="454" w:left="1701" w:header="567" w:footer="567" w:gutter="0"/>
          <w:cols w:space="708"/>
          <w:titlePg/>
          <w:docGrid w:linePitch="360"/>
        </w:sectPr>
      </w:pPr>
      <w:r>
        <w:br w:type="page"/>
      </w:r>
    </w:p>
    <w:p w14:paraId="692C4E4C" w14:textId="77777777" w:rsidR="00E17697" w:rsidRDefault="00E17697" w:rsidP="00E17697">
      <w:pPr>
        <w:pStyle w:val="Heading2-nonumbering"/>
      </w:pPr>
      <w:bookmarkStart w:id="15" w:name="_Toc124933822"/>
      <w:r w:rsidRPr="00E17697">
        <w:lastRenderedPageBreak/>
        <w:t>Overview of what’s needed</w:t>
      </w:r>
      <w:bookmarkEnd w:id="15"/>
      <w:r w:rsidRPr="00E17697">
        <w:t xml:space="preserve">  </w:t>
      </w:r>
    </w:p>
    <w:p w14:paraId="09FFD5EF" w14:textId="0340324D" w:rsidR="00E17697" w:rsidRDefault="00E17697" w:rsidP="00DC0F08">
      <w:pPr>
        <w:pStyle w:val="NormalwIndent"/>
      </w:pPr>
    </w:p>
    <w:p w14:paraId="6CB22146" w14:textId="02554CC5" w:rsidR="00E17697" w:rsidRDefault="00C0086D" w:rsidP="00E17697">
      <w:pPr>
        <w:pStyle w:val="NormalwIndent"/>
      </w:pPr>
      <w:r>
        <w:t xml:space="preserve">The </w:t>
      </w:r>
      <w:r w:rsidR="00E17697" w:rsidRPr="00E17697">
        <w:t xml:space="preserve">Commissioning for Pae Ora </w:t>
      </w:r>
      <w:r>
        <w:t xml:space="preserve">framework </w:t>
      </w:r>
      <w:r w:rsidR="00E17697" w:rsidRPr="00E17697">
        <w:t>recognises what’s needed to operate a commissioning ecosystem, and the contributions those in the commissioning ecosystem</w:t>
      </w:r>
      <w:r w:rsidR="00AB7585">
        <w:t xml:space="preserve"> make.</w:t>
      </w:r>
      <w:r w:rsidR="00E17697" w:rsidRPr="00E17697">
        <w:t xml:space="preserve"> </w:t>
      </w:r>
      <w:r w:rsidR="00AB7585">
        <w:t>A</w:t>
      </w:r>
      <w:r w:rsidR="00E17697" w:rsidRPr="00E17697">
        <w:t>t a high</w:t>
      </w:r>
      <w:r w:rsidR="00AB7585">
        <w:t xml:space="preserve"> </w:t>
      </w:r>
      <w:r w:rsidR="00E17697" w:rsidRPr="00E17697">
        <w:t>level</w:t>
      </w:r>
      <w:r w:rsidR="00AB7585">
        <w:t>, the ecosystem</w:t>
      </w:r>
      <w:r w:rsidR="00E17697" w:rsidRPr="00E17697">
        <w:t xml:space="preserve"> includes </w:t>
      </w:r>
      <w:r w:rsidR="00831022" w:rsidRPr="00E17697">
        <w:t>all</w:t>
      </w:r>
      <w:r w:rsidR="00E17697" w:rsidRPr="00E17697">
        <w:t xml:space="preserve"> the following elements.</w:t>
      </w:r>
    </w:p>
    <w:p w14:paraId="1D6ED352" w14:textId="77777777" w:rsidR="009055B4" w:rsidRDefault="009055B4" w:rsidP="00E17697">
      <w:pPr>
        <w:pStyle w:val="NormalwIndent"/>
      </w:pPr>
    </w:p>
    <w:tbl>
      <w:tblPr>
        <w:tblStyle w:val="TableGrid"/>
        <w:tblW w:w="8505" w:type="dxa"/>
        <w:tblInd w:w="-15"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433"/>
        <w:gridCol w:w="7072"/>
      </w:tblGrid>
      <w:tr w:rsidR="00E33AED" w:rsidRPr="00E17697" w14:paraId="02F16FC3" w14:textId="77777777" w:rsidTr="00C059A9">
        <w:trPr>
          <w:trHeight w:val="453"/>
        </w:trPr>
        <w:tc>
          <w:tcPr>
            <w:tcW w:w="1433" w:type="dxa"/>
            <w:shd w:val="clear" w:color="auto" w:fill="F2F2F2" w:themeFill="background1" w:themeFillShade="F2"/>
            <w:vAlign w:val="center"/>
          </w:tcPr>
          <w:p w14:paraId="3A8A1931" w14:textId="06EF05A1" w:rsidR="00E17697" w:rsidRPr="00E17697" w:rsidRDefault="006C5685" w:rsidP="00E17697">
            <w:pPr>
              <w:pStyle w:val="tablecell"/>
              <w:rPr>
                <w:b/>
              </w:rPr>
            </w:pPr>
            <w:r>
              <w:rPr>
                <w:b/>
              </w:rPr>
              <w:t>Elements</w:t>
            </w:r>
            <w:r w:rsidR="00E17697" w:rsidRPr="00E17697">
              <w:rPr>
                <w:b/>
              </w:rPr>
              <w:t xml:space="preserve"> of the ecosystem</w:t>
            </w:r>
          </w:p>
        </w:tc>
        <w:tc>
          <w:tcPr>
            <w:tcW w:w="7072" w:type="dxa"/>
            <w:shd w:val="clear" w:color="auto" w:fill="F2F2F2" w:themeFill="background1" w:themeFillShade="F2"/>
            <w:vAlign w:val="center"/>
          </w:tcPr>
          <w:p w14:paraId="5EF548A9" w14:textId="6594FFC2" w:rsidR="00E17697" w:rsidRPr="00E17697" w:rsidRDefault="00B72E1C" w:rsidP="00E17697">
            <w:pPr>
              <w:pStyle w:val="tablecell"/>
              <w:rPr>
                <w:b/>
              </w:rPr>
            </w:pPr>
            <w:r>
              <w:rPr>
                <w:b/>
              </w:rPr>
              <w:t xml:space="preserve">How they </w:t>
            </w:r>
            <w:r w:rsidR="006A1844">
              <w:rPr>
                <w:b/>
              </w:rPr>
              <w:t>contribut</w:t>
            </w:r>
            <w:r>
              <w:rPr>
                <w:b/>
              </w:rPr>
              <w:t>e</w:t>
            </w:r>
            <w:r w:rsidR="00E17697" w:rsidRPr="00E17697">
              <w:rPr>
                <w:b/>
              </w:rPr>
              <w:t xml:space="preserve"> to the commissioning ecosystem</w:t>
            </w:r>
          </w:p>
        </w:tc>
      </w:tr>
      <w:tr w:rsidR="00E33AED" w:rsidRPr="00E17697" w14:paraId="0878C25D" w14:textId="77777777" w:rsidTr="00E03E2E">
        <w:trPr>
          <w:trHeight w:val="709"/>
        </w:trPr>
        <w:tc>
          <w:tcPr>
            <w:tcW w:w="1433" w:type="dxa"/>
            <w:shd w:val="clear" w:color="auto" w:fill="F2F2F2" w:themeFill="background1" w:themeFillShade="F2"/>
            <w:vAlign w:val="center"/>
          </w:tcPr>
          <w:p w14:paraId="035942B1" w14:textId="77777777" w:rsidR="00E17697" w:rsidRPr="00E03E2E" w:rsidRDefault="00E17697" w:rsidP="00E17697">
            <w:pPr>
              <w:pStyle w:val="tablecell"/>
              <w:rPr>
                <w:b/>
                <w:bCs/>
                <w:szCs w:val="18"/>
              </w:rPr>
            </w:pPr>
            <w:r w:rsidRPr="00E03E2E">
              <w:rPr>
                <w:b/>
                <w:bCs/>
                <w:szCs w:val="18"/>
              </w:rPr>
              <w:t>People</w:t>
            </w:r>
          </w:p>
          <w:p w14:paraId="12603249" w14:textId="77777777" w:rsidR="00E17697" w:rsidRPr="00E03E2E" w:rsidRDefault="00E17697" w:rsidP="00E17697">
            <w:pPr>
              <w:pStyle w:val="tablecell"/>
              <w:rPr>
                <w:b/>
                <w:bCs/>
                <w:szCs w:val="18"/>
              </w:rPr>
            </w:pPr>
            <w:r w:rsidRPr="00E03E2E">
              <w:rPr>
                <w:b/>
                <w:bCs/>
                <w:szCs w:val="18"/>
              </w:rPr>
              <w:t>Whānau</w:t>
            </w:r>
          </w:p>
          <w:p w14:paraId="0F75C48C" w14:textId="77777777" w:rsidR="00E17697" w:rsidRPr="00E03E2E" w:rsidRDefault="00E17697" w:rsidP="00E17697">
            <w:pPr>
              <w:pStyle w:val="tablecell"/>
              <w:rPr>
                <w:b/>
                <w:bCs/>
                <w:szCs w:val="18"/>
              </w:rPr>
            </w:pPr>
            <w:r w:rsidRPr="00E03E2E">
              <w:rPr>
                <w:b/>
                <w:bCs/>
                <w:szCs w:val="18"/>
              </w:rPr>
              <w:t>Communities</w:t>
            </w:r>
          </w:p>
        </w:tc>
        <w:tc>
          <w:tcPr>
            <w:tcW w:w="7072" w:type="dxa"/>
            <w:shd w:val="clear" w:color="auto" w:fill="FFFFFF" w:themeFill="background1"/>
          </w:tcPr>
          <w:p w14:paraId="3401F5A1" w14:textId="187B8CAA" w:rsidR="00E17697" w:rsidRPr="001C7447" w:rsidRDefault="00E17697" w:rsidP="007967F1">
            <w:pPr>
              <w:pStyle w:val="ListBullet"/>
              <w:spacing w:before="40" w:after="40" w:line="240" w:lineRule="exact"/>
              <w:ind w:left="357" w:hanging="357"/>
              <w:rPr>
                <w:sz w:val="18"/>
                <w:szCs w:val="18"/>
              </w:rPr>
            </w:pPr>
            <w:r w:rsidRPr="001C7447">
              <w:rPr>
                <w:sz w:val="18"/>
                <w:szCs w:val="18"/>
              </w:rPr>
              <w:t xml:space="preserve">Whakawhanaungatanga </w:t>
            </w:r>
            <w:r w:rsidR="00340C10">
              <w:rPr>
                <w:rFonts w:ascii="Calibri" w:hAnsi="Calibri" w:cs="Calibri"/>
                <w:sz w:val="18"/>
                <w:szCs w:val="18"/>
              </w:rPr>
              <w:t>—</w:t>
            </w:r>
            <w:r w:rsidRPr="001C7447">
              <w:rPr>
                <w:sz w:val="18"/>
                <w:szCs w:val="18"/>
              </w:rPr>
              <w:t xml:space="preserve"> start</w:t>
            </w:r>
            <w:r w:rsidR="00B72E1C">
              <w:rPr>
                <w:sz w:val="18"/>
                <w:szCs w:val="18"/>
              </w:rPr>
              <w:t xml:space="preserve"> by</w:t>
            </w:r>
            <w:r w:rsidRPr="001C7447">
              <w:rPr>
                <w:sz w:val="18"/>
                <w:szCs w:val="18"/>
              </w:rPr>
              <w:t xml:space="preserve"> building relationships and connections with whānau, which leads on to enabling whānau and communities to build their capabilities.</w:t>
            </w:r>
          </w:p>
          <w:p w14:paraId="4A38FD9D" w14:textId="1AEE342B" w:rsidR="00E17697" w:rsidRPr="001C7447" w:rsidRDefault="00E17697" w:rsidP="007967F1">
            <w:pPr>
              <w:pStyle w:val="ListBullet"/>
              <w:spacing w:before="40" w:after="40" w:line="240" w:lineRule="exact"/>
              <w:ind w:left="357" w:hanging="357"/>
              <w:rPr>
                <w:sz w:val="18"/>
                <w:szCs w:val="18"/>
              </w:rPr>
            </w:pPr>
            <w:r w:rsidRPr="001C7447">
              <w:rPr>
                <w:sz w:val="18"/>
                <w:szCs w:val="18"/>
              </w:rPr>
              <w:t>Invest in peer support and ‘navigators’.</w:t>
            </w:r>
          </w:p>
          <w:p w14:paraId="0766433F" w14:textId="0A51C2AF" w:rsidR="00E17697" w:rsidRPr="001C7447" w:rsidRDefault="00E17697" w:rsidP="007967F1">
            <w:pPr>
              <w:pStyle w:val="ListBullet"/>
              <w:spacing w:before="40" w:after="40" w:line="240" w:lineRule="exact"/>
              <w:ind w:left="357" w:hanging="357"/>
              <w:rPr>
                <w:sz w:val="18"/>
                <w:szCs w:val="18"/>
              </w:rPr>
            </w:pPr>
            <w:r w:rsidRPr="001C7447">
              <w:rPr>
                <w:sz w:val="18"/>
                <w:szCs w:val="18"/>
              </w:rPr>
              <w:t>Support whānau and community with processes that enable co-design, delivery and jointly agreed measures of success.</w:t>
            </w:r>
          </w:p>
          <w:p w14:paraId="792E8387" w14:textId="7DA658E3" w:rsidR="00E17697" w:rsidRPr="001C7447" w:rsidRDefault="00E17697" w:rsidP="007967F1">
            <w:pPr>
              <w:pStyle w:val="ListBullet"/>
              <w:spacing w:before="40" w:after="40" w:line="240" w:lineRule="exact"/>
              <w:ind w:left="357" w:hanging="357"/>
              <w:rPr>
                <w:sz w:val="18"/>
                <w:szCs w:val="18"/>
              </w:rPr>
            </w:pPr>
            <w:r w:rsidRPr="001C7447">
              <w:rPr>
                <w:sz w:val="18"/>
                <w:szCs w:val="18"/>
              </w:rPr>
              <w:t>Build community and whānau capacity, resources and leadership to take action to improve their own health and wellbeing.</w:t>
            </w:r>
          </w:p>
        </w:tc>
      </w:tr>
      <w:tr w:rsidR="00E33AED" w:rsidRPr="00E17697" w14:paraId="7D09432E" w14:textId="77777777" w:rsidTr="00E03E2E">
        <w:trPr>
          <w:trHeight w:val="467"/>
        </w:trPr>
        <w:tc>
          <w:tcPr>
            <w:tcW w:w="1433" w:type="dxa"/>
            <w:shd w:val="clear" w:color="auto" w:fill="F2F2F2" w:themeFill="background1" w:themeFillShade="F2"/>
            <w:vAlign w:val="center"/>
          </w:tcPr>
          <w:p w14:paraId="1BC5280E" w14:textId="77777777" w:rsidR="00E17697" w:rsidRPr="00E03E2E" w:rsidRDefault="00E17697" w:rsidP="00E17697">
            <w:pPr>
              <w:pStyle w:val="tablecell"/>
              <w:rPr>
                <w:b/>
                <w:bCs/>
                <w:szCs w:val="18"/>
              </w:rPr>
            </w:pPr>
            <w:r w:rsidRPr="00E03E2E">
              <w:rPr>
                <w:b/>
                <w:bCs/>
                <w:szCs w:val="18"/>
              </w:rPr>
              <w:t>Delivery</w:t>
            </w:r>
          </w:p>
        </w:tc>
        <w:tc>
          <w:tcPr>
            <w:tcW w:w="7072" w:type="dxa"/>
            <w:shd w:val="clear" w:color="auto" w:fill="FFFFFF" w:themeFill="background1"/>
          </w:tcPr>
          <w:p w14:paraId="759E5263" w14:textId="71ACE7D6" w:rsidR="00E17697" w:rsidRPr="001C7447" w:rsidRDefault="00E17697" w:rsidP="007967F1">
            <w:pPr>
              <w:pStyle w:val="ListBullet"/>
              <w:spacing w:before="40" w:after="40" w:line="240" w:lineRule="exact"/>
              <w:ind w:left="357" w:hanging="357"/>
              <w:rPr>
                <w:sz w:val="18"/>
                <w:szCs w:val="18"/>
              </w:rPr>
            </w:pPr>
            <w:r w:rsidRPr="001C7447">
              <w:rPr>
                <w:sz w:val="18"/>
                <w:szCs w:val="18"/>
              </w:rPr>
              <w:t>Build provider capacity and capability, as well as market diversity, reach and depth.</w:t>
            </w:r>
          </w:p>
          <w:p w14:paraId="55CB8DBC" w14:textId="524EF455" w:rsidR="00E17697" w:rsidRPr="001C7447" w:rsidRDefault="00E17697" w:rsidP="007967F1">
            <w:pPr>
              <w:pStyle w:val="ListBullet"/>
              <w:spacing w:before="40" w:after="40" w:line="240" w:lineRule="exact"/>
              <w:ind w:left="357" w:hanging="357"/>
              <w:rPr>
                <w:sz w:val="18"/>
                <w:szCs w:val="18"/>
              </w:rPr>
            </w:pPr>
            <w:r w:rsidRPr="001C7447">
              <w:rPr>
                <w:sz w:val="18"/>
                <w:szCs w:val="18"/>
              </w:rPr>
              <w:t xml:space="preserve">Build workforce capacity, capability and cultural safety in </w:t>
            </w:r>
            <w:r w:rsidR="00AB7585">
              <w:rPr>
                <w:sz w:val="18"/>
                <w:szCs w:val="18"/>
              </w:rPr>
              <w:t xml:space="preserve">relation to both </w:t>
            </w:r>
            <w:r w:rsidRPr="001C7447">
              <w:rPr>
                <w:sz w:val="18"/>
                <w:szCs w:val="18"/>
              </w:rPr>
              <w:t>care and commissioning.</w:t>
            </w:r>
          </w:p>
        </w:tc>
      </w:tr>
      <w:tr w:rsidR="00E33AED" w:rsidRPr="00E17697" w14:paraId="77FCA232" w14:textId="77777777" w:rsidTr="00E03E2E">
        <w:tc>
          <w:tcPr>
            <w:tcW w:w="1433" w:type="dxa"/>
            <w:shd w:val="clear" w:color="auto" w:fill="F2F2F2" w:themeFill="background1" w:themeFillShade="F2"/>
            <w:vAlign w:val="center"/>
          </w:tcPr>
          <w:p w14:paraId="67632C67" w14:textId="77777777" w:rsidR="00E17697" w:rsidRPr="00E03E2E" w:rsidRDefault="00E17697" w:rsidP="00E17697">
            <w:pPr>
              <w:pStyle w:val="tablecell"/>
              <w:rPr>
                <w:b/>
                <w:bCs/>
                <w:szCs w:val="18"/>
              </w:rPr>
            </w:pPr>
            <w:r w:rsidRPr="00E03E2E">
              <w:rPr>
                <w:b/>
                <w:bCs/>
                <w:szCs w:val="18"/>
              </w:rPr>
              <w:t>Commissioners</w:t>
            </w:r>
          </w:p>
        </w:tc>
        <w:tc>
          <w:tcPr>
            <w:tcW w:w="7072" w:type="dxa"/>
            <w:shd w:val="clear" w:color="auto" w:fill="FFFFFF" w:themeFill="background1"/>
          </w:tcPr>
          <w:p w14:paraId="62AB4C73" w14:textId="3A003CD1" w:rsidR="00E17697" w:rsidRPr="001C7447" w:rsidRDefault="00E17697" w:rsidP="007967F1">
            <w:pPr>
              <w:pStyle w:val="ListBullet"/>
              <w:spacing w:before="40" w:after="40" w:line="240" w:lineRule="exact"/>
              <w:ind w:left="357" w:hanging="357"/>
              <w:rPr>
                <w:sz w:val="18"/>
                <w:szCs w:val="18"/>
              </w:rPr>
            </w:pPr>
            <w:r w:rsidRPr="001C7447">
              <w:rPr>
                <w:sz w:val="18"/>
                <w:szCs w:val="18"/>
              </w:rPr>
              <w:t>Mak</w:t>
            </w:r>
            <w:r w:rsidR="00B72E1C">
              <w:rPr>
                <w:sz w:val="18"/>
                <w:szCs w:val="18"/>
              </w:rPr>
              <w:t>e</w:t>
            </w:r>
            <w:r w:rsidRPr="001C7447">
              <w:rPr>
                <w:sz w:val="18"/>
                <w:szCs w:val="18"/>
              </w:rPr>
              <w:t xml:space="preserve"> investments that have clear ‘theories of change’, drawing together existing evidence, along with whānau and community insights on what will work for them.</w:t>
            </w:r>
          </w:p>
          <w:p w14:paraId="60A0BA3B" w14:textId="3629F2E5" w:rsidR="00E17697" w:rsidRPr="001C7447" w:rsidRDefault="00E17697" w:rsidP="007967F1">
            <w:pPr>
              <w:pStyle w:val="ListBullet"/>
              <w:spacing w:before="40" w:after="40" w:line="240" w:lineRule="exact"/>
              <w:ind w:left="357" w:hanging="357"/>
              <w:rPr>
                <w:sz w:val="18"/>
                <w:szCs w:val="18"/>
              </w:rPr>
            </w:pPr>
            <w:r w:rsidRPr="001C7447">
              <w:rPr>
                <w:sz w:val="18"/>
                <w:szCs w:val="18"/>
              </w:rPr>
              <w:t>Work in learning partnerships that support continuous improvement.</w:t>
            </w:r>
          </w:p>
          <w:p w14:paraId="11155D33" w14:textId="3EBBD540" w:rsidR="00E17697" w:rsidRPr="001C7447" w:rsidRDefault="00E17697" w:rsidP="007967F1">
            <w:pPr>
              <w:pStyle w:val="ListBullet"/>
              <w:spacing w:before="40" w:after="40" w:line="240" w:lineRule="exact"/>
              <w:ind w:left="357" w:hanging="357"/>
              <w:rPr>
                <w:sz w:val="18"/>
                <w:szCs w:val="18"/>
              </w:rPr>
            </w:pPr>
            <w:r w:rsidRPr="001C7447">
              <w:rPr>
                <w:sz w:val="18"/>
                <w:szCs w:val="18"/>
              </w:rPr>
              <w:t>Broaden investments from</w:t>
            </w:r>
            <w:r w:rsidR="00845196">
              <w:rPr>
                <w:sz w:val="18"/>
                <w:szCs w:val="18"/>
              </w:rPr>
              <w:t xml:space="preserve"> a</w:t>
            </w:r>
            <w:r w:rsidRPr="001C7447">
              <w:rPr>
                <w:sz w:val="18"/>
                <w:szCs w:val="18"/>
              </w:rPr>
              <w:t xml:space="preserve"> </w:t>
            </w:r>
            <w:r w:rsidR="00845196">
              <w:rPr>
                <w:sz w:val="18"/>
                <w:szCs w:val="18"/>
              </w:rPr>
              <w:t xml:space="preserve">focus </w:t>
            </w:r>
            <w:r w:rsidRPr="001C7447">
              <w:rPr>
                <w:sz w:val="18"/>
                <w:szCs w:val="18"/>
              </w:rPr>
              <w:t xml:space="preserve">mainly </w:t>
            </w:r>
            <w:r w:rsidR="00845196">
              <w:rPr>
                <w:sz w:val="18"/>
                <w:szCs w:val="18"/>
              </w:rPr>
              <w:t xml:space="preserve">on </w:t>
            </w:r>
            <w:r w:rsidRPr="001C7447">
              <w:rPr>
                <w:sz w:val="18"/>
                <w:szCs w:val="18"/>
              </w:rPr>
              <w:t>service</w:t>
            </w:r>
            <w:r w:rsidR="00845196">
              <w:rPr>
                <w:sz w:val="18"/>
                <w:szCs w:val="18"/>
              </w:rPr>
              <w:t>s</w:t>
            </w:r>
            <w:r w:rsidRPr="001C7447">
              <w:rPr>
                <w:sz w:val="18"/>
                <w:szCs w:val="18"/>
              </w:rPr>
              <w:t xml:space="preserve"> to a focus on building capacity of people, whānau and communities.</w:t>
            </w:r>
          </w:p>
          <w:p w14:paraId="7BA5395A" w14:textId="46F0D9B9" w:rsidR="00E17697" w:rsidRPr="001C7447" w:rsidRDefault="00E17697" w:rsidP="007967F1">
            <w:pPr>
              <w:pStyle w:val="ListBullet"/>
              <w:spacing w:before="40" w:after="40" w:line="240" w:lineRule="exact"/>
              <w:ind w:left="357" w:hanging="357"/>
              <w:rPr>
                <w:sz w:val="18"/>
                <w:szCs w:val="18"/>
              </w:rPr>
            </w:pPr>
            <w:r w:rsidRPr="001C7447">
              <w:rPr>
                <w:sz w:val="18"/>
                <w:szCs w:val="18"/>
              </w:rPr>
              <w:t>Rebalanc</w:t>
            </w:r>
            <w:r w:rsidR="00B72E1C">
              <w:rPr>
                <w:sz w:val="18"/>
                <w:szCs w:val="18"/>
              </w:rPr>
              <w:t>e</w:t>
            </w:r>
            <w:r w:rsidRPr="001C7447">
              <w:rPr>
                <w:sz w:val="18"/>
                <w:szCs w:val="18"/>
              </w:rPr>
              <w:t xml:space="preserve"> investments to direct more to community- and whānau-led priorities.</w:t>
            </w:r>
          </w:p>
          <w:p w14:paraId="0C962B02" w14:textId="20DD64D4" w:rsidR="00E17697" w:rsidRPr="001C7447" w:rsidRDefault="00E17697" w:rsidP="007967F1">
            <w:pPr>
              <w:pStyle w:val="ListBullet"/>
              <w:spacing w:before="40" w:after="40" w:line="240" w:lineRule="exact"/>
              <w:ind w:left="357" w:hanging="357"/>
              <w:rPr>
                <w:sz w:val="18"/>
                <w:szCs w:val="18"/>
              </w:rPr>
            </w:pPr>
            <w:r w:rsidRPr="001C7447">
              <w:rPr>
                <w:sz w:val="18"/>
                <w:szCs w:val="18"/>
              </w:rPr>
              <w:t>Collaborat</w:t>
            </w:r>
            <w:r w:rsidR="00B72E1C">
              <w:rPr>
                <w:sz w:val="18"/>
                <w:szCs w:val="18"/>
              </w:rPr>
              <w:t>e</w:t>
            </w:r>
            <w:r w:rsidRPr="001C7447">
              <w:rPr>
                <w:sz w:val="18"/>
                <w:szCs w:val="18"/>
              </w:rPr>
              <w:t xml:space="preserve"> with other commissioners to reduce gaps and overlaps.</w:t>
            </w:r>
          </w:p>
        </w:tc>
      </w:tr>
      <w:tr w:rsidR="00E33AED" w:rsidRPr="00E17697" w14:paraId="45B23DEE" w14:textId="77777777" w:rsidTr="00E03E2E">
        <w:trPr>
          <w:trHeight w:val="124"/>
        </w:trPr>
        <w:tc>
          <w:tcPr>
            <w:tcW w:w="1433" w:type="dxa"/>
            <w:shd w:val="clear" w:color="auto" w:fill="F2F2F2" w:themeFill="background1" w:themeFillShade="F2"/>
            <w:vAlign w:val="center"/>
          </w:tcPr>
          <w:p w14:paraId="31E75A64" w14:textId="77777777" w:rsidR="00E17697" w:rsidRPr="00E03E2E" w:rsidRDefault="00E17697" w:rsidP="00E17697">
            <w:pPr>
              <w:pStyle w:val="tablecell"/>
              <w:rPr>
                <w:b/>
                <w:bCs/>
                <w:szCs w:val="18"/>
              </w:rPr>
            </w:pPr>
            <w:r w:rsidRPr="00E03E2E">
              <w:rPr>
                <w:b/>
                <w:bCs/>
                <w:szCs w:val="18"/>
              </w:rPr>
              <w:t>System conditions</w:t>
            </w:r>
          </w:p>
        </w:tc>
        <w:tc>
          <w:tcPr>
            <w:tcW w:w="7072" w:type="dxa"/>
            <w:shd w:val="clear" w:color="auto" w:fill="FFFFFF" w:themeFill="background1"/>
          </w:tcPr>
          <w:p w14:paraId="13837C7B" w14:textId="7D3003A9" w:rsidR="00E17697" w:rsidRPr="001C7447" w:rsidRDefault="00E17697" w:rsidP="007967F1">
            <w:pPr>
              <w:pStyle w:val="ListBullet"/>
              <w:spacing w:before="40" w:after="40" w:line="240" w:lineRule="exact"/>
              <w:ind w:left="357" w:hanging="357"/>
              <w:rPr>
                <w:sz w:val="18"/>
                <w:szCs w:val="18"/>
              </w:rPr>
            </w:pPr>
            <w:r w:rsidRPr="001C7447">
              <w:rPr>
                <w:sz w:val="18"/>
                <w:szCs w:val="18"/>
              </w:rPr>
              <w:t>Reduc</w:t>
            </w:r>
            <w:r w:rsidR="00845196">
              <w:rPr>
                <w:sz w:val="18"/>
                <w:szCs w:val="18"/>
              </w:rPr>
              <w:t>e</w:t>
            </w:r>
            <w:r w:rsidRPr="001C7447">
              <w:rPr>
                <w:sz w:val="18"/>
                <w:szCs w:val="18"/>
              </w:rPr>
              <w:t xml:space="preserve"> system waste (</w:t>
            </w:r>
            <w:r w:rsidR="00AB7585">
              <w:rPr>
                <w:sz w:val="18"/>
                <w:szCs w:val="18"/>
              </w:rPr>
              <w:t xml:space="preserve">which </w:t>
            </w:r>
            <w:r w:rsidR="0026349E">
              <w:rPr>
                <w:sz w:val="18"/>
                <w:szCs w:val="18"/>
              </w:rPr>
              <w:t>can occur</w:t>
            </w:r>
            <w:r w:rsidR="00AB7585">
              <w:rPr>
                <w:sz w:val="18"/>
                <w:szCs w:val="18"/>
              </w:rPr>
              <w:t xml:space="preserve"> </w:t>
            </w:r>
            <w:r w:rsidRPr="001C7447">
              <w:rPr>
                <w:sz w:val="18"/>
                <w:szCs w:val="18"/>
              </w:rPr>
              <w:t>where support comes late or only addresses symptoms, not causes).</w:t>
            </w:r>
          </w:p>
          <w:p w14:paraId="364B3F78" w14:textId="35DE5445" w:rsidR="00E17697" w:rsidRPr="001C7447" w:rsidRDefault="00E17697" w:rsidP="007967F1">
            <w:pPr>
              <w:pStyle w:val="ListBullet"/>
              <w:spacing w:before="40" w:after="40" w:line="240" w:lineRule="exact"/>
              <w:ind w:left="357" w:hanging="357"/>
              <w:rPr>
                <w:sz w:val="18"/>
                <w:szCs w:val="18"/>
              </w:rPr>
            </w:pPr>
            <w:r w:rsidRPr="001C7447">
              <w:rPr>
                <w:sz w:val="18"/>
                <w:szCs w:val="18"/>
              </w:rPr>
              <w:t xml:space="preserve">Understand the dynamics and mitigate </w:t>
            </w:r>
            <w:r w:rsidR="00B6071E">
              <w:rPr>
                <w:sz w:val="18"/>
                <w:szCs w:val="18"/>
              </w:rPr>
              <w:t>any</w:t>
            </w:r>
            <w:r w:rsidRPr="001C7447">
              <w:rPr>
                <w:sz w:val="18"/>
                <w:szCs w:val="18"/>
              </w:rPr>
              <w:t xml:space="preserve"> impacts of mixed funding models (eg, fee-for-service, contracted services, grant funding, capitation funding). Ideally</w:t>
            </w:r>
            <w:r w:rsidR="00B6071E">
              <w:rPr>
                <w:sz w:val="18"/>
                <w:szCs w:val="18"/>
              </w:rPr>
              <w:t>,</w:t>
            </w:r>
            <w:r w:rsidRPr="001C7447">
              <w:rPr>
                <w:sz w:val="18"/>
                <w:szCs w:val="18"/>
              </w:rPr>
              <w:t xml:space="preserve"> mixed funding models improve outcomes, but </w:t>
            </w:r>
            <w:r w:rsidR="00465D89">
              <w:rPr>
                <w:sz w:val="18"/>
                <w:szCs w:val="18"/>
              </w:rPr>
              <w:t xml:space="preserve">in some circumstances </w:t>
            </w:r>
            <w:r w:rsidRPr="001C7447">
              <w:rPr>
                <w:sz w:val="18"/>
                <w:szCs w:val="18"/>
              </w:rPr>
              <w:t>they can create poorer outcomes for both people and the system (eg</w:t>
            </w:r>
            <w:r w:rsidR="00AB7585">
              <w:rPr>
                <w:sz w:val="18"/>
                <w:szCs w:val="18"/>
              </w:rPr>
              <w:t>, where people use the</w:t>
            </w:r>
            <w:r w:rsidRPr="001C7447">
              <w:rPr>
                <w:sz w:val="18"/>
                <w:szCs w:val="18"/>
              </w:rPr>
              <w:t xml:space="preserve"> emergency department to avoid GP fees).</w:t>
            </w:r>
          </w:p>
          <w:p w14:paraId="7FCEAEB0" w14:textId="784871E7" w:rsidR="00E17697" w:rsidRPr="001C7447" w:rsidRDefault="00E17697" w:rsidP="007967F1">
            <w:pPr>
              <w:pStyle w:val="ListBullet"/>
              <w:spacing w:before="40" w:after="40" w:line="240" w:lineRule="exact"/>
              <w:ind w:left="357" w:hanging="357"/>
              <w:rPr>
                <w:sz w:val="18"/>
                <w:szCs w:val="18"/>
              </w:rPr>
            </w:pPr>
            <w:r w:rsidRPr="001C7447">
              <w:rPr>
                <w:sz w:val="18"/>
                <w:szCs w:val="18"/>
              </w:rPr>
              <w:t>Challeng</w:t>
            </w:r>
            <w:r w:rsidR="00845196">
              <w:rPr>
                <w:sz w:val="18"/>
                <w:szCs w:val="18"/>
              </w:rPr>
              <w:t>e</w:t>
            </w:r>
            <w:r w:rsidRPr="001C7447">
              <w:rPr>
                <w:sz w:val="18"/>
                <w:szCs w:val="18"/>
              </w:rPr>
              <w:t xml:space="preserve"> the default of who makes decisions and holds resources</w:t>
            </w:r>
            <w:r w:rsidR="00845196">
              <w:rPr>
                <w:sz w:val="18"/>
                <w:szCs w:val="18"/>
              </w:rPr>
              <w:t>.</w:t>
            </w:r>
            <w:r w:rsidRPr="001C7447">
              <w:rPr>
                <w:sz w:val="18"/>
                <w:szCs w:val="18"/>
              </w:rPr>
              <w:t xml:space="preserve"> </w:t>
            </w:r>
            <w:r w:rsidR="00845196">
              <w:rPr>
                <w:sz w:val="18"/>
                <w:szCs w:val="18"/>
              </w:rPr>
              <w:t>C</w:t>
            </w:r>
            <w:r w:rsidRPr="001C7447">
              <w:rPr>
                <w:sz w:val="18"/>
                <w:szCs w:val="18"/>
              </w:rPr>
              <w:t>onsider the context, who benefits and who has capability to determine the most effective way of allocating responsibilities.</w:t>
            </w:r>
          </w:p>
          <w:p w14:paraId="37109CCF" w14:textId="4761FE6E" w:rsidR="00E17697" w:rsidRPr="001C7447" w:rsidRDefault="00E17697" w:rsidP="007967F1">
            <w:pPr>
              <w:pStyle w:val="ListBullet"/>
              <w:spacing w:before="40" w:after="40" w:line="240" w:lineRule="exact"/>
              <w:ind w:left="357" w:hanging="357"/>
              <w:rPr>
                <w:sz w:val="18"/>
                <w:szCs w:val="18"/>
              </w:rPr>
            </w:pPr>
            <w:r w:rsidRPr="001C7447">
              <w:rPr>
                <w:sz w:val="18"/>
                <w:szCs w:val="18"/>
              </w:rPr>
              <w:t>Us</w:t>
            </w:r>
            <w:r w:rsidR="00845196">
              <w:rPr>
                <w:sz w:val="18"/>
                <w:szCs w:val="18"/>
              </w:rPr>
              <w:t>e</w:t>
            </w:r>
            <w:r w:rsidRPr="001C7447">
              <w:rPr>
                <w:sz w:val="18"/>
                <w:szCs w:val="18"/>
              </w:rPr>
              <w:t xml:space="preserve"> pro-equity and anti-racism work to dismantle structural and systemic bias.</w:t>
            </w:r>
            <w:r w:rsidR="004D7920">
              <w:rPr>
                <w:rFonts w:ascii="ZWAdobeF" w:hAnsi="ZWAdobeF" w:cs="ZWAdobeF"/>
                <w:color w:val="auto"/>
                <w:spacing w:val="0"/>
                <w:sz w:val="2"/>
                <w:szCs w:val="2"/>
              </w:rPr>
              <w:t>9F</w:t>
            </w:r>
            <w:r w:rsidRPr="007967F1">
              <w:rPr>
                <w:sz w:val="18"/>
                <w:szCs w:val="18"/>
                <w:vertAlign w:val="superscript"/>
              </w:rPr>
              <w:footnoteReference w:id="11"/>
            </w:r>
          </w:p>
          <w:p w14:paraId="135C893E" w14:textId="451778ED" w:rsidR="00E17697" w:rsidRPr="001C7447" w:rsidRDefault="00E17697" w:rsidP="007967F1">
            <w:pPr>
              <w:pStyle w:val="ListBullet"/>
              <w:spacing w:before="40" w:after="40" w:line="240" w:lineRule="exact"/>
              <w:ind w:left="357" w:hanging="357"/>
              <w:rPr>
                <w:sz w:val="18"/>
                <w:szCs w:val="18"/>
              </w:rPr>
            </w:pPr>
            <w:r w:rsidRPr="001C7447">
              <w:rPr>
                <w:sz w:val="18"/>
                <w:szCs w:val="18"/>
              </w:rPr>
              <w:t>Creat</w:t>
            </w:r>
            <w:r w:rsidR="00845196">
              <w:rPr>
                <w:sz w:val="18"/>
                <w:szCs w:val="18"/>
              </w:rPr>
              <w:t>e</w:t>
            </w:r>
            <w:r w:rsidRPr="001C7447">
              <w:rPr>
                <w:sz w:val="18"/>
                <w:szCs w:val="18"/>
              </w:rPr>
              <w:t xml:space="preserve"> buy-in across all supporting functions</w:t>
            </w:r>
            <w:r w:rsidR="007967F1">
              <w:rPr>
                <w:sz w:val="18"/>
                <w:szCs w:val="18"/>
              </w:rPr>
              <w:t xml:space="preserve"> </w:t>
            </w:r>
            <w:r w:rsidRPr="001C7447">
              <w:rPr>
                <w:sz w:val="18"/>
                <w:szCs w:val="18"/>
              </w:rPr>
              <w:t>and at all levels of leadership to:</w:t>
            </w:r>
          </w:p>
          <w:p w14:paraId="6009D368" w14:textId="45959E59" w:rsidR="00E17697" w:rsidRPr="001C7447" w:rsidRDefault="00E17697" w:rsidP="004D7920">
            <w:pPr>
              <w:pStyle w:val="ListBullet"/>
              <w:numPr>
                <w:ilvl w:val="0"/>
                <w:numId w:val="18"/>
              </w:numPr>
              <w:spacing w:before="40" w:after="40" w:line="240" w:lineRule="exact"/>
              <w:rPr>
                <w:sz w:val="18"/>
                <w:szCs w:val="18"/>
              </w:rPr>
            </w:pPr>
            <w:r w:rsidRPr="001C7447">
              <w:rPr>
                <w:sz w:val="18"/>
                <w:szCs w:val="18"/>
              </w:rPr>
              <w:t>change the system conditions that act as barriers to collaborati</w:t>
            </w:r>
            <w:r w:rsidR="00845196">
              <w:rPr>
                <w:sz w:val="18"/>
                <w:szCs w:val="18"/>
              </w:rPr>
              <w:t>ng</w:t>
            </w:r>
            <w:r w:rsidRPr="001C7447">
              <w:rPr>
                <w:sz w:val="18"/>
                <w:szCs w:val="18"/>
              </w:rPr>
              <w:t xml:space="preserve"> and invest</w:t>
            </w:r>
            <w:r w:rsidR="00845196">
              <w:rPr>
                <w:sz w:val="18"/>
                <w:szCs w:val="18"/>
              </w:rPr>
              <w:t>ing</w:t>
            </w:r>
            <w:r w:rsidRPr="001C7447">
              <w:rPr>
                <w:sz w:val="18"/>
                <w:szCs w:val="18"/>
              </w:rPr>
              <w:t xml:space="preserve"> in prevention </w:t>
            </w:r>
          </w:p>
          <w:p w14:paraId="74002C59" w14:textId="77777777" w:rsidR="00E17697" w:rsidRPr="001C7447" w:rsidRDefault="00E17697" w:rsidP="004D7920">
            <w:pPr>
              <w:pStyle w:val="ListBullet"/>
              <w:numPr>
                <w:ilvl w:val="0"/>
                <w:numId w:val="18"/>
              </w:numPr>
              <w:spacing w:before="40" w:after="40" w:line="240" w:lineRule="exact"/>
              <w:rPr>
                <w:sz w:val="18"/>
                <w:szCs w:val="18"/>
              </w:rPr>
            </w:pPr>
            <w:r w:rsidRPr="001C7447">
              <w:rPr>
                <w:sz w:val="18"/>
                <w:szCs w:val="18"/>
              </w:rPr>
              <w:t>make trade-offs and prioritise ‘what matters to whānau’.</w:t>
            </w:r>
          </w:p>
        </w:tc>
      </w:tr>
    </w:tbl>
    <w:p w14:paraId="183188EA" w14:textId="77777777" w:rsidR="00E17697" w:rsidRDefault="007967F1" w:rsidP="007967F1">
      <w:pPr>
        <w:pStyle w:val="Heading2-nonumbering"/>
      </w:pPr>
      <w:bookmarkStart w:id="16" w:name="_Toc124933823"/>
      <w:r>
        <w:lastRenderedPageBreak/>
        <w:t>Application</w:t>
      </w:r>
      <w:bookmarkEnd w:id="16"/>
    </w:p>
    <w:p w14:paraId="1A7027A3" w14:textId="77777777" w:rsidR="007967F1" w:rsidRDefault="007967F1" w:rsidP="00DC0F08">
      <w:pPr>
        <w:pStyle w:val="NormalwIndent"/>
      </w:pPr>
    </w:p>
    <w:p w14:paraId="13CFE316" w14:textId="36D38E8A" w:rsidR="007967F1" w:rsidRDefault="000A29EA" w:rsidP="007967F1">
      <w:pPr>
        <w:pStyle w:val="NormalwIndent"/>
      </w:pPr>
      <w:r>
        <w:t xml:space="preserve">The </w:t>
      </w:r>
      <w:r w:rsidR="007967F1">
        <w:t xml:space="preserve">Commissioning for Pae Ora </w:t>
      </w:r>
      <w:r>
        <w:t xml:space="preserve">framework </w:t>
      </w:r>
      <w:r w:rsidR="007967F1">
        <w:t>can be applied to public health, primary and community care, models of care,</w:t>
      </w:r>
      <w:r w:rsidR="004D7920">
        <w:rPr>
          <w:rFonts w:ascii="ZWAdobeF" w:hAnsi="ZWAdobeF" w:cs="ZWAdobeF"/>
          <w:color w:val="auto"/>
          <w:sz w:val="2"/>
          <w:szCs w:val="2"/>
        </w:rPr>
        <w:t>10F</w:t>
      </w:r>
      <w:r w:rsidR="001D5B45">
        <w:rPr>
          <w:rStyle w:val="FootnoteReference"/>
        </w:rPr>
        <w:footnoteReference w:id="12"/>
      </w:r>
      <w:r w:rsidR="007967F1">
        <w:t xml:space="preserve"> </w:t>
      </w:r>
      <w:r w:rsidR="00D55684">
        <w:t>and</w:t>
      </w:r>
      <w:r w:rsidR="007967F1">
        <w:t xml:space="preserve"> hospital and specialist services. Each application will also have its specific requirements (eg, capital investments for hospital and specialist services).</w:t>
      </w:r>
      <w:r w:rsidR="004D7920">
        <w:rPr>
          <w:rFonts w:ascii="ZWAdobeF" w:hAnsi="ZWAdobeF" w:cs="ZWAdobeF"/>
          <w:color w:val="auto"/>
          <w:sz w:val="2"/>
          <w:szCs w:val="2"/>
        </w:rPr>
        <w:t>11F</w:t>
      </w:r>
      <w:r w:rsidR="001D5B45">
        <w:rPr>
          <w:rStyle w:val="FootnoteReference"/>
        </w:rPr>
        <w:footnoteReference w:id="13"/>
      </w:r>
      <w:r w:rsidR="007967F1">
        <w:t xml:space="preserve"> </w:t>
      </w:r>
      <w:r w:rsidR="00D55684">
        <w:t>The wide reach of Commissioning for Pae Ora</w:t>
      </w:r>
      <w:r w:rsidR="007967F1">
        <w:t xml:space="preserve"> could help provide a common approach to embedding Te Tiriti principles and </w:t>
      </w:r>
      <w:r w:rsidR="00690443">
        <w:t xml:space="preserve">achieve </w:t>
      </w:r>
      <w:r w:rsidR="007967F1">
        <w:t xml:space="preserve">a focus on more enduring and broader health and wellbeing outcomes across different parts of the health system. In the future, such a common approach could support insights and collaborative approaches to investments and increase awareness of where other levers (eg, regulation) are needed. </w:t>
      </w:r>
    </w:p>
    <w:p w14:paraId="30EA3F2D" w14:textId="32D6E166" w:rsidR="007967F1" w:rsidRDefault="0073350E" w:rsidP="007967F1">
      <w:pPr>
        <w:pStyle w:val="NormalwIndent"/>
      </w:pPr>
      <w:r>
        <w:fldChar w:fldCharType="begin" w:fldLock="1"/>
      </w:r>
      <w:r>
        <w:instrText xml:space="preserve"> REF _Ref120206396 \h </w:instrText>
      </w:r>
      <w:r>
        <w:fldChar w:fldCharType="separate"/>
      </w:r>
      <w:r w:rsidR="00B24B20" w:rsidRPr="00831CBA">
        <w:t xml:space="preserve">Figure </w:t>
      </w:r>
      <w:r w:rsidR="00B24B20">
        <w:rPr>
          <w:noProof/>
        </w:rPr>
        <w:t>2</w:t>
      </w:r>
      <w:r>
        <w:fldChar w:fldCharType="end"/>
      </w:r>
      <w:r w:rsidR="007967F1">
        <w:t xml:space="preserve"> summarises the strength</w:t>
      </w:r>
      <w:r w:rsidR="00FC16FE">
        <w:t>s</w:t>
      </w:r>
      <w:r w:rsidR="007967F1">
        <w:t xml:space="preserve"> of </w:t>
      </w:r>
      <w:r w:rsidR="00FC16FE">
        <w:t>Commissioning for Pae Ora in both how it can be applied</w:t>
      </w:r>
      <w:r w:rsidR="007967F1">
        <w:t xml:space="preserve"> and </w:t>
      </w:r>
      <w:r w:rsidR="00FC16FE">
        <w:t xml:space="preserve">its </w:t>
      </w:r>
      <w:r w:rsidR="007967F1">
        <w:t>outcomes. Appendix 2 shows how the approach can also be used for planning investments across the life course and for different stages of interventions (from prevention to rehabilitation).</w:t>
      </w:r>
    </w:p>
    <w:p w14:paraId="14654CA1" w14:textId="77777777" w:rsidR="009055B4" w:rsidRDefault="009055B4" w:rsidP="007967F1">
      <w:pPr>
        <w:pStyle w:val="NormalwIndent"/>
      </w:pPr>
    </w:p>
    <w:p w14:paraId="0ECC464A" w14:textId="13E2C916" w:rsidR="007967F1" w:rsidRDefault="00D55684" w:rsidP="004915E6">
      <w:pPr>
        <w:pStyle w:val="Caption"/>
      </w:pPr>
      <w:bookmarkStart w:id="17" w:name="_Ref120206396"/>
      <w:bookmarkStart w:id="18" w:name="_Toc120206623"/>
      <w:r w:rsidRPr="00831CBA">
        <w:t xml:space="preserve">Figure </w:t>
      </w:r>
      <w:r w:rsidRPr="00831CBA">
        <w:fldChar w:fldCharType="begin"/>
      </w:r>
      <w:r w:rsidRPr="00831CBA">
        <w:instrText xml:space="preserve"> SEQ Figure \* ARABIC </w:instrText>
      </w:r>
      <w:r w:rsidRPr="00831CBA">
        <w:fldChar w:fldCharType="separate"/>
      </w:r>
      <w:r w:rsidR="00B27208">
        <w:t>2</w:t>
      </w:r>
      <w:r w:rsidRPr="00831CBA">
        <w:fldChar w:fldCharType="end"/>
      </w:r>
      <w:bookmarkEnd w:id="17"/>
      <w:r w:rsidRPr="00831CBA">
        <w:t xml:space="preserve">: </w:t>
      </w:r>
      <w:r w:rsidRPr="007967F1">
        <w:t>Application and outcomes of the Commissioning for Pae Ora framework</w:t>
      </w:r>
      <w:bookmarkEnd w:id="18"/>
    </w:p>
    <w:p w14:paraId="27E7DCFF" w14:textId="32734052" w:rsidR="001B01C8" w:rsidRPr="001B01C8" w:rsidRDefault="001B01C8" w:rsidP="001B01C8">
      <w:r>
        <w:rPr>
          <w:noProof/>
        </w:rPr>
        <w:drawing>
          <wp:inline distT="0" distB="0" distL="0" distR="0" wp14:anchorId="0A774DFA" wp14:editId="78CD8018">
            <wp:extent cx="5400040" cy="2297430"/>
            <wp:effectExtent l="0" t="0" r="0" b="7620"/>
            <wp:docPr id="7" name="Picture 7" descr="P2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214#yIS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40" cy="2297430"/>
                    </a:xfrm>
                    <a:prstGeom prst="rect">
                      <a:avLst/>
                    </a:prstGeom>
                  </pic:spPr>
                </pic:pic>
              </a:graphicData>
            </a:graphic>
          </wp:inline>
        </w:drawing>
      </w:r>
    </w:p>
    <w:p w14:paraId="74F5E897" w14:textId="7647F6FF" w:rsidR="00CA0A08" w:rsidRDefault="00CA0A08" w:rsidP="007967F1"/>
    <w:p w14:paraId="7D1BC866" w14:textId="635953EF" w:rsidR="00CA0A08" w:rsidRDefault="00CA0A08" w:rsidP="007967F1">
      <w:pPr>
        <w:sectPr w:rsidR="00CA0A08" w:rsidSect="00C345BC">
          <w:pgSz w:w="11906" w:h="16838"/>
          <w:pgMar w:top="2778" w:right="1701" w:bottom="454" w:left="1701" w:header="567" w:footer="567" w:gutter="0"/>
          <w:cols w:space="708"/>
          <w:titlePg/>
          <w:docGrid w:linePitch="360"/>
        </w:sectPr>
      </w:pPr>
    </w:p>
    <w:p w14:paraId="518E4CF2" w14:textId="77777777" w:rsidR="007967F1" w:rsidRDefault="007967F1" w:rsidP="007967F1">
      <w:pPr>
        <w:pStyle w:val="Heading2-nonumbering"/>
      </w:pPr>
      <w:bookmarkStart w:id="19" w:name="_Toc124933824"/>
      <w:r>
        <w:lastRenderedPageBreak/>
        <w:t>A journey for all involved</w:t>
      </w:r>
      <w:bookmarkEnd w:id="19"/>
    </w:p>
    <w:p w14:paraId="7379FD61" w14:textId="77777777" w:rsidR="001D5B45" w:rsidRDefault="001D5B45" w:rsidP="007967F1">
      <w:pPr>
        <w:pStyle w:val="NormalwIndent"/>
      </w:pPr>
    </w:p>
    <w:p w14:paraId="5B2AB076" w14:textId="435D4D91" w:rsidR="007967F1" w:rsidRDefault="007967F1" w:rsidP="007967F1">
      <w:pPr>
        <w:pStyle w:val="NormalwIndent"/>
      </w:pPr>
      <w:r w:rsidRPr="00370E84">
        <w:rPr>
          <w:i/>
          <w:iCs/>
        </w:rPr>
        <w:t>Commissioning for Pae Ora</w:t>
      </w:r>
      <w:r w:rsidR="000A29EA" w:rsidRPr="00370E84">
        <w:rPr>
          <w:i/>
          <w:iCs/>
        </w:rPr>
        <w:t xml:space="preserve"> Healthy Futures</w:t>
      </w:r>
      <w:r>
        <w:t xml:space="preserve"> is a summary of what we have learnt to date</w:t>
      </w:r>
      <w:r w:rsidR="004341FC">
        <w:t xml:space="preserve"> and provides insights into how we can continue to learn about commissioning for pae ora and equity</w:t>
      </w:r>
      <w:r>
        <w:t xml:space="preserve">.  </w:t>
      </w:r>
    </w:p>
    <w:p w14:paraId="129B13F0" w14:textId="77777777" w:rsidR="00A81F94" w:rsidRDefault="00A83556" w:rsidP="00A81F94">
      <w:pPr>
        <w:pStyle w:val="NormalwIndent"/>
      </w:pPr>
      <w:r>
        <w:t>The</w:t>
      </w:r>
      <w:r w:rsidR="007967F1">
        <w:t xml:space="preserve"> Commissioning for Pae Ora </w:t>
      </w:r>
      <w:r w:rsidR="00551057">
        <w:t xml:space="preserve">framework </w:t>
      </w:r>
      <w:r w:rsidR="00A81F94">
        <w:t>helps achieve change</w:t>
      </w:r>
      <w:r w:rsidR="007967F1">
        <w:t xml:space="preserve"> </w:t>
      </w:r>
      <w:r w:rsidR="00A81F94">
        <w:t xml:space="preserve">in </w:t>
      </w:r>
      <w:r>
        <w:t xml:space="preserve">the </w:t>
      </w:r>
      <w:r w:rsidR="007967F1">
        <w:t>system</w:t>
      </w:r>
      <w:r w:rsidR="008734F0">
        <w:t xml:space="preserve"> to</w:t>
      </w:r>
      <w:r w:rsidR="007967F1">
        <w:t xml:space="preserve"> improve outcomes for whānau now and </w:t>
      </w:r>
      <w:r w:rsidR="00D83598">
        <w:t xml:space="preserve">in </w:t>
      </w:r>
      <w:r w:rsidR="007967F1">
        <w:t xml:space="preserve">future generations. </w:t>
      </w:r>
    </w:p>
    <w:p w14:paraId="0FC082D3" w14:textId="31C5F6D5" w:rsidR="007967F1" w:rsidRDefault="007967F1" w:rsidP="00A81F94">
      <w:pPr>
        <w:pStyle w:val="NormalwIndent"/>
      </w:pPr>
      <w:r>
        <w:t>All participants in the commissioning process will experience changes.</w:t>
      </w:r>
    </w:p>
    <w:p w14:paraId="676797F7" w14:textId="5D965239" w:rsidR="007967F1" w:rsidRDefault="007967F1" w:rsidP="007967F1">
      <w:pPr>
        <w:pStyle w:val="ListBullet"/>
        <w:tabs>
          <w:tab w:val="clear" w:pos="360"/>
          <w:tab w:val="num" w:pos="851"/>
        </w:tabs>
        <w:ind w:left="1985" w:hanging="284"/>
      </w:pPr>
      <w:r w:rsidRPr="003D7A22">
        <w:rPr>
          <w:b/>
          <w:bCs w:val="0"/>
          <w:color w:val="auto"/>
        </w:rPr>
        <w:t>Whānau</w:t>
      </w:r>
      <w:r w:rsidRPr="001D5B45">
        <w:rPr>
          <w:b/>
          <w:bCs w:val="0"/>
          <w:color w:val="EC643C"/>
        </w:rPr>
        <w:t xml:space="preserve"> </w:t>
      </w:r>
      <w:r w:rsidR="005E6B59">
        <w:t>can</w:t>
      </w:r>
      <w:r>
        <w:t xml:space="preserve"> move from being passive recipients of care to active players and decision-makers who direct their health and wellbeing journeys.</w:t>
      </w:r>
    </w:p>
    <w:p w14:paraId="0C3DCB3B" w14:textId="4E7B44A0" w:rsidR="007967F1" w:rsidRDefault="007967F1" w:rsidP="007967F1">
      <w:pPr>
        <w:pStyle w:val="ListBullet"/>
        <w:tabs>
          <w:tab w:val="clear" w:pos="360"/>
          <w:tab w:val="num" w:pos="851"/>
        </w:tabs>
        <w:ind w:left="1985" w:hanging="284"/>
      </w:pPr>
      <w:r w:rsidRPr="003D7A22">
        <w:rPr>
          <w:b/>
          <w:bCs w:val="0"/>
          <w:color w:val="auto"/>
        </w:rPr>
        <w:t xml:space="preserve">Service providers </w:t>
      </w:r>
      <w:r w:rsidR="005E6B59">
        <w:rPr>
          <w:color w:val="auto"/>
        </w:rPr>
        <w:t>can</w:t>
      </w:r>
      <w:r w:rsidR="00883371">
        <w:rPr>
          <w:color w:val="auto"/>
        </w:rPr>
        <w:t xml:space="preserve"> </w:t>
      </w:r>
      <w:r>
        <w:t>help commissioners understand what is needed to support continuous improvement</w:t>
      </w:r>
      <w:r w:rsidR="00D83598">
        <w:t xml:space="preserve">. They </w:t>
      </w:r>
      <w:r w:rsidR="005E6B59">
        <w:t>can</w:t>
      </w:r>
      <w:r>
        <w:t xml:space="preserve"> move away from a narrower, less constructive focus</w:t>
      </w:r>
      <w:r w:rsidR="00D83598">
        <w:t xml:space="preserve"> on</w:t>
      </w:r>
      <w:r w:rsidR="00D83598" w:rsidRPr="00D83598">
        <w:t xml:space="preserve"> </w:t>
      </w:r>
      <w:r w:rsidR="00D83598">
        <w:t>compliance</w:t>
      </w:r>
      <w:r w:rsidR="00543D6C">
        <w:t>.</w:t>
      </w:r>
    </w:p>
    <w:p w14:paraId="008C033E" w14:textId="217B672C" w:rsidR="007967F1" w:rsidRDefault="007967F1" w:rsidP="007967F1">
      <w:pPr>
        <w:pStyle w:val="ListBullet"/>
        <w:tabs>
          <w:tab w:val="clear" w:pos="360"/>
          <w:tab w:val="num" w:pos="851"/>
        </w:tabs>
        <w:ind w:left="1985" w:hanging="284"/>
      </w:pPr>
      <w:r w:rsidRPr="003D7A22">
        <w:rPr>
          <w:b/>
          <w:bCs w:val="0"/>
          <w:color w:val="auto"/>
        </w:rPr>
        <w:t>Commissioners</w:t>
      </w:r>
      <w:r w:rsidRPr="001D5B45">
        <w:rPr>
          <w:b/>
          <w:bCs w:val="0"/>
          <w:color w:val="EC643C"/>
        </w:rPr>
        <w:t xml:space="preserve"> </w:t>
      </w:r>
      <w:r w:rsidR="005E6B59">
        <w:t>can</w:t>
      </w:r>
      <w:r>
        <w:t xml:space="preserve"> </w:t>
      </w:r>
      <w:r w:rsidR="00D32A18">
        <w:t>improve their</w:t>
      </w:r>
      <w:r>
        <w:t xml:space="preserve"> understand</w:t>
      </w:r>
      <w:r w:rsidR="00D32A18">
        <w:t>ing of</w:t>
      </w:r>
      <w:r>
        <w:t xml:space="preserve"> how they can influence system conditions to enable innovation and devol</w:t>
      </w:r>
      <w:r w:rsidR="00D83598">
        <w:t>ve</w:t>
      </w:r>
      <w:r>
        <w:t xml:space="preserve"> decision-making and resources.</w:t>
      </w:r>
    </w:p>
    <w:p w14:paraId="754F1EC8" w14:textId="0CF5EA02" w:rsidR="001D5B45" w:rsidRPr="001D5B45" w:rsidRDefault="001D5B45" w:rsidP="001D5B45">
      <w:pPr>
        <w:pStyle w:val="ListBullet"/>
        <w:tabs>
          <w:tab w:val="clear" w:pos="360"/>
          <w:tab w:val="num" w:pos="851"/>
        </w:tabs>
        <w:ind w:left="1985" w:hanging="284"/>
        <w:rPr>
          <w:color w:val="auto"/>
        </w:rPr>
      </w:pPr>
      <w:r w:rsidRPr="003D7A22">
        <w:rPr>
          <w:b/>
          <w:bCs w:val="0"/>
          <w:color w:val="auto"/>
        </w:rPr>
        <w:t>System stewards</w:t>
      </w:r>
      <w:r w:rsidRPr="003D7A22">
        <w:rPr>
          <w:color w:val="auto"/>
        </w:rPr>
        <w:t xml:space="preserve"> </w:t>
      </w:r>
      <w:r w:rsidR="005E6B59">
        <w:rPr>
          <w:color w:val="auto"/>
        </w:rPr>
        <w:t>can</w:t>
      </w:r>
      <w:r w:rsidRPr="001D5B45">
        <w:rPr>
          <w:color w:val="auto"/>
        </w:rPr>
        <w:t xml:space="preserve"> develop relationships, tools and processes that support accountability, performance monitoring, capability building, prioritisation and investment decisions.</w:t>
      </w:r>
    </w:p>
    <w:p w14:paraId="13681DFE" w14:textId="1C534CD4" w:rsidR="001D5B45" w:rsidRDefault="001D5B45" w:rsidP="001D5B45">
      <w:pPr>
        <w:pStyle w:val="ListBullet"/>
        <w:numPr>
          <w:ilvl w:val="0"/>
          <w:numId w:val="0"/>
        </w:numPr>
        <w:ind w:left="1985"/>
      </w:pPr>
    </w:p>
    <w:p w14:paraId="60AFE0C2" w14:textId="77777777" w:rsidR="001D5B45" w:rsidRDefault="001D5B45" w:rsidP="006D6059"/>
    <w:p w14:paraId="6ABA182D" w14:textId="6AE14F66" w:rsidR="00CA0A08" w:rsidRDefault="00CA0A08" w:rsidP="001D5B45">
      <w:pPr>
        <w:pStyle w:val="Heading2-nonumbering"/>
        <w:sectPr w:rsidR="00CA0A08" w:rsidSect="00C345BC">
          <w:pgSz w:w="11906" w:h="16838"/>
          <w:pgMar w:top="2778" w:right="1701" w:bottom="454" w:left="1701" w:header="567" w:footer="567" w:gutter="0"/>
          <w:cols w:space="708"/>
          <w:titlePg/>
          <w:docGrid w:linePitch="360"/>
        </w:sectPr>
      </w:pPr>
    </w:p>
    <w:p w14:paraId="2D2FACE7" w14:textId="77777777" w:rsidR="00E17697" w:rsidRPr="00C102C7" w:rsidRDefault="00CA0A08" w:rsidP="006D6059">
      <w:pPr>
        <w:pStyle w:val="Heading1-nonumbering"/>
        <w:spacing w:after="0"/>
        <w:rPr>
          <w:rStyle w:val="1Orange"/>
          <w:b w:val="0"/>
          <w:spacing w:val="0"/>
        </w:rPr>
      </w:pPr>
      <w:bookmarkStart w:id="20" w:name="_Toc124933825"/>
      <w:r w:rsidRPr="00C102C7">
        <w:rPr>
          <w:rStyle w:val="1Orange"/>
          <w:b w:val="0"/>
          <w:spacing w:val="0"/>
        </w:rPr>
        <w:lastRenderedPageBreak/>
        <w:t>Why commissioning needs to change</w:t>
      </w:r>
      <w:bookmarkEnd w:id="20"/>
    </w:p>
    <w:p w14:paraId="50C90963" w14:textId="77777777" w:rsidR="00CA0A08" w:rsidRPr="009055B4" w:rsidRDefault="00CA0A08" w:rsidP="009055B4">
      <w:pPr>
        <w:pStyle w:val="NormalwIndent"/>
        <w:rPr>
          <w:rStyle w:val="1Orange"/>
          <w:b w:val="0"/>
          <w:color w:val="000000"/>
          <w:spacing w:val="0"/>
        </w:rPr>
      </w:pPr>
    </w:p>
    <w:p w14:paraId="17A12328" w14:textId="77777777" w:rsidR="00CF1E8D" w:rsidRDefault="00CF1E8D" w:rsidP="001B01C8">
      <w:pPr>
        <w:pStyle w:val="NormalwIndent"/>
        <w:ind w:right="-285"/>
      </w:pPr>
      <w:r>
        <w:t>Drivers of change to commissioning in health have come from the Health and Disability System Review (2019) and the Wai 2575 inquiry (Waitangi Tribunal 2019), along with the Cabinet-mandated Social Sector Commissioning work programme.</w:t>
      </w:r>
    </w:p>
    <w:p w14:paraId="49869E03" w14:textId="05C67B91" w:rsidR="00CA0A08" w:rsidRPr="00CA0A08" w:rsidRDefault="00CA0A08" w:rsidP="001B01C8">
      <w:pPr>
        <w:pStyle w:val="NormalwIndent"/>
        <w:ind w:right="-285"/>
        <w:rPr>
          <w:rStyle w:val="1Orange"/>
          <w:b w:val="0"/>
          <w:color w:val="000000"/>
          <w:spacing w:val="0"/>
        </w:rPr>
      </w:pPr>
      <w:r w:rsidRPr="00CA0A08">
        <w:rPr>
          <w:rStyle w:val="1Orange"/>
          <w:b w:val="0"/>
          <w:color w:val="000000"/>
          <w:spacing w:val="0"/>
        </w:rPr>
        <w:t>The way we commission services and other investments impacts whānau and community wellbeing and equity and we must do better. The current commissioning process creates systemic barriers for:</w:t>
      </w:r>
    </w:p>
    <w:p w14:paraId="4C68B0AE" w14:textId="4E8C03AD" w:rsidR="00CA0A08" w:rsidRPr="00CA0A08" w:rsidRDefault="00442777" w:rsidP="001B01C8">
      <w:pPr>
        <w:pStyle w:val="ListBullet"/>
        <w:tabs>
          <w:tab w:val="clear" w:pos="360"/>
          <w:tab w:val="num" w:pos="709"/>
        </w:tabs>
        <w:ind w:left="1985" w:right="-285" w:hanging="284"/>
        <w:rPr>
          <w:rStyle w:val="1Orange"/>
          <w:b w:val="0"/>
          <w:color w:val="000000"/>
          <w:spacing w:val="0"/>
        </w:rPr>
      </w:pPr>
      <w:r>
        <w:rPr>
          <w:rStyle w:val="1Orange"/>
          <w:bCs w:val="0"/>
          <w:color w:val="auto"/>
          <w:spacing w:val="0"/>
        </w:rPr>
        <w:t>p</w:t>
      </w:r>
      <w:r w:rsidR="00CA0A08" w:rsidRPr="003D7A22">
        <w:rPr>
          <w:rStyle w:val="1Orange"/>
          <w:bCs w:val="0"/>
          <w:color w:val="auto"/>
          <w:spacing w:val="0"/>
        </w:rPr>
        <w:t xml:space="preserve">eople, whānau and </w:t>
      </w:r>
      <w:r>
        <w:rPr>
          <w:rStyle w:val="1Orange"/>
          <w:bCs w:val="0"/>
          <w:color w:val="auto"/>
          <w:spacing w:val="0"/>
        </w:rPr>
        <w:t>a range of</w:t>
      </w:r>
      <w:r w:rsidRPr="003D7A22">
        <w:rPr>
          <w:rStyle w:val="1Orange"/>
          <w:bCs w:val="0"/>
          <w:color w:val="auto"/>
          <w:spacing w:val="0"/>
        </w:rPr>
        <w:t xml:space="preserve"> </w:t>
      </w:r>
      <w:r w:rsidR="00CA0A08" w:rsidRPr="003D7A22">
        <w:rPr>
          <w:rStyle w:val="1Orange"/>
          <w:bCs w:val="0"/>
          <w:color w:val="auto"/>
          <w:spacing w:val="0"/>
        </w:rPr>
        <w:t xml:space="preserve">groups </w:t>
      </w:r>
      <w:r w:rsidR="00CA0A08" w:rsidRPr="00CA0A08">
        <w:rPr>
          <w:rStyle w:val="1Orange"/>
          <w:b w:val="0"/>
          <w:color w:val="000000"/>
          <w:spacing w:val="0"/>
        </w:rPr>
        <w:t>trying to access services and other supports</w:t>
      </w:r>
    </w:p>
    <w:p w14:paraId="674EEA03" w14:textId="023949EE" w:rsidR="00CA0A08" w:rsidRPr="009D2F3B" w:rsidRDefault="00442777" w:rsidP="001B01C8">
      <w:pPr>
        <w:pStyle w:val="ListBullet"/>
        <w:tabs>
          <w:tab w:val="clear" w:pos="360"/>
          <w:tab w:val="num" w:pos="709"/>
        </w:tabs>
        <w:ind w:left="1985" w:right="-285" w:hanging="284"/>
        <w:rPr>
          <w:rStyle w:val="1Orange"/>
          <w:b w:val="0"/>
          <w:spacing w:val="0"/>
        </w:rPr>
      </w:pPr>
      <w:r>
        <w:rPr>
          <w:rStyle w:val="1Orange"/>
          <w:bCs w:val="0"/>
          <w:color w:val="auto"/>
          <w:spacing w:val="0"/>
        </w:rPr>
        <w:t>i</w:t>
      </w:r>
      <w:r w:rsidR="00CA0A08" w:rsidRPr="003D7A22">
        <w:rPr>
          <w:rStyle w:val="1Orange"/>
          <w:bCs w:val="0"/>
          <w:color w:val="auto"/>
          <w:spacing w:val="0"/>
        </w:rPr>
        <w:t xml:space="preserve">wi, hapū and whānau </w:t>
      </w:r>
      <w:r>
        <w:t xml:space="preserve">trying </w:t>
      </w:r>
      <w:r w:rsidR="00535A68">
        <w:rPr>
          <w:rStyle w:val="1Orange"/>
          <w:b w:val="0"/>
          <w:color w:val="auto"/>
          <w:spacing w:val="0"/>
        </w:rPr>
        <w:t xml:space="preserve">to </w:t>
      </w:r>
      <w:r w:rsidR="00CA0A08" w:rsidRPr="00633E78">
        <w:rPr>
          <w:rStyle w:val="1Orange"/>
          <w:b w:val="0"/>
          <w:color w:val="auto"/>
          <w:spacing w:val="0"/>
        </w:rPr>
        <w:t>exercis</w:t>
      </w:r>
      <w:r w:rsidR="00535A68">
        <w:rPr>
          <w:rStyle w:val="1Orange"/>
          <w:b w:val="0"/>
          <w:color w:val="auto"/>
          <w:spacing w:val="0"/>
        </w:rPr>
        <w:t>e</w:t>
      </w:r>
      <w:r w:rsidR="00CA0A08" w:rsidRPr="00633E78">
        <w:rPr>
          <w:rStyle w:val="1Orange"/>
          <w:b w:val="0"/>
          <w:color w:val="auto"/>
          <w:spacing w:val="0"/>
        </w:rPr>
        <w:t xml:space="preserve"> tino rangatiratanga</w:t>
      </w:r>
    </w:p>
    <w:p w14:paraId="59745705" w14:textId="6AD5E808" w:rsidR="00CA0A08" w:rsidRPr="00CA0A08" w:rsidRDefault="00442777" w:rsidP="001B01C8">
      <w:pPr>
        <w:pStyle w:val="ListBullet"/>
        <w:tabs>
          <w:tab w:val="clear" w:pos="360"/>
          <w:tab w:val="num" w:pos="709"/>
        </w:tabs>
        <w:ind w:left="1985" w:right="-285" w:hanging="284"/>
        <w:rPr>
          <w:rStyle w:val="1Orange"/>
          <w:b w:val="0"/>
          <w:color w:val="000000"/>
          <w:spacing w:val="0"/>
        </w:rPr>
      </w:pPr>
      <w:r>
        <w:rPr>
          <w:rStyle w:val="1Orange"/>
          <w:bCs w:val="0"/>
          <w:color w:val="auto"/>
          <w:spacing w:val="0"/>
        </w:rPr>
        <w:t>p</w:t>
      </w:r>
      <w:r w:rsidR="00CA0A08" w:rsidRPr="003D7A22">
        <w:rPr>
          <w:rStyle w:val="1Orange"/>
          <w:bCs w:val="0"/>
          <w:color w:val="auto"/>
          <w:spacing w:val="0"/>
        </w:rPr>
        <w:t>roviders</w:t>
      </w:r>
      <w:r w:rsidR="00CA0A08" w:rsidRPr="009D2F3B">
        <w:rPr>
          <w:rStyle w:val="1Orange"/>
          <w:bCs w:val="0"/>
          <w:spacing w:val="0"/>
        </w:rPr>
        <w:t xml:space="preserve"> </w:t>
      </w:r>
      <w:r w:rsidR="00CA0A08" w:rsidRPr="00CA0A08">
        <w:rPr>
          <w:rStyle w:val="1Orange"/>
          <w:b w:val="0"/>
          <w:color w:val="000000"/>
          <w:spacing w:val="0"/>
        </w:rPr>
        <w:t>trying to start up services, access funding, innovate and become sustainable</w:t>
      </w:r>
      <w:r w:rsidR="003938F1">
        <w:rPr>
          <w:rStyle w:val="1Orange"/>
          <w:b w:val="0"/>
          <w:color w:val="000000"/>
          <w:spacing w:val="0"/>
        </w:rPr>
        <w:t>.</w:t>
      </w:r>
    </w:p>
    <w:p w14:paraId="7E350039" w14:textId="2AA47C54" w:rsidR="00CA0A08" w:rsidRDefault="00CA0A08" w:rsidP="001B01C8">
      <w:pPr>
        <w:pStyle w:val="NormalwIndent"/>
        <w:spacing w:after="0"/>
        <w:ind w:right="-285"/>
        <w:rPr>
          <w:rStyle w:val="1Orange"/>
          <w:b w:val="0"/>
          <w:color w:val="000000"/>
          <w:spacing w:val="0"/>
        </w:rPr>
      </w:pPr>
      <w:r w:rsidRPr="00CA0A08">
        <w:rPr>
          <w:rStyle w:val="1Orange"/>
          <w:b w:val="0"/>
          <w:color w:val="000000"/>
          <w:spacing w:val="0"/>
        </w:rPr>
        <w:t xml:space="preserve">Outcomes for Māori and other under-served groups won’t change unless we </w:t>
      </w:r>
      <w:r w:rsidR="00B51EA3">
        <w:rPr>
          <w:rStyle w:val="1Orange"/>
          <w:b w:val="0"/>
          <w:color w:val="000000"/>
          <w:spacing w:val="0"/>
        </w:rPr>
        <w:t xml:space="preserve">take a whole of systems approach, </w:t>
      </w:r>
      <w:r w:rsidRPr="00CA0A08">
        <w:rPr>
          <w:rStyle w:val="1Orange"/>
          <w:b w:val="0"/>
          <w:color w:val="000000"/>
          <w:spacing w:val="0"/>
        </w:rPr>
        <w:t>change the way we build trust, think</w:t>
      </w:r>
      <w:r w:rsidR="00255EE2">
        <w:rPr>
          <w:rStyle w:val="1Orange"/>
          <w:b w:val="0"/>
          <w:color w:val="000000"/>
          <w:spacing w:val="0"/>
        </w:rPr>
        <w:t xml:space="preserve"> and</w:t>
      </w:r>
      <w:r w:rsidRPr="00CA0A08">
        <w:rPr>
          <w:rStyle w:val="1Orange"/>
          <w:b w:val="0"/>
          <w:color w:val="000000"/>
          <w:spacing w:val="0"/>
        </w:rPr>
        <w:t xml:space="preserve"> act</w:t>
      </w:r>
      <w:r w:rsidR="00255EE2">
        <w:rPr>
          <w:rStyle w:val="1Orange"/>
          <w:b w:val="0"/>
          <w:color w:val="000000"/>
          <w:spacing w:val="0"/>
        </w:rPr>
        <w:t xml:space="preserve"> in relation to commissioning,</w:t>
      </w:r>
      <w:r w:rsidRPr="00CA0A08">
        <w:rPr>
          <w:rStyle w:val="1Orange"/>
          <w:b w:val="0"/>
          <w:color w:val="000000"/>
          <w:spacing w:val="0"/>
        </w:rPr>
        <w:t xml:space="preserve"> fund</w:t>
      </w:r>
      <w:r w:rsidR="00255EE2">
        <w:rPr>
          <w:rStyle w:val="1Orange"/>
          <w:b w:val="0"/>
          <w:color w:val="000000"/>
          <w:spacing w:val="0"/>
        </w:rPr>
        <w:t xml:space="preserve"> and</w:t>
      </w:r>
      <w:r w:rsidRPr="00CA0A08">
        <w:rPr>
          <w:rStyle w:val="1Orange"/>
          <w:b w:val="0"/>
          <w:color w:val="000000"/>
          <w:spacing w:val="0"/>
        </w:rPr>
        <w:t xml:space="preserve"> deliver</w:t>
      </w:r>
      <w:r w:rsidR="00255EE2">
        <w:rPr>
          <w:rStyle w:val="1Orange"/>
          <w:b w:val="0"/>
          <w:color w:val="000000"/>
          <w:spacing w:val="0"/>
        </w:rPr>
        <w:t xml:space="preserve"> services and other investments,</w:t>
      </w:r>
      <w:r w:rsidRPr="00CA0A08">
        <w:rPr>
          <w:rStyle w:val="1Orange"/>
          <w:b w:val="0"/>
          <w:color w:val="000000"/>
          <w:spacing w:val="0"/>
        </w:rPr>
        <w:t xml:space="preserve"> and assess outcomes when we commission.</w:t>
      </w:r>
    </w:p>
    <w:p w14:paraId="5BE28C90" w14:textId="77777777" w:rsidR="006D6059" w:rsidRDefault="006D6059" w:rsidP="001B01C8">
      <w:pPr>
        <w:pStyle w:val="NormalwIndent"/>
        <w:spacing w:after="140"/>
        <w:rPr>
          <w:rStyle w:val="1Orange"/>
          <w:b w:val="0"/>
          <w:color w:val="000000"/>
          <w:spacing w:val="0"/>
        </w:rPr>
      </w:pPr>
    </w:p>
    <w:tbl>
      <w:tblPr>
        <w:tblStyle w:val="TableGrid"/>
        <w:tblW w:w="6946" w:type="dxa"/>
        <w:tblInd w:w="1701" w:type="dxa"/>
        <w:tblBorders>
          <w:top w:val="single" w:sz="4" w:space="0" w:color="EC643C"/>
          <w:left w:val="none" w:sz="0" w:space="0" w:color="auto"/>
          <w:bottom w:val="single" w:sz="4" w:space="0" w:color="EC643C"/>
          <w:right w:val="none" w:sz="0" w:space="0" w:color="auto"/>
          <w:insideH w:val="single" w:sz="4" w:space="0" w:color="EC643C"/>
          <w:insideV w:val="single" w:sz="4" w:space="0" w:color="EC643C"/>
        </w:tblBorders>
        <w:tblLook w:val="04A0" w:firstRow="1" w:lastRow="0" w:firstColumn="1" w:lastColumn="0" w:noHBand="0" w:noVBand="1"/>
      </w:tblPr>
      <w:tblGrid>
        <w:gridCol w:w="6946"/>
      </w:tblGrid>
      <w:tr w:rsidR="006D6059" w14:paraId="0AD7A9F1" w14:textId="77777777" w:rsidTr="001B01C8">
        <w:tc>
          <w:tcPr>
            <w:tcW w:w="6946" w:type="dxa"/>
          </w:tcPr>
          <w:p w14:paraId="0A1C5F88" w14:textId="70962376" w:rsidR="006D6059" w:rsidRDefault="00141081" w:rsidP="001B01C8">
            <w:pPr>
              <w:pStyle w:val="NormalwIndent"/>
              <w:spacing w:before="140" w:after="140"/>
              <w:ind w:left="29"/>
              <w:rPr>
                <w:iCs/>
                <w:color w:val="EC643C"/>
                <w:sz w:val="28"/>
              </w:rPr>
            </w:pPr>
            <w:r>
              <w:rPr>
                <w:iCs/>
                <w:color w:val="EC643C"/>
                <w:sz w:val="28"/>
              </w:rPr>
              <w:t>Responsive</w:t>
            </w:r>
            <w:r w:rsidR="006D6059" w:rsidRPr="006D6059">
              <w:rPr>
                <w:iCs/>
                <w:color w:val="EC643C"/>
                <w:sz w:val="28"/>
              </w:rPr>
              <w:t xml:space="preserve"> investment is needed to improve outcomes and achieve equity</w:t>
            </w:r>
          </w:p>
          <w:p w14:paraId="6796C697" w14:textId="690ABC52" w:rsidR="006D6059" w:rsidRDefault="006D6059" w:rsidP="001B01C8">
            <w:pPr>
              <w:pStyle w:val="NormalwIndent"/>
              <w:spacing w:before="140" w:after="140"/>
              <w:ind w:left="29"/>
            </w:pPr>
            <w:r>
              <w:t>In health, commissioning has tended to focus on services, which can reduc</w:t>
            </w:r>
            <w:r w:rsidR="00311156">
              <w:t>e</w:t>
            </w:r>
            <w:r>
              <w:t xml:space="preserve"> self-determination and increas</w:t>
            </w:r>
            <w:r w:rsidR="00311156">
              <w:t>e</w:t>
            </w:r>
            <w:r w:rsidR="00FC085F">
              <w:t xml:space="preserve"> </w:t>
            </w:r>
            <w:r w:rsidR="00E40E17">
              <w:t>the</w:t>
            </w:r>
            <w:r>
              <w:t xml:space="preserve"> reliance </w:t>
            </w:r>
            <w:r w:rsidR="00E40E17">
              <w:t>of people, wh</w:t>
            </w:r>
            <w:r w:rsidR="00E40E17">
              <w:rPr>
                <w:lang w:val="mi-NZ"/>
              </w:rPr>
              <w:t xml:space="preserve">ānau and communities </w:t>
            </w:r>
            <w:r>
              <w:t>on professionals for help. Other supports</w:t>
            </w:r>
            <w:r w:rsidR="00C45F6B">
              <w:t xml:space="preserve"> for health</w:t>
            </w:r>
            <w:r>
              <w:t xml:space="preserve"> include flexible funding that allows whānau to choose what will help improve their health and wellbeing, </w:t>
            </w:r>
            <w:r w:rsidR="00C45F6B">
              <w:t xml:space="preserve">and </w:t>
            </w:r>
            <w:r>
              <w:t xml:space="preserve">investments to build community leadership and capacity so people and whānau can do more for themselves earlier. </w:t>
            </w:r>
            <w:r w:rsidR="00141081">
              <w:t>Issues</w:t>
            </w:r>
            <w:r>
              <w:t xml:space="preserve"> are </w:t>
            </w:r>
            <w:r w:rsidR="00141081">
              <w:t xml:space="preserve">then </w:t>
            </w:r>
            <w:r>
              <w:t xml:space="preserve">less likely to escalate to the point where people require a more formal ‘service’ response.   </w:t>
            </w:r>
          </w:p>
          <w:p w14:paraId="152A1797" w14:textId="0FC32772" w:rsidR="006D6059" w:rsidRDefault="006D6059" w:rsidP="001B01C8">
            <w:pPr>
              <w:pStyle w:val="NormalwIndent"/>
              <w:spacing w:before="140" w:after="140"/>
              <w:ind w:left="29"/>
            </w:pPr>
            <w:r>
              <w:t>Community-led COVID-19 responses demonstrated the power of having strong, resilient communities that could quickly mobilise to support others and reach people who weren’t already connected to build trust in government services.</w:t>
            </w:r>
          </w:p>
        </w:tc>
      </w:tr>
    </w:tbl>
    <w:p w14:paraId="1EF681AA" w14:textId="68B7C922" w:rsidR="006D6059" w:rsidRDefault="006D6059" w:rsidP="006D6059">
      <w:pPr>
        <w:pStyle w:val="ListBullet"/>
        <w:numPr>
          <w:ilvl w:val="0"/>
          <w:numId w:val="0"/>
        </w:numPr>
        <w:ind w:left="360" w:hanging="360"/>
        <w:sectPr w:rsidR="006D6059" w:rsidSect="00C345BC">
          <w:pgSz w:w="11906" w:h="16838"/>
          <w:pgMar w:top="2778" w:right="1701" w:bottom="454" w:left="1701" w:header="567" w:footer="567" w:gutter="0"/>
          <w:cols w:space="708"/>
          <w:titlePg/>
          <w:docGrid w:linePitch="360"/>
        </w:sectPr>
      </w:pPr>
    </w:p>
    <w:p w14:paraId="59595B2B" w14:textId="77777777" w:rsidR="006D6059" w:rsidRDefault="006D6059" w:rsidP="006D6059">
      <w:pPr>
        <w:pStyle w:val="Heading2-nonumbering"/>
      </w:pPr>
      <w:bookmarkStart w:id="21" w:name="_Toc124933826"/>
      <w:r>
        <w:lastRenderedPageBreak/>
        <w:t>What commissioning is</w:t>
      </w:r>
      <w:bookmarkEnd w:id="21"/>
    </w:p>
    <w:p w14:paraId="0A25DE00" w14:textId="77777777" w:rsidR="006D6059" w:rsidRDefault="006D6059" w:rsidP="006D6059">
      <w:pPr>
        <w:pStyle w:val="NormalwIndent"/>
      </w:pPr>
    </w:p>
    <w:p w14:paraId="540B6B05" w14:textId="3CE77005" w:rsidR="006D6059" w:rsidRDefault="006D6059" w:rsidP="006D6059">
      <w:pPr>
        <w:pStyle w:val="NormalwIndent"/>
      </w:pPr>
      <w:r>
        <w:t>Within health, commissioning is a strategic process for assessing the needs and strengths of people, whānau and communities alongside current services and support,</w:t>
      </w:r>
      <w:r w:rsidR="00EB0CF5">
        <w:t xml:space="preserve"> and</w:t>
      </w:r>
      <w:r>
        <w:t xml:space="preserve"> then designing and investing </w:t>
      </w:r>
      <w:r w:rsidR="00C45F6B">
        <w:t xml:space="preserve">to achieve </w:t>
      </w:r>
      <w:r w:rsidR="00B43401">
        <w:t xml:space="preserve">equity and </w:t>
      </w:r>
      <w:r>
        <w:t>the best health outcomes. Commissioning is an end-to-end process from purpose, design and delivery to assessment</w:t>
      </w:r>
      <w:r w:rsidR="00406211">
        <w:t>. It</w:t>
      </w:r>
      <w:r>
        <w:t xml:space="preserve"> is repeated within an ever-changing context and with a growing understanding of what works.</w:t>
      </w:r>
    </w:p>
    <w:p w14:paraId="551575F5" w14:textId="30004890" w:rsidR="006D6059" w:rsidRDefault="006D6059" w:rsidP="006D6059">
      <w:pPr>
        <w:pStyle w:val="NormalwIndent"/>
      </w:pPr>
      <w:r>
        <w:t>Commissioning is much more than contract management, which often focuses on specifying and then tracking outputs</w:t>
      </w:r>
      <w:r w:rsidR="0070262D">
        <w:t>. It also goes well beyond</w:t>
      </w:r>
      <w:r>
        <w:t xml:space="preserve"> procurement, which is the technical and legal part of the much broader commissioning process. </w:t>
      </w:r>
    </w:p>
    <w:p w14:paraId="335B1B5C" w14:textId="77777777" w:rsidR="006D6059" w:rsidRDefault="006D6059" w:rsidP="006D6059">
      <w:pPr>
        <w:pStyle w:val="NormalwIndent"/>
      </w:pPr>
      <w:r>
        <w:t xml:space="preserve">Commissioning requires deeply understanding </w:t>
      </w:r>
      <w:r w:rsidRPr="00D6144F">
        <w:rPr>
          <w:color w:val="auto"/>
        </w:rPr>
        <w:t>‘what matters to whānau’</w:t>
      </w:r>
      <w:r w:rsidRPr="00D6144F">
        <w:t>,</w:t>
      </w:r>
      <w:r>
        <w:t xml:space="preserve"> building whakawhanaungatanga and then working with whānau and their communities to design services and other investments that address their needs and build on their strengths.  </w:t>
      </w:r>
    </w:p>
    <w:p w14:paraId="12042268" w14:textId="77777777" w:rsidR="006D6059" w:rsidRDefault="006D6059" w:rsidP="006D6059">
      <w:pPr>
        <w:pStyle w:val="NormalwIndent"/>
      </w:pPr>
    </w:p>
    <w:p w14:paraId="36F67360" w14:textId="77777777" w:rsidR="006D6059" w:rsidRDefault="006D6059" w:rsidP="006D6059">
      <w:pPr>
        <w:pStyle w:val="NormalwIndent"/>
        <w:sectPr w:rsidR="006D6059" w:rsidSect="00C345BC">
          <w:pgSz w:w="11906" w:h="16838"/>
          <w:pgMar w:top="2778" w:right="1701" w:bottom="454" w:left="1701" w:header="567" w:footer="567" w:gutter="0"/>
          <w:cols w:space="708"/>
          <w:titlePg/>
          <w:docGrid w:linePitch="360"/>
        </w:sectPr>
      </w:pPr>
    </w:p>
    <w:p w14:paraId="33A6AD65" w14:textId="4CCD0486" w:rsidR="006D6059" w:rsidRDefault="006D6059" w:rsidP="006D6059">
      <w:pPr>
        <w:pStyle w:val="Heading2-nonumbering"/>
      </w:pPr>
      <w:bookmarkStart w:id="22" w:name="_Toc124933827"/>
      <w:r w:rsidRPr="006D6059">
        <w:lastRenderedPageBreak/>
        <w:t>Key roles in the commissioning ecosystem</w:t>
      </w:r>
      <w:bookmarkEnd w:id="22"/>
    </w:p>
    <w:p w14:paraId="463FC2A3" w14:textId="77777777" w:rsidR="006D6059" w:rsidRDefault="006D6059" w:rsidP="006D6059"/>
    <w:tbl>
      <w:tblPr>
        <w:tblStyle w:val="TableGrid"/>
        <w:tblW w:w="8663"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843"/>
        <w:gridCol w:w="6820"/>
      </w:tblGrid>
      <w:tr w:rsidR="006D6059" w:rsidRPr="006D6059" w14:paraId="493E3A95" w14:textId="77777777" w:rsidTr="00126B1A">
        <w:trPr>
          <w:tblHeader/>
        </w:trPr>
        <w:tc>
          <w:tcPr>
            <w:tcW w:w="1843" w:type="dxa"/>
            <w:shd w:val="clear" w:color="auto" w:fill="F2F2F2" w:themeFill="background1" w:themeFillShade="F2"/>
            <w:vAlign w:val="center"/>
          </w:tcPr>
          <w:p w14:paraId="6013209C" w14:textId="77777777" w:rsidR="006D6059" w:rsidRPr="006D6059" w:rsidRDefault="006D6059" w:rsidP="00E03E2E">
            <w:pPr>
              <w:pStyle w:val="TableText"/>
              <w:rPr>
                <w:b/>
                <w:bCs/>
              </w:rPr>
            </w:pPr>
            <w:r w:rsidRPr="006D6059">
              <w:rPr>
                <w:b/>
                <w:bCs/>
              </w:rPr>
              <w:t>Role</w:t>
            </w:r>
          </w:p>
        </w:tc>
        <w:tc>
          <w:tcPr>
            <w:tcW w:w="6820" w:type="dxa"/>
            <w:shd w:val="clear" w:color="auto" w:fill="F2F2F2" w:themeFill="background1" w:themeFillShade="F2"/>
            <w:vAlign w:val="center"/>
          </w:tcPr>
          <w:p w14:paraId="58D6F33C" w14:textId="77777777" w:rsidR="006D6059" w:rsidRPr="006D6059" w:rsidRDefault="006D6059" w:rsidP="006D6059">
            <w:pPr>
              <w:pStyle w:val="TableText"/>
              <w:rPr>
                <w:b/>
                <w:bCs/>
              </w:rPr>
            </w:pPr>
            <w:r w:rsidRPr="006D6059">
              <w:rPr>
                <w:b/>
                <w:bCs/>
              </w:rPr>
              <w:t>Responsibilities</w:t>
            </w:r>
          </w:p>
        </w:tc>
      </w:tr>
      <w:tr w:rsidR="006D6059" w:rsidRPr="006D6059" w14:paraId="649559F1" w14:textId="77777777" w:rsidTr="00126B1A">
        <w:trPr>
          <w:trHeight w:val="1017"/>
        </w:trPr>
        <w:tc>
          <w:tcPr>
            <w:tcW w:w="1843" w:type="dxa"/>
            <w:shd w:val="clear" w:color="auto" w:fill="F2F2F2" w:themeFill="background1" w:themeFillShade="F2"/>
            <w:vAlign w:val="center"/>
          </w:tcPr>
          <w:p w14:paraId="735A54A5" w14:textId="77777777" w:rsidR="006D6059" w:rsidRPr="00E03E2E" w:rsidRDefault="006D6059" w:rsidP="00E03E2E">
            <w:pPr>
              <w:pStyle w:val="TableText"/>
              <w:rPr>
                <w:b/>
                <w:bCs/>
              </w:rPr>
            </w:pPr>
            <w:r w:rsidRPr="00E03E2E">
              <w:rPr>
                <w:b/>
                <w:bCs/>
              </w:rPr>
              <w:t>Regulators</w:t>
            </w:r>
          </w:p>
        </w:tc>
        <w:tc>
          <w:tcPr>
            <w:tcW w:w="6820" w:type="dxa"/>
            <w:shd w:val="clear" w:color="auto" w:fill="FFFFFF" w:themeFill="background1"/>
          </w:tcPr>
          <w:p w14:paraId="6B6E3B12" w14:textId="77777777" w:rsidR="006D6059" w:rsidRPr="006D6059" w:rsidRDefault="006D6059" w:rsidP="006D6059">
            <w:pPr>
              <w:pStyle w:val="TableText"/>
            </w:pPr>
            <w:r w:rsidRPr="006D6059">
              <w:t xml:space="preserve">Regulators focus on the relationship between service users and the provider. </w:t>
            </w:r>
          </w:p>
          <w:p w14:paraId="7EDD0890" w14:textId="77777777" w:rsidR="006D6059" w:rsidRPr="006D6059" w:rsidRDefault="006D6059" w:rsidP="006D6059">
            <w:pPr>
              <w:pStyle w:val="ListBullet"/>
              <w:spacing w:line="240" w:lineRule="auto"/>
              <w:ind w:left="357" w:hanging="357"/>
              <w:rPr>
                <w:sz w:val="18"/>
                <w:szCs w:val="18"/>
              </w:rPr>
            </w:pPr>
            <w:r w:rsidRPr="006D6059">
              <w:rPr>
                <w:sz w:val="18"/>
                <w:szCs w:val="18"/>
              </w:rPr>
              <w:t>They provide an independent assessment of policy, legislative or competition risks, and the impact (both intended and unintended) on providers and provider markets, service users and the wider community.</w:t>
            </w:r>
          </w:p>
          <w:p w14:paraId="009E733A" w14:textId="6D1024DD" w:rsidR="006D6059" w:rsidRPr="006D6059" w:rsidRDefault="006D6059" w:rsidP="006D6059">
            <w:pPr>
              <w:pStyle w:val="ListBullet"/>
              <w:spacing w:line="240" w:lineRule="auto"/>
              <w:ind w:left="357" w:hanging="357"/>
              <w:rPr>
                <w:sz w:val="18"/>
                <w:szCs w:val="18"/>
              </w:rPr>
            </w:pPr>
            <w:r w:rsidRPr="006D6059">
              <w:rPr>
                <w:sz w:val="18"/>
                <w:szCs w:val="18"/>
              </w:rPr>
              <w:t>They develop regulations to protect service users</w:t>
            </w:r>
            <w:r w:rsidR="0070262D">
              <w:rPr>
                <w:sz w:val="18"/>
                <w:szCs w:val="18"/>
              </w:rPr>
              <w:t>,</w:t>
            </w:r>
            <w:r w:rsidRPr="006D6059">
              <w:rPr>
                <w:sz w:val="18"/>
                <w:szCs w:val="18"/>
              </w:rPr>
              <w:t xml:space="preserve"> including service accreditation requirements.</w:t>
            </w:r>
            <w:r w:rsidR="004D7920">
              <w:rPr>
                <w:rFonts w:ascii="ZWAdobeF" w:hAnsi="ZWAdobeF" w:cs="ZWAdobeF"/>
                <w:color w:val="auto"/>
                <w:spacing w:val="0"/>
                <w:sz w:val="2"/>
                <w:szCs w:val="2"/>
              </w:rPr>
              <w:t>12F</w:t>
            </w:r>
            <w:r w:rsidRPr="006D6059">
              <w:rPr>
                <w:sz w:val="18"/>
                <w:szCs w:val="18"/>
                <w:vertAlign w:val="superscript"/>
              </w:rPr>
              <w:footnoteReference w:id="14"/>
            </w:r>
          </w:p>
          <w:p w14:paraId="59B735BC" w14:textId="1F631F3C" w:rsidR="006D6059" w:rsidRPr="006D6059" w:rsidRDefault="006D6059" w:rsidP="006D6059">
            <w:pPr>
              <w:pStyle w:val="Tablebulletx"/>
            </w:pPr>
            <w:r w:rsidRPr="006D6059">
              <w:t>They enforce the rules within the commissioning system or market, including those related to contestability, sourcing and investing.</w:t>
            </w:r>
            <w:r w:rsidR="004D7920">
              <w:rPr>
                <w:rFonts w:ascii="ZWAdobeF" w:hAnsi="ZWAdobeF" w:cs="ZWAdobeF"/>
                <w:color w:val="auto"/>
                <w:spacing w:val="0"/>
                <w:sz w:val="2"/>
                <w:szCs w:val="2"/>
              </w:rPr>
              <w:t>13F</w:t>
            </w:r>
            <w:r w:rsidRPr="006D6059">
              <w:rPr>
                <w:vertAlign w:val="superscript"/>
              </w:rPr>
              <w:footnoteReference w:id="15"/>
            </w:r>
          </w:p>
        </w:tc>
      </w:tr>
      <w:tr w:rsidR="006F7061" w:rsidRPr="006D6059" w14:paraId="1A53CDE8" w14:textId="77777777" w:rsidTr="00665B16">
        <w:trPr>
          <w:trHeight w:val="663"/>
        </w:trPr>
        <w:tc>
          <w:tcPr>
            <w:tcW w:w="1843" w:type="dxa"/>
            <w:shd w:val="clear" w:color="auto" w:fill="F2F2F2" w:themeFill="background1" w:themeFillShade="F2"/>
            <w:vAlign w:val="center"/>
          </w:tcPr>
          <w:p w14:paraId="4C6AED6B" w14:textId="0B3E179F" w:rsidR="006F7061" w:rsidRPr="00E03E2E" w:rsidRDefault="006F7061" w:rsidP="00665B16">
            <w:pPr>
              <w:pStyle w:val="TableText"/>
              <w:rPr>
                <w:b/>
                <w:bCs/>
              </w:rPr>
            </w:pPr>
            <w:r>
              <w:rPr>
                <w:b/>
                <w:bCs/>
              </w:rPr>
              <w:t>Policy makers</w:t>
            </w:r>
          </w:p>
        </w:tc>
        <w:tc>
          <w:tcPr>
            <w:tcW w:w="6820" w:type="dxa"/>
            <w:shd w:val="clear" w:color="auto" w:fill="FFFFFF" w:themeFill="background1"/>
          </w:tcPr>
          <w:p w14:paraId="472BA5E6" w14:textId="503C6B29" w:rsidR="006F7061" w:rsidRPr="006D6059" w:rsidRDefault="006F7061" w:rsidP="006F7061">
            <w:pPr>
              <w:pStyle w:val="TableText"/>
            </w:pPr>
            <w:r w:rsidRPr="00160241">
              <w:rPr>
                <w:color w:val="auto"/>
              </w:rPr>
              <w:t>Policy makers</w:t>
            </w:r>
            <w:r w:rsidRPr="003D7A22">
              <w:rPr>
                <w:color w:val="auto"/>
              </w:rPr>
              <w:t xml:space="preserve"> </w:t>
            </w:r>
            <w:r w:rsidR="00BE2983">
              <w:t>consider</w:t>
            </w:r>
            <w:r w:rsidRPr="006D6059">
              <w:t xml:space="preserve"> the legislative and policy framework and</w:t>
            </w:r>
            <w:r w:rsidR="00BE2983">
              <w:t xml:space="preserve"> the</w:t>
            </w:r>
            <w:r w:rsidRPr="006D6059">
              <w:t xml:space="preserve"> responses required to achieve the outcomes in the commissioning system. They also:</w:t>
            </w:r>
          </w:p>
          <w:p w14:paraId="70883F78" w14:textId="64397E39" w:rsidR="006F7061" w:rsidRPr="006D6059" w:rsidRDefault="00095254" w:rsidP="006F7061">
            <w:pPr>
              <w:pStyle w:val="Tablebulletx"/>
            </w:pPr>
            <w:r>
              <w:t>signal</w:t>
            </w:r>
            <w:r w:rsidR="006F7061" w:rsidRPr="006D6059">
              <w:t xml:space="preserve"> the level of funding that the commissioner has to purchase services or subsidise service users</w:t>
            </w:r>
          </w:p>
          <w:p w14:paraId="35F7D368" w14:textId="77777777" w:rsidR="006F7061" w:rsidRPr="006D6059" w:rsidRDefault="006F7061" w:rsidP="006F7061">
            <w:pPr>
              <w:pStyle w:val="Tablebulletx"/>
            </w:pPr>
            <w:r w:rsidRPr="006D6059">
              <w:t>set the standards that the regulator will enforce to protect service users</w:t>
            </w:r>
          </w:p>
          <w:p w14:paraId="03A63534" w14:textId="483EDE63" w:rsidR="006F7061" w:rsidRPr="006D6059" w:rsidRDefault="006F7061" w:rsidP="00D456DB">
            <w:pPr>
              <w:pStyle w:val="Tablebulletx"/>
              <w:rPr>
                <w:rFonts w:eastAsiaTheme="minorEastAsia"/>
              </w:rPr>
            </w:pPr>
            <w:r w:rsidRPr="006D6059">
              <w:t xml:space="preserve">work with service commissioners to ensure the policy intent is achievable and </w:t>
            </w:r>
            <w:r>
              <w:t xml:space="preserve">that </w:t>
            </w:r>
            <w:r w:rsidRPr="006D6059">
              <w:t>service commissioners understand what is necessary to achieve the outcome.</w:t>
            </w:r>
          </w:p>
        </w:tc>
      </w:tr>
      <w:tr w:rsidR="006D6059" w:rsidRPr="006D6059" w14:paraId="04018FEB" w14:textId="77777777" w:rsidTr="00126B1A">
        <w:trPr>
          <w:trHeight w:val="663"/>
        </w:trPr>
        <w:tc>
          <w:tcPr>
            <w:tcW w:w="1843" w:type="dxa"/>
            <w:shd w:val="clear" w:color="auto" w:fill="F2F2F2" w:themeFill="background1" w:themeFillShade="F2"/>
            <w:vAlign w:val="center"/>
          </w:tcPr>
          <w:p w14:paraId="50A86664" w14:textId="7AB3F117" w:rsidR="006D6059" w:rsidRPr="00E03E2E" w:rsidRDefault="00966A10" w:rsidP="00E03E2E">
            <w:pPr>
              <w:pStyle w:val="TableText"/>
              <w:rPr>
                <w:b/>
                <w:bCs/>
              </w:rPr>
            </w:pPr>
            <w:r>
              <w:rPr>
                <w:b/>
                <w:bCs/>
              </w:rPr>
              <w:t>Providers</w:t>
            </w:r>
          </w:p>
        </w:tc>
        <w:tc>
          <w:tcPr>
            <w:tcW w:w="6820" w:type="dxa"/>
            <w:shd w:val="clear" w:color="auto" w:fill="FFFFFF" w:themeFill="background1"/>
          </w:tcPr>
          <w:p w14:paraId="676CDD1F" w14:textId="08C95B48" w:rsidR="006D6059" w:rsidRPr="006D6059" w:rsidRDefault="006D6059" w:rsidP="006D6059">
            <w:pPr>
              <w:pStyle w:val="TableText"/>
            </w:pPr>
            <w:r w:rsidRPr="006D6059">
              <w:t xml:space="preserve">A range of providers can be commissioned to provide health services and support, </w:t>
            </w:r>
            <w:r w:rsidR="00DB060A">
              <w:t>as</w:t>
            </w:r>
            <w:r w:rsidR="00DB060A" w:rsidRPr="006D6059">
              <w:t xml:space="preserve"> </w:t>
            </w:r>
            <w:r w:rsidRPr="006D6059">
              <w:t xml:space="preserve">long as they meet regulatory requirements and standards. Some providers are commercial entities (eg, most pharmacies and general practices). </w:t>
            </w:r>
            <w:r w:rsidR="00DE51B3">
              <w:t>P</w:t>
            </w:r>
            <w:r w:rsidRPr="006D6059">
              <w:t>roviders have to balance the costs of providing a service</w:t>
            </w:r>
            <w:r w:rsidR="007C3681">
              <w:t xml:space="preserve"> against</w:t>
            </w:r>
            <w:r w:rsidRPr="006D6059">
              <w:t xml:space="preserve"> the</w:t>
            </w:r>
            <w:r w:rsidR="007C3681">
              <w:t>ir</w:t>
            </w:r>
            <w:r w:rsidRPr="006D6059">
              <w:t xml:space="preserve"> ability to recruit, train and retain staff. Tight, time-limited funding can mean </w:t>
            </w:r>
            <w:r w:rsidR="007C3681">
              <w:t>non-governmental organisations (</w:t>
            </w:r>
            <w:r w:rsidRPr="006D6059">
              <w:t>NGOs</w:t>
            </w:r>
            <w:r w:rsidR="007C3681">
              <w:t>)</w:t>
            </w:r>
            <w:r w:rsidRPr="006D6059">
              <w:t xml:space="preserve"> lose skilled staff to better-paid, more secure jobs in government agencies.</w:t>
            </w:r>
          </w:p>
          <w:p w14:paraId="566BE373" w14:textId="38B1F878" w:rsidR="006D6059" w:rsidRPr="006D6059" w:rsidRDefault="006D6059" w:rsidP="006D6059">
            <w:pPr>
              <w:pStyle w:val="TableText"/>
              <w:rPr>
                <w:rFonts w:eastAsiaTheme="minorEastAsia"/>
              </w:rPr>
            </w:pPr>
            <w:r w:rsidRPr="006D6059">
              <w:t>Across the broader social sector, government relies on a sustainable provider market</w:t>
            </w:r>
            <w:r w:rsidR="004D7920">
              <w:rPr>
                <w:rFonts w:ascii="ZWAdobeF" w:hAnsi="ZWAdobeF" w:cs="ZWAdobeF"/>
                <w:color w:val="auto"/>
                <w:spacing w:val="0"/>
                <w:sz w:val="2"/>
                <w:szCs w:val="2"/>
              </w:rPr>
              <w:t>14F</w:t>
            </w:r>
            <w:r w:rsidRPr="006D6059">
              <w:rPr>
                <w:vertAlign w:val="superscript"/>
              </w:rPr>
              <w:footnoteReference w:id="16"/>
            </w:r>
            <w:r w:rsidRPr="006D6059">
              <w:rPr>
                <w:vertAlign w:val="superscript"/>
              </w:rPr>
              <w:t xml:space="preserve"> </w:t>
            </w:r>
            <w:r w:rsidRPr="006D6059">
              <w:t>to provide accessible, effective and culturally safe services.</w:t>
            </w:r>
            <w:r w:rsidRPr="006D6059">
              <w:rPr>
                <w:rFonts w:eastAsiaTheme="minorEastAsia"/>
              </w:rPr>
              <w:t xml:space="preserve"> </w:t>
            </w:r>
          </w:p>
        </w:tc>
      </w:tr>
      <w:tr w:rsidR="006D6059" w:rsidRPr="006D6059" w14:paraId="46AC0A94" w14:textId="77777777" w:rsidTr="00126B1A">
        <w:trPr>
          <w:trHeight w:val="1564"/>
        </w:trPr>
        <w:tc>
          <w:tcPr>
            <w:tcW w:w="1843" w:type="dxa"/>
            <w:vMerge w:val="restart"/>
            <w:shd w:val="clear" w:color="auto" w:fill="F2F2F2" w:themeFill="background1" w:themeFillShade="F2"/>
            <w:vAlign w:val="center"/>
          </w:tcPr>
          <w:p w14:paraId="4AFAD561" w14:textId="77777777" w:rsidR="006D6059" w:rsidRPr="00E03E2E" w:rsidRDefault="006D6059" w:rsidP="00E03E2E">
            <w:pPr>
              <w:pStyle w:val="TableText"/>
              <w:rPr>
                <w:b/>
                <w:bCs/>
              </w:rPr>
            </w:pPr>
            <w:r w:rsidRPr="00E03E2E">
              <w:rPr>
                <w:b/>
                <w:bCs/>
              </w:rPr>
              <w:t>Commissioning entities</w:t>
            </w:r>
          </w:p>
          <w:p w14:paraId="13D8CE1F" w14:textId="77777777" w:rsidR="006D6059" w:rsidRPr="00E03E2E" w:rsidRDefault="006D6059" w:rsidP="00E03E2E">
            <w:pPr>
              <w:pStyle w:val="TableText"/>
              <w:rPr>
                <w:b/>
                <w:bCs/>
              </w:rPr>
            </w:pPr>
          </w:p>
        </w:tc>
        <w:tc>
          <w:tcPr>
            <w:tcW w:w="6820" w:type="dxa"/>
            <w:shd w:val="clear" w:color="auto" w:fill="FFFFFF" w:themeFill="background1"/>
          </w:tcPr>
          <w:p w14:paraId="1A6D9AE0" w14:textId="4EF53AC8" w:rsidR="006D6059" w:rsidRPr="006D6059" w:rsidRDefault="006D6059" w:rsidP="006D6059">
            <w:pPr>
              <w:pStyle w:val="TableText"/>
            </w:pPr>
            <w:r w:rsidRPr="006D6059">
              <w:t xml:space="preserve">The commissioner may purchase services from providers on behalf of the community served and service users may receive subsidies from the commissioner and purchase services themselves. The commissioner may also have responsibility </w:t>
            </w:r>
            <w:r w:rsidRPr="00D642E3">
              <w:rPr>
                <w:color w:val="auto"/>
              </w:rPr>
              <w:t>for defining eligibility</w:t>
            </w:r>
            <w:r w:rsidRPr="003D7A22">
              <w:rPr>
                <w:color w:val="auto"/>
              </w:rPr>
              <w:t xml:space="preserve"> </w:t>
            </w:r>
            <w:r w:rsidRPr="006D6059">
              <w:t>for subsidies or for access to services by controlling cost and targeting specific consumers.</w:t>
            </w:r>
          </w:p>
          <w:p w14:paraId="79DB532C" w14:textId="77777777" w:rsidR="006D6059" w:rsidRPr="006D6059" w:rsidRDefault="006D6059" w:rsidP="006D6059">
            <w:pPr>
              <w:pStyle w:val="TableText"/>
            </w:pPr>
            <w:r w:rsidRPr="00160241">
              <w:rPr>
                <w:color w:val="auto"/>
              </w:rPr>
              <w:t>Contract managers</w:t>
            </w:r>
            <w:r w:rsidRPr="003D7A22">
              <w:rPr>
                <w:color w:val="auto"/>
              </w:rPr>
              <w:t xml:space="preserve"> </w:t>
            </w:r>
            <w:r w:rsidRPr="006D6059">
              <w:t>manage more than just the contract. They invest in developing relationships with the providers that are delivering the response or service so that they are able to understand how the providers are achieving the results.</w:t>
            </w:r>
          </w:p>
          <w:p w14:paraId="6E12A9FB" w14:textId="77777777" w:rsidR="006D6059" w:rsidRPr="006D6059" w:rsidRDefault="006D6059" w:rsidP="006D6059">
            <w:pPr>
              <w:pStyle w:val="TableText"/>
            </w:pPr>
            <w:r w:rsidRPr="00160241">
              <w:rPr>
                <w:color w:val="auto"/>
              </w:rPr>
              <w:t>Ongoing monitoring</w:t>
            </w:r>
            <w:r w:rsidRPr="003D7A22">
              <w:rPr>
                <w:color w:val="auto"/>
              </w:rPr>
              <w:t xml:space="preserve"> </w:t>
            </w:r>
            <w:r w:rsidRPr="006D6059">
              <w:t xml:space="preserve">requires regular discussion about how delivery is working and how the contractual incentives and obligations are supporting innovative and integrated approaches.  </w:t>
            </w:r>
          </w:p>
          <w:p w14:paraId="5D0FEAB5" w14:textId="77777777" w:rsidR="006D6059" w:rsidRPr="006D6059" w:rsidRDefault="006D6059" w:rsidP="006D6059">
            <w:pPr>
              <w:pStyle w:val="TableText"/>
            </w:pPr>
            <w:r w:rsidRPr="006D6059">
              <w:t>Monitoring may highlight where the service design or delivery needs to change, for example to respond to unanticipated demand or unmet need.</w:t>
            </w:r>
          </w:p>
        </w:tc>
      </w:tr>
      <w:tr w:rsidR="006D6059" w:rsidRPr="006D6059" w14:paraId="408BC603" w14:textId="77777777" w:rsidTr="00126B1A">
        <w:trPr>
          <w:trHeight w:val="867"/>
        </w:trPr>
        <w:tc>
          <w:tcPr>
            <w:tcW w:w="1843" w:type="dxa"/>
            <w:vMerge/>
            <w:shd w:val="clear" w:color="auto" w:fill="F2F2F2" w:themeFill="background1" w:themeFillShade="F2"/>
            <w:vAlign w:val="center"/>
          </w:tcPr>
          <w:p w14:paraId="511EAE06" w14:textId="77777777" w:rsidR="006D6059" w:rsidRPr="00E03E2E" w:rsidRDefault="006D6059" w:rsidP="00E03E2E">
            <w:pPr>
              <w:pStyle w:val="TableText"/>
              <w:rPr>
                <w:b/>
                <w:bCs/>
              </w:rPr>
            </w:pPr>
          </w:p>
        </w:tc>
        <w:tc>
          <w:tcPr>
            <w:tcW w:w="6820" w:type="dxa"/>
            <w:shd w:val="clear" w:color="auto" w:fill="FFFFFF" w:themeFill="background1"/>
          </w:tcPr>
          <w:p w14:paraId="2107095A" w14:textId="77777777" w:rsidR="006D6059" w:rsidRPr="006D6059" w:rsidRDefault="006D6059" w:rsidP="006D6059">
            <w:pPr>
              <w:pStyle w:val="TableText"/>
            </w:pPr>
            <w:r w:rsidRPr="006D6059">
              <w:t xml:space="preserve">As </w:t>
            </w:r>
            <w:r w:rsidRPr="001B10E8">
              <w:rPr>
                <w:color w:val="auto"/>
              </w:rPr>
              <w:t>market steward</w:t>
            </w:r>
            <w:r w:rsidRPr="006D6059">
              <w:t xml:space="preserve">, the commissioner determines in the first instance what the structure of supply will be, the funding rules and the controls within the system. </w:t>
            </w:r>
          </w:p>
          <w:p w14:paraId="25FE8E20" w14:textId="77777777" w:rsidR="006D6059" w:rsidRPr="006D6059" w:rsidRDefault="006D6059" w:rsidP="006D6059">
            <w:pPr>
              <w:pStyle w:val="TableText"/>
            </w:pPr>
            <w:r w:rsidRPr="006D6059">
              <w:t xml:space="preserve">The commissioner will modify those rules and controls over time to protect </w:t>
            </w:r>
            <w:r w:rsidRPr="001B10E8">
              <w:rPr>
                <w:color w:val="auto"/>
              </w:rPr>
              <w:t>the integrity of the service delivery system</w:t>
            </w:r>
            <w:r w:rsidRPr="003D7A22">
              <w:rPr>
                <w:color w:val="auto"/>
              </w:rPr>
              <w:t xml:space="preserve"> </w:t>
            </w:r>
            <w:r w:rsidRPr="006D6059">
              <w:t xml:space="preserve">in achieving the desired outcomes. In cases where parts of the system fail, the commissioner plays a role in mitigating risk and supporting business continuity. </w:t>
            </w:r>
          </w:p>
          <w:p w14:paraId="319F1F98" w14:textId="0CAC49F2" w:rsidR="006D6059" w:rsidRPr="006D6059" w:rsidRDefault="006D6059" w:rsidP="006D6059">
            <w:pPr>
              <w:pStyle w:val="TableText"/>
            </w:pPr>
            <w:r w:rsidRPr="006D6059">
              <w:t xml:space="preserve">The commissioner provides the </w:t>
            </w:r>
            <w:r w:rsidRPr="001B10E8">
              <w:rPr>
                <w:color w:val="auto"/>
              </w:rPr>
              <w:t>governance and stewardship</w:t>
            </w:r>
            <w:r w:rsidRPr="003D7A22">
              <w:rPr>
                <w:color w:val="auto"/>
              </w:rPr>
              <w:t xml:space="preserve"> </w:t>
            </w:r>
            <w:r w:rsidRPr="006D6059">
              <w:t>for overall service delivery. The commissioner is responsible for maintaining the system’s integrity, performance and integration, always linking back to the policy when evaluating outcomes and making adjustments to the commissioning systems to achieve the intent of the policy.</w:t>
            </w:r>
          </w:p>
        </w:tc>
      </w:tr>
      <w:tr w:rsidR="006D6059" w:rsidRPr="006D6059" w14:paraId="64E7C695" w14:textId="77777777" w:rsidTr="00EB71FE">
        <w:trPr>
          <w:trHeight w:val="1246"/>
        </w:trPr>
        <w:tc>
          <w:tcPr>
            <w:tcW w:w="1843" w:type="dxa"/>
            <w:shd w:val="clear" w:color="auto" w:fill="F2F2F2" w:themeFill="background1" w:themeFillShade="F2"/>
            <w:vAlign w:val="center"/>
          </w:tcPr>
          <w:p w14:paraId="1EAEB539" w14:textId="77777777" w:rsidR="00D91761" w:rsidRDefault="00D91761" w:rsidP="00D91761">
            <w:pPr>
              <w:pStyle w:val="TableText"/>
              <w:rPr>
                <w:b/>
                <w:bCs/>
              </w:rPr>
            </w:pPr>
            <w:r w:rsidRPr="00EB71FE">
              <w:rPr>
                <w:b/>
                <w:bCs/>
              </w:rPr>
              <w:t>Hīkina Whakatutuki</w:t>
            </w:r>
            <w:r w:rsidRPr="00E03E2E">
              <w:rPr>
                <w:b/>
                <w:bCs/>
              </w:rPr>
              <w:t xml:space="preserve"> </w:t>
            </w:r>
          </w:p>
          <w:p w14:paraId="4D3838FB" w14:textId="35E92E15" w:rsidR="00E728A3" w:rsidRPr="00E03E2E" w:rsidRDefault="006D6059" w:rsidP="00D91761">
            <w:pPr>
              <w:pStyle w:val="TableText"/>
              <w:rPr>
                <w:b/>
                <w:bCs/>
              </w:rPr>
            </w:pPr>
            <w:r w:rsidRPr="00E03E2E">
              <w:rPr>
                <w:b/>
                <w:bCs/>
              </w:rPr>
              <w:t>Ministry of Business, Innovation and Employment</w:t>
            </w:r>
          </w:p>
        </w:tc>
        <w:tc>
          <w:tcPr>
            <w:tcW w:w="6820" w:type="dxa"/>
            <w:shd w:val="clear" w:color="auto" w:fill="FFFFFF" w:themeFill="background1"/>
          </w:tcPr>
          <w:p w14:paraId="00EED180" w14:textId="1E95EBDD" w:rsidR="006D6059" w:rsidRPr="006D6059" w:rsidRDefault="006D6059" w:rsidP="006D6059">
            <w:pPr>
              <w:pStyle w:val="TableText"/>
            </w:pPr>
            <w:r w:rsidRPr="006D6059">
              <w:t>Government Procurement is a branch within the Ministry of Business, Innovation and Employment. It provides technical guidance and procurement principles and rules to help government agencies deliver better public value through broader outcomes that go beyond the purchase of good</w:t>
            </w:r>
            <w:r w:rsidR="000E713F">
              <w:t>s</w:t>
            </w:r>
            <w:r w:rsidRPr="006D6059">
              <w:t xml:space="preserve"> and services.</w:t>
            </w:r>
            <w:r w:rsidR="00731791">
              <w:t xml:space="preserve"> It also links to the Government </w:t>
            </w:r>
            <w:r w:rsidR="006B185C">
              <w:t>P</w:t>
            </w:r>
            <w:r w:rsidR="00731791">
              <w:t>rocurement website.</w:t>
            </w:r>
            <w:r w:rsidR="004D7920">
              <w:rPr>
                <w:rFonts w:ascii="ZWAdobeF" w:hAnsi="ZWAdobeF" w:cs="ZWAdobeF"/>
                <w:color w:val="auto"/>
                <w:spacing w:val="0"/>
                <w:sz w:val="2"/>
                <w:szCs w:val="2"/>
              </w:rPr>
              <w:t>15F</w:t>
            </w:r>
            <w:r w:rsidRPr="00104433">
              <w:rPr>
                <w:rStyle w:val="FootnoteReference"/>
                <w:sz w:val="18"/>
                <w:szCs w:val="22"/>
              </w:rPr>
              <w:footnoteReference w:id="17"/>
            </w:r>
            <w:r w:rsidRPr="00104433">
              <w:rPr>
                <w:sz w:val="20"/>
                <w:szCs w:val="22"/>
              </w:rPr>
              <w:t xml:space="preserve"> </w:t>
            </w:r>
          </w:p>
        </w:tc>
      </w:tr>
      <w:tr w:rsidR="006D6059" w:rsidRPr="006D6059" w14:paraId="13D1EEBF" w14:textId="77777777" w:rsidTr="00126B1A">
        <w:trPr>
          <w:trHeight w:val="867"/>
        </w:trPr>
        <w:tc>
          <w:tcPr>
            <w:tcW w:w="1843" w:type="dxa"/>
            <w:shd w:val="clear" w:color="auto" w:fill="F2F2F2" w:themeFill="background1" w:themeFillShade="F2"/>
            <w:vAlign w:val="center"/>
          </w:tcPr>
          <w:p w14:paraId="2ABA2CFB" w14:textId="771292CC" w:rsidR="006D6059" w:rsidRPr="00E03E2E" w:rsidRDefault="006D6059" w:rsidP="00E03E2E">
            <w:pPr>
              <w:pStyle w:val="TableText"/>
              <w:rPr>
                <w:b/>
                <w:bCs/>
              </w:rPr>
            </w:pPr>
            <w:r w:rsidRPr="00E03E2E">
              <w:rPr>
                <w:b/>
                <w:bCs/>
              </w:rPr>
              <w:t xml:space="preserve">Te Tai Ōhanga </w:t>
            </w:r>
          </w:p>
          <w:p w14:paraId="435C58DF" w14:textId="77777777" w:rsidR="006D6059" w:rsidRPr="00E03E2E" w:rsidRDefault="006D6059" w:rsidP="00E03E2E">
            <w:pPr>
              <w:pStyle w:val="TableText"/>
              <w:rPr>
                <w:b/>
                <w:bCs/>
              </w:rPr>
            </w:pPr>
            <w:r w:rsidRPr="00E03E2E">
              <w:rPr>
                <w:b/>
                <w:bCs/>
              </w:rPr>
              <w:t>The Treasury</w:t>
            </w:r>
          </w:p>
        </w:tc>
        <w:tc>
          <w:tcPr>
            <w:tcW w:w="6820" w:type="dxa"/>
            <w:shd w:val="clear" w:color="auto" w:fill="FFFFFF" w:themeFill="background1"/>
          </w:tcPr>
          <w:p w14:paraId="48CA4BFC" w14:textId="78862FB5" w:rsidR="006D6059" w:rsidRPr="006D6059" w:rsidRDefault="00E3157B" w:rsidP="006D6059">
            <w:pPr>
              <w:pStyle w:val="TableText"/>
            </w:pPr>
            <w:r>
              <w:t xml:space="preserve">The </w:t>
            </w:r>
            <w:r w:rsidR="006D6059" w:rsidRPr="006D6059">
              <w:t>Treasury is the key advisor to the Government on its overarching economic framework, its fiscal strategy and achieving value for money from its investments. The Treasury is working to embed the Living Standards Framework and He Ara Waiora</w:t>
            </w:r>
            <w:r>
              <w:t>,</w:t>
            </w:r>
            <w:r w:rsidR="006D6059" w:rsidRPr="006D6059">
              <w:t xml:space="preserve"> a holistic, intergenerational approach to wellbeing</w:t>
            </w:r>
            <w:r>
              <w:t>,</w:t>
            </w:r>
            <w:r w:rsidR="006D6059" w:rsidRPr="006D6059">
              <w:t xml:space="preserve"> into policy and budget advice</w:t>
            </w:r>
            <w:r w:rsidR="006D6059">
              <w:t>.</w:t>
            </w:r>
            <w:r w:rsidR="004D7920">
              <w:rPr>
                <w:rFonts w:ascii="ZWAdobeF" w:hAnsi="ZWAdobeF" w:cs="ZWAdobeF"/>
                <w:color w:val="auto"/>
                <w:spacing w:val="0"/>
                <w:sz w:val="2"/>
                <w:szCs w:val="2"/>
              </w:rPr>
              <w:t>16F</w:t>
            </w:r>
            <w:r w:rsidR="006D6059" w:rsidRPr="00104433">
              <w:rPr>
                <w:rStyle w:val="FootnoteReference"/>
                <w:sz w:val="18"/>
                <w:szCs w:val="22"/>
              </w:rPr>
              <w:footnoteReference w:id="18"/>
            </w:r>
            <w:r w:rsidR="006D6059" w:rsidRPr="00104433">
              <w:rPr>
                <w:sz w:val="20"/>
                <w:szCs w:val="22"/>
              </w:rPr>
              <w:t xml:space="preserve"> </w:t>
            </w:r>
            <w:r>
              <w:t xml:space="preserve">As </w:t>
            </w:r>
            <w:r w:rsidRPr="00F973D6">
              <w:t xml:space="preserve">Dr </w:t>
            </w:r>
            <w:r w:rsidRPr="00E3157B">
              <w:t xml:space="preserve">Caralee McLiesh, Chief Executive and Secretary to </w:t>
            </w:r>
            <w:r w:rsidR="00A45656">
              <w:t>T</w:t>
            </w:r>
            <w:r w:rsidRPr="00E3157B">
              <w:t>he Treasury</w:t>
            </w:r>
            <w:r>
              <w:t xml:space="preserve">, </w:t>
            </w:r>
            <w:r w:rsidR="00051080">
              <w:t>explains, embedding this approach</w:t>
            </w:r>
            <w:r w:rsidR="006D6059" w:rsidRPr="006D6059">
              <w:t xml:space="preserve"> requires exploring </w:t>
            </w:r>
            <w:r>
              <w:t>‘</w:t>
            </w:r>
            <w:r w:rsidR="006D6059" w:rsidRPr="006D6059">
              <w:t>a shift towards managing for wellbeing outcomes as well as dollars, multi-year funding arrangements in place of annual budgets, cross-agency collaboration beyond narrow agency appropriations, and deep consideration of baselines as well as incremental activity</w:t>
            </w:r>
            <w:r>
              <w:t>’</w:t>
            </w:r>
            <w:r w:rsidR="00A9335D">
              <w:t xml:space="preserve"> (McLiesh 2022)</w:t>
            </w:r>
            <w:r w:rsidR="006D6059" w:rsidRPr="006D6059">
              <w:t>.</w:t>
            </w:r>
          </w:p>
        </w:tc>
      </w:tr>
    </w:tbl>
    <w:p w14:paraId="161F1E82" w14:textId="77777777" w:rsidR="006D6059" w:rsidRDefault="006D6059" w:rsidP="006D6059"/>
    <w:p w14:paraId="0C6F3D55" w14:textId="7D764817" w:rsidR="00F36113" w:rsidRDefault="00F36113" w:rsidP="00F36113">
      <w:pPr>
        <w:pStyle w:val="Heading2-nonumbering"/>
      </w:pPr>
      <w:bookmarkStart w:id="23" w:name="_Toc124933828"/>
      <w:r>
        <w:t>Who commissions in the health sector</w:t>
      </w:r>
      <w:bookmarkEnd w:id="23"/>
    </w:p>
    <w:p w14:paraId="5102C9FF" w14:textId="77777777" w:rsidR="00B7468C" w:rsidRDefault="00B7468C" w:rsidP="00B7468C"/>
    <w:p w14:paraId="229091B7" w14:textId="0F325B1F" w:rsidR="00F36113" w:rsidRDefault="00F36113" w:rsidP="00F36113">
      <w:pPr>
        <w:pStyle w:val="NormalwIndent"/>
      </w:pPr>
      <w:r>
        <w:t xml:space="preserve">The Government’s response to the </w:t>
      </w:r>
      <w:r w:rsidR="000305BC">
        <w:t xml:space="preserve">Health and Disability System </w:t>
      </w:r>
      <w:r w:rsidR="003551C4">
        <w:t>Review</w:t>
      </w:r>
      <w:r w:rsidR="000305BC" w:rsidRPr="000305BC">
        <w:t xml:space="preserve"> </w:t>
      </w:r>
      <w:r w:rsidR="003551C4">
        <w:t xml:space="preserve">(2019) </w:t>
      </w:r>
      <w:r w:rsidR="000305BC">
        <w:t>recommendations</w:t>
      </w:r>
      <w:r>
        <w:t>, reflected in the Pae Ora (Healthy Futures) Act 2022</w:t>
      </w:r>
      <w:r w:rsidR="000A40E5">
        <w:t>,</w:t>
      </w:r>
      <w:r>
        <w:t xml:space="preserve"> has resulted in significant changes to the commissioning landscape in the health sector</w:t>
      </w:r>
      <w:r w:rsidR="008B3974">
        <w:t xml:space="preserve">. </w:t>
      </w:r>
      <w:r>
        <w:t>From 1 July 2022</w:t>
      </w:r>
      <w:r w:rsidR="000A40E5">
        <w:t xml:space="preserve">, </w:t>
      </w:r>
      <w:r w:rsidR="001145E0">
        <w:t xml:space="preserve">the following </w:t>
      </w:r>
      <w:r w:rsidR="00683C2A">
        <w:t>major changes</w:t>
      </w:r>
      <w:r w:rsidR="001145E0">
        <w:t xml:space="preserve"> have occurred</w:t>
      </w:r>
      <w:r w:rsidR="000A40E5">
        <w:t>.</w:t>
      </w:r>
    </w:p>
    <w:p w14:paraId="7EAEC57D" w14:textId="4EE13C52" w:rsidR="001B01C8" w:rsidRDefault="00BA3DF9" w:rsidP="00F36113">
      <w:pPr>
        <w:pStyle w:val="ListBullet"/>
        <w:tabs>
          <w:tab w:val="clear" w:pos="360"/>
          <w:tab w:val="num" w:pos="709"/>
        </w:tabs>
        <w:ind w:left="1985" w:hanging="284"/>
        <w:sectPr w:rsidR="001B01C8" w:rsidSect="00C345BC">
          <w:pgSz w:w="11906" w:h="16838"/>
          <w:pgMar w:top="2778" w:right="1701" w:bottom="454" w:left="1701" w:header="567" w:footer="567" w:gutter="0"/>
          <w:cols w:space="708"/>
          <w:titlePg/>
          <w:docGrid w:linePitch="360"/>
        </w:sectPr>
      </w:pPr>
      <w:r>
        <w:t>Manat</w:t>
      </w:r>
      <w:r>
        <w:rPr>
          <w:rFonts w:ascii="Calibri" w:hAnsi="Calibri" w:cs="Calibri"/>
        </w:rPr>
        <w:t>ū</w:t>
      </w:r>
      <w:r>
        <w:t xml:space="preserve"> Hauora</w:t>
      </w:r>
      <w:r w:rsidR="00F36113">
        <w:t xml:space="preserve"> no longer directly commissions health services but </w:t>
      </w:r>
      <w:r w:rsidR="007F0421">
        <w:t>continues to act as</w:t>
      </w:r>
      <w:r w:rsidR="00F36113">
        <w:t xml:space="preserve"> a steward of the overall system</w:t>
      </w:r>
      <w:r w:rsidR="00683C2A">
        <w:t>. It keeps</w:t>
      </w:r>
      <w:r w:rsidR="00F36113">
        <w:t xml:space="preserve"> its policy, legislation (including regulatory) and monitoring functions.</w:t>
      </w:r>
      <w:r w:rsidR="004D7920">
        <w:rPr>
          <w:rFonts w:ascii="ZWAdobeF" w:hAnsi="ZWAdobeF" w:cs="ZWAdobeF"/>
          <w:color w:val="auto"/>
          <w:sz w:val="2"/>
          <w:szCs w:val="2"/>
        </w:rPr>
        <w:t>17F</w:t>
      </w:r>
      <w:r w:rsidR="00F36113" w:rsidRPr="00104433">
        <w:rPr>
          <w:rStyle w:val="FootnoteReference"/>
          <w:sz w:val="18"/>
          <w:szCs w:val="24"/>
        </w:rPr>
        <w:footnoteReference w:id="19"/>
      </w:r>
      <w:r w:rsidR="00F36113" w:rsidRPr="00104433">
        <w:rPr>
          <w:sz w:val="23"/>
          <w:szCs w:val="24"/>
        </w:rPr>
        <w:t xml:space="preserve"> </w:t>
      </w:r>
      <w:r w:rsidR="00F36113">
        <w:t xml:space="preserve"> </w:t>
      </w:r>
    </w:p>
    <w:p w14:paraId="7C6BF379" w14:textId="31D40283" w:rsidR="00F36113" w:rsidRDefault="00F36113" w:rsidP="00F36113">
      <w:pPr>
        <w:pStyle w:val="ListBullet"/>
        <w:tabs>
          <w:tab w:val="clear" w:pos="360"/>
          <w:tab w:val="num" w:pos="709"/>
        </w:tabs>
        <w:ind w:left="1985" w:hanging="284"/>
      </w:pPr>
      <w:r>
        <w:lastRenderedPageBreak/>
        <w:t xml:space="preserve">The Ministry will also support cross-sector collaboration needed to respond to the wider determinants of health, enabled through the Public Service Act 2020. This includes supporting the </w:t>
      </w:r>
      <w:r w:rsidR="00D005B3">
        <w:t>S</w:t>
      </w:r>
      <w:r>
        <w:t xml:space="preserve">ocial </w:t>
      </w:r>
      <w:r w:rsidR="00D005B3">
        <w:t>S</w:t>
      </w:r>
      <w:r>
        <w:t xml:space="preserve">ector </w:t>
      </w:r>
      <w:r w:rsidR="00D005B3">
        <w:t>C</w:t>
      </w:r>
      <w:r>
        <w:t>ommissioning work programme,</w:t>
      </w:r>
      <w:r w:rsidR="004D7920">
        <w:rPr>
          <w:rFonts w:ascii="ZWAdobeF" w:hAnsi="ZWAdobeF" w:cs="ZWAdobeF"/>
          <w:color w:val="auto"/>
          <w:sz w:val="2"/>
          <w:szCs w:val="2"/>
        </w:rPr>
        <w:t>18F</w:t>
      </w:r>
      <w:r w:rsidRPr="00104433">
        <w:rPr>
          <w:rStyle w:val="FootnoteReference"/>
          <w:sz w:val="18"/>
          <w:szCs w:val="24"/>
        </w:rPr>
        <w:footnoteReference w:id="20"/>
      </w:r>
      <w:r w:rsidRPr="00104433">
        <w:rPr>
          <w:sz w:val="23"/>
          <w:szCs w:val="24"/>
        </w:rPr>
        <w:t xml:space="preserve"> </w:t>
      </w:r>
      <w:r>
        <w:t>which aims to address system-wide policy issues where:</w:t>
      </w:r>
    </w:p>
    <w:p w14:paraId="6374DB1F" w14:textId="6E09AC33" w:rsidR="00F36113" w:rsidRDefault="00F36113" w:rsidP="00F36113">
      <w:pPr>
        <w:pStyle w:val="ListBullet2nd"/>
      </w:pPr>
      <w:r>
        <w:t>the actions of one agency impact on the demand for another agency’s services (eg, the impact of housing on health</w:t>
      </w:r>
      <w:r w:rsidR="00542644">
        <w:t>,</w:t>
      </w:r>
      <w:r>
        <w:t xml:space="preserve"> and </w:t>
      </w:r>
      <w:r w:rsidR="00542644">
        <w:t>likewise of health on housing</w:t>
      </w:r>
      <w:r>
        <w:t xml:space="preserve">) </w:t>
      </w:r>
    </w:p>
    <w:p w14:paraId="42DF4F81" w14:textId="2E2F30EE" w:rsidR="00F36113" w:rsidRDefault="00F36113" w:rsidP="00F36113">
      <w:pPr>
        <w:pStyle w:val="ListBullet2nd"/>
      </w:pPr>
      <w:r>
        <w:t>people, families and whānau need to deal with a range of different agencies</w:t>
      </w:r>
    </w:p>
    <w:p w14:paraId="0BF9D98A" w14:textId="6952E22E" w:rsidR="00F36113" w:rsidRDefault="00F36113" w:rsidP="00F36113">
      <w:pPr>
        <w:pStyle w:val="ListBullet2nd"/>
      </w:pPr>
      <w:r>
        <w:t>the same issues affect all agencies and communities (eg, government procurement rules, unified responses to cross-cutting issues like child wellbeing and poverty reduction).</w:t>
      </w:r>
    </w:p>
    <w:p w14:paraId="0B1B362A" w14:textId="2DC9EABD" w:rsidR="00F36113" w:rsidRDefault="00F36113" w:rsidP="00F36113">
      <w:pPr>
        <w:pStyle w:val="ListBullet"/>
        <w:tabs>
          <w:tab w:val="clear" w:pos="360"/>
          <w:tab w:val="num" w:pos="709"/>
        </w:tabs>
        <w:ind w:left="1985" w:hanging="284"/>
      </w:pPr>
      <w:r>
        <w:t xml:space="preserve">Responsibilities for commissioning health services shift from the Ministry and DHBs to Te Whatu Ora </w:t>
      </w:r>
      <w:r w:rsidR="005544EF">
        <w:t xml:space="preserve">| </w:t>
      </w:r>
      <w:r>
        <w:t xml:space="preserve">Health New Zealand and Te Aka Whai Ora </w:t>
      </w:r>
      <w:r w:rsidR="005544EF">
        <w:t xml:space="preserve">| </w:t>
      </w:r>
      <w:r>
        <w:t>Māori Health Authority</w:t>
      </w:r>
      <w:r w:rsidR="0027655F">
        <w:t xml:space="preserve">. </w:t>
      </w:r>
      <w:r w:rsidR="00C96266">
        <w:t>The new</w:t>
      </w:r>
      <w:r w:rsidR="0027655F">
        <w:t xml:space="preserve"> </w:t>
      </w:r>
      <w:r w:rsidR="00C96266">
        <w:t xml:space="preserve">commissioners </w:t>
      </w:r>
      <w:r>
        <w:t xml:space="preserve">can commission independently, but they are also required to co-commission health services and </w:t>
      </w:r>
      <w:r w:rsidR="00263F60">
        <w:t>interventions</w:t>
      </w:r>
      <w:r>
        <w:t xml:space="preserve">.  </w:t>
      </w:r>
    </w:p>
    <w:p w14:paraId="270AC1AC" w14:textId="2EBF901A" w:rsidR="00F36113" w:rsidRPr="00F36113" w:rsidRDefault="00C96266" w:rsidP="00F36113">
      <w:pPr>
        <w:pStyle w:val="ListBullet"/>
        <w:tabs>
          <w:tab w:val="clear" w:pos="360"/>
          <w:tab w:val="num" w:pos="709"/>
        </w:tabs>
        <w:ind w:left="1985" w:hanging="284"/>
      </w:pPr>
      <w:r w:rsidRPr="00F36113">
        <w:t>Iwi-Māori Partnership Boards and locality networks</w:t>
      </w:r>
      <w:r>
        <w:t xml:space="preserve"> will </w:t>
      </w:r>
      <w:r w:rsidR="003460DD">
        <w:t>influence</w:t>
      </w:r>
      <w:r>
        <w:t xml:space="preserve"> c</w:t>
      </w:r>
      <w:r w:rsidR="00F36113" w:rsidRPr="00F36113">
        <w:t xml:space="preserve">ommissioning decisions, </w:t>
      </w:r>
      <w:r>
        <w:t>which will</w:t>
      </w:r>
      <w:r w:rsidRPr="00F36113">
        <w:t xml:space="preserve"> </w:t>
      </w:r>
      <w:r w:rsidR="00F36113" w:rsidRPr="00F36113">
        <w:t xml:space="preserve">reflect their on-the-ground knowledge, insights and priorities for action. </w:t>
      </w:r>
    </w:p>
    <w:p w14:paraId="62B499A8" w14:textId="1AD06E64" w:rsidR="00F36113" w:rsidRPr="00F36113" w:rsidRDefault="00C96266" w:rsidP="00F36113">
      <w:pPr>
        <w:pStyle w:val="ListBullet"/>
        <w:tabs>
          <w:tab w:val="clear" w:pos="360"/>
          <w:tab w:val="num" w:pos="709"/>
        </w:tabs>
        <w:ind w:left="1985" w:hanging="284"/>
      </w:pPr>
      <w:r>
        <w:t>T</w:t>
      </w:r>
      <w:r w:rsidR="00F36113" w:rsidRPr="00F36113">
        <w:t xml:space="preserve">he Health Quality &amp; Safety Commission’s </w:t>
      </w:r>
      <w:r w:rsidR="005E3FEE">
        <w:t>c</w:t>
      </w:r>
      <w:r w:rsidR="00F36113" w:rsidRPr="00F36113">
        <w:t xml:space="preserve">ode of </w:t>
      </w:r>
      <w:r w:rsidR="005E3FEE">
        <w:t>e</w:t>
      </w:r>
      <w:r w:rsidR="00F36113" w:rsidRPr="00F36113">
        <w:t>xpectations</w:t>
      </w:r>
      <w:r w:rsidR="00F36113" w:rsidRPr="00104433">
        <w:rPr>
          <w:sz w:val="23"/>
          <w:szCs w:val="24"/>
        </w:rPr>
        <w:t xml:space="preserve"> </w:t>
      </w:r>
      <w:r>
        <w:t>will require</w:t>
      </w:r>
      <w:r w:rsidR="00F36113" w:rsidRPr="00F36113">
        <w:t xml:space="preserve"> health entities and workers</w:t>
      </w:r>
      <w:r>
        <w:t xml:space="preserve"> to engage</w:t>
      </w:r>
      <w:r w:rsidRPr="00C96266">
        <w:t xml:space="preserve"> </w:t>
      </w:r>
      <w:r w:rsidRPr="00F36113">
        <w:t>with service users, whānau and communit</w:t>
      </w:r>
      <w:r w:rsidR="00182294">
        <w:t>ies</w:t>
      </w:r>
      <w:r w:rsidR="00834955">
        <w:t xml:space="preserve"> (Health Quality &amp; Safety Commission 2022)</w:t>
      </w:r>
      <w:r w:rsidR="00F36113" w:rsidRPr="00F36113">
        <w:t xml:space="preserve">. </w:t>
      </w:r>
    </w:p>
    <w:p w14:paraId="2237C286" w14:textId="68CDE87C" w:rsidR="00F36113" w:rsidRPr="00F36113" w:rsidRDefault="00F36113" w:rsidP="001B01C8">
      <w:pPr>
        <w:pStyle w:val="ListBullet"/>
        <w:tabs>
          <w:tab w:val="clear" w:pos="360"/>
          <w:tab w:val="num" w:pos="709"/>
        </w:tabs>
        <w:ind w:left="1985" w:hanging="284"/>
      </w:pPr>
      <w:r w:rsidRPr="00F36113">
        <w:t xml:space="preserve">Responsibility for commissioning disability support moves from </w:t>
      </w:r>
      <w:r w:rsidR="005544EF">
        <w:t>Manat</w:t>
      </w:r>
      <w:r w:rsidR="005544EF" w:rsidRPr="001B01C8">
        <w:t>ū</w:t>
      </w:r>
      <w:r w:rsidR="005544EF">
        <w:t xml:space="preserve"> Hauora</w:t>
      </w:r>
      <w:r w:rsidRPr="00F36113">
        <w:t xml:space="preserve"> to Whaikaha </w:t>
      </w:r>
      <w:r w:rsidR="005544EF">
        <w:t xml:space="preserve">| </w:t>
      </w:r>
      <w:r w:rsidRPr="00F36113">
        <w:t xml:space="preserve">Ministry of Disabled People. </w:t>
      </w:r>
    </w:p>
    <w:p w14:paraId="7662C6FD" w14:textId="37EB7286" w:rsidR="00A902F6" w:rsidRDefault="005848E6" w:rsidP="00777DAF">
      <w:pPr>
        <w:pStyle w:val="NormalwIndent"/>
      </w:pPr>
      <w:r>
        <w:t xml:space="preserve">This </w:t>
      </w:r>
      <w:r w:rsidR="005676A1">
        <w:t xml:space="preserve">work across the health sector </w:t>
      </w:r>
      <w:r w:rsidR="00626B4E">
        <w:t>point</w:t>
      </w:r>
      <w:r>
        <w:t>s</w:t>
      </w:r>
      <w:r w:rsidR="00A902F6">
        <w:t xml:space="preserve"> to</w:t>
      </w:r>
      <w:r w:rsidR="00626B4E">
        <w:t xml:space="preserve"> a</w:t>
      </w:r>
      <w:r w:rsidR="00A902F6">
        <w:t xml:space="preserve"> stronger focus on cross-sectoral collaboration</w:t>
      </w:r>
      <w:r w:rsidR="00687411">
        <w:t xml:space="preserve">. </w:t>
      </w:r>
      <w:r w:rsidR="005676A1">
        <w:t>It</w:t>
      </w:r>
      <w:r w:rsidR="00A902F6">
        <w:t xml:space="preserve"> includ</w:t>
      </w:r>
      <w:r w:rsidR="005676A1">
        <w:t>es</w:t>
      </w:r>
      <w:r w:rsidR="00A902F6">
        <w:t xml:space="preserve"> a more joined-up approach to policy, strategy and commissioning</w:t>
      </w:r>
      <w:r w:rsidR="00905464">
        <w:t xml:space="preserve"> or </w:t>
      </w:r>
      <w:r w:rsidR="00A902F6">
        <w:t>co-commissioning</w:t>
      </w:r>
      <w:r w:rsidR="00905464">
        <w:t>. Where</w:t>
      </w:r>
      <w:r w:rsidR="00A902F6">
        <w:t xml:space="preserve"> different agencies commission separately </w:t>
      </w:r>
      <w:r w:rsidR="00905464">
        <w:t>rather than co-commissioning, they take an integrated or aligned</w:t>
      </w:r>
      <w:r w:rsidR="00A902F6">
        <w:t xml:space="preserve"> </w:t>
      </w:r>
      <w:r w:rsidR="00905464">
        <w:t xml:space="preserve">approach, </w:t>
      </w:r>
      <w:r w:rsidR="00A902F6">
        <w:t>collaborat</w:t>
      </w:r>
      <w:r w:rsidR="00905464">
        <w:t>ing</w:t>
      </w:r>
      <w:r w:rsidR="00A902F6">
        <w:t xml:space="preserve"> </w:t>
      </w:r>
      <w:r w:rsidR="00D15014">
        <w:t>for complementary</w:t>
      </w:r>
      <w:r w:rsidR="00A902F6">
        <w:t xml:space="preserve"> commissioning. </w:t>
      </w:r>
    </w:p>
    <w:p w14:paraId="13C63796" w14:textId="77777777" w:rsidR="00EE5517" w:rsidRDefault="00EE5517" w:rsidP="00777DAF">
      <w:pPr>
        <w:pStyle w:val="NormalwIndent"/>
      </w:pPr>
    </w:p>
    <w:p w14:paraId="750A7A06" w14:textId="1A36FE10" w:rsidR="004247C4" w:rsidRPr="00A902F6" w:rsidRDefault="004247C4" w:rsidP="009055B4">
      <w:pPr>
        <w:pStyle w:val="Heading3-nonumbering"/>
      </w:pPr>
      <w:r w:rsidRPr="004247C4">
        <w:lastRenderedPageBreak/>
        <w:t>Whānau, or someone on their behalf, can also commission</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567"/>
      </w:tblGrid>
      <w:tr w:rsidR="004247C4" w:rsidRPr="000C72D2" w14:paraId="55E8FF5B" w14:textId="77777777" w:rsidTr="004247C4">
        <w:trPr>
          <w:trHeight w:val="170"/>
        </w:trPr>
        <w:tc>
          <w:tcPr>
            <w:tcW w:w="567" w:type="dxa"/>
          </w:tcPr>
          <w:p w14:paraId="2DF8346A" w14:textId="77777777" w:rsidR="004247C4" w:rsidRPr="000C72D2" w:rsidRDefault="004247C4" w:rsidP="009055B4">
            <w:pPr>
              <w:pStyle w:val="0RULE"/>
            </w:pPr>
          </w:p>
        </w:tc>
        <w:tc>
          <w:tcPr>
            <w:tcW w:w="567" w:type="dxa"/>
          </w:tcPr>
          <w:p w14:paraId="25FF8048" w14:textId="77777777" w:rsidR="004247C4" w:rsidRPr="000C72D2" w:rsidRDefault="004247C4" w:rsidP="009055B4">
            <w:pPr>
              <w:pStyle w:val="0RULE"/>
            </w:pPr>
          </w:p>
        </w:tc>
      </w:tr>
    </w:tbl>
    <w:p w14:paraId="20EE7CF4" w14:textId="6B3B562E" w:rsidR="00A902F6" w:rsidRDefault="00A902F6" w:rsidP="004247C4">
      <w:pPr>
        <w:pStyle w:val="NormalwIndent"/>
      </w:pPr>
      <w:r>
        <w:t>The health and disability system can allocate resources directly to individuals, whānau and iwi so they can exercise rangatiratanga over what services and support to purchase when, how and from whom. This is a key element of the Enabling Good Lives approach</w:t>
      </w:r>
      <w:r w:rsidR="00FC7069">
        <w:t xml:space="preserve"> </w:t>
      </w:r>
      <w:r>
        <w:t xml:space="preserve">and </w:t>
      </w:r>
      <w:r w:rsidR="00FC7069">
        <w:t>some of the Wh</w:t>
      </w:r>
      <w:r w:rsidR="00FC7069">
        <w:rPr>
          <w:lang w:val="mi-NZ"/>
        </w:rPr>
        <w:t>ānau Ora co</w:t>
      </w:r>
      <w:r w:rsidR="0068419D">
        <w:rPr>
          <w:lang w:val="mi-NZ"/>
        </w:rPr>
        <w:t>m</w:t>
      </w:r>
      <w:r w:rsidR="00BE00B5">
        <w:rPr>
          <w:lang w:val="mi-NZ"/>
        </w:rPr>
        <w:t>m</w:t>
      </w:r>
      <w:r w:rsidR="00FC7069">
        <w:rPr>
          <w:lang w:val="mi-NZ"/>
        </w:rPr>
        <w:t xml:space="preserve">issioning agencies, and </w:t>
      </w:r>
      <w:r>
        <w:t xml:space="preserve">can have a profound, positive impact on the lives of people and their whānau. </w:t>
      </w:r>
    </w:p>
    <w:p w14:paraId="45BC9C05" w14:textId="314E0311" w:rsidR="00E3277E" w:rsidRDefault="00E3277E" w:rsidP="004247C4">
      <w:pPr>
        <w:pStyle w:val="NormalwIndent"/>
      </w:pPr>
    </w:p>
    <w:p w14:paraId="23B4E31A" w14:textId="77777777" w:rsidR="00E3277E" w:rsidRDefault="00E3277E" w:rsidP="009055B4">
      <w:pPr>
        <w:pStyle w:val="Heading3-nonumbering"/>
        <w:sectPr w:rsidR="00E3277E" w:rsidSect="00C345BC">
          <w:pgSz w:w="11906" w:h="16838"/>
          <w:pgMar w:top="2778" w:right="1701" w:bottom="454" w:left="1701" w:header="567" w:footer="567" w:gutter="0"/>
          <w:cols w:space="708"/>
          <w:titlePg/>
          <w:docGrid w:linePitch="360"/>
        </w:sectPr>
      </w:pPr>
    </w:p>
    <w:p w14:paraId="0FDAD18F" w14:textId="01A14A88" w:rsidR="00E3277E" w:rsidRPr="00A902F6" w:rsidRDefault="00E3277E" w:rsidP="00442363">
      <w:pPr>
        <w:pStyle w:val="Heading2-nonumbering"/>
      </w:pPr>
      <w:bookmarkStart w:id="24" w:name="_Toc124933829"/>
      <w:r w:rsidRPr="00E3277E">
        <w:lastRenderedPageBreak/>
        <w:t>When commissioning happens</w:t>
      </w:r>
      <w:bookmarkEnd w:id="24"/>
    </w:p>
    <w:p w14:paraId="4F1EEA55" w14:textId="77777777" w:rsidR="00442363" w:rsidRDefault="00442363" w:rsidP="00E3277E">
      <w:pPr>
        <w:pStyle w:val="NormalwIndent"/>
      </w:pPr>
    </w:p>
    <w:p w14:paraId="1FB2EC6C" w14:textId="3B6F78D0" w:rsidR="00A902F6" w:rsidRDefault="00A902F6" w:rsidP="00E3277E">
      <w:pPr>
        <w:pStyle w:val="NormalwIndent"/>
      </w:pPr>
      <w:r>
        <w:t>The commissioning process can begin as part of annual and strategic planning, when reviewing services or contracts and responding to changes in context.</w:t>
      </w:r>
    </w:p>
    <w:p w14:paraId="2396C954" w14:textId="77777777" w:rsidR="00E3277E" w:rsidRDefault="00E3277E" w:rsidP="009055B4">
      <w:pPr>
        <w:pStyle w:val="NormalwIndent"/>
      </w:pPr>
    </w:p>
    <w:tbl>
      <w:tblPr>
        <w:tblStyle w:val="TableGrid"/>
        <w:tblW w:w="8506"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560"/>
        <w:gridCol w:w="6946"/>
      </w:tblGrid>
      <w:tr w:rsidR="00E3277E" w:rsidRPr="00E3277E" w14:paraId="33138AC6" w14:textId="77777777" w:rsidTr="0073350E">
        <w:tc>
          <w:tcPr>
            <w:tcW w:w="1560" w:type="dxa"/>
            <w:shd w:val="clear" w:color="auto" w:fill="F2F2F2" w:themeFill="background1" w:themeFillShade="F2"/>
            <w:vAlign w:val="center"/>
          </w:tcPr>
          <w:p w14:paraId="2587838B" w14:textId="77777777" w:rsidR="00E3277E" w:rsidRPr="00E3277E" w:rsidRDefault="00E3277E" w:rsidP="00E3277E">
            <w:pPr>
              <w:pStyle w:val="TableText"/>
              <w:rPr>
                <w:b/>
                <w:bCs/>
              </w:rPr>
            </w:pPr>
            <w:r w:rsidRPr="00E3277E">
              <w:rPr>
                <w:b/>
                <w:bCs/>
              </w:rPr>
              <w:t>Focus</w:t>
            </w:r>
          </w:p>
        </w:tc>
        <w:tc>
          <w:tcPr>
            <w:tcW w:w="6946" w:type="dxa"/>
            <w:shd w:val="clear" w:color="auto" w:fill="F2F2F2" w:themeFill="background1" w:themeFillShade="F2"/>
            <w:vAlign w:val="center"/>
          </w:tcPr>
          <w:p w14:paraId="5ACE2FFB" w14:textId="77777777" w:rsidR="00E3277E" w:rsidRPr="00E3277E" w:rsidRDefault="00E3277E" w:rsidP="00E3277E">
            <w:pPr>
              <w:pStyle w:val="TableText"/>
              <w:rPr>
                <w:b/>
                <w:bCs/>
              </w:rPr>
            </w:pPr>
            <w:r w:rsidRPr="00E3277E">
              <w:rPr>
                <w:b/>
                <w:bCs/>
              </w:rPr>
              <w:t>Possible prompts for commissioning</w:t>
            </w:r>
          </w:p>
        </w:tc>
      </w:tr>
      <w:tr w:rsidR="00E3277E" w:rsidRPr="003A6A50" w14:paraId="29E1C1A0" w14:textId="77777777" w:rsidTr="0073350E">
        <w:tc>
          <w:tcPr>
            <w:tcW w:w="1560" w:type="dxa"/>
            <w:shd w:val="clear" w:color="auto" w:fill="F2F2F2" w:themeFill="background1" w:themeFillShade="F2"/>
            <w:vAlign w:val="center"/>
          </w:tcPr>
          <w:p w14:paraId="0FBF9890" w14:textId="77777777" w:rsidR="00E3277E" w:rsidRPr="00E03E2E" w:rsidRDefault="00E3277E" w:rsidP="00E3277E">
            <w:pPr>
              <w:pStyle w:val="TableText"/>
              <w:rPr>
                <w:b/>
                <w:bCs/>
              </w:rPr>
            </w:pPr>
            <w:r w:rsidRPr="00E03E2E">
              <w:rPr>
                <w:b/>
                <w:bCs/>
              </w:rPr>
              <w:t>Planning</w:t>
            </w:r>
          </w:p>
        </w:tc>
        <w:tc>
          <w:tcPr>
            <w:tcW w:w="6946" w:type="dxa"/>
            <w:shd w:val="clear" w:color="auto" w:fill="FFFFFF" w:themeFill="background1"/>
          </w:tcPr>
          <w:p w14:paraId="444C7C7E" w14:textId="77777777" w:rsidR="00E3277E" w:rsidRPr="003A6A50" w:rsidRDefault="00E3277E" w:rsidP="00E3277E">
            <w:pPr>
              <w:pStyle w:val="Tablebulletx"/>
              <w:rPr>
                <w:lang w:eastAsia="en-NZ"/>
              </w:rPr>
            </w:pPr>
            <w:r>
              <w:rPr>
                <w:lang w:eastAsia="en-NZ"/>
              </w:rPr>
              <w:t>A</w:t>
            </w:r>
            <w:r w:rsidRPr="003A6A50">
              <w:rPr>
                <w:lang w:eastAsia="en-NZ"/>
              </w:rPr>
              <w:t xml:space="preserve">s part of investment strategies and annual budget setting </w:t>
            </w:r>
          </w:p>
          <w:p w14:paraId="4550BFBF" w14:textId="77777777" w:rsidR="00E3277E" w:rsidRPr="003A6A50" w:rsidRDefault="00E3277E" w:rsidP="00E3277E">
            <w:pPr>
              <w:pStyle w:val="Tablebulletx"/>
              <w:rPr>
                <w:lang w:eastAsia="en-NZ"/>
              </w:rPr>
            </w:pPr>
            <w:r>
              <w:rPr>
                <w:lang w:eastAsia="en-NZ"/>
              </w:rPr>
              <w:t>W</w:t>
            </w:r>
            <w:r w:rsidRPr="003A6A50">
              <w:rPr>
                <w:lang w:eastAsia="en-NZ"/>
              </w:rPr>
              <w:t>hen undertaking strategic planning</w:t>
            </w:r>
          </w:p>
          <w:p w14:paraId="45D8D149" w14:textId="77777777" w:rsidR="00E3277E" w:rsidRPr="003A6A50" w:rsidRDefault="00E3277E" w:rsidP="00E3277E">
            <w:pPr>
              <w:pStyle w:val="Tablebulletx"/>
              <w:rPr>
                <w:lang w:eastAsia="en-NZ"/>
              </w:rPr>
            </w:pPr>
            <w:r>
              <w:rPr>
                <w:lang w:eastAsia="en-NZ"/>
              </w:rPr>
              <w:t>W</w:t>
            </w:r>
            <w:r w:rsidRPr="003A6A50">
              <w:rPr>
                <w:lang w:eastAsia="en-NZ"/>
              </w:rPr>
              <w:t>hen reviewing priorities</w:t>
            </w:r>
            <w:r>
              <w:rPr>
                <w:lang w:eastAsia="en-NZ"/>
              </w:rPr>
              <w:t xml:space="preserve"> of</w:t>
            </w:r>
            <w:r w:rsidRPr="003A6A50">
              <w:rPr>
                <w:lang w:eastAsia="en-NZ"/>
              </w:rPr>
              <w:t xml:space="preserve"> an agency or </w:t>
            </w:r>
            <w:r>
              <w:rPr>
                <w:lang w:eastAsia="en-NZ"/>
              </w:rPr>
              <w:t>a</w:t>
            </w:r>
            <w:r w:rsidRPr="003A6A50">
              <w:rPr>
                <w:lang w:eastAsia="en-NZ"/>
              </w:rPr>
              <w:t>cross</w:t>
            </w:r>
            <w:r>
              <w:rPr>
                <w:lang w:eastAsia="en-NZ"/>
              </w:rPr>
              <w:t xml:space="preserve"> </w:t>
            </w:r>
            <w:r w:rsidRPr="003A6A50">
              <w:rPr>
                <w:lang w:eastAsia="en-NZ"/>
              </w:rPr>
              <w:t>agenc</w:t>
            </w:r>
            <w:r>
              <w:rPr>
                <w:lang w:eastAsia="en-NZ"/>
              </w:rPr>
              <w:t>ies</w:t>
            </w:r>
          </w:p>
        </w:tc>
      </w:tr>
      <w:tr w:rsidR="00E3277E" w:rsidRPr="003A6A50" w14:paraId="67F4466F" w14:textId="77777777" w:rsidTr="0073350E">
        <w:tc>
          <w:tcPr>
            <w:tcW w:w="1560" w:type="dxa"/>
            <w:shd w:val="clear" w:color="auto" w:fill="F2F2F2" w:themeFill="background1" w:themeFillShade="F2"/>
            <w:vAlign w:val="center"/>
          </w:tcPr>
          <w:p w14:paraId="54CDE460" w14:textId="77777777" w:rsidR="00E3277E" w:rsidRPr="00E03E2E" w:rsidRDefault="00E3277E" w:rsidP="00E3277E">
            <w:pPr>
              <w:pStyle w:val="TableText"/>
              <w:rPr>
                <w:b/>
                <w:bCs/>
              </w:rPr>
            </w:pPr>
            <w:r w:rsidRPr="00E03E2E">
              <w:rPr>
                <w:b/>
                <w:bCs/>
              </w:rPr>
              <w:t>Reviewing</w:t>
            </w:r>
          </w:p>
        </w:tc>
        <w:tc>
          <w:tcPr>
            <w:tcW w:w="6946" w:type="dxa"/>
            <w:shd w:val="clear" w:color="auto" w:fill="FFFFFF" w:themeFill="background1"/>
          </w:tcPr>
          <w:p w14:paraId="79BF1B20" w14:textId="77777777" w:rsidR="00E3277E" w:rsidRPr="003A6A50" w:rsidRDefault="00E3277E" w:rsidP="00E3277E">
            <w:pPr>
              <w:pStyle w:val="Tablebulletx"/>
              <w:rPr>
                <w:lang w:eastAsia="en-NZ"/>
              </w:rPr>
            </w:pPr>
            <w:r>
              <w:rPr>
                <w:lang w:eastAsia="en-NZ"/>
              </w:rPr>
              <w:t>Before considering</w:t>
            </w:r>
            <w:r w:rsidRPr="003A6A50">
              <w:rPr>
                <w:lang w:eastAsia="en-NZ"/>
              </w:rPr>
              <w:t xml:space="preserve"> contract renewal</w:t>
            </w:r>
          </w:p>
          <w:p w14:paraId="33809C2D" w14:textId="77777777" w:rsidR="00E3277E" w:rsidRPr="003A6A50" w:rsidRDefault="00E3277E" w:rsidP="00E3277E">
            <w:pPr>
              <w:pStyle w:val="Tablebulletx"/>
              <w:rPr>
                <w:lang w:eastAsia="en-NZ"/>
              </w:rPr>
            </w:pPr>
            <w:r>
              <w:rPr>
                <w:lang w:eastAsia="en-NZ"/>
              </w:rPr>
              <w:t>F</w:t>
            </w:r>
            <w:r w:rsidRPr="003A6A50">
              <w:rPr>
                <w:lang w:eastAsia="en-NZ"/>
              </w:rPr>
              <w:t>ollowing a review of services or programmes</w:t>
            </w:r>
          </w:p>
        </w:tc>
      </w:tr>
      <w:tr w:rsidR="00E3277E" w:rsidRPr="003A6A50" w14:paraId="012E2CA4" w14:textId="77777777" w:rsidTr="0073350E">
        <w:tc>
          <w:tcPr>
            <w:tcW w:w="1560" w:type="dxa"/>
            <w:shd w:val="clear" w:color="auto" w:fill="F2F2F2" w:themeFill="background1" w:themeFillShade="F2"/>
            <w:vAlign w:val="center"/>
          </w:tcPr>
          <w:p w14:paraId="213EF33B" w14:textId="77777777" w:rsidR="00E3277E" w:rsidRPr="00E03E2E" w:rsidRDefault="00E3277E" w:rsidP="00E3277E">
            <w:pPr>
              <w:pStyle w:val="TableText"/>
              <w:rPr>
                <w:b/>
                <w:bCs/>
              </w:rPr>
            </w:pPr>
            <w:r w:rsidRPr="00E03E2E">
              <w:rPr>
                <w:b/>
                <w:bCs/>
              </w:rPr>
              <w:t>Responding</w:t>
            </w:r>
          </w:p>
        </w:tc>
        <w:tc>
          <w:tcPr>
            <w:tcW w:w="6946" w:type="dxa"/>
            <w:shd w:val="clear" w:color="auto" w:fill="FFFFFF" w:themeFill="background1"/>
          </w:tcPr>
          <w:p w14:paraId="0705EF49" w14:textId="1461C1BA" w:rsidR="00E3277E" w:rsidRPr="003A6A50" w:rsidRDefault="00A82AB7" w:rsidP="00E3277E">
            <w:pPr>
              <w:pStyle w:val="Tablebulletx"/>
              <w:rPr>
                <w:lang w:eastAsia="en-NZ"/>
              </w:rPr>
            </w:pPr>
            <w:r>
              <w:rPr>
                <w:lang w:eastAsia="en-NZ"/>
              </w:rPr>
              <w:t>When</w:t>
            </w:r>
            <w:r w:rsidR="00E3277E" w:rsidRPr="003A6A50">
              <w:rPr>
                <w:lang w:eastAsia="en-NZ"/>
              </w:rPr>
              <w:t xml:space="preserve"> act</w:t>
            </w:r>
            <w:r>
              <w:rPr>
                <w:lang w:eastAsia="en-NZ"/>
              </w:rPr>
              <w:t>ing</w:t>
            </w:r>
            <w:r w:rsidR="00E3277E" w:rsidRPr="003A6A50">
              <w:rPr>
                <w:lang w:eastAsia="en-NZ"/>
              </w:rPr>
              <w:t xml:space="preserve"> on </w:t>
            </w:r>
            <w:r w:rsidR="00F46B7B">
              <w:rPr>
                <w:lang w:eastAsia="en-NZ"/>
              </w:rPr>
              <w:t>government priorities</w:t>
            </w:r>
            <w:r w:rsidR="00E3277E" w:rsidRPr="003A6A50">
              <w:rPr>
                <w:lang w:eastAsia="en-NZ"/>
              </w:rPr>
              <w:t xml:space="preserve"> </w:t>
            </w:r>
          </w:p>
          <w:p w14:paraId="09B976A0" w14:textId="0551A855" w:rsidR="00E3277E" w:rsidRPr="003A6A50" w:rsidRDefault="00E3277E" w:rsidP="00E3277E">
            <w:pPr>
              <w:pStyle w:val="Tablebulletx"/>
              <w:rPr>
                <w:lang w:eastAsia="en-NZ"/>
              </w:rPr>
            </w:pPr>
            <w:r>
              <w:rPr>
                <w:lang w:eastAsia="en-NZ"/>
              </w:rPr>
              <w:t>W</w:t>
            </w:r>
            <w:r w:rsidRPr="003A6A50">
              <w:rPr>
                <w:lang w:eastAsia="en-NZ"/>
              </w:rPr>
              <w:t>hen considering service continuity in the face of increased demand, workforce constraints, provider exit</w:t>
            </w:r>
            <w:r w:rsidR="002E5FA6">
              <w:rPr>
                <w:lang w:eastAsia="en-NZ"/>
              </w:rPr>
              <w:t xml:space="preserve"> or</w:t>
            </w:r>
            <w:r w:rsidRPr="003A6A50">
              <w:rPr>
                <w:lang w:eastAsia="en-NZ"/>
              </w:rPr>
              <w:t xml:space="preserve"> constricting markets</w:t>
            </w:r>
          </w:p>
          <w:p w14:paraId="2B0886F5" w14:textId="44C1E315" w:rsidR="00E3277E" w:rsidRPr="003A6A50" w:rsidRDefault="00E3277E" w:rsidP="00E3277E">
            <w:pPr>
              <w:pStyle w:val="Tablebulletx"/>
              <w:rPr>
                <w:lang w:eastAsia="en-NZ"/>
              </w:rPr>
            </w:pPr>
            <w:r>
              <w:rPr>
                <w:lang w:eastAsia="en-NZ"/>
              </w:rPr>
              <w:t>W</w:t>
            </w:r>
            <w:r w:rsidRPr="003A6A50">
              <w:rPr>
                <w:lang w:eastAsia="en-NZ"/>
              </w:rPr>
              <w:t xml:space="preserve">hen </w:t>
            </w:r>
            <w:r w:rsidR="00441AEC">
              <w:rPr>
                <w:lang w:eastAsia="en-NZ"/>
              </w:rPr>
              <w:t>an unexpected significant event</w:t>
            </w:r>
            <w:r w:rsidRPr="003A6A50">
              <w:rPr>
                <w:lang w:eastAsia="en-NZ"/>
              </w:rPr>
              <w:t xml:space="preserve"> happens, like a global pandemic</w:t>
            </w:r>
          </w:p>
        </w:tc>
      </w:tr>
    </w:tbl>
    <w:p w14:paraId="5D057FD0" w14:textId="427616C5" w:rsidR="00E3277E" w:rsidRDefault="00E3277E" w:rsidP="009055B4">
      <w:pPr>
        <w:pStyle w:val="NormalwIndent"/>
      </w:pPr>
    </w:p>
    <w:tbl>
      <w:tblPr>
        <w:tblStyle w:val="TableGrid"/>
        <w:tblW w:w="0" w:type="auto"/>
        <w:tblBorders>
          <w:top w:val="single" w:sz="4" w:space="0" w:color="EC643C"/>
          <w:left w:val="none" w:sz="0" w:space="0" w:color="auto"/>
          <w:bottom w:val="single" w:sz="4" w:space="0" w:color="EC643C"/>
          <w:right w:val="none" w:sz="0" w:space="0" w:color="auto"/>
          <w:insideH w:val="single" w:sz="4" w:space="0" w:color="EC643C"/>
          <w:insideV w:val="single" w:sz="4" w:space="0" w:color="EC643C"/>
        </w:tblBorders>
        <w:tblLook w:val="04A0" w:firstRow="1" w:lastRow="0" w:firstColumn="1" w:lastColumn="0" w:noHBand="0" w:noVBand="1"/>
      </w:tblPr>
      <w:tblGrid>
        <w:gridCol w:w="567"/>
        <w:gridCol w:w="1134"/>
        <w:gridCol w:w="6803"/>
      </w:tblGrid>
      <w:tr w:rsidR="00E3277E" w14:paraId="41D19334" w14:textId="77777777" w:rsidTr="004C7757">
        <w:trPr>
          <w:gridBefore w:val="2"/>
          <w:wBefore w:w="1701" w:type="dxa"/>
        </w:trPr>
        <w:tc>
          <w:tcPr>
            <w:tcW w:w="6803" w:type="dxa"/>
          </w:tcPr>
          <w:p w14:paraId="457B238A" w14:textId="77777777" w:rsidR="00E3277E" w:rsidRDefault="00E3277E" w:rsidP="004C7757">
            <w:pPr>
              <w:pStyle w:val="NormalwIndent"/>
              <w:ind w:left="29"/>
              <w:rPr>
                <w:iCs/>
                <w:color w:val="EC643C"/>
                <w:sz w:val="28"/>
              </w:rPr>
            </w:pPr>
            <w:r w:rsidRPr="00E3277E">
              <w:rPr>
                <w:iCs/>
                <w:color w:val="EC643C"/>
                <w:sz w:val="28"/>
              </w:rPr>
              <w:t>Learning from COVID-19 responses: permissive contracting through Māori providers and networks</w:t>
            </w:r>
          </w:p>
          <w:p w14:paraId="6F0E2A4E" w14:textId="6C382E23" w:rsidR="00E3277E" w:rsidRDefault="00E3277E" w:rsidP="00E3277E">
            <w:pPr>
              <w:pStyle w:val="NormalwIndent"/>
              <w:ind w:left="29"/>
            </w:pPr>
            <w:r>
              <w:t xml:space="preserve">In responding to COVID-19, </w:t>
            </w:r>
            <w:r w:rsidR="003B2F8E">
              <w:t>W</w:t>
            </w:r>
            <w:r>
              <w:t xml:space="preserve">hānau </w:t>
            </w:r>
            <w:r w:rsidR="003B2F8E">
              <w:t>O</w:t>
            </w:r>
            <w:r>
              <w:t xml:space="preserve">ra providers, iwi, hapū and Māori collectives played a significant role in supporting Māori and the wider community in their rohe. They were able to mobilise and organise in effective and agile ways based on the deep connections and relationships of trust they had built. They also did not have multi-layered approval processes to hold them back. </w:t>
            </w:r>
          </w:p>
          <w:p w14:paraId="5190F9F2" w14:textId="50A16E91" w:rsidR="00E3277E" w:rsidRDefault="00E3277E" w:rsidP="00E3277E">
            <w:pPr>
              <w:pStyle w:val="NormalwIndent"/>
              <w:ind w:left="29"/>
            </w:pPr>
            <w:r>
              <w:t xml:space="preserve">The </w:t>
            </w:r>
            <w:r w:rsidR="00C54BB2">
              <w:t xml:space="preserve">more </w:t>
            </w:r>
            <w:r>
              <w:t>permissive contracting environments allowed Māori to work in their</w:t>
            </w:r>
            <w:r w:rsidR="00064D95">
              <w:t xml:space="preserve"> own</w:t>
            </w:r>
            <w:r>
              <w:t xml:space="preserve"> way. The success of the response show</w:t>
            </w:r>
            <w:r w:rsidR="00467869">
              <w:t>ed</w:t>
            </w:r>
            <w:r>
              <w:t xml:space="preserve"> what happens when communities </w:t>
            </w:r>
            <w:r w:rsidR="004D6DA6">
              <w:t xml:space="preserve">have the mandate and support </w:t>
            </w:r>
            <w:r>
              <w:t xml:space="preserve">to act </w:t>
            </w:r>
            <w:r w:rsidR="004D6DA6">
              <w:t xml:space="preserve">quickly and responsively </w:t>
            </w:r>
            <w:r w:rsidR="00064D95">
              <w:rPr>
                <w:rFonts w:ascii="Calibri" w:hAnsi="Calibri" w:cs="Calibri"/>
              </w:rPr>
              <w:t>—</w:t>
            </w:r>
            <w:r>
              <w:t xml:space="preserve"> a key feature in building successful commissioning systems</w:t>
            </w:r>
            <w:r w:rsidR="007C7C12">
              <w:t xml:space="preserve"> (Office of the Minister for Crown Māori Relations 2021)</w:t>
            </w:r>
            <w:r>
              <w:t>.</w:t>
            </w:r>
          </w:p>
        </w:tc>
      </w:tr>
      <w:tr w:rsidR="00E3277E" w:rsidRPr="000C72D2" w14:paraId="17168AF8" w14:textId="77777777" w:rsidTr="004C7757">
        <w:tblPrEx>
          <w:tblBorders>
            <w:top w:val="single" w:sz="8" w:space="0" w:color="EC643C"/>
            <w:bottom w:val="none" w:sz="0" w:space="0" w:color="auto"/>
            <w:insideH w:val="none" w:sz="0" w:space="0" w:color="auto"/>
            <w:insideV w:val="none" w:sz="0" w:space="0" w:color="auto"/>
          </w:tblBorders>
        </w:tblPrEx>
        <w:trPr>
          <w:gridAfter w:val="2"/>
          <w:wAfter w:w="7937" w:type="dxa"/>
          <w:trHeight w:val="170"/>
        </w:trPr>
        <w:tc>
          <w:tcPr>
            <w:tcW w:w="567" w:type="dxa"/>
          </w:tcPr>
          <w:p w14:paraId="2009127A" w14:textId="77777777" w:rsidR="00E3277E" w:rsidRPr="000C72D2" w:rsidRDefault="00E3277E" w:rsidP="009055B4">
            <w:pPr>
              <w:pStyle w:val="0RULE"/>
            </w:pPr>
          </w:p>
        </w:tc>
      </w:tr>
    </w:tbl>
    <w:p w14:paraId="6F82921F" w14:textId="77777777" w:rsidR="00E3277E" w:rsidRPr="00A902F6" w:rsidRDefault="00E3277E" w:rsidP="00E3277E"/>
    <w:p w14:paraId="2ABDD201" w14:textId="77777777" w:rsidR="00B7468C" w:rsidRPr="00F36113" w:rsidRDefault="00B7468C" w:rsidP="00B7468C"/>
    <w:p w14:paraId="372391BC" w14:textId="77777777" w:rsidR="00F36113" w:rsidRDefault="00F36113" w:rsidP="00F36113"/>
    <w:p w14:paraId="09AC647A" w14:textId="447427B1" w:rsidR="00F36113" w:rsidRPr="00F36113" w:rsidRDefault="00F36113" w:rsidP="00F36113">
      <w:pPr>
        <w:sectPr w:rsidR="00F36113" w:rsidRPr="00F36113" w:rsidSect="00C345BC">
          <w:pgSz w:w="11906" w:h="16838"/>
          <w:pgMar w:top="2778" w:right="1701" w:bottom="454" w:left="1701" w:header="567" w:footer="567" w:gutter="0"/>
          <w:cols w:space="708"/>
          <w:titlePg/>
          <w:docGrid w:linePitch="360"/>
        </w:sectPr>
      </w:pPr>
    </w:p>
    <w:p w14:paraId="47986249" w14:textId="6F087F33" w:rsidR="00990EEA" w:rsidRPr="00A902F6" w:rsidRDefault="00AD5F9E" w:rsidP="00442363">
      <w:pPr>
        <w:pStyle w:val="Heading2-nonumbering"/>
      </w:pPr>
      <w:bookmarkStart w:id="25" w:name="_Toc124933830"/>
      <w:r>
        <w:lastRenderedPageBreak/>
        <w:t xml:space="preserve">How Commissioning for Pae Ora will </w:t>
      </w:r>
      <w:r w:rsidR="00DE5FD1">
        <w:t>be supported</w:t>
      </w:r>
      <w:bookmarkEnd w:id="25"/>
    </w:p>
    <w:p w14:paraId="65280BF0" w14:textId="77777777" w:rsidR="00990EEA" w:rsidRDefault="00990EEA" w:rsidP="001B01C8">
      <w:pPr>
        <w:pStyle w:val="NormalwIndent"/>
      </w:pPr>
    </w:p>
    <w:p w14:paraId="1F3B6668" w14:textId="2D712492" w:rsidR="00990EEA" w:rsidRDefault="001C37DC" w:rsidP="00990EEA">
      <w:pPr>
        <w:pStyle w:val="NormalwIndent"/>
      </w:pPr>
      <w:r>
        <w:t>T</w:t>
      </w:r>
      <w:r w:rsidR="00990EEA">
        <w:t>he Pae Ora (Healthy Futures) Act 2022</w:t>
      </w:r>
      <w:r>
        <w:t xml:space="preserve"> </w:t>
      </w:r>
      <w:r w:rsidR="00990EEA">
        <w:t xml:space="preserve">sets out Te Tiriti o Waitangi requirements alongside a commitment to achieving Māori health equity, and stronger mechanisms for Māori partnership, decision-making and accountability. </w:t>
      </w:r>
      <w:r w:rsidR="000C4D5D">
        <w:t xml:space="preserve">Further </w:t>
      </w:r>
      <w:r w:rsidR="00990EEA">
        <w:t>support</w:t>
      </w:r>
      <w:r w:rsidR="000C4D5D">
        <w:t xml:space="preserve"> comes from</w:t>
      </w:r>
      <w:r w:rsidR="00990EEA">
        <w:t xml:space="preserve"> the Health Quality &amp; Safety Commission’s </w:t>
      </w:r>
      <w:r w:rsidR="005E3FEE">
        <w:t>c</w:t>
      </w:r>
      <w:r w:rsidR="00990EEA">
        <w:t xml:space="preserve">ode of </w:t>
      </w:r>
      <w:r w:rsidR="005E3FEE">
        <w:t>e</w:t>
      </w:r>
      <w:r w:rsidR="00990EEA">
        <w:t>xpectations</w:t>
      </w:r>
      <w:r w:rsidR="004D7920">
        <w:rPr>
          <w:rFonts w:ascii="ZWAdobeF" w:hAnsi="ZWAdobeF" w:cs="ZWAdobeF"/>
          <w:color w:val="auto"/>
          <w:sz w:val="2"/>
          <w:szCs w:val="2"/>
        </w:rPr>
        <w:t>19F</w:t>
      </w:r>
      <w:r w:rsidR="00815F49">
        <w:rPr>
          <w:rStyle w:val="FootnoteReference"/>
        </w:rPr>
        <w:footnoteReference w:id="21"/>
      </w:r>
      <w:r w:rsidR="00990EEA">
        <w:t xml:space="preserve"> to guide health and disability service providers and organisations </w:t>
      </w:r>
      <w:r w:rsidR="000C4D5D">
        <w:t xml:space="preserve">in </w:t>
      </w:r>
      <w:r w:rsidR="00990EEA">
        <w:t>engag</w:t>
      </w:r>
      <w:r w:rsidR="000C4D5D">
        <w:t>ing</w:t>
      </w:r>
      <w:r w:rsidR="00990EEA">
        <w:t xml:space="preserve"> and partnering with consumers</w:t>
      </w:r>
      <w:r w:rsidR="000C4D5D">
        <w:t xml:space="preserve"> and </w:t>
      </w:r>
      <w:r w:rsidR="00990EEA">
        <w:t>whānau</w:t>
      </w:r>
      <w:r w:rsidR="005E3FEE">
        <w:t xml:space="preserve"> (Health Quality &amp; Safety Commission 2022)</w:t>
      </w:r>
      <w:r w:rsidR="00990EEA">
        <w:t>.</w:t>
      </w:r>
    </w:p>
    <w:p w14:paraId="1FD16D3C" w14:textId="1666D95B" w:rsidR="009B6FD7" w:rsidRDefault="009B6FD7" w:rsidP="00990EEA">
      <w:pPr>
        <w:pStyle w:val="NormalwIndent"/>
      </w:pPr>
      <w:r>
        <w:t>The wellbeing amendment to the Public Finance Act 1989</w:t>
      </w:r>
      <w:r w:rsidR="00633351">
        <w:t>, along with provisions in the Public Service Act 2020 enable agencies to collaborate across sectors to address the broader determinants of health and wellbeing.</w:t>
      </w:r>
    </w:p>
    <w:p w14:paraId="0ABF0734" w14:textId="77777777" w:rsidR="000129C3" w:rsidRDefault="00884634" w:rsidP="008D66EC">
      <w:pPr>
        <w:pStyle w:val="Heading1-nonumbering"/>
        <w:rPr>
          <w:color w:val="EC643C"/>
        </w:rPr>
      </w:pPr>
      <w:bookmarkStart w:id="26" w:name="_Toc124933831"/>
      <w:r w:rsidRPr="00884634">
        <w:rPr>
          <w:color w:val="EC643C"/>
        </w:rPr>
        <w:lastRenderedPageBreak/>
        <w:t xml:space="preserve">What we </w:t>
      </w:r>
      <w:r w:rsidR="0003318D">
        <w:rPr>
          <w:color w:val="EC643C"/>
        </w:rPr>
        <w:t>can change</w:t>
      </w:r>
      <w:r w:rsidR="009B6FD7">
        <w:rPr>
          <w:color w:val="EC643C"/>
        </w:rPr>
        <w:t xml:space="preserve"> t</w:t>
      </w:r>
      <w:r w:rsidR="008D66EC">
        <w:rPr>
          <w:color w:val="EC643C"/>
        </w:rPr>
        <w:t>o</w:t>
      </w:r>
      <w:bookmarkEnd w:id="26"/>
    </w:p>
    <w:p w14:paraId="409ADDB1" w14:textId="77777777" w:rsidR="0076260B" w:rsidRDefault="0076260B" w:rsidP="0076260B">
      <w:pPr>
        <w:pStyle w:val="Heading2-nonumbering"/>
      </w:pPr>
      <w:bookmarkStart w:id="27" w:name="_Toc124933832"/>
      <w:r>
        <w:t>Whānau-led and Māori-led commissioning</w:t>
      </w:r>
      <w:bookmarkEnd w:id="27"/>
    </w:p>
    <w:p w14:paraId="1037A446" w14:textId="77777777" w:rsidR="0076260B" w:rsidRDefault="0076260B" w:rsidP="00376826">
      <w:pPr>
        <w:pStyle w:val="NormalwIndent"/>
      </w:pPr>
    </w:p>
    <w:p w14:paraId="41A5C428" w14:textId="77777777" w:rsidR="0076260B" w:rsidRDefault="0076260B" w:rsidP="0076260B">
      <w:pPr>
        <w:pStyle w:val="NormalwIndent"/>
      </w:pPr>
      <w:r>
        <w:t xml:space="preserve">Whānau-led and Māori-led commissioning turns conventional commissioning upside down. It starts with a commitment to building trust through whakawhanaungatanga in order to deeply understand </w:t>
      </w:r>
      <w:r w:rsidRPr="00503389">
        <w:rPr>
          <w:color w:val="auto"/>
        </w:rPr>
        <w:t xml:space="preserve">what matters to whānau </w:t>
      </w:r>
      <w:r>
        <w:t xml:space="preserve">and their communities and local contexts. </w:t>
      </w:r>
    </w:p>
    <w:p w14:paraId="0F630B40" w14:textId="77777777" w:rsidR="0076260B" w:rsidRDefault="0076260B" w:rsidP="0076260B">
      <w:pPr>
        <w:pStyle w:val="NormalwIndent"/>
      </w:pPr>
      <w:r>
        <w:t>This approach makes it possible to understand the different starting points for people and communities. It factors these differences into funding, design and other enablers, by responding to inequities in:</w:t>
      </w:r>
    </w:p>
    <w:p w14:paraId="65B34C1F" w14:textId="77777777" w:rsidR="0076260B" w:rsidRDefault="0076260B" w:rsidP="0076260B">
      <w:pPr>
        <w:pStyle w:val="ListBullet"/>
        <w:tabs>
          <w:tab w:val="clear" w:pos="360"/>
          <w:tab w:val="num" w:pos="709"/>
        </w:tabs>
        <w:ind w:left="1985" w:hanging="284"/>
      </w:pPr>
      <w:r w:rsidRPr="00503389">
        <w:rPr>
          <w:color w:val="auto"/>
        </w:rPr>
        <w:t>contexts</w:t>
      </w:r>
      <w:r>
        <w:t>, such as infrastructure, housing quality and affordability, income and employment opportunities, job security and travel time</w:t>
      </w:r>
    </w:p>
    <w:p w14:paraId="602C6F5A" w14:textId="77777777" w:rsidR="0076260B" w:rsidRDefault="0076260B" w:rsidP="0076260B">
      <w:pPr>
        <w:pStyle w:val="ListBullet"/>
        <w:tabs>
          <w:tab w:val="clear" w:pos="360"/>
          <w:tab w:val="num" w:pos="709"/>
        </w:tabs>
        <w:ind w:left="1985" w:hanging="284"/>
      </w:pPr>
      <w:r w:rsidRPr="00503389">
        <w:rPr>
          <w:color w:val="auto"/>
        </w:rPr>
        <w:t>access</w:t>
      </w:r>
      <w:r>
        <w:t xml:space="preserve"> to timely, affordable, culturally safe health interventions and support </w:t>
      </w:r>
      <w:r w:rsidRPr="0076260B">
        <w:rPr>
          <w:color w:val="auto"/>
        </w:rPr>
        <w:t>outcomes</w:t>
      </w:r>
      <w:r>
        <w:t xml:space="preserve">. </w:t>
      </w:r>
    </w:p>
    <w:p w14:paraId="799AFE69" w14:textId="344BEF69" w:rsidR="0076260B" w:rsidRDefault="0076260B" w:rsidP="0076260B">
      <w:pPr>
        <w:pStyle w:val="ListBullet"/>
        <w:numPr>
          <w:ilvl w:val="0"/>
          <w:numId w:val="0"/>
        </w:numPr>
        <w:ind w:left="1701"/>
      </w:pPr>
      <w:r>
        <w:t>Influences on outcomes involve a combination of broader determinants of health, the degree to which the health system delivers on what matters and what works for people, how contexts impact service access and quality, and how closely the workforce and infrastructure match demand.</w:t>
      </w:r>
    </w:p>
    <w:p w14:paraId="4A1F02B9" w14:textId="77777777" w:rsidR="0076260B" w:rsidRDefault="0076260B" w:rsidP="0076260B">
      <w:pPr>
        <w:pStyle w:val="NormalwIndent"/>
      </w:pPr>
      <w:r w:rsidRPr="008029AF">
        <w:rPr>
          <w:color w:val="auto"/>
        </w:rPr>
        <w:t>Another change from conventional commissioning is that accountability and performance measures are designed with those delivering services and other investments.</w:t>
      </w:r>
      <w:r w:rsidRPr="00A40CAE">
        <w:rPr>
          <w:color w:val="EC643C"/>
        </w:rPr>
        <w:t xml:space="preserve"> </w:t>
      </w:r>
      <w:r>
        <w:t xml:space="preserve">In this way, the measures help to generate insights that inform continuous improvement.  </w:t>
      </w:r>
    </w:p>
    <w:p w14:paraId="22B8415C" w14:textId="77777777" w:rsidR="0076260B" w:rsidRDefault="0076260B" w:rsidP="0076260B">
      <w:pPr>
        <w:pStyle w:val="NormalwIndent"/>
      </w:pPr>
      <w:r w:rsidRPr="00AD3D9F">
        <w:rPr>
          <w:color w:val="auto"/>
        </w:rPr>
        <w:t>Commissioners</w:t>
      </w:r>
      <w:r>
        <w:t xml:space="preserve"> enable innovation and keep the focus on achieving the outcomes. Decision-making and funding are devolved, and commissioners consider public value </w:t>
      </w:r>
      <w:r>
        <w:rPr>
          <w:rFonts w:ascii="Calibri" w:hAnsi="Calibri" w:cs="Calibri"/>
        </w:rPr>
        <w:t>—</w:t>
      </w:r>
      <w:r>
        <w:t xml:space="preserve"> and system costs </w:t>
      </w:r>
      <w:r>
        <w:rPr>
          <w:rFonts w:ascii="Calibri" w:hAnsi="Calibri" w:cs="Calibri"/>
        </w:rPr>
        <w:t>—</w:t>
      </w:r>
      <w:r>
        <w:t xml:space="preserve"> instead of having an inward, narrow and distorting focus on unit costs (Goodwin et al 2020; Sneddon 2014). </w:t>
      </w:r>
    </w:p>
    <w:p w14:paraId="11B02B36" w14:textId="26341351" w:rsidR="0076260B" w:rsidRDefault="0076260B" w:rsidP="0076260B">
      <w:pPr>
        <w:pStyle w:val="NormalwIndent"/>
      </w:pPr>
      <w:r>
        <w:t>At the strategic and service levels, commissioning aims to increase the choice, agency and control whānau can exercise. In other words, commissioning enables tino rangatiratanga and options. These changes have been demonstrated to improve health and wellbeing, and reduce human costs as well as the cost to the system.</w:t>
      </w:r>
    </w:p>
    <w:p w14:paraId="743FFF91" w14:textId="5D8417AD" w:rsidR="008D66EC" w:rsidRPr="008D66EC" w:rsidRDefault="008D66EC" w:rsidP="008D66EC">
      <w:pPr>
        <w:pStyle w:val="Heading1-nonumbering"/>
        <w:rPr>
          <w:color w:val="EC643C"/>
        </w:rPr>
        <w:sectPr w:rsidR="008D66EC" w:rsidRPr="008D66EC" w:rsidSect="00C345BC">
          <w:pgSz w:w="11906" w:h="16838"/>
          <w:pgMar w:top="2778" w:right="1701" w:bottom="454" w:left="1701" w:header="567" w:footer="567" w:gutter="0"/>
          <w:cols w:space="708"/>
          <w:titlePg/>
          <w:docGrid w:linePitch="360"/>
        </w:sectPr>
      </w:pPr>
    </w:p>
    <w:p w14:paraId="7E5B0405" w14:textId="3FAE4457" w:rsidR="009F6B0E" w:rsidRDefault="009F6B0E" w:rsidP="00376826">
      <w:pPr>
        <w:pStyle w:val="Heading2-nonumbering"/>
      </w:pPr>
      <w:bookmarkStart w:id="28" w:name="_Toc124933833"/>
      <w:r w:rsidRPr="009F6B0E">
        <w:lastRenderedPageBreak/>
        <w:t>How this commissioning framework is different</w:t>
      </w:r>
      <w:bookmarkEnd w:id="28"/>
    </w:p>
    <w:p w14:paraId="04B61F0B" w14:textId="77777777" w:rsidR="009F6B0E" w:rsidRDefault="009F6B0E" w:rsidP="00376826">
      <w:pPr>
        <w:pStyle w:val="NormalwIndent"/>
      </w:pPr>
    </w:p>
    <w:p w14:paraId="59D199C6" w14:textId="217E38D8" w:rsidR="009F6B0E" w:rsidRDefault="00E63E52" w:rsidP="009F6B0E">
      <w:pPr>
        <w:pStyle w:val="NormalwIndent"/>
        <w:spacing w:before="0"/>
      </w:pPr>
      <w:r>
        <w:t xml:space="preserve">There are </w:t>
      </w:r>
      <w:r w:rsidR="009F6B0E" w:rsidRPr="009F6B0E">
        <w:t xml:space="preserve">many commissioning frameworks across </w:t>
      </w:r>
      <w:r w:rsidR="003B2F8E">
        <w:t>the</w:t>
      </w:r>
      <w:r w:rsidR="003B2F8E" w:rsidRPr="009F6B0E">
        <w:t xml:space="preserve"> </w:t>
      </w:r>
      <w:r w:rsidR="009F6B0E" w:rsidRPr="009F6B0E">
        <w:t xml:space="preserve">motu. Many iwi Māori providers have their own frameworks. Commissioning for Pae Ora </w:t>
      </w:r>
      <w:r w:rsidR="00F31AC4">
        <w:t xml:space="preserve">can contribute </w:t>
      </w:r>
      <w:r w:rsidR="009F6B0E" w:rsidRPr="009F6B0E">
        <w:t>a systems approach</w:t>
      </w:r>
      <w:r w:rsidR="00F31AC4">
        <w:t xml:space="preserve"> to commissioning</w:t>
      </w:r>
      <w:r w:rsidR="009F6B0E" w:rsidRPr="009F6B0E">
        <w:t xml:space="preserve"> and recognises the need to learn </w:t>
      </w:r>
      <w:r w:rsidR="00B7488C">
        <w:t>and build the future together</w:t>
      </w:r>
      <w:r w:rsidR="009F6B0E" w:rsidRPr="009F6B0E">
        <w:t xml:space="preserve">. </w:t>
      </w:r>
      <w:r w:rsidR="009F6B0E">
        <w:t xml:space="preserve"> </w:t>
      </w:r>
    </w:p>
    <w:p w14:paraId="4870195B" w14:textId="77777777" w:rsidR="009F6B0E" w:rsidRDefault="009F6B0E" w:rsidP="00376826">
      <w:pPr>
        <w:pStyle w:val="NormalwIndent"/>
      </w:pPr>
    </w:p>
    <w:tbl>
      <w:tblPr>
        <w:tblStyle w:val="TableGrid"/>
        <w:tblW w:w="8520" w:type="dxa"/>
        <w:tblInd w:w="-15"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985"/>
        <w:gridCol w:w="6535"/>
      </w:tblGrid>
      <w:tr w:rsidR="00E33AED" w:rsidRPr="0006428B" w14:paraId="70DAA5B9" w14:textId="77777777" w:rsidTr="00F35CCB">
        <w:tc>
          <w:tcPr>
            <w:tcW w:w="1985" w:type="dxa"/>
            <w:shd w:val="clear" w:color="auto" w:fill="F2F2F2" w:themeFill="background1" w:themeFillShade="F2"/>
            <w:vAlign w:val="center"/>
          </w:tcPr>
          <w:p w14:paraId="18C3AEDA" w14:textId="139766B2" w:rsidR="00564F3C" w:rsidRPr="00F35CCB" w:rsidRDefault="00714098" w:rsidP="00F35CCB">
            <w:pPr>
              <w:pStyle w:val="TableText"/>
              <w:rPr>
                <w:b/>
                <w:bCs/>
              </w:rPr>
            </w:pPr>
            <w:r w:rsidRPr="00F35CCB">
              <w:rPr>
                <w:b/>
              </w:rPr>
              <w:t>Defining f</w:t>
            </w:r>
            <w:r w:rsidR="00564F3C" w:rsidRPr="00F35CCB">
              <w:rPr>
                <w:b/>
              </w:rPr>
              <w:t>eature of Commissioning for Pae Ora</w:t>
            </w:r>
          </w:p>
        </w:tc>
        <w:tc>
          <w:tcPr>
            <w:tcW w:w="6535" w:type="dxa"/>
            <w:shd w:val="clear" w:color="auto" w:fill="F2F2F2" w:themeFill="background1" w:themeFillShade="F2"/>
          </w:tcPr>
          <w:p w14:paraId="26178F21" w14:textId="466B3027" w:rsidR="00564F3C" w:rsidRPr="00F35CCB" w:rsidRDefault="00FE153C" w:rsidP="00F35CCB">
            <w:pPr>
              <w:pStyle w:val="TableText"/>
              <w:rPr>
                <w:b/>
              </w:rPr>
            </w:pPr>
            <w:r w:rsidRPr="00F35CCB">
              <w:rPr>
                <w:b/>
                <w:bCs/>
                <w:spacing w:val="0"/>
                <w:lang w:val="en-NZ"/>
              </w:rPr>
              <w:t>Description</w:t>
            </w:r>
          </w:p>
        </w:tc>
      </w:tr>
      <w:tr w:rsidR="00E33AED" w:rsidRPr="008E6041" w14:paraId="57799086" w14:textId="77777777" w:rsidTr="009468E5">
        <w:tc>
          <w:tcPr>
            <w:tcW w:w="1985" w:type="dxa"/>
            <w:shd w:val="clear" w:color="auto" w:fill="F2F2F2" w:themeFill="background1" w:themeFillShade="F2"/>
            <w:vAlign w:val="center"/>
          </w:tcPr>
          <w:p w14:paraId="43A51DF9" w14:textId="77777777" w:rsidR="009F6B0E" w:rsidRPr="009F6B0E" w:rsidRDefault="009F6B0E" w:rsidP="00212D9F">
            <w:pPr>
              <w:pStyle w:val="TableText"/>
              <w:spacing w:before="100" w:after="100"/>
              <w:rPr>
                <w:b/>
              </w:rPr>
            </w:pPr>
            <w:r w:rsidRPr="009F6B0E">
              <w:rPr>
                <w:b/>
              </w:rPr>
              <w:t>What matters to whānau</w:t>
            </w:r>
          </w:p>
          <w:p w14:paraId="307BAB21" w14:textId="77777777" w:rsidR="009F6B0E" w:rsidRPr="009F6B0E" w:rsidRDefault="009F6B0E" w:rsidP="00212D9F">
            <w:pPr>
              <w:pStyle w:val="TableText"/>
              <w:spacing w:before="100" w:after="100"/>
              <w:rPr>
                <w:b/>
                <w:i/>
                <w:iCs/>
              </w:rPr>
            </w:pPr>
          </w:p>
        </w:tc>
        <w:tc>
          <w:tcPr>
            <w:tcW w:w="6535" w:type="dxa"/>
            <w:shd w:val="clear" w:color="auto" w:fill="FFFFFF" w:themeFill="background1"/>
          </w:tcPr>
          <w:p w14:paraId="1360EA61" w14:textId="7BF4C9D0" w:rsidR="009F6B0E" w:rsidRPr="008E6041" w:rsidRDefault="009F6B0E" w:rsidP="00212D9F">
            <w:pPr>
              <w:pStyle w:val="Tablebulletx"/>
              <w:spacing w:before="100" w:after="100"/>
              <w:rPr>
                <w:lang w:eastAsia="en-NZ"/>
              </w:rPr>
            </w:pPr>
            <w:bookmarkStart w:id="29" w:name="_Hlk79127364"/>
            <w:r w:rsidRPr="008E6041">
              <w:rPr>
                <w:lang w:eastAsia="en-NZ"/>
              </w:rPr>
              <w:t xml:space="preserve">Starts with </w:t>
            </w:r>
            <w:r w:rsidRPr="008E6041">
              <w:rPr>
                <w:rFonts w:eastAsiaTheme="minorEastAsia"/>
                <w:lang w:eastAsia="en-NZ"/>
              </w:rPr>
              <w:t>whakawhanaungatanga</w:t>
            </w:r>
            <w:r w:rsidRPr="008E6041">
              <w:rPr>
                <w:lang w:eastAsia="en-NZ"/>
              </w:rPr>
              <w:t xml:space="preserve"> to</w:t>
            </w:r>
            <w:r w:rsidR="008029AF">
              <w:rPr>
                <w:lang w:eastAsia="en-NZ"/>
              </w:rPr>
              <w:t xml:space="preserve"> build trust and</w:t>
            </w:r>
            <w:r w:rsidRPr="008E6041">
              <w:rPr>
                <w:lang w:eastAsia="en-NZ"/>
              </w:rPr>
              <w:t xml:space="preserve"> understand </w:t>
            </w:r>
            <w:r w:rsidRPr="00B7488C">
              <w:rPr>
                <w:lang w:eastAsia="en-NZ"/>
              </w:rPr>
              <w:t>what matters to whānau, which then</w:t>
            </w:r>
            <w:r w:rsidRPr="008E6041">
              <w:rPr>
                <w:lang w:eastAsia="en-NZ"/>
              </w:rPr>
              <w:t xml:space="preserve"> shapes commissioning at every stage.</w:t>
            </w:r>
            <w:bookmarkEnd w:id="29"/>
          </w:p>
          <w:p w14:paraId="080C5978" w14:textId="77777777" w:rsidR="009F6B0E" w:rsidRPr="008E6041" w:rsidRDefault="009F6B0E" w:rsidP="00212D9F">
            <w:pPr>
              <w:pStyle w:val="Tablebulletx"/>
              <w:spacing w:before="100" w:after="100"/>
              <w:rPr>
                <w:spacing w:val="-4"/>
                <w:lang w:eastAsia="en-NZ"/>
              </w:rPr>
            </w:pPr>
            <w:r w:rsidRPr="008E6041">
              <w:rPr>
                <w:spacing w:val="-4"/>
                <w:lang w:eastAsia="en-NZ"/>
              </w:rPr>
              <w:t>Recognises the diversity of whānau as a strength and that diversity shapes responses.</w:t>
            </w:r>
          </w:p>
          <w:p w14:paraId="5CD0F5FB" w14:textId="77777777" w:rsidR="009F6B0E" w:rsidRPr="008E6041" w:rsidRDefault="009F6B0E" w:rsidP="00212D9F">
            <w:pPr>
              <w:pStyle w:val="Tablebulletx"/>
              <w:spacing w:before="100" w:after="100"/>
              <w:rPr>
                <w:lang w:eastAsia="en-NZ"/>
              </w:rPr>
            </w:pPr>
            <w:r w:rsidRPr="008E6041">
              <w:rPr>
                <w:lang w:eastAsia="en-NZ"/>
              </w:rPr>
              <w:t>Values non-clinical aspects of care, including rongoā Māori and mātauranga Māori, alongside clinical aspects.</w:t>
            </w:r>
          </w:p>
        </w:tc>
      </w:tr>
      <w:tr w:rsidR="00E33AED" w:rsidRPr="008E6041" w14:paraId="5CF9A19F" w14:textId="77777777" w:rsidTr="009468E5">
        <w:trPr>
          <w:trHeight w:val="1716"/>
        </w:trPr>
        <w:tc>
          <w:tcPr>
            <w:tcW w:w="1985" w:type="dxa"/>
            <w:shd w:val="clear" w:color="auto" w:fill="F2F2F2" w:themeFill="background1" w:themeFillShade="F2"/>
            <w:vAlign w:val="center"/>
          </w:tcPr>
          <w:p w14:paraId="6DAA458F" w14:textId="77777777" w:rsidR="009F6B0E" w:rsidRPr="009F6B0E" w:rsidRDefault="009F6B0E" w:rsidP="00212D9F">
            <w:pPr>
              <w:pStyle w:val="TableText"/>
              <w:spacing w:before="100" w:after="100"/>
              <w:rPr>
                <w:b/>
              </w:rPr>
            </w:pPr>
            <w:r w:rsidRPr="009F6B0E">
              <w:rPr>
                <w:b/>
                <w:lang w:eastAsia="en-NZ"/>
              </w:rPr>
              <w:t>Māori world view, leadership and decision-making</w:t>
            </w:r>
          </w:p>
        </w:tc>
        <w:tc>
          <w:tcPr>
            <w:tcW w:w="6535" w:type="dxa"/>
            <w:shd w:val="clear" w:color="auto" w:fill="FFFFFF" w:themeFill="background1"/>
          </w:tcPr>
          <w:p w14:paraId="383B79D5" w14:textId="77777777" w:rsidR="009F6B0E" w:rsidRPr="008E6041" w:rsidRDefault="009F6B0E" w:rsidP="00212D9F">
            <w:pPr>
              <w:pStyle w:val="Tablebulletx"/>
              <w:spacing w:before="100" w:after="100"/>
              <w:rPr>
                <w:lang w:val="en-AU" w:eastAsia="en-NZ"/>
              </w:rPr>
            </w:pPr>
            <w:r w:rsidRPr="008E6041">
              <w:rPr>
                <w:lang w:eastAsia="en-NZ"/>
              </w:rPr>
              <w:t>Builds for the future, as enabling environments are created for Māori to exercise:</w:t>
            </w:r>
          </w:p>
          <w:p w14:paraId="5CBDB605" w14:textId="0FA1A7B6" w:rsidR="009F6B0E" w:rsidRPr="009F6B0E" w:rsidRDefault="00714098" w:rsidP="00771878">
            <w:pPr>
              <w:numPr>
                <w:ilvl w:val="0"/>
                <w:numId w:val="13"/>
              </w:numPr>
              <w:spacing w:before="100" w:after="100" w:line="240" w:lineRule="auto"/>
              <w:ind w:hanging="256"/>
              <w:rPr>
                <w:rFonts w:cstheme="minorHAnsi"/>
                <w:kern w:val="24"/>
                <w:sz w:val="18"/>
                <w:szCs w:val="18"/>
                <w:lang w:val="en-AU" w:eastAsia="en-NZ"/>
              </w:rPr>
            </w:pPr>
            <w:r>
              <w:rPr>
                <w:rFonts w:cstheme="minorHAnsi"/>
                <w:sz w:val="18"/>
                <w:szCs w:val="18"/>
              </w:rPr>
              <w:t>m</w:t>
            </w:r>
            <w:r w:rsidR="009F6B0E" w:rsidRPr="009F6B0E">
              <w:rPr>
                <w:rFonts w:cstheme="minorHAnsi"/>
                <w:sz w:val="18"/>
                <w:szCs w:val="18"/>
              </w:rPr>
              <w:t>ana </w:t>
            </w:r>
            <w:r w:rsidR="009F6B0E" w:rsidRPr="009F6B0E">
              <w:rPr>
                <w:rFonts w:cstheme="minorHAnsi"/>
                <w:sz w:val="18"/>
                <w:szCs w:val="18"/>
                <w:lang w:eastAsia="en-NZ"/>
              </w:rPr>
              <w:t xml:space="preserve">whakahaere: </w:t>
            </w:r>
            <w:r w:rsidR="009F6B0E" w:rsidRPr="009F6B0E">
              <w:rPr>
                <w:rFonts w:cstheme="minorHAnsi"/>
                <w:sz w:val="18"/>
                <w:szCs w:val="18"/>
              </w:rPr>
              <w:t>governance and decision-making authority</w:t>
            </w:r>
          </w:p>
          <w:p w14:paraId="74FCCF41" w14:textId="1E43937D" w:rsidR="009F6B0E" w:rsidRPr="009F6B0E" w:rsidRDefault="00714098" w:rsidP="00771878">
            <w:pPr>
              <w:numPr>
                <w:ilvl w:val="0"/>
                <w:numId w:val="13"/>
              </w:numPr>
              <w:spacing w:before="100" w:after="100" w:line="240" w:lineRule="auto"/>
              <w:ind w:hanging="256"/>
              <w:rPr>
                <w:rFonts w:cstheme="minorHAnsi"/>
                <w:kern w:val="24"/>
                <w:sz w:val="18"/>
                <w:szCs w:val="18"/>
                <w:lang w:val="en-AU" w:eastAsia="en-NZ"/>
              </w:rPr>
            </w:pPr>
            <w:r>
              <w:rPr>
                <w:rFonts w:cstheme="minorHAnsi"/>
                <w:kern w:val="24"/>
                <w:sz w:val="18"/>
                <w:szCs w:val="18"/>
                <w:lang w:val="en-AU" w:eastAsia="en-NZ"/>
              </w:rPr>
              <w:t>m</w:t>
            </w:r>
            <w:r w:rsidR="009F6B0E" w:rsidRPr="009F6B0E">
              <w:rPr>
                <w:rFonts w:cstheme="minorHAnsi"/>
                <w:kern w:val="24"/>
                <w:sz w:val="18"/>
                <w:szCs w:val="18"/>
                <w:lang w:val="en-AU" w:eastAsia="en-NZ"/>
              </w:rPr>
              <w:t>ana motuhake: the right for Māori to be Māori, to live on Māori terms</w:t>
            </w:r>
            <w:r>
              <w:rPr>
                <w:rFonts w:cstheme="minorHAnsi"/>
                <w:kern w:val="24"/>
                <w:sz w:val="18"/>
                <w:szCs w:val="18"/>
                <w:lang w:val="en-AU" w:eastAsia="en-NZ"/>
              </w:rPr>
              <w:t xml:space="preserve"> and with</w:t>
            </w:r>
            <w:r w:rsidRPr="009F6B0E">
              <w:rPr>
                <w:rFonts w:cstheme="minorHAnsi"/>
                <w:kern w:val="24"/>
                <w:sz w:val="18"/>
                <w:szCs w:val="18"/>
                <w:lang w:val="en-AU" w:eastAsia="en-NZ"/>
              </w:rPr>
              <w:t xml:space="preserve"> Māori</w:t>
            </w:r>
            <w:r w:rsidR="009F6B0E" w:rsidRPr="009F6B0E">
              <w:rPr>
                <w:rFonts w:cstheme="minorHAnsi"/>
                <w:kern w:val="24"/>
                <w:sz w:val="18"/>
                <w:szCs w:val="18"/>
                <w:lang w:val="en-AU" w:eastAsia="en-NZ"/>
              </w:rPr>
              <w:t xml:space="preserve"> values and practices including tikanga </w:t>
            </w:r>
          </w:p>
          <w:p w14:paraId="21A7F0F8" w14:textId="217DE7CC" w:rsidR="009F6B0E" w:rsidRPr="009F6B0E" w:rsidRDefault="00714098" w:rsidP="00771878">
            <w:pPr>
              <w:numPr>
                <w:ilvl w:val="0"/>
                <w:numId w:val="13"/>
              </w:numPr>
              <w:spacing w:before="100" w:after="100" w:line="240" w:lineRule="auto"/>
              <w:ind w:hanging="256"/>
              <w:rPr>
                <w:rFonts w:cstheme="minorHAnsi"/>
                <w:kern w:val="24"/>
                <w:sz w:val="18"/>
                <w:szCs w:val="18"/>
                <w:lang w:val="en-AU" w:eastAsia="en-NZ"/>
              </w:rPr>
            </w:pPr>
            <w:r>
              <w:rPr>
                <w:rFonts w:cstheme="minorHAnsi"/>
                <w:kern w:val="24"/>
                <w:sz w:val="18"/>
                <w:szCs w:val="18"/>
                <w:lang w:val="en-AU" w:eastAsia="en-NZ"/>
              </w:rPr>
              <w:t>m</w:t>
            </w:r>
            <w:r w:rsidR="009F6B0E" w:rsidRPr="009F6B0E">
              <w:rPr>
                <w:rFonts w:cstheme="minorHAnsi"/>
                <w:kern w:val="24"/>
                <w:sz w:val="18"/>
                <w:szCs w:val="18"/>
                <w:lang w:val="en-AU" w:eastAsia="en-NZ"/>
              </w:rPr>
              <w:t xml:space="preserve">ana tangata: equity in health and disability outcomes </w:t>
            </w:r>
          </w:p>
          <w:p w14:paraId="42D4136A" w14:textId="7632383A" w:rsidR="009F6B0E" w:rsidRPr="008E6041" w:rsidRDefault="00714098" w:rsidP="00771878">
            <w:pPr>
              <w:numPr>
                <w:ilvl w:val="0"/>
                <w:numId w:val="13"/>
              </w:numPr>
              <w:spacing w:before="100" w:after="100" w:line="240" w:lineRule="auto"/>
              <w:ind w:hanging="256"/>
              <w:rPr>
                <w:rFonts w:asciiTheme="minorHAnsi" w:hAnsiTheme="minorHAnsi" w:cstheme="minorHAnsi"/>
                <w:kern w:val="24"/>
                <w:sz w:val="20"/>
                <w:lang w:val="en-AU" w:eastAsia="en-NZ"/>
              </w:rPr>
            </w:pPr>
            <w:r>
              <w:rPr>
                <w:rFonts w:cstheme="minorHAnsi"/>
                <w:kern w:val="24"/>
                <w:sz w:val="18"/>
                <w:szCs w:val="18"/>
                <w:lang w:val="en-AU" w:eastAsia="en-NZ"/>
              </w:rPr>
              <w:t>m</w:t>
            </w:r>
            <w:r w:rsidR="009F6B0E" w:rsidRPr="009F6B0E">
              <w:rPr>
                <w:rFonts w:cstheme="minorHAnsi"/>
                <w:kern w:val="24"/>
                <w:sz w:val="18"/>
                <w:szCs w:val="18"/>
                <w:lang w:val="en-AU" w:eastAsia="en-NZ"/>
              </w:rPr>
              <w:t>ana Māori: ritenga Māori (rituals) framed by te ao Māori, enacted through tikanga and encapsulated within mātauranga Māori (Māori knowledge).</w:t>
            </w:r>
          </w:p>
        </w:tc>
      </w:tr>
      <w:tr w:rsidR="00E33AED" w:rsidRPr="008E6041" w14:paraId="312ABFD3" w14:textId="77777777" w:rsidTr="009468E5">
        <w:tc>
          <w:tcPr>
            <w:tcW w:w="1985" w:type="dxa"/>
            <w:shd w:val="clear" w:color="auto" w:fill="F2F2F2" w:themeFill="background1" w:themeFillShade="F2"/>
            <w:vAlign w:val="center"/>
          </w:tcPr>
          <w:p w14:paraId="6FBA41FA" w14:textId="77777777" w:rsidR="009F6B0E" w:rsidRPr="009F6B0E" w:rsidRDefault="009F6B0E" w:rsidP="00212D9F">
            <w:pPr>
              <w:pStyle w:val="TableText"/>
              <w:spacing w:before="100" w:after="100"/>
              <w:rPr>
                <w:b/>
              </w:rPr>
            </w:pPr>
            <w:r w:rsidRPr="009F6B0E">
              <w:rPr>
                <w:b/>
              </w:rPr>
              <w:t>System, strategic, surveillance and service levels</w:t>
            </w:r>
          </w:p>
        </w:tc>
        <w:tc>
          <w:tcPr>
            <w:tcW w:w="6535" w:type="dxa"/>
            <w:shd w:val="clear" w:color="auto" w:fill="FFFFFF" w:themeFill="background1"/>
          </w:tcPr>
          <w:p w14:paraId="5781FF44" w14:textId="77777777" w:rsidR="009F6B0E" w:rsidRPr="008E6041" w:rsidRDefault="009F6B0E" w:rsidP="00212D9F">
            <w:pPr>
              <w:pStyle w:val="Tablebulletx"/>
              <w:spacing w:before="100" w:after="100"/>
              <w:rPr>
                <w:lang w:eastAsia="en-NZ"/>
              </w:rPr>
            </w:pPr>
            <w:bookmarkStart w:id="30" w:name="_Hlk107304570"/>
            <w:r w:rsidRPr="008E6041">
              <w:rPr>
                <w:lang w:eastAsia="en-NZ"/>
              </w:rPr>
              <w:t>Takes a broader view of commissioning that covers system impacts, strategic commissioning, surveillance of health and disease, sustainable funding and workforce, provider capacity and capability, data and digital, and market shaping, alongside the more usual focus on commissioning services</w:t>
            </w:r>
            <w:bookmarkEnd w:id="30"/>
            <w:r w:rsidRPr="008E6041">
              <w:rPr>
                <w:lang w:eastAsia="en-NZ"/>
              </w:rPr>
              <w:t>.</w:t>
            </w:r>
          </w:p>
        </w:tc>
      </w:tr>
      <w:tr w:rsidR="00E33AED" w:rsidRPr="008E6041" w14:paraId="7A4277DB" w14:textId="77777777" w:rsidTr="009468E5">
        <w:tc>
          <w:tcPr>
            <w:tcW w:w="1985" w:type="dxa"/>
            <w:shd w:val="clear" w:color="auto" w:fill="F2F2F2" w:themeFill="background1" w:themeFillShade="F2"/>
            <w:vAlign w:val="center"/>
          </w:tcPr>
          <w:p w14:paraId="500DDF9D" w14:textId="77777777" w:rsidR="009F6B0E" w:rsidRPr="009F6B0E" w:rsidRDefault="009F6B0E" w:rsidP="00212D9F">
            <w:pPr>
              <w:pStyle w:val="TableText"/>
              <w:spacing w:before="100" w:after="100"/>
              <w:rPr>
                <w:b/>
                <w:lang w:eastAsia="en-NZ"/>
              </w:rPr>
            </w:pPr>
            <w:r w:rsidRPr="009F6B0E">
              <w:rPr>
                <w:rFonts w:eastAsia="Calibri"/>
                <w:b/>
                <w:lang w:eastAsia="en-NZ"/>
              </w:rPr>
              <w:t>Ako</w:t>
            </w:r>
          </w:p>
          <w:p w14:paraId="3F485B55" w14:textId="7FA3EEF8" w:rsidR="009F6B0E" w:rsidRPr="009F6B0E" w:rsidRDefault="00714098" w:rsidP="00212D9F">
            <w:pPr>
              <w:pStyle w:val="TableText"/>
              <w:spacing w:before="100" w:after="100"/>
              <w:rPr>
                <w:b/>
                <w:lang w:eastAsia="en-NZ"/>
              </w:rPr>
            </w:pPr>
            <w:r>
              <w:rPr>
                <w:rFonts w:eastAsia="Calibri"/>
                <w:b/>
                <w:i/>
                <w:iCs/>
                <w:lang w:eastAsia="en-NZ"/>
              </w:rPr>
              <w:t>W</w:t>
            </w:r>
            <w:r w:rsidR="009F6B0E" w:rsidRPr="009F6B0E">
              <w:rPr>
                <w:rFonts w:eastAsia="Calibri"/>
                <w:b/>
                <w:i/>
                <w:iCs/>
                <w:lang w:eastAsia="en-NZ"/>
              </w:rPr>
              <w:t>e learn together</w:t>
            </w:r>
          </w:p>
        </w:tc>
        <w:tc>
          <w:tcPr>
            <w:tcW w:w="6535" w:type="dxa"/>
            <w:shd w:val="clear" w:color="auto" w:fill="FFFFFF" w:themeFill="background1"/>
          </w:tcPr>
          <w:p w14:paraId="55E4A8CA" w14:textId="77777777" w:rsidR="009F6B0E" w:rsidRPr="008E6041" w:rsidRDefault="009F6B0E" w:rsidP="00212D9F">
            <w:pPr>
              <w:pStyle w:val="Tablebulletx"/>
              <w:spacing w:before="100" w:after="100"/>
              <w:rPr>
                <w:lang w:eastAsia="en-NZ"/>
              </w:rPr>
            </w:pPr>
            <w:r w:rsidRPr="008E6041">
              <w:rPr>
                <w:lang w:eastAsia="en-NZ"/>
              </w:rPr>
              <w:t xml:space="preserve">Recognises we are all learning together to understand </w:t>
            </w:r>
            <w:r w:rsidRPr="008E6041">
              <w:rPr>
                <w:b/>
                <w:bCs w:val="0"/>
                <w:lang w:eastAsia="en-NZ"/>
              </w:rPr>
              <w:t>‘</w:t>
            </w:r>
            <w:r w:rsidRPr="00E73960">
              <w:rPr>
                <w:lang w:eastAsia="en-NZ"/>
              </w:rPr>
              <w:t>what works for whānau’</w:t>
            </w:r>
            <w:r w:rsidRPr="008E6041">
              <w:rPr>
                <w:lang w:eastAsia="en-NZ"/>
              </w:rPr>
              <w:t>,</w:t>
            </w:r>
            <w:r w:rsidRPr="008E6041">
              <w:rPr>
                <w:b/>
                <w:bCs w:val="0"/>
                <w:lang w:eastAsia="en-NZ"/>
              </w:rPr>
              <w:t xml:space="preserve"> </w:t>
            </w:r>
            <w:r w:rsidRPr="008E6041">
              <w:rPr>
                <w:lang w:eastAsia="en-NZ"/>
              </w:rPr>
              <w:t>involving service users, whānau, communities, Māori service providers, Iwi-Māori Partnership Boards and stakeholders across the health and social sectors, including Whānau Ora.</w:t>
            </w:r>
          </w:p>
          <w:p w14:paraId="402C3037" w14:textId="7F04F67F" w:rsidR="009F6B0E" w:rsidRPr="008E6041" w:rsidRDefault="009F6B0E" w:rsidP="00212D9F">
            <w:pPr>
              <w:pStyle w:val="Tablebulletx"/>
              <w:spacing w:before="100" w:after="100"/>
              <w:rPr>
                <w:lang w:eastAsia="en-NZ"/>
              </w:rPr>
            </w:pPr>
            <w:r w:rsidRPr="008E6041">
              <w:rPr>
                <w:lang w:eastAsia="en-NZ"/>
              </w:rPr>
              <w:t>Uses insights to improve the overall system</w:t>
            </w:r>
            <w:r w:rsidR="00D66F52">
              <w:rPr>
                <w:lang w:eastAsia="en-NZ"/>
              </w:rPr>
              <w:t>,</w:t>
            </w:r>
            <w:r w:rsidR="00E73960">
              <w:rPr>
                <w:lang w:eastAsia="en-NZ"/>
              </w:rPr>
              <w:t xml:space="preserve"> including system design</w:t>
            </w:r>
            <w:r w:rsidRPr="008E6041">
              <w:rPr>
                <w:lang w:eastAsia="en-NZ"/>
              </w:rPr>
              <w:t>.</w:t>
            </w:r>
          </w:p>
        </w:tc>
      </w:tr>
    </w:tbl>
    <w:p w14:paraId="5CCBCDDF" w14:textId="77777777" w:rsidR="009F6B0E" w:rsidRDefault="009F6B0E" w:rsidP="009F6B0E"/>
    <w:p w14:paraId="7DC63874" w14:textId="77777777" w:rsidR="009F6B0E" w:rsidRDefault="009F6B0E" w:rsidP="009F6B0E">
      <w:pPr>
        <w:sectPr w:rsidR="009F6B0E" w:rsidSect="00C345BC">
          <w:pgSz w:w="11906" w:h="16838"/>
          <w:pgMar w:top="2778" w:right="1701" w:bottom="454" w:left="1701" w:header="567" w:footer="567" w:gutter="0"/>
          <w:cols w:space="708"/>
          <w:titlePg/>
          <w:docGrid w:linePitch="360"/>
        </w:sectPr>
      </w:pPr>
    </w:p>
    <w:p w14:paraId="52FBA16E" w14:textId="27CC5613" w:rsidR="009F6B0E" w:rsidRDefault="009F6B0E" w:rsidP="009F6B0E">
      <w:pPr>
        <w:pStyle w:val="Heading2-nonumbering"/>
      </w:pPr>
      <w:bookmarkStart w:id="31" w:name="_Toc124933834"/>
      <w:r>
        <w:lastRenderedPageBreak/>
        <w:t xml:space="preserve">What we </w:t>
      </w:r>
      <w:r w:rsidR="0003318D">
        <w:t xml:space="preserve">can </w:t>
      </w:r>
      <w:r>
        <w:t>do differently</w:t>
      </w:r>
      <w:bookmarkEnd w:id="31"/>
    </w:p>
    <w:p w14:paraId="1312AF5B" w14:textId="6C4E8E30" w:rsidR="009F6B0E" w:rsidRDefault="009F6B0E" w:rsidP="00376826">
      <w:pPr>
        <w:pStyle w:val="NormalwIndent"/>
      </w:pPr>
    </w:p>
    <w:p w14:paraId="1ED8A137" w14:textId="0E200198" w:rsidR="009F6B0E" w:rsidRDefault="009F6B0E" w:rsidP="009F6B0E">
      <w:pPr>
        <w:pStyle w:val="NormalIndent1"/>
      </w:pPr>
      <w:r>
        <w:t xml:space="preserve">Outcomes for Māori and other groups </w:t>
      </w:r>
      <w:r w:rsidR="00FE7501">
        <w:t>not well</w:t>
      </w:r>
      <w:r>
        <w:t xml:space="preserve"> served by the current system won’t </w:t>
      </w:r>
      <w:r w:rsidR="00082C29">
        <w:t xml:space="preserve">improve </w:t>
      </w:r>
      <w:r>
        <w:t xml:space="preserve">unless we change the way we build and </w:t>
      </w:r>
      <w:r w:rsidR="00082C29">
        <w:t xml:space="preserve">keep </w:t>
      </w:r>
      <w:r>
        <w:t>trust, think, plan</w:t>
      </w:r>
      <w:r w:rsidR="00EB0CF5">
        <w:t xml:space="preserve"> and</w:t>
      </w:r>
      <w:r>
        <w:t xml:space="preserve"> act</w:t>
      </w:r>
      <w:r w:rsidR="00EB0CF5">
        <w:t xml:space="preserve"> in relation to commissioning</w:t>
      </w:r>
      <w:r>
        <w:t>, fund</w:t>
      </w:r>
      <w:r w:rsidR="00EB0CF5">
        <w:t xml:space="preserve"> and</w:t>
      </w:r>
      <w:r>
        <w:t xml:space="preserve"> deliver </w:t>
      </w:r>
      <w:r w:rsidR="00EB0CF5">
        <w:t xml:space="preserve">services and other investments, </w:t>
      </w:r>
      <w:r>
        <w:t>and assess outcomes together when we are commissioning.</w:t>
      </w:r>
    </w:p>
    <w:p w14:paraId="35F574AC" w14:textId="4196BD8F" w:rsidR="009F6B0E" w:rsidRDefault="009F6B0E" w:rsidP="009F6B0E">
      <w:pPr>
        <w:pStyle w:val="NormalIndent1"/>
      </w:pPr>
    </w:p>
    <w:tbl>
      <w:tblPr>
        <w:tblStyle w:val="TableGrid"/>
        <w:tblW w:w="8293" w:type="dxa"/>
        <w:tblInd w:w="56"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504"/>
        <w:gridCol w:w="3332"/>
        <w:gridCol w:w="3457"/>
      </w:tblGrid>
      <w:tr w:rsidR="00212D9F" w:rsidRPr="003A6A50" w14:paraId="4EF86BDB" w14:textId="77777777" w:rsidTr="00E03E2E">
        <w:trPr>
          <w:trHeight w:val="237"/>
          <w:tblHeader/>
        </w:trPr>
        <w:tc>
          <w:tcPr>
            <w:tcW w:w="1504" w:type="dxa"/>
            <w:shd w:val="clear" w:color="auto" w:fill="F2F2F2" w:themeFill="background1" w:themeFillShade="F2"/>
            <w:vAlign w:val="center"/>
          </w:tcPr>
          <w:p w14:paraId="512970B6" w14:textId="77777777" w:rsidR="009F6B0E" w:rsidRPr="003A6A50" w:rsidRDefault="009F6B0E" w:rsidP="00212D9F">
            <w:pPr>
              <w:pStyle w:val="TableText"/>
              <w:spacing w:before="80" w:after="80"/>
              <w:rPr>
                <w:bCs/>
              </w:rPr>
            </w:pPr>
          </w:p>
        </w:tc>
        <w:tc>
          <w:tcPr>
            <w:tcW w:w="3332" w:type="dxa"/>
            <w:shd w:val="clear" w:color="auto" w:fill="F2F2F2" w:themeFill="background1" w:themeFillShade="F2"/>
          </w:tcPr>
          <w:p w14:paraId="3DD5E576" w14:textId="77777777" w:rsidR="009F6B0E" w:rsidRPr="009F6B0E" w:rsidRDefault="009F6B0E" w:rsidP="00212D9F">
            <w:pPr>
              <w:pStyle w:val="TableText"/>
              <w:spacing w:before="80" w:after="80"/>
              <w:rPr>
                <w:b/>
                <w:bCs/>
              </w:rPr>
            </w:pPr>
            <w:r w:rsidRPr="009F6B0E">
              <w:rPr>
                <w:b/>
                <w:bCs/>
              </w:rPr>
              <w:t>Conventional commissioning</w:t>
            </w:r>
          </w:p>
        </w:tc>
        <w:tc>
          <w:tcPr>
            <w:tcW w:w="3457" w:type="dxa"/>
            <w:shd w:val="clear" w:color="auto" w:fill="F2F2F2" w:themeFill="background1" w:themeFillShade="F2"/>
          </w:tcPr>
          <w:p w14:paraId="51D0B68F" w14:textId="073C3187" w:rsidR="009F6B0E" w:rsidRPr="009F6B0E" w:rsidRDefault="009F6B0E" w:rsidP="00212D9F">
            <w:pPr>
              <w:pStyle w:val="TableText"/>
              <w:spacing w:before="80" w:after="80"/>
              <w:rPr>
                <w:b/>
                <w:bCs/>
              </w:rPr>
            </w:pPr>
            <w:r w:rsidRPr="009F6B0E">
              <w:rPr>
                <w:b/>
                <w:bCs/>
              </w:rPr>
              <w:t>Whānau-</w:t>
            </w:r>
            <w:r w:rsidR="00A756DB">
              <w:rPr>
                <w:b/>
                <w:bCs/>
              </w:rPr>
              <w:t>led</w:t>
            </w:r>
            <w:r w:rsidRPr="009F6B0E">
              <w:rPr>
                <w:b/>
                <w:bCs/>
              </w:rPr>
              <w:t xml:space="preserve"> and Māori-led commissioning</w:t>
            </w:r>
          </w:p>
        </w:tc>
      </w:tr>
      <w:tr w:rsidR="009F6B0E" w:rsidRPr="003A6A50" w14:paraId="18F52E77" w14:textId="77777777" w:rsidTr="00E03E2E">
        <w:trPr>
          <w:trHeight w:val="1109"/>
        </w:trPr>
        <w:tc>
          <w:tcPr>
            <w:tcW w:w="1504" w:type="dxa"/>
            <w:shd w:val="clear" w:color="auto" w:fill="F2F2F2" w:themeFill="background1" w:themeFillShade="F2"/>
            <w:vAlign w:val="center"/>
          </w:tcPr>
          <w:p w14:paraId="2B4E9D95" w14:textId="77777777" w:rsidR="009F6B0E" w:rsidRPr="009F6B0E" w:rsidRDefault="009F6B0E" w:rsidP="00212D9F">
            <w:pPr>
              <w:pStyle w:val="TableText"/>
              <w:spacing w:before="80" w:after="80"/>
              <w:rPr>
                <w:b/>
                <w:bCs/>
              </w:rPr>
            </w:pPr>
            <w:r w:rsidRPr="009F6B0E">
              <w:rPr>
                <w:b/>
                <w:bCs/>
              </w:rPr>
              <w:t>People</w:t>
            </w:r>
          </w:p>
          <w:p w14:paraId="02001BA0" w14:textId="77777777" w:rsidR="009F6B0E" w:rsidRPr="009F6B0E" w:rsidRDefault="009F6B0E" w:rsidP="00212D9F">
            <w:pPr>
              <w:pStyle w:val="TableText"/>
              <w:spacing w:before="80" w:after="80"/>
              <w:rPr>
                <w:b/>
                <w:bCs/>
              </w:rPr>
            </w:pPr>
            <w:r w:rsidRPr="009F6B0E">
              <w:rPr>
                <w:b/>
                <w:bCs/>
              </w:rPr>
              <w:t>Whānau</w:t>
            </w:r>
          </w:p>
          <w:p w14:paraId="593068F8" w14:textId="77777777" w:rsidR="009F6B0E" w:rsidRPr="009F6B0E" w:rsidRDefault="009F6B0E" w:rsidP="00212D9F">
            <w:pPr>
              <w:pStyle w:val="TableText"/>
              <w:spacing w:before="80" w:after="80"/>
              <w:rPr>
                <w:rFonts w:asciiTheme="minorHAnsi" w:hAnsiTheme="minorHAnsi"/>
                <w:b/>
                <w:bCs/>
                <w:szCs w:val="22"/>
              </w:rPr>
            </w:pPr>
            <w:r w:rsidRPr="009F6B0E">
              <w:rPr>
                <w:b/>
                <w:bCs/>
              </w:rPr>
              <w:t>Communities</w:t>
            </w:r>
          </w:p>
        </w:tc>
        <w:tc>
          <w:tcPr>
            <w:tcW w:w="3332" w:type="dxa"/>
            <w:shd w:val="clear" w:color="auto" w:fill="FFFFFF" w:themeFill="background1"/>
          </w:tcPr>
          <w:p w14:paraId="3137D381" w14:textId="77777777" w:rsidR="009F6B0E" w:rsidRPr="003A6A50" w:rsidRDefault="009F6B0E" w:rsidP="00212D9F">
            <w:pPr>
              <w:pStyle w:val="Tablebulletx"/>
              <w:spacing w:before="80" w:after="80"/>
            </w:pPr>
            <w:r>
              <w:t>Creates b</w:t>
            </w:r>
            <w:r w:rsidRPr="003A6A50">
              <w:t xml:space="preserve">arriers to accessing health care </w:t>
            </w:r>
            <w:r>
              <w:t>because it does not understand</w:t>
            </w:r>
            <w:r w:rsidRPr="003A6A50">
              <w:t xml:space="preserve"> whānau needs, capability and context</w:t>
            </w:r>
            <w:r>
              <w:t>.</w:t>
            </w:r>
          </w:p>
          <w:p w14:paraId="45B9CB70" w14:textId="77777777" w:rsidR="009F6B0E" w:rsidRPr="003A6A50" w:rsidRDefault="009F6B0E" w:rsidP="00212D9F">
            <w:pPr>
              <w:pStyle w:val="Tablebulletx"/>
              <w:spacing w:before="80" w:after="80"/>
              <w:rPr>
                <w:b/>
                <w:bCs w:val="0"/>
                <w:sz w:val="21"/>
                <w:szCs w:val="21"/>
              </w:rPr>
            </w:pPr>
            <w:r>
              <w:t>Fosters</w:t>
            </w:r>
            <w:r w:rsidRPr="003A6A50" w:rsidDel="000E2496">
              <w:t xml:space="preserve"> </w:t>
            </w:r>
            <w:r w:rsidRPr="003A6A50">
              <w:t>a power imbalance as professionals decide what’s best for service users and whānau</w:t>
            </w:r>
            <w:r>
              <w:t>.</w:t>
            </w:r>
          </w:p>
        </w:tc>
        <w:tc>
          <w:tcPr>
            <w:tcW w:w="3457" w:type="dxa"/>
            <w:shd w:val="clear" w:color="auto" w:fill="FFFFFF" w:themeFill="background1"/>
          </w:tcPr>
          <w:p w14:paraId="03BE5DC9" w14:textId="77777777" w:rsidR="009F6B0E" w:rsidRPr="003A6A50" w:rsidRDefault="009F6B0E" w:rsidP="00212D9F">
            <w:pPr>
              <w:pStyle w:val="Tablebulletx"/>
              <w:spacing w:before="80" w:after="80"/>
            </w:pPr>
            <w:r>
              <w:t xml:space="preserve">Uses </w:t>
            </w:r>
            <w:r w:rsidRPr="003A6A50">
              <w:t>‘</w:t>
            </w:r>
            <w:r>
              <w:t>w</w:t>
            </w:r>
            <w:r w:rsidRPr="003A6A50">
              <w:t xml:space="preserve">hat matters to whānau’ </w:t>
            </w:r>
            <w:r>
              <w:t xml:space="preserve">to </w:t>
            </w:r>
            <w:r w:rsidRPr="003A6A50">
              <w:t>shape system and service design</w:t>
            </w:r>
            <w:r>
              <w:t>.</w:t>
            </w:r>
          </w:p>
          <w:p w14:paraId="3920902F" w14:textId="77777777" w:rsidR="009F6B0E" w:rsidRPr="003A6A50" w:rsidRDefault="009F6B0E" w:rsidP="00212D9F">
            <w:pPr>
              <w:pStyle w:val="Tablebulletx"/>
              <w:spacing w:before="80" w:after="80"/>
            </w:pPr>
            <w:r>
              <w:t>Sees w</w:t>
            </w:r>
            <w:r w:rsidRPr="003A6A50">
              <w:t>hānau as having strengths, social capital and capability</w:t>
            </w:r>
            <w:r>
              <w:t>.</w:t>
            </w:r>
          </w:p>
          <w:p w14:paraId="31481C57" w14:textId="6894CBBB" w:rsidR="009F6B0E" w:rsidRPr="00212D9F" w:rsidRDefault="009F6B0E" w:rsidP="00212D9F">
            <w:pPr>
              <w:pStyle w:val="Tablebulletx"/>
              <w:spacing w:before="80" w:after="80"/>
            </w:pPr>
            <w:r>
              <w:t>Enables w</w:t>
            </w:r>
            <w:r w:rsidRPr="003A6A50">
              <w:t>h</w:t>
            </w:r>
            <w:r>
              <w:t>ā</w:t>
            </w:r>
            <w:r w:rsidRPr="003A6A50">
              <w:t>n</w:t>
            </w:r>
            <w:r>
              <w:t>a</w:t>
            </w:r>
            <w:r w:rsidRPr="003A6A50">
              <w:t xml:space="preserve">u to exercise choice and </w:t>
            </w:r>
            <w:r>
              <w:t xml:space="preserve">make </w:t>
            </w:r>
            <w:r w:rsidRPr="003A6A50">
              <w:t>decision</w:t>
            </w:r>
            <w:r>
              <w:t>s</w:t>
            </w:r>
            <w:r w:rsidRPr="003A6A50">
              <w:t xml:space="preserve"> for their own health and wellbeing</w:t>
            </w:r>
            <w:r w:rsidRPr="00212D9F">
              <w:t>.</w:t>
            </w:r>
            <w:r w:rsidR="004D7920">
              <w:rPr>
                <w:rFonts w:ascii="ZWAdobeF" w:hAnsi="ZWAdobeF" w:cs="ZWAdobeF"/>
                <w:color w:val="auto"/>
                <w:spacing w:val="0"/>
                <w:sz w:val="2"/>
                <w:szCs w:val="2"/>
              </w:rPr>
              <w:t>20F</w:t>
            </w:r>
            <w:r w:rsidRPr="00212D9F">
              <w:rPr>
                <w:rStyle w:val="FootnoteReference"/>
                <w:rFonts w:asciiTheme="minorHAnsi" w:hAnsiTheme="minorHAnsi" w:cstheme="minorHAnsi"/>
                <w:kern w:val="24"/>
                <w:sz w:val="18"/>
              </w:rPr>
              <w:footnoteReference w:id="22"/>
            </w:r>
          </w:p>
          <w:p w14:paraId="3673F119" w14:textId="33DC2E1E" w:rsidR="009F6B0E" w:rsidRPr="003A6A50" w:rsidRDefault="009F6B0E" w:rsidP="00212D9F">
            <w:pPr>
              <w:pStyle w:val="Tablebulletx"/>
              <w:spacing w:before="80" w:after="80"/>
            </w:pPr>
            <w:r w:rsidRPr="003A6A50">
              <w:t>Over time</w:t>
            </w:r>
            <w:r>
              <w:t>, shifts</w:t>
            </w:r>
            <w:r w:rsidRPr="003A6A50">
              <w:t xml:space="preserve"> more decision-making authority and resources to whānau and communities so they can improve their own health and wellbeing</w:t>
            </w:r>
            <w:r w:rsidR="00AA4307" w:rsidRPr="00212D9F">
              <w:t xml:space="preserve"> </w:t>
            </w:r>
            <w:r w:rsidR="00AA4307">
              <w:t>(</w:t>
            </w:r>
            <w:r w:rsidR="00AA4307" w:rsidRPr="00212D9F">
              <w:t>O</w:t>
            </w:r>
            <w:r w:rsidR="004E0FA1">
              <w:t>rganisation for Economic Co-operation and Development</w:t>
            </w:r>
            <w:r w:rsidR="00AA4307" w:rsidRPr="00212D9F">
              <w:t xml:space="preserve"> 2017</w:t>
            </w:r>
            <w:r w:rsidR="00AA4307">
              <w:t>;</w:t>
            </w:r>
            <w:r w:rsidR="00AA4307" w:rsidRPr="00212D9F">
              <w:t xml:space="preserve"> Williams et al 2012)</w:t>
            </w:r>
            <w:r>
              <w:t>.</w:t>
            </w:r>
            <w:r>
              <w:rPr>
                <w:rStyle w:val="FootnoteReference"/>
                <w:rFonts w:asciiTheme="minorHAnsi" w:hAnsiTheme="minorHAnsi" w:cstheme="minorHAnsi"/>
                <w:szCs w:val="22"/>
              </w:rPr>
              <w:t xml:space="preserve"> </w:t>
            </w:r>
          </w:p>
        </w:tc>
      </w:tr>
      <w:tr w:rsidR="009F6B0E" w:rsidRPr="003A6A50" w14:paraId="57EC70AE" w14:textId="77777777" w:rsidTr="00E03E2E">
        <w:trPr>
          <w:trHeight w:val="679"/>
        </w:trPr>
        <w:tc>
          <w:tcPr>
            <w:tcW w:w="1504" w:type="dxa"/>
            <w:shd w:val="clear" w:color="auto" w:fill="F2F2F2" w:themeFill="background1" w:themeFillShade="F2"/>
            <w:vAlign w:val="center"/>
          </w:tcPr>
          <w:p w14:paraId="110451AB" w14:textId="77777777" w:rsidR="009F6B0E" w:rsidRPr="009F6B0E" w:rsidRDefault="009F6B0E" w:rsidP="00212D9F">
            <w:pPr>
              <w:pStyle w:val="TableText"/>
              <w:spacing w:before="80" w:after="80"/>
              <w:rPr>
                <w:rFonts w:asciiTheme="minorHAnsi" w:hAnsiTheme="minorHAnsi"/>
                <w:b/>
                <w:bCs/>
                <w:szCs w:val="22"/>
              </w:rPr>
            </w:pPr>
            <w:r w:rsidRPr="009F6B0E">
              <w:rPr>
                <w:b/>
                <w:bCs/>
              </w:rPr>
              <w:t>Delivery</w:t>
            </w:r>
          </w:p>
        </w:tc>
        <w:tc>
          <w:tcPr>
            <w:tcW w:w="3332" w:type="dxa"/>
            <w:shd w:val="clear" w:color="auto" w:fill="FFFFFF" w:themeFill="background1"/>
          </w:tcPr>
          <w:p w14:paraId="22171054" w14:textId="77777777" w:rsidR="009F6B0E" w:rsidRPr="003A6A50" w:rsidRDefault="009F6B0E" w:rsidP="00212D9F">
            <w:pPr>
              <w:pStyle w:val="Tablebulletx"/>
              <w:spacing w:before="80" w:after="80"/>
            </w:pPr>
            <w:r>
              <w:t>Is more likely to f</w:t>
            </w:r>
            <w:r w:rsidRPr="003A6A50">
              <w:t>und</w:t>
            </w:r>
            <w:r>
              <w:t xml:space="preserve"> </w:t>
            </w:r>
            <w:r w:rsidRPr="003A6A50">
              <w:t xml:space="preserve">services </w:t>
            </w:r>
            <w:r>
              <w:t>that take</w:t>
            </w:r>
            <w:r w:rsidRPr="003A6A50">
              <w:t xml:space="preserve"> a western biomedical approach</w:t>
            </w:r>
            <w:r>
              <w:t>.</w:t>
            </w:r>
            <w:r w:rsidRPr="003A6A50">
              <w:t xml:space="preserve"> </w:t>
            </w:r>
          </w:p>
          <w:p w14:paraId="69DA2095" w14:textId="77777777" w:rsidR="009F6B0E" w:rsidRPr="003A6A50" w:rsidRDefault="009F6B0E" w:rsidP="00212D9F">
            <w:pPr>
              <w:pStyle w:val="Tablebulletx"/>
              <w:spacing w:before="80" w:after="80"/>
            </w:pPr>
            <w:r>
              <w:t>Restricts i</w:t>
            </w:r>
            <w:r w:rsidRPr="003A6A50">
              <w:t>nnovation as funding comes with highly specified deliverables</w:t>
            </w:r>
            <w:r>
              <w:t>.</w:t>
            </w:r>
          </w:p>
          <w:p w14:paraId="7020EB90" w14:textId="77777777" w:rsidR="009F6B0E" w:rsidRPr="003A6A50" w:rsidRDefault="009F6B0E" w:rsidP="00212D9F">
            <w:pPr>
              <w:pStyle w:val="Tablebulletx"/>
              <w:spacing w:before="80" w:after="80"/>
            </w:pPr>
            <w:r>
              <w:t>Provides f</w:t>
            </w:r>
            <w:r w:rsidRPr="003A6A50">
              <w:t xml:space="preserve">unding </w:t>
            </w:r>
            <w:r>
              <w:t xml:space="preserve">at </w:t>
            </w:r>
            <w:r w:rsidRPr="003A6A50">
              <w:t xml:space="preserve">levels </w:t>
            </w:r>
            <w:r>
              <w:t xml:space="preserve">that </w:t>
            </w:r>
            <w:r w:rsidRPr="003A6A50">
              <w:t xml:space="preserve">are often below </w:t>
            </w:r>
            <w:r>
              <w:t xml:space="preserve">the </w:t>
            </w:r>
            <w:r w:rsidRPr="003A6A50">
              <w:t>cost of delivery</w:t>
            </w:r>
            <w:r>
              <w:t>.</w:t>
            </w:r>
          </w:p>
          <w:p w14:paraId="39F9E1AF" w14:textId="77777777" w:rsidR="009F6B0E" w:rsidRPr="003A6A50" w:rsidRDefault="009F6B0E" w:rsidP="00212D9F">
            <w:pPr>
              <w:pStyle w:val="Tablebulletx"/>
              <w:spacing w:before="80" w:after="80"/>
              <w:rPr>
                <w:sz w:val="21"/>
                <w:szCs w:val="21"/>
              </w:rPr>
            </w:pPr>
            <w:r>
              <w:t>Creates insecurity for services, which need m</w:t>
            </w:r>
            <w:r w:rsidRPr="003A6A50">
              <w:t>ultiple contracts to stay afloat.</w:t>
            </w:r>
          </w:p>
        </w:tc>
        <w:tc>
          <w:tcPr>
            <w:tcW w:w="3457" w:type="dxa"/>
            <w:shd w:val="clear" w:color="auto" w:fill="FFFFFF" w:themeFill="background1"/>
          </w:tcPr>
          <w:p w14:paraId="4253BF7B" w14:textId="77777777" w:rsidR="009F6B0E" w:rsidRPr="003A6A50" w:rsidRDefault="009F6B0E" w:rsidP="00212D9F">
            <w:pPr>
              <w:pStyle w:val="Tablebulletx"/>
              <w:spacing w:before="80" w:after="80"/>
            </w:pPr>
            <w:r>
              <w:t>Leads to integrated s</w:t>
            </w:r>
            <w:r w:rsidRPr="003A6A50">
              <w:t xml:space="preserve">ervices and multidisciplinary teams </w:t>
            </w:r>
            <w:r>
              <w:t xml:space="preserve">that </w:t>
            </w:r>
            <w:r w:rsidRPr="003A6A50">
              <w:t>take a holistic approach, ‘working with’ people and their whānau.</w:t>
            </w:r>
          </w:p>
          <w:p w14:paraId="21E5A169" w14:textId="3808FF8C" w:rsidR="009F6B0E" w:rsidRPr="003A6A50" w:rsidRDefault="008D60B2" w:rsidP="00212D9F">
            <w:pPr>
              <w:pStyle w:val="Tablebulletx"/>
              <w:spacing w:before="80" w:after="80"/>
            </w:pPr>
            <w:r>
              <w:t>Is a way of</w:t>
            </w:r>
            <w:r w:rsidR="00E9250A">
              <w:t xml:space="preserve"> addressing</w:t>
            </w:r>
            <w:r>
              <w:t xml:space="preserve"> </w:t>
            </w:r>
            <w:r w:rsidR="009F6B0E">
              <w:t>r</w:t>
            </w:r>
            <w:r w:rsidR="009F6B0E" w:rsidRPr="003A6A50">
              <w:t xml:space="preserve">oot causes with a focus on determinants of wellbeing and </w:t>
            </w:r>
            <w:r w:rsidR="00E9250A">
              <w:t xml:space="preserve">building </w:t>
            </w:r>
            <w:r w:rsidR="009F6B0E" w:rsidRPr="003A6A50">
              <w:t>strengths.</w:t>
            </w:r>
          </w:p>
          <w:p w14:paraId="72A24FD8" w14:textId="77777777" w:rsidR="009F6B0E" w:rsidRPr="003A6A50" w:rsidRDefault="009F6B0E" w:rsidP="00212D9F">
            <w:pPr>
              <w:pStyle w:val="Tablebulletx"/>
              <w:spacing w:before="80" w:after="80"/>
            </w:pPr>
            <w:r>
              <w:t>Enables i</w:t>
            </w:r>
            <w:r w:rsidRPr="003A6A50">
              <w:t xml:space="preserve">nnovation as contracts support development of new approaches using co-design. </w:t>
            </w:r>
          </w:p>
          <w:p w14:paraId="57DDF9D8" w14:textId="77777777" w:rsidR="009F6B0E" w:rsidRPr="003A6A50" w:rsidRDefault="009F6B0E" w:rsidP="00212D9F">
            <w:pPr>
              <w:pStyle w:val="Tablebulletx"/>
              <w:spacing w:before="80" w:after="80"/>
            </w:pPr>
            <w:r>
              <w:t>Provides f</w:t>
            </w:r>
            <w:r w:rsidRPr="003A6A50">
              <w:t xml:space="preserve">unding </w:t>
            </w:r>
            <w:r>
              <w:t xml:space="preserve">at </w:t>
            </w:r>
            <w:r w:rsidRPr="003A6A50">
              <w:t xml:space="preserve">levels </w:t>
            </w:r>
            <w:r>
              <w:t xml:space="preserve">that </w:t>
            </w:r>
            <w:r w:rsidRPr="003A6A50">
              <w:t xml:space="preserve">cover the cost of delivery and </w:t>
            </w:r>
            <w:r>
              <w:t xml:space="preserve">are </w:t>
            </w:r>
            <w:r w:rsidRPr="003A6A50">
              <w:t>sustainable.</w:t>
            </w:r>
          </w:p>
          <w:p w14:paraId="79C6B9E4" w14:textId="77777777" w:rsidR="009F6B0E" w:rsidRPr="003A6A50" w:rsidRDefault="009F6B0E" w:rsidP="00212D9F">
            <w:pPr>
              <w:pStyle w:val="Tablebulletx"/>
              <w:spacing w:before="80" w:after="80"/>
              <w:rPr>
                <w:sz w:val="21"/>
                <w:szCs w:val="21"/>
              </w:rPr>
            </w:pPr>
            <w:r>
              <w:t>Pools or integrates f</w:t>
            </w:r>
            <w:r w:rsidRPr="003A6A50">
              <w:t xml:space="preserve">unding and/or </w:t>
            </w:r>
            <w:r>
              <w:t xml:space="preserve">reduces </w:t>
            </w:r>
            <w:r w:rsidRPr="003A6A50">
              <w:t>reporting compliance costs</w:t>
            </w:r>
            <w:r>
              <w:t>.</w:t>
            </w:r>
          </w:p>
          <w:p w14:paraId="57D66BA5" w14:textId="52C32F2E" w:rsidR="009F6B0E" w:rsidRPr="003A6A50" w:rsidRDefault="009F6B0E" w:rsidP="00212D9F">
            <w:pPr>
              <w:pStyle w:val="Tablebulletx"/>
              <w:spacing w:before="80" w:after="80"/>
            </w:pPr>
            <w:r w:rsidRPr="003A6A50">
              <w:t>Understand</w:t>
            </w:r>
            <w:r>
              <w:t>s</w:t>
            </w:r>
            <w:r w:rsidRPr="003A6A50">
              <w:t xml:space="preserve"> and support</w:t>
            </w:r>
            <w:r>
              <w:t>s</w:t>
            </w:r>
            <w:r w:rsidRPr="003A6A50">
              <w:t xml:space="preserve"> changes to service types and delivery mechanisms (including where whānau may choose other options)</w:t>
            </w:r>
            <w:r>
              <w:t>.</w:t>
            </w:r>
          </w:p>
        </w:tc>
      </w:tr>
      <w:tr w:rsidR="009F6B0E" w:rsidRPr="003A6A50" w14:paraId="4020AA0D" w14:textId="77777777" w:rsidTr="00E03E2E">
        <w:tc>
          <w:tcPr>
            <w:tcW w:w="1504" w:type="dxa"/>
            <w:shd w:val="clear" w:color="auto" w:fill="F2F2F2" w:themeFill="background1" w:themeFillShade="F2"/>
            <w:vAlign w:val="center"/>
          </w:tcPr>
          <w:p w14:paraId="24ABB7F4" w14:textId="77777777" w:rsidR="009F6B0E" w:rsidRPr="009F6B0E" w:rsidRDefault="009F6B0E" w:rsidP="0073350E">
            <w:pPr>
              <w:pStyle w:val="TableText"/>
              <w:keepNext/>
              <w:spacing w:before="80" w:after="80"/>
              <w:rPr>
                <w:rFonts w:asciiTheme="minorHAnsi" w:hAnsiTheme="minorHAnsi"/>
                <w:b/>
                <w:bCs/>
                <w:szCs w:val="22"/>
              </w:rPr>
            </w:pPr>
            <w:r w:rsidRPr="009F6B0E">
              <w:rPr>
                <w:b/>
                <w:bCs/>
              </w:rPr>
              <w:lastRenderedPageBreak/>
              <w:t>Commissioners</w:t>
            </w:r>
          </w:p>
        </w:tc>
        <w:tc>
          <w:tcPr>
            <w:tcW w:w="3332" w:type="dxa"/>
            <w:shd w:val="clear" w:color="auto" w:fill="FFFFFF" w:themeFill="background1"/>
          </w:tcPr>
          <w:p w14:paraId="6ABCBEF7" w14:textId="4C407527" w:rsidR="009F6B0E" w:rsidRPr="003A6A50" w:rsidRDefault="009F6B0E" w:rsidP="0073350E">
            <w:pPr>
              <w:pStyle w:val="Tablebulletx"/>
              <w:keepNext/>
              <w:spacing w:before="80" w:after="80"/>
            </w:pPr>
            <w:r>
              <w:t>Uses c</w:t>
            </w:r>
            <w:r w:rsidRPr="003A6A50">
              <w:t xml:space="preserve">ontracts and performance measures </w:t>
            </w:r>
            <w:r>
              <w:t xml:space="preserve">that </w:t>
            </w:r>
            <w:r w:rsidRPr="003A6A50">
              <w:t xml:space="preserve">focus on outputs and </w:t>
            </w:r>
            <w:r w:rsidR="00D13B8C">
              <w:t>maintain</w:t>
            </w:r>
            <w:r w:rsidR="00D13B8C" w:rsidRPr="003A6A50" w:rsidDel="00D13B8C">
              <w:t xml:space="preserve"> </w:t>
            </w:r>
            <w:r w:rsidRPr="003A6A50">
              <w:t xml:space="preserve">a </w:t>
            </w:r>
            <w:r>
              <w:t>‘</w:t>
            </w:r>
            <w:r w:rsidRPr="003A6A50">
              <w:t>disease and deficit</w:t>
            </w:r>
            <w:r>
              <w:t>’</w:t>
            </w:r>
            <w:r w:rsidRPr="003A6A50">
              <w:t xml:space="preserve"> approach</w:t>
            </w:r>
            <w:r>
              <w:t>.</w:t>
            </w:r>
          </w:p>
          <w:p w14:paraId="65F6F3D4" w14:textId="77777777" w:rsidR="009F6B0E" w:rsidRPr="003A6A50" w:rsidRDefault="009F6B0E" w:rsidP="0073350E">
            <w:pPr>
              <w:pStyle w:val="Tablebulletx"/>
              <w:keepNext/>
              <w:spacing w:before="80" w:after="80"/>
            </w:pPr>
            <w:r>
              <w:t>Has a difficult</w:t>
            </w:r>
            <w:r w:rsidRPr="003A6A50">
              <w:t xml:space="preserve"> process to apply for funding and </w:t>
            </w:r>
            <w:r>
              <w:t xml:space="preserve">rigid </w:t>
            </w:r>
            <w:r w:rsidRPr="003A6A50">
              <w:t xml:space="preserve">reporting </w:t>
            </w:r>
            <w:r>
              <w:t>requirements.</w:t>
            </w:r>
          </w:p>
          <w:p w14:paraId="4DF4EDA6" w14:textId="5FDB2418" w:rsidR="009F6B0E" w:rsidRPr="003A6A50" w:rsidRDefault="009F6B0E" w:rsidP="0073350E">
            <w:pPr>
              <w:pStyle w:val="Tablebulletx"/>
              <w:keepNext/>
              <w:spacing w:before="80" w:after="80"/>
            </w:pPr>
            <w:r>
              <w:t>Sets c</w:t>
            </w:r>
            <w:r w:rsidRPr="003A6A50">
              <w:t xml:space="preserve">ontracting practices </w:t>
            </w:r>
            <w:r>
              <w:t xml:space="preserve">that </w:t>
            </w:r>
            <w:r w:rsidRPr="003A6A50">
              <w:t>narrow what is possible within existing rules.</w:t>
            </w:r>
          </w:p>
          <w:p w14:paraId="484DC6C8" w14:textId="77777777" w:rsidR="009F6B0E" w:rsidRPr="003A6A50" w:rsidRDefault="009F6B0E" w:rsidP="0073350E">
            <w:pPr>
              <w:pStyle w:val="Tablebulletx"/>
              <w:keepNext/>
              <w:spacing w:before="80" w:after="80"/>
              <w:rPr>
                <w:sz w:val="21"/>
                <w:szCs w:val="21"/>
              </w:rPr>
            </w:pPr>
            <w:r w:rsidRPr="003A6A50">
              <w:t>Focus</w:t>
            </w:r>
            <w:r>
              <w:t>es</w:t>
            </w:r>
            <w:r w:rsidRPr="003A6A50">
              <w:t xml:space="preserve"> on unit cost and short-term efficiencies</w:t>
            </w:r>
            <w:r>
              <w:t>.</w:t>
            </w:r>
          </w:p>
        </w:tc>
        <w:tc>
          <w:tcPr>
            <w:tcW w:w="3457" w:type="dxa"/>
            <w:shd w:val="clear" w:color="auto" w:fill="FFFFFF" w:themeFill="background1"/>
          </w:tcPr>
          <w:p w14:paraId="6ACFB973" w14:textId="77777777" w:rsidR="009F6B0E" w:rsidRPr="003A6A50" w:rsidRDefault="009F6B0E" w:rsidP="0073350E">
            <w:pPr>
              <w:pStyle w:val="Tablebulletx"/>
              <w:keepNext/>
              <w:spacing w:before="80" w:after="80"/>
            </w:pPr>
            <w:r w:rsidRPr="003A6A50">
              <w:t>Focus</w:t>
            </w:r>
            <w:r>
              <w:t>es</w:t>
            </w:r>
            <w:r w:rsidRPr="003A6A50">
              <w:t xml:space="preserve"> on outcomes, with evidence-based theories of change on what is needed, including funding, time and other resources.</w:t>
            </w:r>
          </w:p>
          <w:p w14:paraId="3E0A65F7" w14:textId="03DE4302" w:rsidR="009F6B0E" w:rsidRPr="003A6A50" w:rsidRDefault="009F6B0E" w:rsidP="0073350E">
            <w:pPr>
              <w:pStyle w:val="Tablebulletx"/>
              <w:keepNext/>
              <w:spacing w:before="80" w:after="80"/>
            </w:pPr>
            <w:r>
              <w:t>Uses c</w:t>
            </w:r>
            <w:r w:rsidRPr="003A6A50">
              <w:t xml:space="preserve">ontracts and performance measures </w:t>
            </w:r>
            <w:r w:rsidR="005437A5">
              <w:t>that value</w:t>
            </w:r>
            <w:r>
              <w:t xml:space="preserve"> </w:t>
            </w:r>
            <w:r w:rsidRPr="003A6A50">
              <w:t xml:space="preserve">contributions </w:t>
            </w:r>
            <w:r w:rsidR="00D13B8C">
              <w:t xml:space="preserve">that </w:t>
            </w:r>
            <w:r>
              <w:t xml:space="preserve">services make </w:t>
            </w:r>
            <w:r w:rsidRPr="003A6A50">
              <w:t xml:space="preserve">to the ‘journey’ and </w:t>
            </w:r>
            <w:r w:rsidR="00932D5C">
              <w:t xml:space="preserve">achieving </w:t>
            </w:r>
            <w:r w:rsidRPr="003A6A50">
              <w:t>broader, more sustainable outcomes</w:t>
            </w:r>
            <w:r>
              <w:t>.</w:t>
            </w:r>
          </w:p>
          <w:p w14:paraId="2FF691DE" w14:textId="7257BBB8" w:rsidR="009F6B0E" w:rsidRPr="003A6A50" w:rsidRDefault="009F6B0E" w:rsidP="0073350E">
            <w:pPr>
              <w:pStyle w:val="Tablebulletx"/>
              <w:keepNext/>
              <w:spacing w:before="80" w:after="80"/>
            </w:pPr>
            <w:r>
              <w:t>Streamlines f</w:t>
            </w:r>
            <w:r w:rsidRPr="003A6A50">
              <w:t>unding applications and</w:t>
            </w:r>
            <w:r>
              <w:t xml:space="preserve"> has a process for approving</w:t>
            </w:r>
            <w:r w:rsidRPr="003A6A50">
              <w:rPr>
                <w:rStyle w:val="CommentReference"/>
                <w:rFonts w:eastAsiaTheme="majorEastAsia"/>
                <w:sz w:val="20"/>
                <w:szCs w:val="20"/>
              </w:rPr>
              <w:t xml:space="preserve"> </w:t>
            </w:r>
            <w:r w:rsidRPr="00A47764">
              <w:t>short-term</w:t>
            </w:r>
            <w:r w:rsidR="00E9250A">
              <w:t>,</w:t>
            </w:r>
            <w:r w:rsidRPr="00A47764">
              <w:t xml:space="preserve"> one-off investments to support innovation using a ‘lighter’ business case, aligned to the level of risks identified.</w:t>
            </w:r>
          </w:p>
          <w:p w14:paraId="2146C306" w14:textId="7E5FEE02" w:rsidR="009F6B0E" w:rsidRPr="003A6A50" w:rsidRDefault="009F6B0E" w:rsidP="0073350E">
            <w:pPr>
              <w:pStyle w:val="Tablebulletx"/>
              <w:keepNext/>
              <w:spacing w:before="80" w:after="80"/>
            </w:pPr>
            <w:r>
              <w:t>Develops r</w:t>
            </w:r>
            <w:r w:rsidRPr="003A6A50">
              <w:t xml:space="preserve">eporting with providers </w:t>
            </w:r>
            <w:r>
              <w:t xml:space="preserve">so </w:t>
            </w:r>
            <w:r w:rsidRPr="003A6A50">
              <w:t xml:space="preserve">measures </w:t>
            </w:r>
            <w:r w:rsidR="004C62A5">
              <w:t xml:space="preserve">can </w:t>
            </w:r>
            <w:r w:rsidRPr="003A6A50">
              <w:t>contribute to continuous improvement.</w:t>
            </w:r>
          </w:p>
          <w:p w14:paraId="32B47AB2" w14:textId="77777777" w:rsidR="009F6B0E" w:rsidRPr="003A6A50" w:rsidRDefault="009F6B0E" w:rsidP="0073350E">
            <w:pPr>
              <w:pStyle w:val="Tablebulletx"/>
              <w:keepNext/>
              <w:spacing w:before="80" w:after="80"/>
            </w:pPr>
            <w:r>
              <w:t>Encourages i</w:t>
            </w:r>
            <w:r w:rsidRPr="003A6A50">
              <w:t>nnovation within existing rules</w:t>
            </w:r>
            <w:r>
              <w:t>.</w:t>
            </w:r>
          </w:p>
          <w:p w14:paraId="50D3DD5F" w14:textId="165A4DA7" w:rsidR="009F6B0E" w:rsidRPr="003A6A50" w:rsidRDefault="009F6B0E" w:rsidP="0073350E">
            <w:pPr>
              <w:pStyle w:val="Tablebulletx"/>
              <w:keepNext/>
              <w:spacing w:before="80" w:after="80"/>
              <w:rPr>
                <w:sz w:val="21"/>
                <w:szCs w:val="21"/>
                <w:lang w:eastAsia="en-NZ"/>
              </w:rPr>
            </w:pPr>
            <w:r w:rsidRPr="003A6A50">
              <w:t>Thinks about costs across the system, focus</w:t>
            </w:r>
            <w:r w:rsidR="00B9357C">
              <w:t>ing</w:t>
            </w:r>
            <w:r w:rsidRPr="003A6A50">
              <w:t xml:space="preserve"> on prevention and long-term public value</w:t>
            </w:r>
            <w:r>
              <w:t>.</w:t>
            </w:r>
          </w:p>
          <w:p w14:paraId="6AE07620" w14:textId="62BE1D7B" w:rsidR="009F6B0E" w:rsidRPr="003A6A50" w:rsidRDefault="009F6B0E" w:rsidP="0073350E">
            <w:pPr>
              <w:pStyle w:val="Tablebulletx"/>
              <w:keepNext/>
              <w:spacing w:before="80" w:after="80"/>
              <w:rPr>
                <w:lang w:eastAsia="en-NZ"/>
              </w:rPr>
            </w:pPr>
            <w:r w:rsidRPr="003A6A50">
              <w:t>Invest</w:t>
            </w:r>
            <w:r w:rsidR="00E976E4">
              <w:t>s</w:t>
            </w:r>
            <w:r w:rsidRPr="003A6A50">
              <w:t xml:space="preserve"> in community leadership capacity and capability, to support </w:t>
            </w:r>
            <w:r w:rsidR="00207317" w:rsidRPr="003A6A50">
              <w:t>whānau and communities</w:t>
            </w:r>
            <w:r w:rsidR="000569DC">
              <w:t xml:space="preserve"> to </w:t>
            </w:r>
            <w:r w:rsidRPr="003A6A50">
              <w:t xml:space="preserve">lead </w:t>
            </w:r>
            <w:r w:rsidR="00207317">
              <w:t xml:space="preserve">and </w:t>
            </w:r>
            <w:r w:rsidR="000569DC">
              <w:t xml:space="preserve">have </w:t>
            </w:r>
            <w:r w:rsidRPr="003A6A50">
              <w:t>decision-making authority and resources</w:t>
            </w:r>
            <w:r>
              <w:t>.</w:t>
            </w:r>
          </w:p>
        </w:tc>
      </w:tr>
      <w:tr w:rsidR="009F6B0E" w:rsidRPr="003A6A50" w14:paraId="3A1B591C" w14:textId="77777777" w:rsidTr="00E03E2E">
        <w:trPr>
          <w:trHeight w:val="679"/>
        </w:trPr>
        <w:tc>
          <w:tcPr>
            <w:tcW w:w="1504" w:type="dxa"/>
            <w:shd w:val="clear" w:color="auto" w:fill="F2F2F2" w:themeFill="background1" w:themeFillShade="F2"/>
            <w:vAlign w:val="center"/>
          </w:tcPr>
          <w:p w14:paraId="40289B73" w14:textId="77777777" w:rsidR="009F6B0E" w:rsidRPr="00212D9F" w:rsidRDefault="009F6B0E" w:rsidP="00212D9F">
            <w:pPr>
              <w:pStyle w:val="TableText"/>
              <w:rPr>
                <w:rFonts w:asciiTheme="minorHAnsi" w:hAnsiTheme="minorHAnsi"/>
                <w:b/>
                <w:bCs/>
                <w:szCs w:val="22"/>
              </w:rPr>
            </w:pPr>
            <w:r w:rsidRPr="00212D9F">
              <w:rPr>
                <w:b/>
                <w:bCs/>
              </w:rPr>
              <w:t>System conditions</w:t>
            </w:r>
          </w:p>
        </w:tc>
        <w:tc>
          <w:tcPr>
            <w:tcW w:w="3332" w:type="dxa"/>
            <w:shd w:val="clear" w:color="auto" w:fill="FFFFFF" w:themeFill="background1"/>
          </w:tcPr>
          <w:p w14:paraId="70E065BD" w14:textId="77777777" w:rsidR="009F6B0E" w:rsidRPr="003A6A50" w:rsidRDefault="009F6B0E" w:rsidP="00212D9F">
            <w:pPr>
              <w:pStyle w:val="Tablebulletx"/>
              <w:spacing w:before="80" w:after="80"/>
            </w:pPr>
            <w:r>
              <w:t>Privileges w</w:t>
            </w:r>
            <w:r w:rsidRPr="003A6A50">
              <w:t>estern biomedical models and clinical perspectives</w:t>
            </w:r>
            <w:r>
              <w:t>.</w:t>
            </w:r>
            <w:r w:rsidRPr="003A6A50">
              <w:t xml:space="preserve"> </w:t>
            </w:r>
          </w:p>
          <w:p w14:paraId="6BABF121" w14:textId="77777777" w:rsidR="009F6B0E" w:rsidRPr="003A6A50" w:rsidRDefault="009F6B0E" w:rsidP="00212D9F">
            <w:pPr>
              <w:pStyle w:val="Tablebulletx"/>
              <w:spacing w:before="80" w:after="80"/>
            </w:pPr>
            <w:r>
              <w:t>Sees p</w:t>
            </w:r>
            <w:r w:rsidRPr="003A6A50">
              <w:t>rofessionals a</w:t>
            </w:r>
            <w:r>
              <w:t>s</w:t>
            </w:r>
            <w:r w:rsidRPr="003A6A50">
              <w:t xml:space="preserve"> experts, </w:t>
            </w:r>
            <w:r>
              <w:t>who</w:t>
            </w:r>
            <w:r w:rsidRPr="003A6A50">
              <w:t xml:space="preserve"> ‘do </w:t>
            </w:r>
            <w:r>
              <w:t xml:space="preserve">services </w:t>
            </w:r>
            <w:r w:rsidRPr="003A6A50">
              <w:t>to’ service users and whānau</w:t>
            </w:r>
            <w:r>
              <w:t>.</w:t>
            </w:r>
          </w:p>
          <w:p w14:paraId="60E035AC" w14:textId="327DD69E" w:rsidR="009F6B0E" w:rsidRPr="003A6A50" w:rsidRDefault="00FE769E" w:rsidP="00212D9F">
            <w:pPr>
              <w:pStyle w:val="Tablebulletx"/>
              <w:spacing w:before="80" w:after="80"/>
            </w:pPr>
            <w:r>
              <w:t>Structural</w:t>
            </w:r>
            <w:r w:rsidR="009F6B0E" w:rsidRPr="003A6A50">
              <w:t xml:space="preserve"> and systemic racism</w:t>
            </w:r>
            <w:r>
              <w:t xml:space="preserve"> </w:t>
            </w:r>
            <w:r w:rsidR="009F6B0E" w:rsidRPr="003A6A50">
              <w:t>influence</w:t>
            </w:r>
            <w:r w:rsidR="00E71480">
              <w:t>s</w:t>
            </w:r>
            <w:r w:rsidR="009F6B0E" w:rsidRPr="003A6A50">
              <w:t xml:space="preserve"> investment decisions</w:t>
            </w:r>
            <w:r w:rsidR="009F6B0E">
              <w:t>.</w:t>
            </w:r>
          </w:p>
          <w:p w14:paraId="1477EDFD" w14:textId="77777777" w:rsidR="009F6B0E" w:rsidRPr="003A6A50" w:rsidRDefault="009F6B0E" w:rsidP="00212D9F">
            <w:pPr>
              <w:pStyle w:val="Tablebulletx"/>
              <w:spacing w:before="80" w:after="80"/>
            </w:pPr>
            <w:r>
              <w:t>Values p</w:t>
            </w:r>
            <w:r w:rsidRPr="003A6A50">
              <w:t>roductive efficiency (unit cost)</w:t>
            </w:r>
            <w:r>
              <w:t>.</w:t>
            </w:r>
          </w:p>
          <w:p w14:paraId="57F1C8F8" w14:textId="093685D3" w:rsidR="009F6B0E" w:rsidRPr="003A6A50" w:rsidRDefault="002F626F" w:rsidP="00212D9F">
            <w:pPr>
              <w:pStyle w:val="Tablebulletx"/>
              <w:spacing w:before="80" w:after="80"/>
            </w:pPr>
            <w:r>
              <w:t>Funding</w:t>
            </w:r>
            <w:r w:rsidR="009F6B0E" w:rsidRPr="003A6A50">
              <w:t xml:space="preserve"> and investment by service lines </w:t>
            </w:r>
            <w:r>
              <w:t>can</w:t>
            </w:r>
            <w:r w:rsidR="009F6B0E" w:rsidRPr="003A6A50">
              <w:t xml:space="preserve"> limit </w:t>
            </w:r>
            <w:r w:rsidR="00741E85">
              <w:t xml:space="preserve">new </w:t>
            </w:r>
            <w:r w:rsidR="009F6B0E" w:rsidRPr="003A6A50">
              <w:t xml:space="preserve">thinking and </w:t>
            </w:r>
            <w:r w:rsidR="009F6B0E">
              <w:t xml:space="preserve">the </w:t>
            </w:r>
            <w:r w:rsidR="009F6B0E" w:rsidRPr="003A6A50">
              <w:t>opportunity for more strategic investment</w:t>
            </w:r>
            <w:r w:rsidR="009F6B0E">
              <w:t>.</w:t>
            </w:r>
          </w:p>
          <w:p w14:paraId="71B7A590" w14:textId="209F4A8F" w:rsidR="009F6B0E" w:rsidRPr="00AF37D9" w:rsidRDefault="00E71480" w:rsidP="00212D9F">
            <w:pPr>
              <w:pStyle w:val="Tablebulletx"/>
              <w:spacing w:before="80" w:after="80"/>
              <w:rPr>
                <w:sz w:val="21"/>
                <w:szCs w:val="21"/>
              </w:rPr>
            </w:pPr>
            <w:r>
              <w:t>Has an i</w:t>
            </w:r>
            <w:r w:rsidR="009F6B0E" w:rsidRPr="003A6A50">
              <w:t xml:space="preserve">nward-looking focus on </w:t>
            </w:r>
            <w:r>
              <w:t xml:space="preserve">the </w:t>
            </w:r>
            <w:r w:rsidR="009F6B0E" w:rsidRPr="003A6A50">
              <w:t>health sector</w:t>
            </w:r>
            <w:r w:rsidR="009F6B0E">
              <w:t>.</w:t>
            </w:r>
          </w:p>
          <w:p w14:paraId="2D576C7D" w14:textId="780A5101" w:rsidR="009F6B0E" w:rsidRPr="00DC1683" w:rsidRDefault="00E71480" w:rsidP="00212D9F">
            <w:pPr>
              <w:pStyle w:val="Tablebulletx"/>
              <w:spacing w:before="80" w:after="80"/>
            </w:pPr>
            <w:r>
              <w:t>Prioritises t</w:t>
            </w:r>
            <w:r w:rsidR="009F6B0E" w:rsidRPr="00DC1683">
              <w:t>reatment over prevention.</w:t>
            </w:r>
          </w:p>
          <w:p w14:paraId="0DE9D5E6" w14:textId="695B100F" w:rsidR="009F6B0E" w:rsidRPr="003A6A50" w:rsidRDefault="009F6B0E" w:rsidP="00212D9F">
            <w:pPr>
              <w:pStyle w:val="Tablebulletx"/>
              <w:spacing w:before="80" w:after="80"/>
            </w:pPr>
            <w:r>
              <w:t xml:space="preserve">Uses </w:t>
            </w:r>
            <w:r w:rsidR="00207317">
              <w:t xml:space="preserve">isolated </w:t>
            </w:r>
            <w:r>
              <w:t>l</w:t>
            </w:r>
            <w:r w:rsidRPr="003A6A50">
              <w:t>evers of change (eg</w:t>
            </w:r>
            <w:r>
              <w:t>,</w:t>
            </w:r>
            <w:r w:rsidRPr="003A6A50">
              <w:t xml:space="preserve"> </w:t>
            </w:r>
            <w:r w:rsidR="00ED0DC2">
              <w:t>no</w:t>
            </w:r>
            <w:r w:rsidRPr="003A6A50">
              <w:t xml:space="preserve"> policy or regulatory changes </w:t>
            </w:r>
            <w:r w:rsidR="00ED0DC2">
              <w:t>are made to give commissioning</w:t>
            </w:r>
            <w:r w:rsidR="00207317">
              <w:t xml:space="preserve"> </w:t>
            </w:r>
            <w:r w:rsidRPr="003A6A50">
              <w:t>more</w:t>
            </w:r>
            <w:r w:rsidR="00207317">
              <w:t xml:space="preserve"> impact</w:t>
            </w:r>
            <w:r w:rsidRPr="003A6A50">
              <w:t>).</w:t>
            </w:r>
          </w:p>
        </w:tc>
        <w:tc>
          <w:tcPr>
            <w:tcW w:w="3457" w:type="dxa"/>
            <w:shd w:val="clear" w:color="auto" w:fill="FFFFFF" w:themeFill="background1"/>
          </w:tcPr>
          <w:p w14:paraId="5EBF8DE7" w14:textId="77777777" w:rsidR="009F6B0E" w:rsidRPr="003A6A50" w:rsidRDefault="009F6B0E" w:rsidP="00212D9F">
            <w:pPr>
              <w:pStyle w:val="Tablebulletx"/>
              <w:spacing w:before="80" w:after="80"/>
            </w:pPr>
            <w:r>
              <w:rPr>
                <w:lang w:eastAsia="en-NZ"/>
              </w:rPr>
              <w:t>Values m</w:t>
            </w:r>
            <w:r w:rsidRPr="003A6A50">
              <w:rPr>
                <w:lang w:eastAsia="en-NZ"/>
              </w:rPr>
              <w:t>ātauranga Māori and rongoā</w:t>
            </w:r>
            <w:r>
              <w:rPr>
                <w:lang w:eastAsia="en-NZ"/>
              </w:rPr>
              <w:t>.</w:t>
            </w:r>
          </w:p>
          <w:p w14:paraId="75B3BD58" w14:textId="123A5ACE" w:rsidR="009F6B0E" w:rsidRPr="003A6A50" w:rsidRDefault="009F6B0E" w:rsidP="00212D9F">
            <w:pPr>
              <w:pStyle w:val="Tablebulletx"/>
              <w:spacing w:before="80" w:after="80"/>
            </w:pPr>
            <w:r>
              <w:t>Sees w</w:t>
            </w:r>
            <w:r w:rsidRPr="003A6A50">
              <w:t xml:space="preserve">hānau </w:t>
            </w:r>
            <w:r>
              <w:t xml:space="preserve">as </w:t>
            </w:r>
            <w:r w:rsidRPr="003A6A50">
              <w:t>experts in what works for them</w:t>
            </w:r>
            <w:r w:rsidR="000F3080">
              <w:t>.</w:t>
            </w:r>
            <w:r w:rsidRPr="003A6A50">
              <w:t xml:space="preserve"> </w:t>
            </w:r>
            <w:r w:rsidR="000F3080">
              <w:t>E</w:t>
            </w:r>
            <w:r>
              <w:t xml:space="preserve">nables </w:t>
            </w:r>
            <w:r w:rsidRPr="003A6A50">
              <w:t xml:space="preserve">their insights </w:t>
            </w:r>
            <w:r>
              <w:t xml:space="preserve">to </w:t>
            </w:r>
            <w:r w:rsidRPr="003A6A50">
              <w:t xml:space="preserve">shape system and service design and other investments </w:t>
            </w:r>
            <w:r>
              <w:t>(</w:t>
            </w:r>
            <w:r w:rsidRPr="003A6A50">
              <w:t>eg</w:t>
            </w:r>
            <w:r>
              <w:t>,</w:t>
            </w:r>
            <w:r w:rsidRPr="003A6A50">
              <w:t xml:space="preserve"> community leadership development</w:t>
            </w:r>
            <w:r>
              <w:t>).</w:t>
            </w:r>
          </w:p>
          <w:p w14:paraId="0B73BE6D" w14:textId="77777777" w:rsidR="009F6B0E" w:rsidRPr="003A6A50" w:rsidRDefault="009F6B0E" w:rsidP="00212D9F">
            <w:pPr>
              <w:pStyle w:val="Tablebulletx"/>
              <w:spacing w:before="80" w:after="80"/>
            </w:pPr>
            <w:r w:rsidRPr="003A6A50">
              <w:t>Professionals ‘walk alongside’ whānau, and enable choice and control</w:t>
            </w:r>
            <w:r>
              <w:t>.</w:t>
            </w:r>
          </w:p>
          <w:p w14:paraId="725D0CF9" w14:textId="6BD431ED" w:rsidR="009F6B0E" w:rsidRPr="003A6A50" w:rsidRDefault="009F6B0E" w:rsidP="00212D9F">
            <w:pPr>
              <w:pStyle w:val="Tablebulletx"/>
              <w:spacing w:before="80" w:after="80"/>
            </w:pPr>
            <w:r>
              <w:t>Calls out and addresses s</w:t>
            </w:r>
            <w:r w:rsidRPr="003A6A50">
              <w:t>tructural and systemic racism</w:t>
            </w:r>
            <w:r>
              <w:t>.</w:t>
            </w:r>
            <w:r w:rsidRPr="003A6A50">
              <w:t xml:space="preserve"> </w:t>
            </w:r>
          </w:p>
          <w:p w14:paraId="76C7A131" w14:textId="7E3A0771" w:rsidR="009F6B0E" w:rsidRPr="003A6A50" w:rsidRDefault="009F6B0E" w:rsidP="00212D9F">
            <w:pPr>
              <w:pStyle w:val="Tablebulletx"/>
              <w:spacing w:before="80" w:after="80"/>
            </w:pPr>
            <w:r>
              <w:t>Values a</w:t>
            </w:r>
            <w:r w:rsidRPr="003A6A50">
              <w:t>llocative efficiency (whole</w:t>
            </w:r>
            <w:r>
              <w:t>-</w:t>
            </w:r>
            <w:r w:rsidRPr="003A6A50">
              <w:t>of</w:t>
            </w:r>
            <w:r>
              <w:t>-</w:t>
            </w:r>
            <w:r w:rsidRPr="003A6A50">
              <w:t xml:space="preserve">system cost, including costs </w:t>
            </w:r>
            <w:r w:rsidR="00ED0DC2">
              <w:t xml:space="preserve">for </w:t>
            </w:r>
            <w:r>
              <w:t>sectors</w:t>
            </w:r>
            <w:r w:rsidRPr="003A6A50">
              <w:t xml:space="preserve"> outside of health)</w:t>
            </w:r>
            <w:r>
              <w:t>.</w:t>
            </w:r>
          </w:p>
          <w:p w14:paraId="637FD500" w14:textId="133C869F" w:rsidR="009F6B0E" w:rsidRPr="003A6A50" w:rsidRDefault="009F6B0E" w:rsidP="00212D9F">
            <w:pPr>
              <w:pStyle w:val="Tablebulletx"/>
              <w:spacing w:before="80" w:after="80"/>
            </w:pPr>
            <w:r w:rsidRPr="003A6A50">
              <w:t>Uses a mixed</w:t>
            </w:r>
            <w:r>
              <w:t xml:space="preserve"> </w:t>
            </w:r>
            <w:r w:rsidRPr="003A6A50">
              <w:t>approach of commissioning, policy, regulation</w:t>
            </w:r>
            <w:r w:rsidR="00ED0DC2">
              <w:t>,</w:t>
            </w:r>
            <w:r w:rsidRPr="003A6A50">
              <w:t xml:space="preserve"> monitoring and evaluation to drive improvements</w:t>
            </w:r>
            <w:r>
              <w:t>.</w:t>
            </w:r>
            <w:r w:rsidRPr="003A6A50">
              <w:t xml:space="preserve"> </w:t>
            </w:r>
          </w:p>
        </w:tc>
      </w:tr>
      <w:tr w:rsidR="009F6B0E" w:rsidRPr="003A6A50" w14:paraId="1ABCB5A5" w14:textId="77777777" w:rsidTr="00E03E2E">
        <w:trPr>
          <w:trHeight w:val="112"/>
        </w:trPr>
        <w:tc>
          <w:tcPr>
            <w:tcW w:w="1504" w:type="dxa"/>
            <w:shd w:val="clear" w:color="auto" w:fill="F2F2F2" w:themeFill="background1" w:themeFillShade="F2"/>
            <w:vAlign w:val="center"/>
          </w:tcPr>
          <w:p w14:paraId="46366788" w14:textId="77777777" w:rsidR="009F6B0E" w:rsidRPr="00212D9F" w:rsidRDefault="009F6B0E" w:rsidP="0073350E">
            <w:pPr>
              <w:pStyle w:val="TableText"/>
              <w:keepNext/>
              <w:rPr>
                <w:rFonts w:asciiTheme="minorHAnsi" w:hAnsiTheme="minorHAnsi"/>
                <w:b/>
                <w:bCs/>
                <w:szCs w:val="22"/>
              </w:rPr>
            </w:pPr>
            <w:r w:rsidRPr="00212D9F">
              <w:rPr>
                <w:b/>
                <w:bCs/>
              </w:rPr>
              <w:lastRenderedPageBreak/>
              <w:t>Enablers</w:t>
            </w:r>
          </w:p>
        </w:tc>
        <w:tc>
          <w:tcPr>
            <w:tcW w:w="3332" w:type="dxa"/>
            <w:shd w:val="clear" w:color="auto" w:fill="FFFFFF" w:themeFill="background1"/>
          </w:tcPr>
          <w:p w14:paraId="302E9683" w14:textId="65A11853" w:rsidR="009F6B0E" w:rsidRPr="003A6A50" w:rsidRDefault="00E71480" w:rsidP="0073350E">
            <w:pPr>
              <w:pStyle w:val="Tablebulletx"/>
              <w:keepNext/>
              <w:spacing w:before="80" w:after="80"/>
            </w:pPr>
            <w:r>
              <w:t>Lacks</w:t>
            </w:r>
            <w:r w:rsidR="009F6B0E" w:rsidRPr="003A6A50">
              <w:t xml:space="preserve"> easily accessible data on providers </w:t>
            </w:r>
            <w:r w:rsidR="000F3080">
              <w:t>and</w:t>
            </w:r>
            <w:r w:rsidR="009F6B0E" w:rsidRPr="003A6A50">
              <w:t xml:space="preserve"> the</w:t>
            </w:r>
            <w:r w:rsidR="00C96B11">
              <w:t>ir</w:t>
            </w:r>
            <w:r w:rsidR="009F6B0E" w:rsidRPr="003A6A50">
              <w:t xml:space="preserve"> contracts.</w:t>
            </w:r>
          </w:p>
          <w:p w14:paraId="0650EBB9" w14:textId="5434A227" w:rsidR="009F6B0E" w:rsidRPr="003A6A50" w:rsidRDefault="00E71480" w:rsidP="0073350E">
            <w:pPr>
              <w:pStyle w:val="Tablebulletx"/>
              <w:keepNext/>
              <w:spacing w:before="80" w:after="80"/>
              <w:rPr>
                <w:sz w:val="21"/>
                <w:szCs w:val="21"/>
              </w:rPr>
            </w:pPr>
            <w:r>
              <w:t>Has l</w:t>
            </w:r>
            <w:r w:rsidR="003F690E">
              <w:t>ow</w:t>
            </w:r>
            <w:r w:rsidR="009F6B0E" w:rsidRPr="003A6A50">
              <w:t xml:space="preserve"> capacity and capability in commissioning skills</w:t>
            </w:r>
            <w:r w:rsidR="00932D5C">
              <w:t>.</w:t>
            </w:r>
            <w:r w:rsidR="00932D5C" w:rsidRPr="003A6A50">
              <w:t xml:space="preserve"> </w:t>
            </w:r>
            <w:r w:rsidR="00932D5C">
              <w:t>S</w:t>
            </w:r>
            <w:r w:rsidR="009F6B0E">
              <w:t xml:space="preserve">ees </w:t>
            </w:r>
            <w:r w:rsidR="009F6B0E" w:rsidRPr="003A6A50">
              <w:t>commissioning as contracting third</w:t>
            </w:r>
            <w:r w:rsidR="009F6B0E">
              <w:t>-</w:t>
            </w:r>
            <w:r w:rsidR="009F6B0E" w:rsidRPr="003A6A50">
              <w:t>party providers.</w:t>
            </w:r>
          </w:p>
        </w:tc>
        <w:tc>
          <w:tcPr>
            <w:tcW w:w="3457" w:type="dxa"/>
            <w:shd w:val="clear" w:color="auto" w:fill="FFFFFF" w:themeFill="background1"/>
          </w:tcPr>
          <w:p w14:paraId="696FBA4C" w14:textId="08CEE202" w:rsidR="009F6B0E" w:rsidRPr="003A6A50" w:rsidRDefault="009F6B0E" w:rsidP="0073350E">
            <w:pPr>
              <w:pStyle w:val="Tablebulletx"/>
              <w:keepNext/>
              <w:spacing w:before="80" w:after="80"/>
            </w:pPr>
            <w:r>
              <w:t>Develops and actively uses the data infrastructure of p</w:t>
            </w:r>
            <w:r w:rsidRPr="003A6A50">
              <w:t>rovider</w:t>
            </w:r>
            <w:r>
              <w:t>s</w:t>
            </w:r>
            <w:r w:rsidRPr="003A6A50">
              <w:t>, contract</w:t>
            </w:r>
            <w:r>
              <w:t>s</w:t>
            </w:r>
            <w:r w:rsidRPr="003A6A50">
              <w:t xml:space="preserve"> and reporting</w:t>
            </w:r>
            <w:r w:rsidR="003F690E">
              <w:t xml:space="preserve"> across sectors</w:t>
            </w:r>
            <w:r w:rsidR="00E71480">
              <w:t>.</w:t>
            </w:r>
          </w:p>
          <w:p w14:paraId="7E4AE83F" w14:textId="4589C9B4" w:rsidR="009F6B0E" w:rsidRPr="003A6A50" w:rsidRDefault="009F6B0E" w:rsidP="0073350E">
            <w:pPr>
              <w:pStyle w:val="Tablebulletx"/>
              <w:keepNext/>
              <w:spacing w:before="80" w:after="80"/>
              <w:rPr>
                <w:sz w:val="21"/>
                <w:szCs w:val="21"/>
              </w:rPr>
            </w:pPr>
            <w:r w:rsidRPr="003A6A50">
              <w:t>Build</w:t>
            </w:r>
            <w:r>
              <w:t>s</w:t>
            </w:r>
            <w:r w:rsidRPr="003A6A50">
              <w:t xml:space="preserve"> people and teams </w:t>
            </w:r>
            <w:r w:rsidR="001F7376">
              <w:t>in</w:t>
            </w:r>
            <w:r w:rsidR="001F7376" w:rsidRPr="003A6A50">
              <w:t xml:space="preserve"> </w:t>
            </w:r>
            <w:r w:rsidRPr="003A6A50">
              <w:t xml:space="preserve">the broad range of skills needed for effective commissioning, both nationally and locally: </w:t>
            </w:r>
            <w:r w:rsidR="001F7376">
              <w:t xml:space="preserve">in </w:t>
            </w:r>
            <w:r w:rsidRPr="003A6A50">
              <w:t>engagement, analysis, prioritisation, contracting, relationship management, monitoring</w:t>
            </w:r>
            <w:r>
              <w:t xml:space="preserve"> and</w:t>
            </w:r>
            <w:r w:rsidRPr="003A6A50">
              <w:t xml:space="preserve"> continuous improvement</w:t>
            </w:r>
            <w:r>
              <w:t>.</w:t>
            </w:r>
          </w:p>
        </w:tc>
      </w:tr>
    </w:tbl>
    <w:p w14:paraId="502A04C5" w14:textId="77777777" w:rsidR="009F6B0E" w:rsidRDefault="009F6B0E" w:rsidP="009F6B0E"/>
    <w:p w14:paraId="730848D9" w14:textId="2C8154F3" w:rsidR="0060535A" w:rsidRPr="00A902F6" w:rsidRDefault="00865D6A" w:rsidP="009055B4">
      <w:pPr>
        <w:pStyle w:val="Heading3-nonumbering"/>
      </w:pPr>
      <w:r>
        <w:t>The</w:t>
      </w:r>
      <w:r w:rsidRPr="0060535A">
        <w:t xml:space="preserve"> </w:t>
      </w:r>
      <w:r w:rsidR="0060535A" w:rsidRPr="0060535A">
        <w:t>journey</w:t>
      </w:r>
      <w:r>
        <w:t xml:space="preserve"> to Commissioning for Pae Ora</w:t>
      </w:r>
      <w:r w:rsidR="0060535A" w:rsidRPr="0060535A">
        <w:t xml:space="preserve"> </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60535A" w:rsidRPr="000C72D2" w14:paraId="6312232F" w14:textId="77777777" w:rsidTr="004C7757">
        <w:trPr>
          <w:trHeight w:val="170"/>
        </w:trPr>
        <w:tc>
          <w:tcPr>
            <w:tcW w:w="567" w:type="dxa"/>
          </w:tcPr>
          <w:p w14:paraId="1FDFAD90" w14:textId="0362C5BA" w:rsidR="0060535A" w:rsidRPr="000C72D2" w:rsidRDefault="0060535A" w:rsidP="009055B4">
            <w:pPr>
              <w:pStyle w:val="0RULE"/>
            </w:pPr>
          </w:p>
        </w:tc>
      </w:tr>
    </w:tbl>
    <w:p w14:paraId="71566CDD" w14:textId="78A4C3EB" w:rsidR="0060535A" w:rsidRDefault="0060535A" w:rsidP="0060535A">
      <w:pPr>
        <w:pStyle w:val="NormalwIndent"/>
      </w:pPr>
      <w:r>
        <w:t xml:space="preserve">All participants in the </w:t>
      </w:r>
      <w:r w:rsidR="00C55551">
        <w:t xml:space="preserve">Pae Ora </w:t>
      </w:r>
      <w:r>
        <w:t xml:space="preserve">commissioning process will </w:t>
      </w:r>
      <w:r w:rsidR="00865D6A">
        <w:t>experience</w:t>
      </w:r>
      <w:r>
        <w:t xml:space="preserve"> change over time.</w:t>
      </w:r>
    </w:p>
    <w:p w14:paraId="1B9B3FD1" w14:textId="36BEF052" w:rsidR="0060535A" w:rsidRDefault="0060535A" w:rsidP="0060535A">
      <w:pPr>
        <w:pStyle w:val="ListBullet"/>
        <w:tabs>
          <w:tab w:val="clear" w:pos="360"/>
          <w:tab w:val="num" w:pos="851"/>
        </w:tabs>
        <w:ind w:left="1985" w:hanging="284"/>
      </w:pPr>
      <w:r w:rsidRPr="00C55551">
        <w:rPr>
          <w:color w:val="auto"/>
        </w:rPr>
        <w:t>Whānau</w:t>
      </w:r>
      <w:r w:rsidRPr="0060535A">
        <w:rPr>
          <w:color w:val="EC643C"/>
        </w:rPr>
        <w:t xml:space="preserve"> </w:t>
      </w:r>
      <w:r>
        <w:t>move from being passive recipients of care to active players and decision-makers who direct their health and wellbeing journeys.</w:t>
      </w:r>
    </w:p>
    <w:p w14:paraId="2DEBED33" w14:textId="2B213ABB" w:rsidR="0060535A" w:rsidRDefault="0060535A" w:rsidP="0060535A">
      <w:pPr>
        <w:pStyle w:val="ListBullet"/>
        <w:tabs>
          <w:tab w:val="clear" w:pos="360"/>
          <w:tab w:val="num" w:pos="851"/>
        </w:tabs>
        <w:ind w:left="1985" w:hanging="284"/>
      </w:pPr>
      <w:r w:rsidRPr="00C55551">
        <w:rPr>
          <w:color w:val="auto"/>
        </w:rPr>
        <w:t>Service</w:t>
      </w:r>
      <w:r w:rsidRPr="003D7A22">
        <w:rPr>
          <w:b/>
          <w:bCs w:val="0"/>
          <w:color w:val="auto"/>
        </w:rPr>
        <w:t xml:space="preserve"> </w:t>
      </w:r>
      <w:r w:rsidRPr="00C55551">
        <w:rPr>
          <w:color w:val="auto"/>
        </w:rPr>
        <w:t>providers</w:t>
      </w:r>
      <w:r w:rsidRPr="003D7A22">
        <w:rPr>
          <w:color w:val="auto"/>
        </w:rPr>
        <w:t xml:space="preserve"> </w:t>
      </w:r>
      <w:r>
        <w:t>help commissioners understand what is needed to support continuous improvement</w:t>
      </w:r>
      <w:r w:rsidR="000F3080">
        <w:t>. They</w:t>
      </w:r>
      <w:r>
        <w:t xml:space="preserve"> move away from a narrower, less constructive</w:t>
      </w:r>
      <w:r w:rsidR="004B0A41" w:rsidRPr="004B0A41">
        <w:t xml:space="preserve"> </w:t>
      </w:r>
      <w:r w:rsidR="004B0A41">
        <w:t>focus on</w:t>
      </w:r>
      <w:r>
        <w:t xml:space="preserve"> compliance. </w:t>
      </w:r>
    </w:p>
    <w:p w14:paraId="4EF780D0" w14:textId="2297DBF5" w:rsidR="0060535A" w:rsidRDefault="0060535A" w:rsidP="0060535A">
      <w:pPr>
        <w:pStyle w:val="ListBullet"/>
        <w:tabs>
          <w:tab w:val="clear" w:pos="360"/>
          <w:tab w:val="num" w:pos="851"/>
        </w:tabs>
        <w:ind w:left="1985" w:hanging="284"/>
      </w:pPr>
      <w:r w:rsidRPr="00C55551">
        <w:rPr>
          <w:color w:val="auto"/>
        </w:rPr>
        <w:t>Commissioners</w:t>
      </w:r>
      <w:r>
        <w:t xml:space="preserve"> </w:t>
      </w:r>
      <w:r w:rsidR="001A3B48">
        <w:t xml:space="preserve">can </w:t>
      </w:r>
      <w:r>
        <w:t>work from a place of humility, seeking to understand how they can influence system conditions to enable innovation and devol</w:t>
      </w:r>
      <w:r w:rsidR="004B0A41">
        <w:t>ve</w:t>
      </w:r>
      <w:r>
        <w:t xml:space="preserve"> decision-making and resources.</w:t>
      </w:r>
    </w:p>
    <w:p w14:paraId="081589C0" w14:textId="654A65BC" w:rsidR="0060535A" w:rsidRPr="00B50662" w:rsidRDefault="0060535A" w:rsidP="0060535A">
      <w:pPr>
        <w:pStyle w:val="ListBullet"/>
        <w:tabs>
          <w:tab w:val="clear" w:pos="360"/>
          <w:tab w:val="num" w:pos="851"/>
        </w:tabs>
        <w:ind w:left="1985" w:hanging="284"/>
      </w:pPr>
      <w:r w:rsidRPr="00C55551">
        <w:rPr>
          <w:color w:val="auto"/>
        </w:rPr>
        <w:t xml:space="preserve">System stewards </w:t>
      </w:r>
      <w:r w:rsidR="007861E3">
        <w:t>can</w:t>
      </w:r>
      <w:r w:rsidRPr="00C55551">
        <w:t xml:space="preserve"> develop relationships, tools and processes that support </w:t>
      </w:r>
      <w:r w:rsidR="00C55551" w:rsidRPr="004060D7">
        <w:t xml:space="preserve">shared </w:t>
      </w:r>
      <w:r w:rsidRPr="00260912">
        <w:t>accountability, performance monitoring, capability building, prioritisation and investme</w:t>
      </w:r>
      <w:r w:rsidRPr="00B50662">
        <w:t>nt decisions.</w:t>
      </w:r>
    </w:p>
    <w:p w14:paraId="19045368" w14:textId="30FBB4F8" w:rsidR="0060535A" w:rsidRPr="00C55551" w:rsidRDefault="0060535A" w:rsidP="0060535A">
      <w:pPr>
        <w:pStyle w:val="NormalwIndent"/>
        <w:rPr>
          <w:color w:val="auto"/>
        </w:rPr>
      </w:pPr>
      <w:r w:rsidRPr="00C55551">
        <w:rPr>
          <w:color w:val="auto"/>
        </w:rPr>
        <w:t>Commissioning for Pae Ora is a journey that will take time, trust, humility and courage as system conditions are challenged and change</w:t>
      </w:r>
      <w:r w:rsidR="000267DF">
        <w:rPr>
          <w:color w:val="auto"/>
        </w:rPr>
        <w:t>d</w:t>
      </w:r>
      <w:r w:rsidRPr="00C55551">
        <w:rPr>
          <w:color w:val="auto"/>
        </w:rPr>
        <w:t xml:space="preserve"> to improve outcomes for whānau now and for future generations.</w:t>
      </w:r>
    </w:p>
    <w:p w14:paraId="3A1DAE74" w14:textId="13BE8862" w:rsidR="009F1F66" w:rsidRDefault="009F1F66" w:rsidP="00F35CCB">
      <w:pPr>
        <w:sectPr w:rsidR="009F1F66" w:rsidSect="00376826">
          <w:pgSz w:w="11906" w:h="16838"/>
          <w:pgMar w:top="2778" w:right="1701" w:bottom="454" w:left="1701" w:header="567" w:footer="567" w:gutter="0"/>
          <w:cols w:space="708"/>
          <w:titlePg/>
          <w:docGrid w:linePitch="360"/>
        </w:sectPr>
      </w:pPr>
      <w:r w:rsidRPr="00DF1F16">
        <w:rPr>
          <w:rStyle w:val="1Orange"/>
          <w:sz w:val="16"/>
        </w:rPr>
        <w:br/>
      </w:r>
    </w:p>
    <w:p w14:paraId="33DF80C2" w14:textId="07D17BAD" w:rsidR="00073982" w:rsidRDefault="00073982" w:rsidP="00073982">
      <w:pPr>
        <w:pStyle w:val="Heading1-nonumbering"/>
        <w:rPr>
          <w:color w:val="EC643C"/>
        </w:rPr>
      </w:pPr>
      <w:bookmarkStart w:id="32" w:name="_Toc124933835"/>
      <w:bookmarkStart w:id="33" w:name="_Toc40441759"/>
      <w:bookmarkStart w:id="34" w:name="_Toc40788566"/>
      <w:bookmarkStart w:id="35" w:name="_Toc46858853"/>
      <w:bookmarkStart w:id="36" w:name="_Toc89322734"/>
      <w:bookmarkStart w:id="37" w:name="_Toc10554000"/>
      <w:bookmarkEnd w:id="1"/>
      <w:bookmarkEnd w:id="2"/>
      <w:r w:rsidRPr="00073982">
        <w:rPr>
          <w:color w:val="EC643C"/>
        </w:rPr>
        <w:lastRenderedPageBreak/>
        <w:t>How change</w:t>
      </w:r>
      <w:r w:rsidR="003659AB">
        <w:rPr>
          <w:color w:val="EC643C"/>
        </w:rPr>
        <w:t xml:space="preserve"> can happen</w:t>
      </w:r>
      <w:bookmarkEnd w:id="32"/>
      <w:r w:rsidRPr="00073982">
        <w:rPr>
          <w:color w:val="EC643C"/>
        </w:rPr>
        <w:t xml:space="preserve"> </w:t>
      </w:r>
    </w:p>
    <w:p w14:paraId="205B576A" w14:textId="1203B822" w:rsidR="00073982" w:rsidRDefault="00073982" w:rsidP="00073982">
      <w:pPr>
        <w:pStyle w:val="Heading2-nonumbering"/>
      </w:pPr>
      <w:bookmarkStart w:id="38" w:name="_Toc124933836"/>
      <w:r w:rsidRPr="00073982">
        <w:t>Changes at each stage of the commissioning cycle</w:t>
      </w:r>
      <w:bookmarkEnd w:id="38"/>
    </w:p>
    <w:p w14:paraId="6B35352D" w14:textId="77777777" w:rsidR="00073982" w:rsidRDefault="00073982" w:rsidP="00376826">
      <w:pPr>
        <w:pStyle w:val="NormalwIndent"/>
      </w:pPr>
    </w:p>
    <w:p w14:paraId="02F8E181" w14:textId="2B5960F9" w:rsidR="00073982" w:rsidRDefault="00A26AFD" w:rsidP="00073982">
      <w:pPr>
        <w:pStyle w:val="NormalIndent1"/>
      </w:pPr>
      <w:r>
        <w:t>Commissioning for Pae Ora</w:t>
      </w:r>
      <w:r w:rsidR="00073982">
        <w:t xml:space="preserve"> sets out what needs to change at each stage of the commissioning cycle to move to whānau-</w:t>
      </w:r>
      <w:r w:rsidR="003659AB">
        <w:t>led</w:t>
      </w:r>
      <w:r w:rsidR="00073982">
        <w:t xml:space="preserve"> and Māori-led commissioning.  </w:t>
      </w:r>
    </w:p>
    <w:p w14:paraId="20EFCB8F" w14:textId="01F2482E" w:rsidR="00073982" w:rsidRDefault="00073982" w:rsidP="00073982">
      <w:pPr>
        <w:pStyle w:val="NormalIndent1"/>
      </w:pPr>
      <w:r>
        <w:t xml:space="preserve">The </w:t>
      </w:r>
      <w:r w:rsidR="00FD1946">
        <w:t xml:space="preserve">4 </w:t>
      </w:r>
      <w:r>
        <w:t xml:space="preserve">broad commissioning stages involve: </w:t>
      </w:r>
    </w:p>
    <w:p w14:paraId="2A61018C" w14:textId="3BB5AB3F" w:rsidR="00073982" w:rsidRDefault="00B75633" w:rsidP="004D7920">
      <w:pPr>
        <w:pStyle w:val="ListBullet"/>
        <w:numPr>
          <w:ilvl w:val="0"/>
          <w:numId w:val="19"/>
        </w:numPr>
      </w:pPr>
      <w:r>
        <w:t>D</w:t>
      </w:r>
      <w:r w:rsidR="001633FF">
        <w:t xml:space="preserve">etermining </w:t>
      </w:r>
      <w:r w:rsidR="00073982">
        <w:t>purpose and understanding</w:t>
      </w:r>
      <w:r w:rsidR="001633FF">
        <w:t xml:space="preserve"> need and/or opportunity</w:t>
      </w:r>
    </w:p>
    <w:p w14:paraId="6685251C" w14:textId="535FC170" w:rsidR="00073982" w:rsidRDefault="00B75633" w:rsidP="004D7920">
      <w:pPr>
        <w:pStyle w:val="ListBullet"/>
        <w:numPr>
          <w:ilvl w:val="0"/>
          <w:numId w:val="19"/>
        </w:numPr>
      </w:pPr>
      <w:r>
        <w:t>D</w:t>
      </w:r>
      <w:r w:rsidR="00073982">
        <w:t xml:space="preserve">esigning and planning </w:t>
      </w:r>
    </w:p>
    <w:p w14:paraId="1CED876E" w14:textId="00D8F883" w:rsidR="00073982" w:rsidRDefault="00B75633" w:rsidP="004D7920">
      <w:pPr>
        <w:pStyle w:val="ListBullet"/>
        <w:numPr>
          <w:ilvl w:val="0"/>
          <w:numId w:val="19"/>
        </w:numPr>
      </w:pPr>
      <w:r>
        <w:t>S</w:t>
      </w:r>
      <w:r w:rsidR="00073982">
        <w:t>ourcing and investing</w:t>
      </w:r>
    </w:p>
    <w:p w14:paraId="5F713BC9" w14:textId="258E2374" w:rsidR="00073982" w:rsidRDefault="00B75633" w:rsidP="004D7920">
      <w:pPr>
        <w:pStyle w:val="ListBullet"/>
        <w:numPr>
          <w:ilvl w:val="0"/>
          <w:numId w:val="19"/>
        </w:numPr>
      </w:pPr>
      <w:r>
        <w:t>D</w:t>
      </w:r>
      <w:r w:rsidR="00073982">
        <w:t xml:space="preserve">elivering, monitoring and evaluating. </w:t>
      </w:r>
    </w:p>
    <w:p w14:paraId="160F6A09" w14:textId="457208A3" w:rsidR="00073982" w:rsidRDefault="00073982" w:rsidP="00073982">
      <w:pPr>
        <w:pStyle w:val="NormalIndent1"/>
      </w:pPr>
      <w:r>
        <w:t>This section provides guidance on how to enable changes at each of these stages</w:t>
      </w:r>
      <w:r w:rsidR="00B4538A">
        <w:t>. It</w:t>
      </w:r>
      <w:r>
        <w:t xml:space="preserve"> includ</w:t>
      </w:r>
      <w:r w:rsidR="00B4538A">
        <w:t>es</w:t>
      </w:r>
      <w:r>
        <w:t xml:space="preserve"> key questions </w:t>
      </w:r>
      <w:r w:rsidR="00B4538A">
        <w:t xml:space="preserve">relevant to each stage </w:t>
      </w:r>
      <w:r>
        <w:t xml:space="preserve">plus links to guides, tools and resources.  </w:t>
      </w:r>
    </w:p>
    <w:p w14:paraId="1CC29711" w14:textId="010AA170" w:rsidR="00073982" w:rsidRDefault="00073982" w:rsidP="00073982">
      <w:pPr>
        <w:pStyle w:val="NormalIndent1"/>
      </w:pPr>
      <w:r>
        <w:t>The approach continues in a repeating cycle so will be updated to reflect new understandings and insights as commissioning practice matures.</w:t>
      </w:r>
    </w:p>
    <w:p w14:paraId="1E581BC9" w14:textId="77777777" w:rsidR="00073982" w:rsidRDefault="00073982" w:rsidP="00073982">
      <w:pPr>
        <w:pStyle w:val="NormalIndent1"/>
      </w:pPr>
    </w:p>
    <w:p w14:paraId="068A99A2" w14:textId="77777777" w:rsidR="00073982" w:rsidRDefault="00073982" w:rsidP="00073982">
      <w:pPr>
        <w:pStyle w:val="Heading2-nonumbering"/>
        <w:sectPr w:rsidR="00073982" w:rsidSect="00C345BC">
          <w:pgSz w:w="11906" w:h="16838"/>
          <w:pgMar w:top="2778" w:right="1701" w:bottom="454" w:left="1701" w:header="567" w:footer="567" w:gutter="0"/>
          <w:cols w:space="708"/>
          <w:titlePg/>
          <w:docGrid w:linePitch="360"/>
        </w:sectPr>
      </w:pPr>
    </w:p>
    <w:p w14:paraId="352EADC9" w14:textId="0D5B66FC" w:rsidR="00073982" w:rsidRDefault="00073982" w:rsidP="00073982">
      <w:pPr>
        <w:pStyle w:val="Heading2-nonumbering"/>
      </w:pPr>
      <w:bookmarkStart w:id="39" w:name="_Toc124933837"/>
      <w:r w:rsidRPr="00073982">
        <w:lastRenderedPageBreak/>
        <w:t>Purpose and understanding</w:t>
      </w:r>
      <w:bookmarkEnd w:id="39"/>
      <w:r w:rsidRPr="00073982">
        <w:t xml:space="preserve"> </w:t>
      </w:r>
    </w:p>
    <w:p w14:paraId="227EEAB1" w14:textId="19B6AEDA" w:rsidR="00073982" w:rsidRPr="005506BF" w:rsidRDefault="00073982" w:rsidP="009055B4">
      <w:pPr>
        <w:pStyle w:val="Heading3-nonumbering"/>
      </w:pPr>
      <w:r w:rsidRPr="005506BF">
        <w:t>Aim</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073982" w:rsidRPr="000C72D2" w14:paraId="2D2AA638" w14:textId="77777777" w:rsidTr="008C08C6">
        <w:trPr>
          <w:trHeight w:val="170"/>
        </w:trPr>
        <w:tc>
          <w:tcPr>
            <w:tcW w:w="567" w:type="dxa"/>
          </w:tcPr>
          <w:p w14:paraId="79FE55B3" w14:textId="77777777" w:rsidR="00073982" w:rsidRPr="000C72D2" w:rsidRDefault="00073982" w:rsidP="009055B4">
            <w:pPr>
              <w:pStyle w:val="0RULE"/>
            </w:pPr>
          </w:p>
        </w:tc>
      </w:tr>
    </w:tbl>
    <w:p w14:paraId="010DA4B6" w14:textId="6E731DE2" w:rsidR="00073982" w:rsidRPr="00BE6C08" w:rsidRDefault="00073982" w:rsidP="00073982">
      <w:pPr>
        <w:pStyle w:val="NormalIndent1"/>
        <w:rPr>
          <w:color w:val="auto"/>
          <w:sz w:val="28"/>
          <w:szCs w:val="28"/>
        </w:rPr>
      </w:pPr>
      <w:r w:rsidRPr="00BE6C08">
        <w:rPr>
          <w:color w:val="auto"/>
          <w:sz w:val="28"/>
          <w:szCs w:val="28"/>
        </w:rPr>
        <w:t>To understand and define the need or opportunity, the outcomes wanted, what’s already known to work and how ready providers and communities are for action.</w:t>
      </w:r>
    </w:p>
    <w:p w14:paraId="5837854A" w14:textId="7C555169" w:rsidR="00073982" w:rsidRPr="009055B4" w:rsidRDefault="00073982" w:rsidP="009055B4">
      <w:pPr>
        <w:pStyle w:val="Heading3-nonumbering"/>
      </w:pPr>
      <w:r w:rsidRPr="009055B4">
        <w:t>Key steps</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073982" w:rsidRPr="000C72D2" w14:paraId="7CB342D5" w14:textId="77777777" w:rsidTr="008C08C6">
        <w:trPr>
          <w:trHeight w:val="170"/>
        </w:trPr>
        <w:tc>
          <w:tcPr>
            <w:tcW w:w="567" w:type="dxa"/>
          </w:tcPr>
          <w:p w14:paraId="650144A4" w14:textId="77777777" w:rsidR="00073982" w:rsidRPr="000C72D2" w:rsidRDefault="00073982" w:rsidP="009055B4">
            <w:pPr>
              <w:pStyle w:val="0RULE"/>
            </w:pPr>
          </w:p>
        </w:tc>
      </w:tr>
    </w:tbl>
    <w:p w14:paraId="2815A127" w14:textId="3B9ABAD3" w:rsidR="00073982" w:rsidRDefault="00073982" w:rsidP="00073982">
      <w:pPr>
        <w:pStyle w:val="ListBullet"/>
        <w:tabs>
          <w:tab w:val="clear" w:pos="360"/>
          <w:tab w:val="num" w:pos="567"/>
        </w:tabs>
        <w:ind w:left="1985" w:hanging="284"/>
      </w:pPr>
      <w:r w:rsidRPr="00F35CCB">
        <w:rPr>
          <w:b/>
          <w:bCs w:val="0"/>
          <w:color w:val="auto"/>
        </w:rPr>
        <w:t>Determine purpose</w:t>
      </w:r>
      <w:r w:rsidRPr="00F35CCB">
        <w:rPr>
          <w:b/>
          <w:bCs w:val="0"/>
        </w:rPr>
        <w:t>:</w:t>
      </w:r>
      <w:r>
        <w:t xml:space="preserve"> Identify the need or opportunity, who is impacted and desired outcomes.</w:t>
      </w:r>
    </w:p>
    <w:p w14:paraId="60D42D9D" w14:textId="62E809CE" w:rsidR="00073982" w:rsidRDefault="00073982" w:rsidP="00073982">
      <w:pPr>
        <w:pStyle w:val="ListBullet"/>
        <w:tabs>
          <w:tab w:val="clear" w:pos="360"/>
          <w:tab w:val="num" w:pos="567"/>
        </w:tabs>
        <w:ind w:left="1985" w:hanging="284"/>
      </w:pPr>
      <w:r w:rsidRPr="00F35CCB">
        <w:rPr>
          <w:b/>
          <w:bCs w:val="0"/>
        </w:rPr>
        <w:t>Understand demand:</w:t>
      </w:r>
      <w:r>
        <w:t xml:space="preserve"> Explore the size and nature of the problem or opportunity, now and in the future.</w:t>
      </w:r>
    </w:p>
    <w:p w14:paraId="46E6D5C9" w14:textId="61AF2195" w:rsidR="00073982" w:rsidRDefault="00073982" w:rsidP="00073982">
      <w:pPr>
        <w:pStyle w:val="ListBullet"/>
        <w:tabs>
          <w:tab w:val="clear" w:pos="360"/>
          <w:tab w:val="num" w:pos="567"/>
        </w:tabs>
        <w:ind w:left="1985" w:hanging="284"/>
      </w:pPr>
      <w:r w:rsidRPr="00F35CCB">
        <w:rPr>
          <w:b/>
          <w:bCs w:val="0"/>
          <w:color w:val="auto"/>
        </w:rPr>
        <w:t>Identify what</w:t>
      </w:r>
      <w:r w:rsidR="00E044D8">
        <w:rPr>
          <w:b/>
          <w:bCs w:val="0"/>
          <w:color w:val="auto"/>
        </w:rPr>
        <w:t>’</w:t>
      </w:r>
      <w:r w:rsidRPr="00F35CCB">
        <w:rPr>
          <w:b/>
          <w:bCs w:val="0"/>
          <w:color w:val="auto"/>
        </w:rPr>
        <w:t>s known to work</w:t>
      </w:r>
      <w:r w:rsidRPr="001C2957">
        <w:rPr>
          <w:color w:val="auto"/>
        </w:rPr>
        <w:t xml:space="preserve"> (or</w:t>
      </w:r>
      <w:r w:rsidR="0014123A">
        <w:rPr>
          <w:color w:val="auto"/>
        </w:rPr>
        <w:t xml:space="preserve"> what</w:t>
      </w:r>
      <w:r w:rsidRPr="001C2957">
        <w:rPr>
          <w:color w:val="auto"/>
        </w:rPr>
        <w:t xml:space="preserve"> is promising):</w:t>
      </w:r>
      <w:r w:rsidRPr="003D7A22">
        <w:rPr>
          <w:color w:val="auto"/>
        </w:rPr>
        <w:t xml:space="preserve"> </w:t>
      </w:r>
      <w:r>
        <w:t>Learn from whānau, community and provider insights, Iwi-Māori Partnership Boards, locality networks, key stakeholders and research.</w:t>
      </w:r>
    </w:p>
    <w:p w14:paraId="7E515CA7" w14:textId="2F58A4D8" w:rsidR="00104433" w:rsidRDefault="00073982" w:rsidP="009055B4">
      <w:pPr>
        <w:pStyle w:val="ListBullet"/>
        <w:tabs>
          <w:tab w:val="clear" w:pos="360"/>
          <w:tab w:val="num" w:pos="567"/>
        </w:tabs>
        <w:ind w:left="1985" w:hanging="284"/>
      </w:pPr>
      <w:r w:rsidRPr="00F35CCB">
        <w:rPr>
          <w:b/>
          <w:bCs w:val="0"/>
          <w:color w:val="auto"/>
        </w:rPr>
        <w:t>Assess readiness for action</w:t>
      </w:r>
      <w:r w:rsidRPr="00F35CCB">
        <w:rPr>
          <w:b/>
          <w:bCs w:val="0"/>
        </w:rPr>
        <w:t>:</w:t>
      </w:r>
      <w:r>
        <w:t xml:space="preserve"> Understand the capacity and capability of commissioners, providers and communities to respond.</w:t>
      </w:r>
      <w:r w:rsidR="004D7920">
        <w:rPr>
          <w:rFonts w:ascii="ZWAdobeF" w:hAnsi="ZWAdobeF" w:cs="ZWAdobeF"/>
          <w:color w:val="auto"/>
          <w:sz w:val="2"/>
          <w:szCs w:val="2"/>
        </w:rPr>
        <w:t>21F</w:t>
      </w:r>
      <w:r w:rsidR="005506BF" w:rsidRPr="005506BF">
        <w:rPr>
          <w:rStyle w:val="FootnoteReference"/>
          <w:sz w:val="18"/>
          <w:szCs w:val="24"/>
        </w:rPr>
        <w:footnoteReference w:id="23"/>
      </w:r>
    </w:p>
    <w:p w14:paraId="02B9537B" w14:textId="43DE4296" w:rsidR="005506BF" w:rsidRPr="005506BF" w:rsidRDefault="005506BF" w:rsidP="009055B4">
      <w:pPr>
        <w:pStyle w:val="Heading3-nonumbering"/>
      </w:pPr>
      <w:r w:rsidRPr="005506BF">
        <w:t>Determining purpose</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5506BF" w:rsidRPr="000C72D2" w14:paraId="74E47656" w14:textId="77777777" w:rsidTr="008C08C6">
        <w:trPr>
          <w:trHeight w:val="170"/>
        </w:trPr>
        <w:tc>
          <w:tcPr>
            <w:tcW w:w="567" w:type="dxa"/>
          </w:tcPr>
          <w:p w14:paraId="1AC439A7" w14:textId="77777777" w:rsidR="005506BF" w:rsidRPr="000C72D2" w:rsidRDefault="005506BF" w:rsidP="009055B4">
            <w:pPr>
              <w:pStyle w:val="0RULE"/>
            </w:pPr>
          </w:p>
        </w:tc>
      </w:tr>
    </w:tbl>
    <w:p w14:paraId="7B9CBAB3" w14:textId="76B8B920" w:rsidR="005506BF" w:rsidRDefault="00CE7BEE" w:rsidP="005506BF">
      <w:pPr>
        <w:pStyle w:val="NormalIndent1"/>
      </w:pPr>
      <w:r>
        <w:t>To</w:t>
      </w:r>
      <w:r w:rsidR="005506BF" w:rsidRPr="005506BF">
        <w:t xml:space="preserve"> make a real improvement to health and wellbeing outcomes, service users and whānau need to </w:t>
      </w:r>
      <w:r w:rsidR="000C795F">
        <w:t xml:space="preserve">contribute to </w:t>
      </w:r>
      <w:r w:rsidR="000C795F" w:rsidRPr="005506BF">
        <w:t>shap</w:t>
      </w:r>
      <w:r w:rsidR="000C795F">
        <w:t>ing</w:t>
      </w:r>
      <w:r w:rsidR="000C795F" w:rsidRPr="005506BF">
        <w:t xml:space="preserve"> </w:t>
      </w:r>
      <w:r w:rsidR="005506BF" w:rsidRPr="005506BF">
        <w:t xml:space="preserve">the </w:t>
      </w:r>
      <w:r w:rsidR="005506BF" w:rsidRPr="001C2957">
        <w:rPr>
          <w:color w:val="auto"/>
        </w:rPr>
        <w:t>purpose</w:t>
      </w:r>
      <w:r w:rsidR="00455ACA">
        <w:rPr>
          <w:b/>
          <w:bCs w:val="0"/>
          <w:color w:val="auto"/>
        </w:rPr>
        <w:t xml:space="preserve"> </w:t>
      </w:r>
      <w:r w:rsidR="00455ACA">
        <w:rPr>
          <w:color w:val="auto"/>
        </w:rPr>
        <w:t>for</w:t>
      </w:r>
      <w:r w:rsidR="005506BF" w:rsidRPr="005506BF">
        <w:t xml:space="preserve"> the system, services and other investments. This also helps</w:t>
      </w:r>
      <w:r w:rsidR="00331DA6">
        <w:t xml:space="preserve"> prompt</w:t>
      </w:r>
      <w:r w:rsidR="005506BF" w:rsidRPr="005506BF">
        <w:t xml:space="preserve"> </w:t>
      </w:r>
      <w:r w:rsidR="00331DA6">
        <w:t>commissioners to consider</w:t>
      </w:r>
      <w:r w:rsidR="00331DA6" w:rsidRPr="005506BF">
        <w:t xml:space="preserve"> </w:t>
      </w:r>
      <w:r w:rsidR="005506BF" w:rsidRPr="005506BF">
        <w:t>more holistic approaches</w:t>
      </w:r>
      <w:r w:rsidR="003A3D73">
        <w:t>.</w:t>
      </w:r>
      <w:r w:rsidR="005506BF" w:rsidRPr="005506BF">
        <w:t xml:space="preserve"> </w:t>
      </w:r>
      <w:r w:rsidR="003A3D73">
        <w:t>F</w:t>
      </w:r>
      <w:r w:rsidR="005506BF" w:rsidRPr="005506BF">
        <w:t>or example</w:t>
      </w:r>
      <w:r w:rsidR="00331DA6">
        <w:t>, thinking about</w:t>
      </w:r>
      <w:r w:rsidR="005506BF" w:rsidRPr="005506BF">
        <w:t xml:space="preserve"> what is needed to ‘enable a good life’ was a key part </w:t>
      </w:r>
      <w:r w:rsidR="003819B7">
        <w:t xml:space="preserve">of </w:t>
      </w:r>
      <w:r w:rsidR="005506BF" w:rsidRPr="005506BF">
        <w:t>transforming the disability system.</w:t>
      </w:r>
      <w:r w:rsidR="004D7920">
        <w:rPr>
          <w:rFonts w:ascii="ZWAdobeF" w:hAnsi="ZWAdobeF" w:cs="ZWAdobeF"/>
          <w:color w:val="auto"/>
          <w:sz w:val="2"/>
          <w:szCs w:val="2"/>
        </w:rPr>
        <w:t>22F</w:t>
      </w:r>
      <w:r w:rsidR="005506BF" w:rsidRPr="005506BF">
        <w:rPr>
          <w:rStyle w:val="FootnoteReference"/>
          <w:sz w:val="18"/>
          <w:szCs w:val="24"/>
        </w:rPr>
        <w:footnoteReference w:id="24"/>
      </w:r>
    </w:p>
    <w:p w14:paraId="3CC0E7B6" w14:textId="77777777" w:rsidR="008576F3" w:rsidRDefault="008576F3" w:rsidP="008576F3"/>
    <w:p w14:paraId="19DB08B1" w14:textId="77777777" w:rsidR="009055B4" w:rsidRDefault="009055B4" w:rsidP="009055B4">
      <w:pPr>
        <w:pStyle w:val="Heading3-nonumbering"/>
        <w:sectPr w:rsidR="009055B4" w:rsidSect="00C345BC">
          <w:pgSz w:w="11906" w:h="16838"/>
          <w:pgMar w:top="2778" w:right="1701" w:bottom="454" w:left="1701" w:header="567" w:footer="567" w:gutter="0"/>
          <w:cols w:space="708"/>
          <w:titlePg/>
          <w:docGrid w:linePitch="360"/>
        </w:sectPr>
      </w:pPr>
    </w:p>
    <w:p w14:paraId="45C92A57" w14:textId="4548EDE3" w:rsidR="005506BF" w:rsidRPr="005506BF" w:rsidRDefault="005506BF" w:rsidP="009055B4">
      <w:pPr>
        <w:pStyle w:val="Heading3-nonumbering"/>
        <w:spacing w:before="0"/>
      </w:pPr>
      <w:r w:rsidRPr="005506BF">
        <w:lastRenderedPageBreak/>
        <w:t>Understanding demand</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5506BF" w:rsidRPr="000C72D2" w14:paraId="6F006589" w14:textId="77777777" w:rsidTr="008C08C6">
        <w:trPr>
          <w:trHeight w:val="170"/>
        </w:trPr>
        <w:tc>
          <w:tcPr>
            <w:tcW w:w="567" w:type="dxa"/>
          </w:tcPr>
          <w:p w14:paraId="516A1DA7" w14:textId="77777777" w:rsidR="005506BF" w:rsidRPr="000C72D2" w:rsidRDefault="005506BF" w:rsidP="009055B4">
            <w:pPr>
              <w:pStyle w:val="0RULE"/>
            </w:pPr>
          </w:p>
        </w:tc>
      </w:tr>
    </w:tbl>
    <w:p w14:paraId="3EED054D" w14:textId="59E1466D" w:rsidR="005506BF" w:rsidRDefault="005506BF" w:rsidP="005506BF">
      <w:pPr>
        <w:pStyle w:val="NormalIndent1"/>
      </w:pPr>
      <w:r w:rsidRPr="00A52B6E">
        <w:rPr>
          <w:color w:val="auto"/>
        </w:rPr>
        <w:t>Involving service users, whānau and the community</w:t>
      </w:r>
      <w:r w:rsidRPr="003D7A22">
        <w:rPr>
          <w:color w:val="auto"/>
        </w:rPr>
        <w:t xml:space="preserve"> </w:t>
      </w:r>
      <w:r>
        <w:t xml:space="preserve">when developing an understanding of demand (needs and opportunities) improves outcomes. In the past, health needs assessment tended to be a ‘desk job’ focused on analysing quantitative data such as the type and distribution of health and disease, demographics, general practitioner (GP) enrolment rates and hospitalisation rates for avoidable illnesses. This </w:t>
      </w:r>
      <w:r w:rsidR="00A67480">
        <w:t xml:space="preserve">analysis </w:t>
      </w:r>
      <w:r w:rsidR="0053710D">
        <w:t>may have</w:t>
      </w:r>
      <w:r>
        <w:t xml:space="preserve"> extended to considering the impact of local contexts and social, economic and behavioural factors on health and service accessibility (economic hardship, poor housing, rural or remote areas with no public transport).</w:t>
      </w:r>
    </w:p>
    <w:p w14:paraId="25F12D2C" w14:textId="073D475F" w:rsidR="005506BF" w:rsidRDefault="005506BF" w:rsidP="005506BF">
      <w:pPr>
        <w:pStyle w:val="NormalIndent1"/>
      </w:pPr>
      <w:r>
        <w:t>In addition, the assessment consider</w:t>
      </w:r>
      <w:r w:rsidR="0053710D">
        <w:t>ed</w:t>
      </w:r>
      <w:r>
        <w:t xml:space="preserve"> how these factors </w:t>
      </w:r>
      <w:r w:rsidR="00921F4F">
        <w:t xml:space="preserve">may </w:t>
      </w:r>
      <w:r>
        <w:t xml:space="preserve">apply to subgroups with higher or different needs, such as Māori, Pacific peoples, the very young or very old, members of the </w:t>
      </w:r>
      <w:r w:rsidR="0050236F">
        <w:t>R</w:t>
      </w:r>
      <w:r>
        <w:t xml:space="preserve">ainbow community and/or those with disabilities.  </w:t>
      </w:r>
    </w:p>
    <w:p w14:paraId="305EAE6D" w14:textId="27A2E57B" w:rsidR="005506BF" w:rsidRDefault="007E53AC" w:rsidP="005506BF">
      <w:pPr>
        <w:pStyle w:val="NormalIndent1"/>
      </w:pPr>
      <w:r>
        <w:t xml:space="preserve">Commissioning for Pae Ora emphasises the importance of moving </w:t>
      </w:r>
      <w:r w:rsidR="005506BF">
        <w:t>beyond the ‘desk job’ to engage</w:t>
      </w:r>
      <w:r w:rsidR="00921F4F">
        <w:t xml:space="preserve"> directly</w:t>
      </w:r>
      <w:r w:rsidR="004D7920">
        <w:rPr>
          <w:rFonts w:ascii="ZWAdobeF" w:hAnsi="ZWAdobeF" w:cs="ZWAdobeF"/>
          <w:color w:val="auto"/>
          <w:sz w:val="2"/>
          <w:szCs w:val="2"/>
        </w:rPr>
        <w:t>23F</w:t>
      </w:r>
      <w:r w:rsidR="005C5900" w:rsidRPr="005C5900">
        <w:rPr>
          <w:rStyle w:val="FootnoteReference"/>
          <w:sz w:val="18"/>
          <w:szCs w:val="24"/>
        </w:rPr>
        <w:footnoteReference w:id="25"/>
      </w:r>
      <w:r w:rsidR="005506BF">
        <w:t xml:space="preserve"> with the community, and subgroups within it, to </w:t>
      </w:r>
      <w:r w:rsidR="005506BF" w:rsidRPr="00921F4F">
        <w:rPr>
          <w:color w:val="auto"/>
        </w:rPr>
        <w:t>gain their insights on what is impacting on their health and wellbeing</w:t>
      </w:r>
      <w:r w:rsidR="005506BF" w:rsidRPr="00921F4F">
        <w:t xml:space="preserve">. </w:t>
      </w:r>
      <w:r w:rsidR="005506BF">
        <w:t>This includes seeking their insights on what’s working well with current services, any barriers to access or gaps, and what needs to improve.</w:t>
      </w:r>
    </w:p>
    <w:p w14:paraId="3B566357" w14:textId="56EAD1D6" w:rsidR="005506BF" w:rsidRDefault="005506BF" w:rsidP="005506BF">
      <w:pPr>
        <w:pStyle w:val="NormalIndent1"/>
      </w:pPr>
      <w:r>
        <w:t xml:space="preserve">This engagement can also help build in a strengths-based, targeted approach, by </w:t>
      </w:r>
      <w:r w:rsidR="00921F4F">
        <w:t>finding out</w:t>
      </w:r>
      <w:r>
        <w:t xml:space="preserve">: </w:t>
      </w:r>
    </w:p>
    <w:p w14:paraId="7C2DCEFA" w14:textId="6564FDA4" w:rsidR="005506BF" w:rsidRDefault="005506BF" w:rsidP="005506BF">
      <w:pPr>
        <w:pStyle w:val="ListBullet"/>
        <w:tabs>
          <w:tab w:val="clear" w:pos="360"/>
          <w:tab w:val="num" w:pos="851"/>
        </w:tabs>
        <w:ind w:left="1985" w:hanging="284"/>
      </w:pPr>
      <w:r>
        <w:t xml:space="preserve">What assets and capabilities do the people, whānau and community have? </w:t>
      </w:r>
    </w:p>
    <w:p w14:paraId="046A4CE0" w14:textId="764CFDA4" w:rsidR="005506BF" w:rsidRDefault="005506BF" w:rsidP="005506BF">
      <w:pPr>
        <w:pStyle w:val="ListBullet"/>
        <w:tabs>
          <w:tab w:val="clear" w:pos="360"/>
          <w:tab w:val="num" w:pos="851"/>
        </w:tabs>
        <w:ind w:left="1985" w:hanging="284"/>
      </w:pPr>
      <w:r>
        <w:t xml:space="preserve">What are their aspirations?  </w:t>
      </w:r>
    </w:p>
    <w:p w14:paraId="7D13F12F" w14:textId="05D96DB0" w:rsidR="005506BF" w:rsidRDefault="005506BF" w:rsidP="005506BF">
      <w:pPr>
        <w:pStyle w:val="ListBullet"/>
        <w:tabs>
          <w:tab w:val="clear" w:pos="360"/>
          <w:tab w:val="num" w:pos="851"/>
        </w:tabs>
        <w:ind w:left="1985" w:hanging="284"/>
      </w:pPr>
      <w:r>
        <w:t>What is working well, based on their lived experience and insights?</w:t>
      </w:r>
    </w:p>
    <w:p w14:paraId="011880AE" w14:textId="50199B5A" w:rsidR="005506BF" w:rsidRDefault="005506BF" w:rsidP="005506BF">
      <w:pPr>
        <w:pStyle w:val="ListBullet"/>
        <w:tabs>
          <w:tab w:val="clear" w:pos="360"/>
          <w:tab w:val="num" w:pos="851"/>
        </w:tabs>
        <w:ind w:left="1985" w:hanging="284"/>
      </w:pPr>
      <w:r>
        <w:t>What are their priorities</w:t>
      </w:r>
      <w:r w:rsidR="00DF4B86">
        <w:t xml:space="preserve"> for</w:t>
      </w:r>
      <w:r>
        <w:t xml:space="preserve"> action?</w:t>
      </w:r>
    </w:p>
    <w:p w14:paraId="240D3634" w14:textId="413D09B2" w:rsidR="005506BF" w:rsidRDefault="005506BF" w:rsidP="005506BF">
      <w:pPr>
        <w:pStyle w:val="NormalIndent1"/>
      </w:pPr>
      <w:r w:rsidRPr="00A52B6E">
        <w:rPr>
          <w:color w:val="auto"/>
        </w:rPr>
        <w:t>Engaging with staff, providers, funders and other stakeholders</w:t>
      </w:r>
      <w:r>
        <w:t xml:space="preserve">, who have different perspectives </w:t>
      </w:r>
      <w:r w:rsidR="00113A05">
        <w:t>from</w:t>
      </w:r>
      <w:r w:rsidR="001C2957">
        <w:t xml:space="preserve"> </w:t>
      </w:r>
      <w:r>
        <w:t xml:space="preserve">service users and the community, can help round out understanding. </w:t>
      </w:r>
    </w:p>
    <w:p w14:paraId="29E53C10" w14:textId="4F8609C2" w:rsidR="005506BF" w:rsidRDefault="005506BF" w:rsidP="005506BF">
      <w:pPr>
        <w:pStyle w:val="NormalIndent1"/>
      </w:pPr>
      <w:r>
        <w:t xml:space="preserve">Finally, assessments can estimate </w:t>
      </w:r>
      <w:r w:rsidRPr="00A52B6E">
        <w:rPr>
          <w:color w:val="auto"/>
        </w:rPr>
        <w:t>future demand</w:t>
      </w:r>
      <w:r w:rsidRPr="003D7A22">
        <w:rPr>
          <w:color w:val="auto"/>
        </w:rPr>
        <w:t xml:space="preserve"> </w:t>
      </w:r>
      <w:r>
        <w:t>based on existing demographics and service use data, as well as broader research on social trends or socioeconomic forecasts.</w:t>
      </w:r>
    </w:p>
    <w:p w14:paraId="64312CBE" w14:textId="77777777" w:rsidR="008576F3" w:rsidRDefault="008576F3" w:rsidP="008576F3"/>
    <w:p w14:paraId="3FF77B27" w14:textId="509ACC58" w:rsidR="008576F3" w:rsidRPr="005506BF" w:rsidRDefault="008576F3" w:rsidP="009055B4">
      <w:pPr>
        <w:pStyle w:val="Heading3-nonumbering"/>
      </w:pPr>
      <w:r w:rsidRPr="008576F3">
        <w:lastRenderedPageBreak/>
        <w:t>Identifying what’s known to work</w:t>
      </w:r>
      <w:r w:rsidR="00A52B6E">
        <w:t xml:space="preserve"> and why</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8576F3" w:rsidRPr="000C72D2" w14:paraId="680CA1CE" w14:textId="77777777" w:rsidTr="008C08C6">
        <w:trPr>
          <w:trHeight w:val="170"/>
        </w:trPr>
        <w:tc>
          <w:tcPr>
            <w:tcW w:w="567" w:type="dxa"/>
          </w:tcPr>
          <w:p w14:paraId="143C4AC2" w14:textId="77777777" w:rsidR="008576F3" w:rsidRPr="000C72D2" w:rsidRDefault="008576F3" w:rsidP="009055B4">
            <w:pPr>
              <w:pStyle w:val="0RULE"/>
            </w:pPr>
          </w:p>
        </w:tc>
      </w:tr>
    </w:tbl>
    <w:p w14:paraId="7D4418C0" w14:textId="32A20623" w:rsidR="005506BF" w:rsidRDefault="005506BF" w:rsidP="005506BF">
      <w:pPr>
        <w:pStyle w:val="NormalIndent1"/>
      </w:pPr>
      <w:r>
        <w:t>The next step involves reviewing evidence from evaluations and broader research in order to gain an up-to-date understanding of effective service design, models of care and delivery methods. The insights from whānau, providers, clinicians and other professionals add to this understanding.</w:t>
      </w:r>
    </w:p>
    <w:p w14:paraId="7EA8C807" w14:textId="6F8692A5" w:rsidR="008576F3" w:rsidRPr="005506BF" w:rsidRDefault="008576F3" w:rsidP="009055B4">
      <w:pPr>
        <w:pStyle w:val="Heading3-nonumbering"/>
      </w:pPr>
      <w:r w:rsidRPr="008576F3">
        <w:t>Assessing readiness for action</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8576F3" w:rsidRPr="000C72D2" w14:paraId="48F70F34" w14:textId="77777777" w:rsidTr="008C08C6">
        <w:trPr>
          <w:trHeight w:val="170"/>
        </w:trPr>
        <w:tc>
          <w:tcPr>
            <w:tcW w:w="567" w:type="dxa"/>
          </w:tcPr>
          <w:p w14:paraId="2C0EA5B0" w14:textId="77777777" w:rsidR="008576F3" w:rsidRPr="000C72D2" w:rsidRDefault="008576F3" w:rsidP="009055B4">
            <w:pPr>
              <w:pStyle w:val="0RULE"/>
            </w:pPr>
          </w:p>
        </w:tc>
      </w:tr>
    </w:tbl>
    <w:p w14:paraId="0BB5C131" w14:textId="36007D55" w:rsidR="008576F3" w:rsidRDefault="00926132" w:rsidP="008576F3">
      <w:pPr>
        <w:pStyle w:val="NormalwIndent"/>
      </w:pPr>
      <w:r>
        <w:t>To u</w:t>
      </w:r>
      <w:r w:rsidR="008576F3">
        <w:t>nderstand the extent to which local providers and the community can meet current and future demand</w:t>
      </w:r>
      <w:r>
        <w:t xml:space="preserve">, </w:t>
      </w:r>
      <w:r w:rsidR="00CE654E">
        <w:t>commissioners</w:t>
      </w:r>
      <w:r>
        <w:t xml:space="preserve"> need to</w:t>
      </w:r>
      <w:r w:rsidR="008576F3">
        <w:t xml:space="preserve"> consider:</w:t>
      </w:r>
    </w:p>
    <w:p w14:paraId="56C131B7" w14:textId="1ABD8781" w:rsidR="008576F3" w:rsidRDefault="008576F3" w:rsidP="008576F3">
      <w:pPr>
        <w:pStyle w:val="ListBullet"/>
        <w:tabs>
          <w:tab w:val="clear" w:pos="360"/>
          <w:tab w:val="num" w:pos="709"/>
        </w:tabs>
        <w:ind w:left="1985" w:hanging="284"/>
      </w:pPr>
      <w:r>
        <w:t>community capacity, capability, leadership, assets and resources</w:t>
      </w:r>
    </w:p>
    <w:p w14:paraId="4C9D2D2B" w14:textId="5C8ED4F5" w:rsidR="008576F3" w:rsidRDefault="008576F3" w:rsidP="008576F3">
      <w:pPr>
        <w:pStyle w:val="ListBullet"/>
        <w:tabs>
          <w:tab w:val="clear" w:pos="360"/>
          <w:tab w:val="num" w:pos="709"/>
        </w:tabs>
        <w:ind w:left="1985" w:hanging="284"/>
      </w:pPr>
      <w:r>
        <w:t>effectiveness of current services, models of care and other investments</w:t>
      </w:r>
    </w:p>
    <w:p w14:paraId="44DAB5D8" w14:textId="21C9B90F" w:rsidR="008576F3" w:rsidRDefault="008576F3" w:rsidP="008576F3">
      <w:pPr>
        <w:pStyle w:val="ListBullet"/>
        <w:tabs>
          <w:tab w:val="clear" w:pos="360"/>
          <w:tab w:val="num" w:pos="709"/>
        </w:tabs>
        <w:ind w:left="1985" w:hanging="284"/>
      </w:pPr>
      <w:r>
        <w:t>service coverage across the life course and the intervention spectrum (from prevention to treatment, to ongoing care)</w:t>
      </w:r>
    </w:p>
    <w:p w14:paraId="157EF68A" w14:textId="09ECE608" w:rsidR="008576F3" w:rsidRDefault="008576F3" w:rsidP="008576F3">
      <w:pPr>
        <w:pStyle w:val="ListBullet"/>
        <w:tabs>
          <w:tab w:val="clear" w:pos="360"/>
          <w:tab w:val="num" w:pos="709"/>
        </w:tabs>
        <w:ind w:left="1985" w:hanging="284"/>
      </w:pPr>
      <w:r>
        <w:t>evidence and knowledge about better models or ways of working to improve outcomes</w:t>
      </w:r>
    </w:p>
    <w:p w14:paraId="42C4C228" w14:textId="2F4A660B" w:rsidR="008576F3" w:rsidRDefault="008576F3" w:rsidP="008576F3">
      <w:pPr>
        <w:pStyle w:val="ListBullet"/>
        <w:tabs>
          <w:tab w:val="clear" w:pos="360"/>
          <w:tab w:val="num" w:pos="709"/>
        </w:tabs>
        <w:ind w:left="1985" w:hanging="284"/>
      </w:pPr>
      <w:r>
        <w:t>opportunities to collaborate</w:t>
      </w:r>
      <w:r w:rsidR="004D7920">
        <w:rPr>
          <w:rFonts w:ascii="ZWAdobeF" w:hAnsi="ZWAdobeF" w:cs="ZWAdobeF"/>
          <w:color w:val="auto"/>
          <w:sz w:val="2"/>
          <w:szCs w:val="2"/>
        </w:rPr>
        <w:t>24F</w:t>
      </w:r>
      <w:r>
        <w:rPr>
          <w:rStyle w:val="FootnoteReference"/>
        </w:rPr>
        <w:footnoteReference w:id="26"/>
      </w:r>
      <w:r>
        <w:t xml:space="preserve"> in ways that achieve better outcomes, including opportunities arising through the available mix of disciplines, technical and cultural skills (language, cultural safety) and community-led responses</w:t>
      </w:r>
    </w:p>
    <w:p w14:paraId="115950F3" w14:textId="5AB0B16D" w:rsidR="008576F3" w:rsidRDefault="008576F3" w:rsidP="008576F3">
      <w:pPr>
        <w:pStyle w:val="ListBullet"/>
        <w:tabs>
          <w:tab w:val="clear" w:pos="360"/>
          <w:tab w:val="num" w:pos="709"/>
        </w:tabs>
        <w:ind w:left="1985" w:hanging="284"/>
      </w:pPr>
      <w:r>
        <w:t xml:space="preserve">provider capacity and capability to innovate as well as </w:t>
      </w:r>
      <w:r w:rsidR="008E2B72">
        <w:t xml:space="preserve">to </w:t>
      </w:r>
      <w:r>
        <w:t>deliver current work</w:t>
      </w:r>
    </w:p>
    <w:p w14:paraId="2A833AA4" w14:textId="6DCAE814" w:rsidR="008576F3" w:rsidRDefault="008576F3" w:rsidP="008576F3">
      <w:pPr>
        <w:pStyle w:val="ListBullet"/>
        <w:tabs>
          <w:tab w:val="clear" w:pos="360"/>
          <w:tab w:val="num" w:pos="709"/>
        </w:tabs>
        <w:ind w:left="1985" w:hanging="284"/>
      </w:pPr>
      <w:r>
        <w:t>leadership that supports innovation.</w:t>
      </w:r>
    </w:p>
    <w:p w14:paraId="076D808B" w14:textId="766732E7" w:rsidR="008576F3" w:rsidRDefault="008576F3" w:rsidP="008576F3">
      <w:pPr>
        <w:pStyle w:val="NormalwIndent"/>
      </w:pPr>
      <w:r>
        <w:t>Using the needs assessment, this approach then draws together a view on what</w:t>
      </w:r>
      <w:r w:rsidR="00926132">
        <w:t xml:space="preserve"> people and wh</w:t>
      </w:r>
      <w:r w:rsidR="00926132">
        <w:rPr>
          <w:rFonts w:ascii="Calibri" w:hAnsi="Calibri" w:cs="Calibri"/>
        </w:rPr>
        <w:t>ā</w:t>
      </w:r>
      <w:r w:rsidR="00926132">
        <w:t>nau</w:t>
      </w:r>
      <w:r>
        <w:t xml:space="preserve"> want, opportunities, priorities and options. Decisions about how to act on this assessment come at the planning stage, which government strategies and organisational priorities also help to shape.</w:t>
      </w:r>
    </w:p>
    <w:p w14:paraId="6CD0D2A7" w14:textId="77777777" w:rsidR="009055B4" w:rsidRDefault="009055B4" w:rsidP="009055B4">
      <w:pPr>
        <w:pStyle w:val="Heading3-nonumbering"/>
        <w:sectPr w:rsidR="009055B4" w:rsidSect="00C345BC">
          <w:pgSz w:w="11906" w:h="16838"/>
          <w:pgMar w:top="2778" w:right="1701" w:bottom="454" w:left="1701" w:header="567" w:footer="567" w:gutter="0"/>
          <w:cols w:space="708"/>
          <w:titlePg/>
          <w:docGrid w:linePitch="360"/>
        </w:sectPr>
      </w:pPr>
    </w:p>
    <w:p w14:paraId="64CCCD57" w14:textId="5462C949" w:rsidR="008576F3" w:rsidRPr="005506BF" w:rsidRDefault="008576F3" w:rsidP="009055B4">
      <w:pPr>
        <w:pStyle w:val="Heading3-nonumbering"/>
        <w:spacing w:before="0"/>
      </w:pPr>
      <w:r w:rsidRPr="008576F3">
        <w:lastRenderedPageBreak/>
        <w:t>Local matters</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8576F3" w:rsidRPr="000C72D2" w14:paraId="18010035" w14:textId="77777777" w:rsidTr="008C08C6">
        <w:trPr>
          <w:trHeight w:val="170"/>
        </w:trPr>
        <w:tc>
          <w:tcPr>
            <w:tcW w:w="567" w:type="dxa"/>
          </w:tcPr>
          <w:p w14:paraId="1FEE6763" w14:textId="77777777" w:rsidR="008576F3" w:rsidRPr="000C72D2" w:rsidRDefault="008576F3" w:rsidP="009055B4">
            <w:pPr>
              <w:pStyle w:val="0RULE"/>
            </w:pPr>
          </w:p>
        </w:tc>
      </w:tr>
    </w:tbl>
    <w:p w14:paraId="16237FB4" w14:textId="3484C087" w:rsidR="002B7D20" w:rsidRDefault="008576F3" w:rsidP="002B7D20">
      <w:pPr>
        <w:pStyle w:val="NormalwIndent"/>
      </w:pPr>
      <w:r>
        <w:t xml:space="preserve">Deep understanding of local communities and contexts is needed. This includes understanding iwi and mana whenua history and sites of </w:t>
      </w:r>
      <w:r w:rsidR="00585F93">
        <w:t>significance</w:t>
      </w:r>
      <w:r>
        <w:t xml:space="preserve">, as well as </w:t>
      </w:r>
      <w:r w:rsidR="00F652EA">
        <w:t xml:space="preserve">any </w:t>
      </w:r>
      <w:r>
        <w:t xml:space="preserve">geographic features that shape service access. Barriers to access may be physical, like winding, narrow roads, or psychological </w:t>
      </w:r>
      <w:r w:rsidR="00926132">
        <w:rPr>
          <w:rFonts w:ascii="Calibri" w:hAnsi="Calibri" w:cs="Calibri"/>
        </w:rPr>
        <w:t>—</w:t>
      </w:r>
      <w:r>
        <w:t xml:space="preserve"> ‘we don’t go to services on that side of the bridge’</w:t>
      </w:r>
      <w:r w:rsidR="002B7D20">
        <w:t>.</w:t>
      </w:r>
    </w:p>
    <w:p w14:paraId="3D45C904" w14:textId="71BD501E" w:rsidR="00771878" w:rsidRDefault="008576F3" w:rsidP="00925E36">
      <w:pPr>
        <w:pStyle w:val="Heading4"/>
      </w:pPr>
      <w:r w:rsidRPr="00925E36">
        <w:t>Key shifts in commissioning at the purpose and understanding stage</w:t>
      </w:r>
    </w:p>
    <w:p w14:paraId="06B780CB" w14:textId="77777777" w:rsidR="00925E36" w:rsidRPr="00925E36" w:rsidRDefault="00925E36" w:rsidP="00925E36">
      <w:pPr>
        <w:rPr>
          <w:lang w:eastAsia="en-GB"/>
        </w:rPr>
      </w:pPr>
    </w:p>
    <w:tbl>
      <w:tblPr>
        <w:tblStyle w:val="TableGrid"/>
        <w:tblW w:w="8605" w:type="dxa"/>
        <w:tblInd w:w="27"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379"/>
        <w:gridCol w:w="3230"/>
        <w:gridCol w:w="3996"/>
      </w:tblGrid>
      <w:tr w:rsidR="00771878" w:rsidRPr="008576F3" w14:paraId="47128A48" w14:textId="77777777" w:rsidTr="00C059A9">
        <w:trPr>
          <w:trHeight w:val="191"/>
        </w:trPr>
        <w:tc>
          <w:tcPr>
            <w:tcW w:w="951" w:type="dxa"/>
            <w:shd w:val="clear" w:color="auto" w:fill="F2F2F2" w:themeFill="background1" w:themeFillShade="F2"/>
          </w:tcPr>
          <w:p w14:paraId="75D7B8DB" w14:textId="77777777" w:rsidR="008576F3" w:rsidRPr="008576F3" w:rsidRDefault="008576F3" w:rsidP="00E03E2E">
            <w:pPr>
              <w:pStyle w:val="TableText"/>
            </w:pPr>
            <w:bookmarkStart w:id="40" w:name="_Hlk79656131"/>
          </w:p>
        </w:tc>
        <w:tc>
          <w:tcPr>
            <w:tcW w:w="3402" w:type="dxa"/>
            <w:shd w:val="clear" w:color="auto" w:fill="F2F2F2" w:themeFill="background1" w:themeFillShade="F2"/>
          </w:tcPr>
          <w:p w14:paraId="6FDBB047" w14:textId="77777777" w:rsidR="008576F3" w:rsidRPr="008576F3" w:rsidRDefault="008576F3" w:rsidP="008576F3">
            <w:pPr>
              <w:pStyle w:val="TableText"/>
              <w:rPr>
                <w:b/>
                <w:bCs/>
              </w:rPr>
            </w:pPr>
            <w:r w:rsidRPr="008576F3">
              <w:rPr>
                <w:b/>
                <w:bCs/>
              </w:rPr>
              <w:t>From conventional commissioning</w:t>
            </w:r>
          </w:p>
        </w:tc>
        <w:tc>
          <w:tcPr>
            <w:tcW w:w="4252" w:type="dxa"/>
            <w:shd w:val="clear" w:color="auto" w:fill="F2F2F2" w:themeFill="background1" w:themeFillShade="F2"/>
          </w:tcPr>
          <w:p w14:paraId="5A068469" w14:textId="1CC3FCBB" w:rsidR="008576F3" w:rsidRPr="008576F3" w:rsidRDefault="008576F3" w:rsidP="008576F3">
            <w:pPr>
              <w:pStyle w:val="TableText"/>
              <w:rPr>
                <w:b/>
                <w:bCs/>
              </w:rPr>
            </w:pPr>
            <w:r w:rsidRPr="008576F3">
              <w:rPr>
                <w:b/>
                <w:bCs/>
              </w:rPr>
              <w:t>To whānau-</w:t>
            </w:r>
            <w:r w:rsidR="008E2B72">
              <w:rPr>
                <w:b/>
                <w:bCs/>
              </w:rPr>
              <w:t>led</w:t>
            </w:r>
            <w:r w:rsidRPr="008576F3">
              <w:rPr>
                <w:b/>
                <w:bCs/>
              </w:rPr>
              <w:t xml:space="preserve"> and Māori-led commissioning</w:t>
            </w:r>
          </w:p>
        </w:tc>
      </w:tr>
      <w:tr w:rsidR="008576F3" w:rsidRPr="008576F3" w14:paraId="4AA85B17" w14:textId="77777777" w:rsidTr="00E03E2E">
        <w:trPr>
          <w:trHeight w:val="709"/>
        </w:trPr>
        <w:tc>
          <w:tcPr>
            <w:tcW w:w="951" w:type="dxa"/>
            <w:shd w:val="clear" w:color="auto" w:fill="F2F2F2" w:themeFill="background1" w:themeFillShade="F2"/>
            <w:vAlign w:val="center"/>
          </w:tcPr>
          <w:p w14:paraId="2D4FD9B4" w14:textId="77777777" w:rsidR="008576F3" w:rsidRPr="00771878" w:rsidRDefault="008576F3" w:rsidP="00E03E2E">
            <w:pPr>
              <w:pStyle w:val="TableText"/>
              <w:rPr>
                <w:b/>
                <w:bCs/>
              </w:rPr>
            </w:pPr>
            <w:r w:rsidRPr="00771878">
              <w:rPr>
                <w:b/>
                <w:bCs/>
              </w:rPr>
              <w:t>People</w:t>
            </w:r>
          </w:p>
          <w:p w14:paraId="6B5F974B" w14:textId="77777777" w:rsidR="008576F3" w:rsidRPr="00771878" w:rsidRDefault="008576F3" w:rsidP="00E03E2E">
            <w:pPr>
              <w:pStyle w:val="TableText"/>
              <w:rPr>
                <w:b/>
                <w:bCs/>
              </w:rPr>
            </w:pPr>
            <w:r w:rsidRPr="00771878">
              <w:rPr>
                <w:b/>
                <w:bCs/>
              </w:rPr>
              <w:t>Whānau</w:t>
            </w:r>
          </w:p>
          <w:p w14:paraId="4D3C0E55" w14:textId="77777777" w:rsidR="008576F3" w:rsidRPr="00771878" w:rsidRDefault="008576F3" w:rsidP="00E03E2E">
            <w:pPr>
              <w:pStyle w:val="TableText"/>
              <w:rPr>
                <w:b/>
                <w:bCs/>
              </w:rPr>
            </w:pPr>
            <w:r w:rsidRPr="00771878">
              <w:rPr>
                <w:b/>
                <w:bCs/>
              </w:rPr>
              <w:t>Communities</w:t>
            </w:r>
          </w:p>
        </w:tc>
        <w:tc>
          <w:tcPr>
            <w:tcW w:w="3402" w:type="dxa"/>
            <w:shd w:val="clear" w:color="auto" w:fill="FFFFFF" w:themeFill="background1"/>
          </w:tcPr>
          <w:p w14:paraId="13FEB6E9" w14:textId="77777777" w:rsidR="008576F3" w:rsidRPr="008576F3" w:rsidRDefault="008576F3" w:rsidP="008C08C6">
            <w:pPr>
              <w:pStyle w:val="Tablebulletx"/>
            </w:pPr>
            <w:r w:rsidRPr="008576F3">
              <w:t>Makes assumptions about what matters and what works for whānau.</w:t>
            </w:r>
          </w:p>
          <w:p w14:paraId="2DBBCEEE" w14:textId="6C90FFD0" w:rsidR="008576F3" w:rsidRPr="008576F3" w:rsidRDefault="008576F3" w:rsidP="008C08C6">
            <w:pPr>
              <w:pStyle w:val="Tablebulletx"/>
            </w:pPr>
            <w:r w:rsidRPr="008576F3">
              <w:t>Sees people, whānau and community through a ‘disease and deficit’ lens,</w:t>
            </w:r>
            <w:r w:rsidR="007A6C6D">
              <w:t xml:space="preserve"> as</w:t>
            </w:r>
            <w:r w:rsidRPr="008576F3">
              <w:t xml:space="preserve"> needing to be ‘fixed’.</w:t>
            </w:r>
          </w:p>
        </w:tc>
        <w:tc>
          <w:tcPr>
            <w:tcW w:w="4252" w:type="dxa"/>
            <w:shd w:val="clear" w:color="auto" w:fill="FFFFFF" w:themeFill="background1"/>
          </w:tcPr>
          <w:p w14:paraId="18FE427A" w14:textId="7F2AA5AC" w:rsidR="008576F3" w:rsidRPr="008576F3" w:rsidRDefault="008576F3" w:rsidP="008576F3">
            <w:pPr>
              <w:pStyle w:val="Tablebulletx"/>
            </w:pPr>
            <w:r w:rsidRPr="008576F3">
              <w:t xml:space="preserve">Involves service users, whānau and community in shaping the purpose so systems and services and other investments focus on </w:t>
            </w:r>
            <w:r w:rsidRPr="00626F85">
              <w:rPr>
                <w:bCs w:val="0"/>
              </w:rPr>
              <w:t>‘what matters’ and ‘what works’</w:t>
            </w:r>
            <w:r w:rsidRPr="008576F3">
              <w:t xml:space="preserve"> for them.</w:t>
            </w:r>
          </w:p>
          <w:p w14:paraId="6D48F6C5" w14:textId="77777777" w:rsidR="008576F3" w:rsidRPr="008576F3" w:rsidRDefault="008576F3" w:rsidP="008576F3">
            <w:pPr>
              <w:pStyle w:val="Tablebulletx"/>
            </w:pPr>
            <w:r w:rsidRPr="008576F3">
              <w:t>Takes a strengths-based approach.</w:t>
            </w:r>
          </w:p>
          <w:p w14:paraId="232FC31A" w14:textId="3516B135" w:rsidR="008576F3" w:rsidRPr="008576F3" w:rsidRDefault="00880023" w:rsidP="008576F3">
            <w:pPr>
              <w:pStyle w:val="Tablebulletx"/>
            </w:pPr>
            <w:r>
              <w:t>Provides s</w:t>
            </w:r>
            <w:r w:rsidR="008576F3" w:rsidRPr="008576F3">
              <w:t xml:space="preserve">upport and services </w:t>
            </w:r>
            <w:r>
              <w:t xml:space="preserve">that </w:t>
            </w:r>
            <w:r w:rsidR="008576F3" w:rsidRPr="008576F3">
              <w:t xml:space="preserve">‘work with’ people and whānau. </w:t>
            </w:r>
          </w:p>
          <w:p w14:paraId="7A5C86B2" w14:textId="77777777" w:rsidR="008576F3" w:rsidRPr="008576F3" w:rsidRDefault="008576F3" w:rsidP="008576F3">
            <w:pPr>
              <w:pStyle w:val="Tablebulletx"/>
            </w:pPr>
            <w:r w:rsidRPr="008576F3">
              <w:t>Identifies opportunities to invest in community and whānau capability, capacity and leadership.</w:t>
            </w:r>
          </w:p>
        </w:tc>
      </w:tr>
      <w:tr w:rsidR="008576F3" w:rsidRPr="008576F3" w14:paraId="254B93FD" w14:textId="77777777" w:rsidTr="00E03E2E">
        <w:trPr>
          <w:trHeight w:val="467"/>
        </w:trPr>
        <w:tc>
          <w:tcPr>
            <w:tcW w:w="951" w:type="dxa"/>
            <w:shd w:val="clear" w:color="auto" w:fill="F2F2F2" w:themeFill="background1" w:themeFillShade="F2"/>
            <w:vAlign w:val="center"/>
          </w:tcPr>
          <w:p w14:paraId="37BB6815" w14:textId="77777777" w:rsidR="008576F3" w:rsidRPr="00771878" w:rsidRDefault="008576F3" w:rsidP="00E03E2E">
            <w:pPr>
              <w:pStyle w:val="TableText"/>
              <w:rPr>
                <w:b/>
                <w:bCs/>
              </w:rPr>
            </w:pPr>
            <w:r w:rsidRPr="00771878">
              <w:rPr>
                <w:b/>
                <w:bCs/>
              </w:rPr>
              <w:t>Delivery</w:t>
            </w:r>
          </w:p>
        </w:tc>
        <w:tc>
          <w:tcPr>
            <w:tcW w:w="3402" w:type="dxa"/>
            <w:shd w:val="clear" w:color="auto" w:fill="FFFFFF" w:themeFill="background1"/>
          </w:tcPr>
          <w:p w14:paraId="2B94C898" w14:textId="77777777" w:rsidR="008576F3" w:rsidRPr="008576F3" w:rsidRDefault="008576F3" w:rsidP="008C08C6">
            <w:pPr>
              <w:pStyle w:val="Tablebulletx"/>
            </w:pPr>
            <w:r w:rsidRPr="008576F3">
              <w:t>Providers have little to no input.</w:t>
            </w:r>
          </w:p>
          <w:p w14:paraId="05E03654" w14:textId="6C129542" w:rsidR="008576F3" w:rsidRPr="008576F3" w:rsidRDefault="008576F3" w:rsidP="008C08C6">
            <w:pPr>
              <w:pStyle w:val="Tablebulletx"/>
            </w:pPr>
            <w:r w:rsidRPr="008576F3">
              <w:t>Buy-in among providers is low</w:t>
            </w:r>
            <w:r w:rsidR="007A6C6D">
              <w:t>. They see it as</w:t>
            </w:r>
            <w:r w:rsidRPr="008576F3">
              <w:t xml:space="preserve"> ‘just more change’.</w:t>
            </w:r>
          </w:p>
        </w:tc>
        <w:tc>
          <w:tcPr>
            <w:tcW w:w="4252" w:type="dxa"/>
            <w:shd w:val="clear" w:color="auto" w:fill="FFFFFF" w:themeFill="background1"/>
          </w:tcPr>
          <w:p w14:paraId="05D58DDF" w14:textId="77777777" w:rsidR="002E203C" w:rsidRDefault="008576F3" w:rsidP="008576F3">
            <w:pPr>
              <w:pStyle w:val="Tablebulletx"/>
            </w:pPr>
            <w:r w:rsidRPr="008576F3">
              <w:t>Includes providers in shaping service design</w:t>
            </w:r>
            <w:r w:rsidR="007A6C6D">
              <w:t>.</w:t>
            </w:r>
            <w:r w:rsidRPr="008576F3">
              <w:t xml:space="preserve"> </w:t>
            </w:r>
          </w:p>
          <w:p w14:paraId="0590F675" w14:textId="511DF890" w:rsidR="008576F3" w:rsidRPr="008576F3" w:rsidRDefault="007A6C6D" w:rsidP="008576F3">
            <w:pPr>
              <w:pStyle w:val="Tablebulletx"/>
            </w:pPr>
            <w:r>
              <w:t>V</w:t>
            </w:r>
            <w:r w:rsidR="008576F3" w:rsidRPr="008576F3">
              <w:t>alues and uses their knowledge and experience.</w:t>
            </w:r>
          </w:p>
        </w:tc>
      </w:tr>
      <w:tr w:rsidR="008576F3" w:rsidRPr="008576F3" w14:paraId="309DB419" w14:textId="77777777" w:rsidTr="00E03E2E">
        <w:tc>
          <w:tcPr>
            <w:tcW w:w="951" w:type="dxa"/>
            <w:shd w:val="clear" w:color="auto" w:fill="F2F2F2" w:themeFill="background1" w:themeFillShade="F2"/>
            <w:vAlign w:val="center"/>
          </w:tcPr>
          <w:p w14:paraId="5F790E33" w14:textId="77777777" w:rsidR="008576F3" w:rsidRPr="00771878" w:rsidRDefault="008576F3" w:rsidP="00E03E2E">
            <w:pPr>
              <w:pStyle w:val="TableText"/>
              <w:rPr>
                <w:b/>
                <w:bCs/>
              </w:rPr>
            </w:pPr>
            <w:r w:rsidRPr="00771878">
              <w:rPr>
                <w:b/>
                <w:bCs/>
              </w:rPr>
              <w:t>Commissioners</w:t>
            </w:r>
          </w:p>
        </w:tc>
        <w:tc>
          <w:tcPr>
            <w:tcW w:w="3402" w:type="dxa"/>
            <w:shd w:val="clear" w:color="auto" w:fill="FFFFFF" w:themeFill="background1"/>
          </w:tcPr>
          <w:p w14:paraId="4222AAB2" w14:textId="77777777" w:rsidR="008576F3" w:rsidRPr="008576F3" w:rsidRDefault="008576F3" w:rsidP="008C08C6">
            <w:pPr>
              <w:pStyle w:val="Tablebulletx"/>
            </w:pPr>
            <w:r w:rsidRPr="008576F3">
              <w:t>Mainly develops an understanding of need through a ‘desk job’ based on quantitative data.</w:t>
            </w:r>
          </w:p>
        </w:tc>
        <w:tc>
          <w:tcPr>
            <w:tcW w:w="4252" w:type="dxa"/>
            <w:shd w:val="clear" w:color="auto" w:fill="FFFFFF" w:themeFill="background1"/>
          </w:tcPr>
          <w:p w14:paraId="46FB4548" w14:textId="2A0AE71B" w:rsidR="008576F3" w:rsidRPr="008576F3" w:rsidRDefault="008576F3" w:rsidP="008576F3">
            <w:pPr>
              <w:pStyle w:val="Tablebulletx"/>
            </w:pPr>
            <w:r w:rsidRPr="008576F3">
              <w:t xml:space="preserve">Uses lived experience to gain insight into what is impacting </w:t>
            </w:r>
            <w:r w:rsidR="00696D42">
              <w:t xml:space="preserve">on the </w:t>
            </w:r>
            <w:r w:rsidRPr="008576F3">
              <w:t>health and wellbeing</w:t>
            </w:r>
            <w:r w:rsidR="00696D42" w:rsidRPr="008576F3">
              <w:t xml:space="preserve"> </w:t>
            </w:r>
            <w:r w:rsidR="00696D42">
              <w:t xml:space="preserve">of </w:t>
            </w:r>
            <w:r w:rsidR="00696D42" w:rsidRPr="008576F3">
              <w:t>people and whānau</w:t>
            </w:r>
            <w:r w:rsidRPr="008576F3">
              <w:t>, what is working well and what needs to improve in current service provision.</w:t>
            </w:r>
          </w:p>
        </w:tc>
      </w:tr>
      <w:tr w:rsidR="008576F3" w:rsidRPr="008576F3" w14:paraId="7CBD9373" w14:textId="77777777" w:rsidTr="00E03E2E">
        <w:trPr>
          <w:trHeight w:val="576"/>
        </w:trPr>
        <w:tc>
          <w:tcPr>
            <w:tcW w:w="951" w:type="dxa"/>
            <w:shd w:val="clear" w:color="auto" w:fill="F2F2F2" w:themeFill="background1" w:themeFillShade="F2"/>
            <w:vAlign w:val="center"/>
          </w:tcPr>
          <w:p w14:paraId="2D12EDDD" w14:textId="77777777" w:rsidR="008576F3" w:rsidRPr="00771878" w:rsidRDefault="008576F3" w:rsidP="00E03E2E">
            <w:pPr>
              <w:pStyle w:val="TableText"/>
              <w:rPr>
                <w:b/>
                <w:bCs/>
              </w:rPr>
            </w:pPr>
            <w:r w:rsidRPr="00771878">
              <w:rPr>
                <w:b/>
                <w:bCs/>
              </w:rPr>
              <w:t>System conditions</w:t>
            </w:r>
          </w:p>
        </w:tc>
        <w:tc>
          <w:tcPr>
            <w:tcW w:w="3402" w:type="dxa"/>
            <w:shd w:val="clear" w:color="auto" w:fill="FFFFFF" w:themeFill="background1"/>
          </w:tcPr>
          <w:p w14:paraId="4A3BF567" w14:textId="77777777" w:rsidR="008576F3" w:rsidRPr="008576F3" w:rsidRDefault="008576F3" w:rsidP="008C08C6">
            <w:pPr>
              <w:pStyle w:val="Tablebulletx"/>
            </w:pPr>
            <w:r w:rsidRPr="008576F3">
              <w:t>Involves little inquiry into provider capacity and capability.</w:t>
            </w:r>
          </w:p>
        </w:tc>
        <w:tc>
          <w:tcPr>
            <w:tcW w:w="4252" w:type="dxa"/>
            <w:shd w:val="clear" w:color="auto" w:fill="FFFFFF" w:themeFill="background1"/>
          </w:tcPr>
          <w:p w14:paraId="79423A25" w14:textId="77777777" w:rsidR="008576F3" w:rsidRPr="008576F3" w:rsidRDefault="008576F3" w:rsidP="008576F3">
            <w:pPr>
              <w:pStyle w:val="Tablebulletx"/>
            </w:pPr>
            <w:r w:rsidRPr="008576F3">
              <w:t>Considers capacity and capability of providers to deliver as a key part of understanding what’s needed.</w:t>
            </w:r>
          </w:p>
        </w:tc>
      </w:tr>
      <w:bookmarkEnd w:id="40"/>
    </w:tbl>
    <w:p w14:paraId="5EB62BE3" w14:textId="77777777" w:rsidR="00771878" w:rsidRDefault="00771878" w:rsidP="008576F3">
      <w:pPr>
        <w:sectPr w:rsidR="00771878" w:rsidSect="00C345BC">
          <w:pgSz w:w="11906" w:h="16838"/>
          <w:pgMar w:top="2778" w:right="1701" w:bottom="454" w:left="1701" w:header="567" w:footer="567" w:gutter="0"/>
          <w:cols w:space="708"/>
          <w:titlePg/>
          <w:docGrid w:linePitch="360"/>
        </w:sectPr>
      </w:pPr>
    </w:p>
    <w:p w14:paraId="074C3CDD" w14:textId="46521808" w:rsidR="00771878" w:rsidRPr="005506BF" w:rsidRDefault="00771878" w:rsidP="009055B4">
      <w:pPr>
        <w:pStyle w:val="Heading3-nonumbering"/>
      </w:pPr>
      <w:r w:rsidRPr="00771878">
        <w:lastRenderedPageBreak/>
        <w:t xml:space="preserve">Purpose and understanding: what and how </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771878" w:rsidRPr="000C72D2" w14:paraId="0EC2961A" w14:textId="77777777" w:rsidTr="008C08C6">
        <w:trPr>
          <w:trHeight w:val="170"/>
        </w:trPr>
        <w:tc>
          <w:tcPr>
            <w:tcW w:w="567" w:type="dxa"/>
          </w:tcPr>
          <w:p w14:paraId="12C79C44" w14:textId="77777777" w:rsidR="00771878" w:rsidRPr="000C72D2" w:rsidRDefault="00771878" w:rsidP="009055B4">
            <w:pPr>
              <w:pStyle w:val="0RULE"/>
            </w:pPr>
          </w:p>
        </w:tc>
      </w:tr>
    </w:tbl>
    <w:p w14:paraId="7E181DEF" w14:textId="7BFA1BD7" w:rsidR="00771878" w:rsidRDefault="00771878" w:rsidP="00925E36">
      <w:pPr>
        <w:pStyle w:val="Heading4"/>
      </w:pPr>
      <w:r>
        <w:t>Aim</w:t>
      </w:r>
    </w:p>
    <w:p w14:paraId="4E0BF5A6" w14:textId="2457DB3F" w:rsidR="00771878" w:rsidRPr="003D7A22" w:rsidRDefault="00771878" w:rsidP="004F7098">
      <w:pPr>
        <w:pStyle w:val="NormalwIndent"/>
        <w:spacing w:after="0"/>
        <w:rPr>
          <w:color w:val="auto"/>
          <w:sz w:val="28"/>
          <w:szCs w:val="28"/>
        </w:rPr>
      </w:pPr>
      <w:r w:rsidRPr="003D7A22">
        <w:rPr>
          <w:color w:val="auto"/>
          <w:sz w:val="28"/>
          <w:szCs w:val="28"/>
        </w:rPr>
        <w:t>To understand and define the need or opportunity, the outcomes wanted, what’s already known to work and how ready providers and communities are for action.</w:t>
      </w:r>
    </w:p>
    <w:p w14:paraId="5982D321" w14:textId="77777777" w:rsidR="00DC1683" w:rsidRPr="00376826" w:rsidRDefault="00DC1683" w:rsidP="00376826">
      <w:pPr>
        <w:pStyle w:val="NormalwIndent"/>
      </w:pPr>
    </w:p>
    <w:tbl>
      <w:tblPr>
        <w:tblStyle w:val="TableGrid"/>
        <w:tblW w:w="9072"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418"/>
        <w:gridCol w:w="3544"/>
        <w:gridCol w:w="4110"/>
      </w:tblGrid>
      <w:tr w:rsidR="0026484B" w:rsidRPr="0026484B" w14:paraId="4E0F1E1C" w14:textId="77777777" w:rsidTr="004F7098">
        <w:trPr>
          <w:trHeight w:val="146"/>
          <w:tblHeader/>
        </w:trPr>
        <w:tc>
          <w:tcPr>
            <w:tcW w:w="1418" w:type="dxa"/>
            <w:shd w:val="clear" w:color="auto" w:fill="F2F2F2" w:themeFill="background1" w:themeFillShade="F2"/>
            <w:vAlign w:val="center"/>
          </w:tcPr>
          <w:p w14:paraId="69D9A555" w14:textId="77777777" w:rsidR="00771878" w:rsidRPr="0026484B" w:rsidRDefault="00771878" w:rsidP="00E03E2E">
            <w:pPr>
              <w:pStyle w:val="TableText"/>
              <w:rPr>
                <w:b/>
                <w:bCs/>
                <w:color w:val="auto"/>
              </w:rPr>
            </w:pPr>
          </w:p>
        </w:tc>
        <w:tc>
          <w:tcPr>
            <w:tcW w:w="3544" w:type="dxa"/>
            <w:shd w:val="clear" w:color="auto" w:fill="F2F2F2" w:themeFill="background1" w:themeFillShade="F2"/>
          </w:tcPr>
          <w:p w14:paraId="5DA8ACE2" w14:textId="03386FAF" w:rsidR="00771878" w:rsidRPr="0026484B" w:rsidRDefault="00696A8F" w:rsidP="00771878">
            <w:pPr>
              <w:pStyle w:val="TableText"/>
              <w:rPr>
                <w:b/>
                <w:bCs/>
                <w:color w:val="auto"/>
              </w:rPr>
            </w:pPr>
            <w:r>
              <w:rPr>
                <w:b/>
                <w:bCs/>
                <w:color w:val="auto"/>
              </w:rPr>
              <w:t>Focus for action</w:t>
            </w:r>
          </w:p>
        </w:tc>
        <w:tc>
          <w:tcPr>
            <w:tcW w:w="4110" w:type="dxa"/>
            <w:shd w:val="clear" w:color="auto" w:fill="F2F2F2" w:themeFill="background1" w:themeFillShade="F2"/>
          </w:tcPr>
          <w:p w14:paraId="2AFD2F5F" w14:textId="39B081C7" w:rsidR="00771878" w:rsidRPr="0026484B" w:rsidRDefault="00771878" w:rsidP="00771878">
            <w:pPr>
              <w:pStyle w:val="TableText"/>
              <w:rPr>
                <w:b/>
                <w:bCs/>
                <w:color w:val="auto"/>
              </w:rPr>
            </w:pPr>
            <w:r w:rsidRPr="0026484B">
              <w:rPr>
                <w:b/>
                <w:bCs/>
                <w:color w:val="auto"/>
              </w:rPr>
              <w:t xml:space="preserve">How </w:t>
            </w:r>
            <w:r w:rsidR="00E4654E">
              <w:rPr>
                <w:b/>
                <w:bCs/>
                <w:color w:val="auto"/>
              </w:rPr>
              <w:t>—</w:t>
            </w:r>
            <w:r w:rsidRPr="0026484B">
              <w:rPr>
                <w:b/>
                <w:bCs/>
                <w:color w:val="auto"/>
              </w:rPr>
              <w:t xml:space="preserve"> methods, tools, resources</w:t>
            </w:r>
            <w:r w:rsidR="00696A8F">
              <w:rPr>
                <w:b/>
                <w:bCs/>
                <w:color w:val="auto"/>
              </w:rPr>
              <w:t xml:space="preserve"> and evidence</w:t>
            </w:r>
          </w:p>
        </w:tc>
      </w:tr>
      <w:tr w:rsidR="00771878" w:rsidRPr="003A6A50" w14:paraId="4F4CDECB" w14:textId="77777777" w:rsidTr="004F7098">
        <w:trPr>
          <w:trHeight w:val="709"/>
        </w:trPr>
        <w:tc>
          <w:tcPr>
            <w:tcW w:w="1418" w:type="dxa"/>
            <w:vMerge w:val="restart"/>
            <w:shd w:val="clear" w:color="auto" w:fill="F2F2F2" w:themeFill="background1" w:themeFillShade="F2"/>
            <w:vAlign w:val="center"/>
          </w:tcPr>
          <w:p w14:paraId="350306C4" w14:textId="77777777" w:rsidR="00771878" w:rsidRPr="00771878" w:rsidRDefault="00771878" w:rsidP="00E03E2E">
            <w:pPr>
              <w:pStyle w:val="TableText"/>
              <w:rPr>
                <w:b/>
                <w:bCs/>
              </w:rPr>
            </w:pPr>
            <w:r w:rsidRPr="00771878">
              <w:rPr>
                <w:b/>
                <w:bCs/>
              </w:rPr>
              <w:t>People</w:t>
            </w:r>
          </w:p>
          <w:p w14:paraId="50276AF0" w14:textId="77777777" w:rsidR="00771878" w:rsidRPr="00771878" w:rsidRDefault="00771878" w:rsidP="00E03E2E">
            <w:pPr>
              <w:pStyle w:val="TableText"/>
              <w:rPr>
                <w:b/>
                <w:bCs/>
              </w:rPr>
            </w:pPr>
            <w:r w:rsidRPr="00771878">
              <w:rPr>
                <w:b/>
                <w:bCs/>
              </w:rPr>
              <w:t>Whānau</w:t>
            </w:r>
          </w:p>
          <w:p w14:paraId="133E5BF2" w14:textId="77777777" w:rsidR="00771878" w:rsidRPr="00771878" w:rsidRDefault="00771878" w:rsidP="00E03E2E">
            <w:pPr>
              <w:pStyle w:val="TableText"/>
              <w:rPr>
                <w:b/>
                <w:bCs/>
              </w:rPr>
            </w:pPr>
            <w:r w:rsidRPr="00771878">
              <w:rPr>
                <w:b/>
                <w:bCs/>
              </w:rPr>
              <w:t>Communities</w:t>
            </w:r>
          </w:p>
        </w:tc>
        <w:tc>
          <w:tcPr>
            <w:tcW w:w="3544" w:type="dxa"/>
            <w:shd w:val="clear" w:color="auto" w:fill="FFFFFF" w:themeFill="background1"/>
          </w:tcPr>
          <w:p w14:paraId="5A5A15D3" w14:textId="77777777" w:rsidR="00771878" w:rsidRPr="00771878" w:rsidRDefault="00771878" w:rsidP="00771878">
            <w:pPr>
              <w:pStyle w:val="TableText"/>
              <w:rPr>
                <w:b/>
              </w:rPr>
            </w:pPr>
            <w:r w:rsidRPr="00771878">
              <w:rPr>
                <w:b/>
              </w:rPr>
              <w:t>Identifying the need or opportunity</w:t>
            </w:r>
          </w:p>
          <w:p w14:paraId="4D04215C" w14:textId="498911AB" w:rsidR="00771878" w:rsidRPr="003A6A50" w:rsidRDefault="00771878" w:rsidP="00771878">
            <w:pPr>
              <w:pStyle w:val="TableText"/>
              <w:rPr>
                <w:rFonts w:eastAsia="+mn-ea" w:cs="+mn-cs"/>
                <w:kern w:val="24"/>
                <w:lang w:eastAsia="en-NZ"/>
              </w:rPr>
            </w:pPr>
            <w:r w:rsidRPr="003A6A50">
              <w:rPr>
                <w:rFonts w:eastAsia="+mn-ea" w:cs="+mn-cs"/>
                <w:kern w:val="24"/>
                <w:lang w:eastAsia="en-NZ"/>
              </w:rPr>
              <w:t xml:space="preserve">What are the needs </w:t>
            </w:r>
            <w:r w:rsidR="00D43653">
              <w:rPr>
                <w:rFonts w:eastAsia="+mn-ea" w:cs="+mn-cs"/>
                <w:kern w:val="24"/>
                <w:lang w:eastAsia="en-NZ"/>
              </w:rPr>
              <w:t>and</w:t>
            </w:r>
            <w:r w:rsidRPr="003A6A50">
              <w:rPr>
                <w:rFonts w:eastAsia="+mn-ea" w:cs="+mn-cs"/>
                <w:kern w:val="24"/>
                <w:lang w:eastAsia="en-NZ"/>
              </w:rPr>
              <w:t xml:space="preserve"> opportunities?</w:t>
            </w:r>
          </w:p>
          <w:p w14:paraId="32809ADE" w14:textId="77777777" w:rsidR="00771878" w:rsidRPr="003A6A50" w:rsidRDefault="00771878" w:rsidP="00771878">
            <w:pPr>
              <w:pStyle w:val="TableText"/>
              <w:rPr>
                <w:rFonts w:eastAsia="+mn-ea" w:cs="+mn-cs"/>
                <w:kern w:val="24"/>
                <w:lang w:eastAsia="en-NZ"/>
              </w:rPr>
            </w:pPr>
            <w:r w:rsidRPr="003A6A50">
              <w:rPr>
                <w:rFonts w:eastAsia="+mn-ea" w:cs="+mn-cs"/>
                <w:kern w:val="24"/>
                <w:lang w:eastAsia="en-NZ"/>
              </w:rPr>
              <w:t>What is the population of interest:</w:t>
            </w:r>
          </w:p>
          <w:p w14:paraId="0AC20554" w14:textId="77777777" w:rsidR="00771878" w:rsidRPr="003A6A50" w:rsidRDefault="00771878" w:rsidP="00771878">
            <w:pPr>
              <w:pStyle w:val="Tablebulletx"/>
              <w:rPr>
                <w:lang w:eastAsia="en-NZ"/>
              </w:rPr>
            </w:pPr>
            <w:r w:rsidRPr="003A6A50">
              <w:rPr>
                <w:lang w:eastAsia="en-NZ"/>
              </w:rPr>
              <w:t>everyone in a geographic area</w:t>
            </w:r>
          </w:p>
          <w:p w14:paraId="5053105A" w14:textId="77777777" w:rsidR="00771878" w:rsidRPr="00331941" w:rsidRDefault="00771878" w:rsidP="00771878">
            <w:pPr>
              <w:pStyle w:val="Tablebulletx"/>
              <w:rPr>
                <w:lang w:eastAsia="en-NZ"/>
              </w:rPr>
            </w:pPr>
            <w:r w:rsidRPr="00331941">
              <w:rPr>
                <w:lang w:eastAsia="en-NZ"/>
              </w:rPr>
              <w:t>people with a particular</w:t>
            </w:r>
            <w:r>
              <w:rPr>
                <w:lang w:eastAsia="en-NZ"/>
              </w:rPr>
              <w:t xml:space="preserve"> </w:t>
            </w:r>
            <w:r w:rsidRPr="00331941">
              <w:rPr>
                <w:lang w:eastAsia="en-NZ"/>
              </w:rPr>
              <w:t>characteristic (</w:t>
            </w:r>
            <w:r>
              <w:rPr>
                <w:lang w:eastAsia="en-NZ"/>
              </w:rPr>
              <w:t xml:space="preserve">eg, </w:t>
            </w:r>
            <w:r w:rsidRPr="00331941">
              <w:rPr>
                <w:lang w:eastAsia="en-NZ"/>
              </w:rPr>
              <w:t>Māori, children, elderly)</w:t>
            </w:r>
          </w:p>
          <w:p w14:paraId="1DA72650" w14:textId="77777777" w:rsidR="00771878" w:rsidRPr="003A6A50" w:rsidRDefault="00771878" w:rsidP="00771878">
            <w:pPr>
              <w:pStyle w:val="Tablebulletx"/>
              <w:rPr>
                <w:lang w:eastAsia="en-NZ"/>
              </w:rPr>
            </w:pPr>
            <w:r>
              <w:rPr>
                <w:lang w:eastAsia="en-NZ"/>
              </w:rPr>
              <w:t xml:space="preserve">people with particular </w:t>
            </w:r>
            <w:r w:rsidRPr="003A6A50">
              <w:rPr>
                <w:lang w:eastAsia="en-NZ"/>
              </w:rPr>
              <w:t>health conditions (</w:t>
            </w:r>
            <w:r>
              <w:rPr>
                <w:lang w:eastAsia="en-NZ"/>
              </w:rPr>
              <w:t xml:space="preserve">eg, </w:t>
            </w:r>
            <w:r w:rsidRPr="003A6A50">
              <w:rPr>
                <w:lang w:eastAsia="en-NZ"/>
              </w:rPr>
              <w:t xml:space="preserve">long-term conditions)? </w:t>
            </w:r>
          </w:p>
          <w:p w14:paraId="307587D5" w14:textId="77777777" w:rsidR="00771878" w:rsidRPr="003A6A50" w:rsidRDefault="00771878" w:rsidP="00771878">
            <w:pPr>
              <w:pStyle w:val="TableText"/>
              <w:rPr>
                <w:rFonts w:eastAsia="+mn-ea"/>
              </w:rPr>
            </w:pPr>
            <w:r w:rsidRPr="003A6A50">
              <w:rPr>
                <w:rFonts w:eastAsia="+mn-ea"/>
              </w:rPr>
              <w:t>What is the level of unmet need?</w:t>
            </w:r>
          </w:p>
          <w:p w14:paraId="27E8B5C5" w14:textId="77777777" w:rsidR="00771878" w:rsidRPr="003A6A50" w:rsidRDefault="00771878" w:rsidP="00771878">
            <w:pPr>
              <w:pStyle w:val="TableText"/>
              <w:rPr>
                <w:rFonts w:eastAsia="+mn-ea"/>
              </w:rPr>
            </w:pPr>
            <w:r w:rsidRPr="003A6A50">
              <w:rPr>
                <w:rFonts w:eastAsia="+mn-ea"/>
              </w:rPr>
              <w:t>What stops whānau engaging and why?</w:t>
            </w:r>
          </w:p>
          <w:p w14:paraId="259213AB" w14:textId="77777777" w:rsidR="00771878" w:rsidRPr="003A6A50" w:rsidRDefault="00771878" w:rsidP="00771878">
            <w:pPr>
              <w:pStyle w:val="TableText"/>
              <w:rPr>
                <w:rFonts w:eastAsia="+mn-ea"/>
              </w:rPr>
            </w:pPr>
            <w:r w:rsidRPr="003A6A50">
              <w:rPr>
                <w:rFonts w:eastAsia="+mn-ea"/>
              </w:rPr>
              <w:t>What would support their engagement?</w:t>
            </w:r>
          </w:p>
          <w:p w14:paraId="70095D70" w14:textId="77777777" w:rsidR="00771878" w:rsidRPr="003A6A50" w:rsidRDefault="00771878" w:rsidP="00771878">
            <w:pPr>
              <w:pStyle w:val="TableText"/>
              <w:rPr>
                <w:rFonts w:eastAsia="+mn-ea"/>
              </w:rPr>
            </w:pPr>
            <w:r w:rsidRPr="003A6A50">
              <w:rPr>
                <w:rFonts w:eastAsia="+mn-ea"/>
              </w:rPr>
              <w:t xml:space="preserve">Does </w:t>
            </w:r>
            <w:r>
              <w:rPr>
                <w:rFonts w:eastAsia="+mn-ea"/>
              </w:rPr>
              <w:t>the g</w:t>
            </w:r>
            <w:r w:rsidRPr="003A6A50">
              <w:rPr>
                <w:rFonts w:eastAsia="+mn-ea"/>
              </w:rPr>
              <w:t xml:space="preserve">overnment have </w:t>
            </w:r>
            <w:r>
              <w:rPr>
                <w:rFonts w:eastAsia="+mn-ea"/>
              </w:rPr>
              <w:t xml:space="preserve">a </w:t>
            </w:r>
            <w:r w:rsidRPr="003A6A50">
              <w:rPr>
                <w:rFonts w:eastAsia="+mn-ea"/>
              </w:rPr>
              <w:t>role in meeting this need?</w:t>
            </w:r>
          </w:p>
        </w:tc>
        <w:tc>
          <w:tcPr>
            <w:tcW w:w="4110" w:type="dxa"/>
            <w:shd w:val="clear" w:color="auto" w:fill="FFFFFF" w:themeFill="background1"/>
          </w:tcPr>
          <w:p w14:paraId="3252751E" w14:textId="5752BB94" w:rsidR="00771878" w:rsidRPr="003A6A50" w:rsidRDefault="00771878" w:rsidP="00771878">
            <w:pPr>
              <w:pStyle w:val="TableText"/>
            </w:pPr>
            <w:r>
              <w:t>Us</w:t>
            </w:r>
            <w:r w:rsidR="00CD617F">
              <w:t>ing</w:t>
            </w:r>
            <w:r>
              <w:t xml:space="preserve"> n</w:t>
            </w:r>
            <w:r w:rsidRPr="003A6A50">
              <w:t>ational and local data sets to understand:</w:t>
            </w:r>
          </w:p>
          <w:p w14:paraId="2063DB3D" w14:textId="77777777" w:rsidR="00771878" w:rsidRPr="003A6A50" w:rsidRDefault="00771878" w:rsidP="00771878">
            <w:pPr>
              <w:pStyle w:val="Tablebulletx"/>
            </w:pPr>
            <w:r w:rsidRPr="003A6A50">
              <w:t>the size and demographics of the population of interest and key subgroups</w:t>
            </w:r>
          </w:p>
          <w:p w14:paraId="31DE76BF" w14:textId="2123E461" w:rsidR="00771878" w:rsidRPr="003A6A50" w:rsidRDefault="00771878" w:rsidP="00771878">
            <w:pPr>
              <w:pStyle w:val="Tablebulletx"/>
            </w:pPr>
            <w:r w:rsidRPr="003A6A50">
              <w:t>the health issues affecting the population of interest</w:t>
            </w:r>
          </w:p>
          <w:p w14:paraId="3E7E5115" w14:textId="77777777" w:rsidR="00771878" w:rsidRPr="003A6A50" w:rsidRDefault="00771878" w:rsidP="00771878">
            <w:pPr>
              <w:pStyle w:val="Tablebulletx"/>
            </w:pPr>
            <w:r w:rsidRPr="003A6A50">
              <w:t xml:space="preserve">differences in scale and the type </w:t>
            </w:r>
            <w:r>
              <w:t>of</w:t>
            </w:r>
            <w:r w:rsidRPr="003A6A50">
              <w:t xml:space="preserve"> issues affecting the population</w:t>
            </w:r>
          </w:p>
          <w:p w14:paraId="0EF9685A" w14:textId="77777777" w:rsidR="00771878" w:rsidRPr="003A6A50" w:rsidRDefault="00771878" w:rsidP="00771878">
            <w:pPr>
              <w:pStyle w:val="Tablebulletx"/>
            </w:pPr>
            <w:r w:rsidRPr="003A6A50">
              <w:t>socioeconomic context</w:t>
            </w:r>
          </w:p>
          <w:p w14:paraId="1124F062" w14:textId="77777777" w:rsidR="00771878" w:rsidRPr="003A6A50" w:rsidRDefault="00771878" w:rsidP="00771878">
            <w:pPr>
              <w:pStyle w:val="Tablebulletx"/>
            </w:pPr>
            <w:r w:rsidRPr="003A6A50">
              <w:t>geographic features that may impact on service access</w:t>
            </w:r>
          </w:p>
          <w:p w14:paraId="51268F1B" w14:textId="12370AB8" w:rsidR="00771878" w:rsidRPr="003A6A50" w:rsidRDefault="00771878" w:rsidP="00771878">
            <w:pPr>
              <w:pStyle w:val="Tablebulletx"/>
            </w:pPr>
            <w:r w:rsidRPr="003A6A50">
              <w:t xml:space="preserve">barriers </w:t>
            </w:r>
            <w:r w:rsidR="00E4654E">
              <w:t xml:space="preserve">to </w:t>
            </w:r>
            <w:r w:rsidRPr="003A6A50">
              <w:t>and enablers of health, wellbeing and equity.</w:t>
            </w:r>
          </w:p>
        </w:tc>
      </w:tr>
      <w:tr w:rsidR="00771878" w:rsidRPr="003A6A50" w14:paraId="4B37C48C" w14:textId="77777777" w:rsidTr="004F7098">
        <w:trPr>
          <w:trHeight w:val="709"/>
        </w:trPr>
        <w:tc>
          <w:tcPr>
            <w:tcW w:w="1418" w:type="dxa"/>
            <w:vMerge/>
            <w:shd w:val="clear" w:color="auto" w:fill="F2F2F2" w:themeFill="background1" w:themeFillShade="F2"/>
            <w:vAlign w:val="center"/>
          </w:tcPr>
          <w:p w14:paraId="530BDF5F" w14:textId="77777777" w:rsidR="00771878" w:rsidRPr="00771878" w:rsidRDefault="00771878" w:rsidP="00E03E2E">
            <w:pPr>
              <w:pStyle w:val="TableText"/>
              <w:rPr>
                <w:b/>
                <w:bCs/>
              </w:rPr>
            </w:pPr>
          </w:p>
        </w:tc>
        <w:tc>
          <w:tcPr>
            <w:tcW w:w="3544" w:type="dxa"/>
            <w:shd w:val="clear" w:color="auto" w:fill="FFFFFF" w:themeFill="background1"/>
          </w:tcPr>
          <w:p w14:paraId="0985203F" w14:textId="77777777" w:rsidR="00771878" w:rsidRPr="00771878" w:rsidRDefault="00771878" w:rsidP="00771878">
            <w:pPr>
              <w:pStyle w:val="TableText"/>
              <w:rPr>
                <w:b/>
              </w:rPr>
            </w:pPr>
            <w:r w:rsidRPr="00771878">
              <w:rPr>
                <w:b/>
              </w:rPr>
              <w:t>Determining purpose</w:t>
            </w:r>
          </w:p>
          <w:p w14:paraId="5332D778" w14:textId="42533647" w:rsidR="00771878" w:rsidRPr="003A6A50" w:rsidRDefault="00771878" w:rsidP="00771878">
            <w:pPr>
              <w:pStyle w:val="TableText"/>
              <w:rPr>
                <w:lang w:eastAsia="en-NZ"/>
              </w:rPr>
            </w:pPr>
            <w:r w:rsidRPr="003A6A50">
              <w:rPr>
                <w:rFonts w:eastAsia="+mn-ea" w:cs="+mn-cs"/>
                <w:kern w:val="24"/>
                <w:lang w:eastAsia="en-NZ"/>
              </w:rPr>
              <w:t>What are the desired outcomes for service users, potential service users and whānau</w:t>
            </w:r>
            <w:r w:rsidR="001E4DD7">
              <w:rPr>
                <w:rFonts w:eastAsia="+mn-ea" w:cs="+mn-cs"/>
                <w:kern w:val="24"/>
                <w:lang w:eastAsia="en-NZ"/>
              </w:rPr>
              <w:t>?</w:t>
            </w:r>
            <w:r w:rsidRPr="003A6A50">
              <w:rPr>
                <w:rFonts w:eastAsia="+mn-ea" w:cs="+mn-cs"/>
                <w:kern w:val="24"/>
                <w:lang w:eastAsia="en-NZ"/>
              </w:rPr>
              <w:t xml:space="preserve"> </w:t>
            </w:r>
            <w:r w:rsidRPr="00696A8F">
              <w:rPr>
                <w:rFonts w:eastAsia="+mn-ea" w:cs="+mn-cs"/>
                <w:bCs/>
                <w:color w:val="auto"/>
                <w:kern w:val="24"/>
                <w:lang w:eastAsia="en-NZ"/>
              </w:rPr>
              <w:t>‘</w:t>
            </w:r>
            <w:r w:rsidR="00E4654E">
              <w:rPr>
                <w:rFonts w:eastAsia="+mn-ea" w:cs="+mn-cs"/>
                <w:bCs/>
                <w:color w:val="auto"/>
                <w:kern w:val="24"/>
                <w:lang w:eastAsia="en-NZ"/>
              </w:rPr>
              <w:t>W</w:t>
            </w:r>
            <w:r w:rsidRPr="00696A8F">
              <w:rPr>
                <w:rFonts w:eastAsia="+mn-ea" w:cs="+mn-cs"/>
                <w:bCs/>
                <w:color w:val="auto"/>
                <w:kern w:val="24"/>
                <w:lang w:eastAsia="en-NZ"/>
              </w:rPr>
              <w:t>hat matters’</w:t>
            </w:r>
            <w:r w:rsidRPr="003D7A22">
              <w:rPr>
                <w:rFonts w:eastAsia="+mn-ea" w:cs="+mn-cs"/>
                <w:color w:val="auto"/>
                <w:kern w:val="24"/>
                <w:lang w:eastAsia="en-NZ"/>
              </w:rPr>
              <w:t xml:space="preserve"> </w:t>
            </w:r>
            <w:r w:rsidRPr="003A6A50">
              <w:rPr>
                <w:rFonts w:eastAsia="+mn-ea" w:cs="+mn-cs"/>
                <w:kern w:val="24"/>
                <w:lang w:eastAsia="en-NZ"/>
              </w:rPr>
              <w:t xml:space="preserve">to them? </w:t>
            </w:r>
          </w:p>
          <w:p w14:paraId="6080F47A" w14:textId="77777777" w:rsidR="00771878" w:rsidRPr="003A6A50" w:rsidRDefault="00771878" w:rsidP="008C08C6">
            <w:pPr>
              <w:spacing w:before="60" w:after="60" w:line="240" w:lineRule="auto"/>
              <w:rPr>
                <w:rFonts w:asciiTheme="minorHAnsi" w:hAnsiTheme="minorHAnsi"/>
                <w:sz w:val="20"/>
                <w:lang w:eastAsia="en-NZ"/>
              </w:rPr>
            </w:pPr>
          </w:p>
        </w:tc>
        <w:tc>
          <w:tcPr>
            <w:tcW w:w="4110" w:type="dxa"/>
            <w:shd w:val="clear" w:color="auto" w:fill="FFFFFF" w:themeFill="background1"/>
          </w:tcPr>
          <w:p w14:paraId="4E2FDD03" w14:textId="77777777" w:rsidR="00771878" w:rsidRPr="003A6A50" w:rsidRDefault="00771878" w:rsidP="00771878">
            <w:pPr>
              <w:pStyle w:val="TableText"/>
            </w:pPr>
            <w:r w:rsidRPr="003A6A50">
              <w:t>Engaging service users, potential service users and communities is an essential part of this process. Methods might include:</w:t>
            </w:r>
          </w:p>
          <w:p w14:paraId="1D3E9D20" w14:textId="77777777" w:rsidR="00771878" w:rsidRPr="003A6A50" w:rsidRDefault="00771878" w:rsidP="00771878">
            <w:pPr>
              <w:pStyle w:val="Tablebulletx"/>
            </w:pPr>
            <w:r w:rsidRPr="003A6A50">
              <w:t xml:space="preserve">user experience studies and surveys </w:t>
            </w:r>
          </w:p>
          <w:p w14:paraId="061E90B9" w14:textId="77777777" w:rsidR="00771878" w:rsidRPr="003A6A50" w:rsidRDefault="00771878" w:rsidP="00771878">
            <w:pPr>
              <w:pStyle w:val="Tablebulletx"/>
            </w:pPr>
            <w:r w:rsidRPr="003A6A50">
              <w:t xml:space="preserve">journey mapping </w:t>
            </w:r>
          </w:p>
          <w:p w14:paraId="5DA2B03E" w14:textId="2E0E378A" w:rsidR="00771878" w:rsidRPr="003A6A50" w:rsidRDefault="00771878" w:rsidP="00771878">
            <w:pPr>
              <w:pStyle w:val="Tablebulletx"/>
            </w:pPr>
            <w:r w:rsidRPr="003A6A50">
              <w:t>observational research</w:t>
            </w:r>
            <w:r w:rsidR="00ED1DAF">
              <w:t xml:space="preserve"> (</w:t>
            </w:r>
            <w:r w:rsidRPr="003A6A50">
              <w:t xml:space="preserve"> eg</w:t>
            </w:r>
            <w:r>
              <w:t>,</w:t>
            </w:r>
            <w:r w:rsidRPr="003A6A50">
              <w:t xml:space="preserve"> site visits</w:t>
            </w:r>
            <w:r w:rsidR="00ED1DAF">
              <w:t>)</w:t>
            </w:r>
          </w:p>
          <w:p w14:paraId="45502CB7" w14:textId="77777777" w:rsidR="00771878" w:rsidRPr="003A6A50" w:rsidRDefault="00771878" w:rsidP="00771878">
            <w:pPr>
              <w:pStyle w:val="Tablebulletx"/>
            </w:pPr>
            <w:r w:rsidRPr="003A6A50">
              <w:t>review of complaints</w:t>
            </w:r>
          </w:p>
          <w:p w14:paraId="2FD03B6D" w14:textId="77777777" w:rsidR="00771878" w:rsidRPr="003A6A50" w:rsidRDefault="00771878" w:rsidP="00771878">
            <w:pPr>
              <w:pStyle w:val="Tablebulletx"/>
            </w:pPr>
            <w:r w:rsidRPr="003A6A50">
              <w:t>community engagement</w:t>
            </w:r>
          </w:p>
          <w:p w14:paraId="6284A15B" w14:textId="54397CFA" w:rsidR="00771878" w:rsidRPr="003A6A50" w:rsidRDefault="00771878" w:rsidP="00771878">
            <w:pPr>
              <w:pStyle w:val="Tablebulletx"/>
            </w:pPr>
            <w:r w:rsidRPr="003A6A50">
              <w:t>‘designing from the margins’ tools</w:t>
            </w:r>
            <w:r w:rsidR="00DC1683">
              <w:t>.</w:t>
            </w:r>
            <w:r w:rsidR="004D7920">
              <w:rPr>
                <w:rFonts w:ascii="ZWAdobeF" w:hAnsi="ZWAdobeF" w:cs="ZWAdobeF"/>
                <w:color w:val="auto"/>
                <w:spacing w:val="0"/>
                <w:sz w:val="2"/>
                <w:szCs w:val="2"/>
              </w:rPr>
              <w:t>25F</w:t>
            </w:r>
            <w:r w:rsidRPr="00DC1683">
              <w:rPr>
                <w:rStyle w:val="FootnoteReference"/>
                <w:rFonts w:asciiTheme="minorHAnsi" w:hAnsiTheme="minorHAnsi" w:cs="Segoe UI"/>
                <w:sz w:val="18"/>
              </w:rPr>
              <w:footnoteReference w:id="27"/>
            </w:r>
          </w:p>
          <w:p w14:paraId="152F1B52" w14:textId="77777777" w:rsidR="00771878" w:rsidRPr="003A6A50" w:rsidRDefault="00771878" w:rsidP="00771878">
            <w:pPr>
              <w:pStyle w:val="TableText"/>
              <w:rPr>
                <w:rFonts w:cs="Segoe UI"/>
              </w:rPr>
            </w:pPr>
            <w:r w:rsidRPr="003A6A50">
              <w:t xml:space="preserve">The </w:t>
            </w:r>
            <w:r w:rsidRPr="00696A8F">
              <w:rPr>
                <w:color w:val="auto"/>
              </w:rPr>
              <w:t>Iwi-Māori Partnership Boards</w:t>
            </w:r>
            <w:r w:rsidRPr="003D7A22">
              <w:rPr>
                <w:color w:val="auto"/>
              </w:rPr>
              <w:t xml:space="preserve"> </w:t>
            </w:r>
            <w:r w:rsidRPr="003A6A50">
              <w:t xml:space="preserve">will have deep local insights, as well as </w:t>
            </w:r>
            <w:r>
              <w:t>applying</w:t>
            </w:r>
            <w:r w:rsidRPr="003A6A50">
              <w:t xml:space="preserve"> a </w:t>
            </w:r>
            <w:r>
              <w:t>lens from t</w:t>
            </w:r>
            <w:r w:rsidRPr="003A6A50">
              <w:t xml:space="preserve">e </w:t>
            </w:r>
            <w:r>
              <w:t>a</w:t>
            </w:r>
            <w:r w:rsidRPr="003A6A50">
              <w:t>o Māori to</w:t>
            </w:r>
            <w:r>
              <w:t xml:space="preserve"> consider</w:t>
            </w:r>
            <w:r w:rsidRPr="003A6A50">
              <w:t xml:space="preserve"> what is needed to improve outcomes and build for the future.</w:t>
            </w:r>
          </w:p>
        </w:tc>
      </w:tr>
      <w:tr w:rsidR="00771878" w:rsidRPr="003A6A50" w14:paraId="4962DD41" w14:textId="77777777" w:rsidTr="004F7098">
        <w:trPr>
          <w:trHeight w:val="1067"/>
        </w:trPr>
        <w:tc>
          <w:tcPr>
            <w:tcW w:w="1418" w:type="dxa"/>
            <w:shd w:val="clear" w:color="auto" w:fill="F2F2F2" w:themeFill="background1" w:themeFillShade="F2"/>
            <w:vAlign w:val="center"/>
          </w:tcPr>
          <w:p w14:paraId="357C0BB2" w14:textId="77777777" w:rsidR="00771878" w:rsidRPr="00771878" w:rsidRDefault="00771878" w:rsidP="00E03E2E">
            <w:pPr>
              <w:pStyle w:val="TableText"/>
              <w:rPr>
                <w:b/>
                <w:bCs/>
              </w:rPr>
            </w:pPr>
            <w:r w:rsidRPr="00771878">
              <w:rPr>
                <w:b/>
                <w:bCs/>
              </w:rPr>
              <w:lastRenderedPageBreak/>
              <w:t>Delivery</w:t>
            </w:r>
          </w:p>
        </w:tc>
        <w:tc>
          <w:tcPr>
            <w:tcW w:w="3544" w:type="dxa"/>
            <w:shd w:val="clear" w:color="auto" w:fill="FFFFFF" w:themeFill="background1"/>
          </w:tcPr>
          <w:p w14:paraId="72D98786" w14:textId="68A3D8F8" w:rsidR="00771878" w:rsidRPr="003A6A50" w:rsidRDefault="00771878" w:rsidP="00771878">
            <w:pPr>
              <w:pStyle w:val="TableText"/>
            </w:pPr>
            <w:r w:rsidRPr="003A6A50">
              <w:t xml:space="preserve">What </w:t>
            </w:r>
            <w:r w:rsidR="00E52E7A">
              <w:t>are</w:t>
            </w:r>
            <w:r w:rsidR="00E52E7A" w:rsidRPr="003A6A50">
              <w:t xml:space="preserve"> </w:t>
            </w:r>
            <w:r w:rsidRPr="003A6A50">
              <w:t>the best</w:t>
            </w:r>
            <w:r>
              <w:t xml:space="preserve"> way</w:t>
            </w:r>
            <w:r w:rsidR="00E52E7A">
              <w:t>s</w:t>
            </w:r>
            <w:r>
              <w:t xml:space="preserve"> of</w:t>
            </w:r>
            <w:r w:rsidRPr="003A6A50">
              <w:t xml:space="preserve"> allocati</w:t>
            </w:r>
            <w:r>
              <w:t>ng</w:t>
            </w:r>
            <w:r w:rsidRPr="003A6A50">
              <w:t xml:space="preserve"> decision-making and resources to drive improvements</w:t>
            </w:r>
            <w:r w:rsidR="00FC0D48">
              <w:t>?</w:t>
            </w:r>
            <w:r w:rsidR="00E4654E">
              <w:t xml:space="preserve"> Do they involve</w:t>
            </w:r>
            <w:r>
              <w:t xml:space="preserve"> </w:t>
            </w:r>
            <w:r w:rsidRPr="003A6A50">
              <w:t>sit</w:t>
            </w:r>
            <w:r w:rsidR="00E4654E">
              <w:t>ting</w:t>
            </w:r>
            <w:r w:rsidRPr="003A6A50">
              <w:t xml:space="preserve"> with whānau and communities, or</w:t>
            </w:r>
            <w:r w:rsidR="001E4DD7">
              <w:t xml:space="preserve"> with</w:t>
            </w:r>
            <w:r w:rsidRPr="003A6A50">
              <w:t xml:space="preserve"> service providers, or </w:t>
            </w:r>
            <w:r w:rsidR="00E4654E">
              <w:t xml:space="preserve">making </w:t>
            </w:r>
            <w:r w:rsidRPr="003A6A50">
              <w:t>collaborative efforts?</w:t>
            </w:r>
          </w:p>
          <w:p w14:paraId="1E31140C" w14:textId="70C795B5" w:rsidR="00771878" w:rsidRPr="003A6A50" w:rsidRDefault="00771878" w:rsidP="00771878">
            <w:pPr>
              <w:pStyle w:val="TableText"/>
            </w:pPr>
            <w:r w:rsidRPr="003A6A50">
              <w:t xml:space="preserve">To what extent </w:t>
            </w:r>
            <w:r>
              <w:t>are</w:t>
            </w:r>
            <w:r w:rsidRPr="003A6A50">
              <w:t xml:space="preserve"> consistency and standards </w:t>
            </w:r>
            <w:r w:rsidR="00027A19">
              <w:t xml:space="preserve">still </w:t>
            </w:r>
            <w:r w:rsidRPr="003A6A50">
              <w:t>needed (eg</w:t>
            </w:r>
            <w:r>
              <w:t>,</w:t>
            </w:r>
            <w:r w:rsidRPr="003A6A50">
              <w:t xml:space="preserve"> to meet safety requirements) </w:t>
            </w:r>
            <w:r w:rsidR="00F738A8">
              <w:t>whil</w:t>
            </w:r>
            <w:r w:rsidR="00FC0D48">
              <w:t>e</w:t>
            </w:r>
            <w:r>
              <w:t xml:space="preserve"> allowing</w:t>
            </w:r>
            <w:r w:rsidRPr="003A6A50">
              <w:t xml:space="preserve"> flexibility to meet local needs, aspirations and contexts?</w:t>
            </w:r>
          </w:p>
          <w:p w14:paraId="5BDAC748" w14:textId="77777777" w:rsidR="00771878" w:rsidRPr="003A6A50" w:rsidRDefault="00771878" w:rsidP="008C08C6">
            <w:pPr>
              <w:spacing w:before="60" w:after="60" w:line="240" w:lineRule="auto"/>
              <w:rPr>
                <w:rFonts w:asciiTheme="minorHAnsi" w:hAnsiTheme="minorHAnsi"/>
                <w:b/>
                <w:bCs/>
                <w:color w:val="000000" w:themeColor="text1"/>
                <w:sz w:val="20"/>
              </w:rPr>
            </w:pPr>
          </w:p>
        </w:tc>
        <w:tc>
          <w:tcPr>
            <w:tcW w:w="4110" w:type="dxa"/>
            <w:shd w:val="clear" w:color="auto" w:fill="FFFFFF" w:themeFill="background1"/>
          </w:tcPr>
          <w:p w14:paraId="731BF476" w14:textId="2B73E4C3" w:rsidR="00771878" w:rsidRPr="003A6A50" w:rsidRDefault="00771878" w:rsidP="00771878">
            <w:pPr>
              <w:pStyle w:val="TableText"/>
              <w:rPr>
                <w:rFonts w:eastAsia="+mn-ea"/>
              </w:rPr>
            </w:pPr>
            <w:r>
              <w:rPr>
                <w:rFonts w:eastAsia="+mn-ea"/>
              </w:rPr>
              <w:t>T</w:t>
            </w:r>
            <w:r w:rsidRPr="003A6A50">
              <w:rPr>
                <w:rFonts w:eastAsia="+mn-ea"/>
              </w:rPr>
              <w:t xml:space="preserve">o what extent </w:t>
            </w:r>
            <w:r>
              <w:rPr>
                <w:rFonts w:eastAsia="+mn-ea"/>
              </w:rPr>
              <w:t xml:space="preserve">will </w:t>
            </w:r>
            <w:r w:rsidRPr="003A6A50">
              <w:rPr>
                <w:rFonts w:eastAsia="+mn-ea"/>
              </w:rPr>
              <w:t>decision-making and resources be devolved to whānau and communities to lead their own responses</w:t>
            </w:r>
            <w:r w:rsidR="00FC0D48">
              <w:rPr>
                <w:rFonts w:eastAsia="+mn-ea"/>
              </w:rPr>
              <w:t>?</w:t>
            </w:r>
            <w:r w:rsidRPr="003A6A50">
              <w:rPr>
                <w:rFonts w:eastAsia="+mn-ea"/>
              </w:rPr>
              <w:t xml:space="preserve"> </w:t>
            </w:r>
            <w:r w:rsidR="001E4DD7">
              <w:rPr>
                <w:rFonts w:eastAsia="+mn-ea"/>
              </w:rPr>
              <w:t>Are</w:t>
            </w:r>
            <w:r w:rsidR="001E4DD7" w:rsidRPr="003A6A50">
              <w:rPr>
                <w:rFonts w:eastAsia="+mn-ea"/>
              </w:rPr>
              <w:t xml:space="preserve"> </w:t>
            </w:r>
            <w:r w:rsidRPr="003A6A50">
              <w:rPr>
                <w:rFonts w:eastAsia="+mn-ea"/>
              </w:rPr>
              <w:t xml:space="preserve">the capacity, capability and leadership </w:t>
            </w:r>
            <w:r>
              <w:rPr>
                <w:rFonts w:eastAsia="+mn-ea"/>
              </w:rPr>
              <w:t xml:space="preserve">they </w:t>
            </w:r>
            <w:r w:rsidRPr="003A6A50">
              <w:rPr>
                <w:rFonts w:eastAsia="+mn-ea"/>
              </w:rPr>
              <w:t xml:space="preserve">need in place? </w:t>
            </w:r>
          </w:p>
          <w:p w14:paraId="127E54DF" w14:textId="736862B2" w:rsidR="00771878" w:rsidRPr="003A6A50" w:rsidRDefault="00771878" w:rsidP="00771878">
            <w:pPr>
              <w:pStyle w:val="TableText"/>
            </w:pPr>
            <w:r w:rsidRPr="003A6A50">
              <w:t xml:space="preserve">If services are needed, are providers </w:t>
            </w:r>
            <w:r>
              <w:t xml:space="preserve">available </w:t>
            </w:r>
            <w:r w:rsidRPr="003A6A50">
              <w:t>who can deliver the quality and type of support needed</w:t>
            </w:r>
            <w:r w:rsidR="00FC0D48">
              <w:t>?</w:t>
            </w:r>
            <w:r w:rsidRPr="003A6A50">
              <w:t xml:space="preserve"> (</w:t>
            </w:r>
            <w:r w:rsidR="004912ED">
              <w:t>A</w:t>
            </w:r>
            <w:r w:rsidRPr="003A6A50">
              <w:t>re they accessible to and trusted by the community</w:t>
            </w:r>
            <w:r w:rsidR="004912ED">
              <w:t>?</w:t>
            </w:r>
            <w:r>
              <w:t>)</w:t>
            </w:r>
          </w:p>
          <w:p w14:paraId="138AA82F" w14:textId="77777777" w:rsidR="00771878" w:rsidRPr="003A6A50" w:rsidRDefault="00771878" w:rsidP="00771878">
            <w:pPr>
              <w:pStyle w:val="TableText"/>
            </w:pPr>
            <w:r w:rsidRPr="003A6A50">
              <w:t>Can collaboration between community and providers better meet needs?</w:t>
            </w:r>
          </w:p>
        </w:tc>
      </w:tr>
      <w:tr w:rsidR="00771878" w:rsidRPr="003A6A50" w14:paraId="4BD86D5E" w14:textId="77777777" w:rsidTr="004F7098">
        <w:trPr>
          <w:trHeight w:val="1389"/>
        </w:trPr>
        <w:tc>
          <w:tcPr>
            <w:tcW w:w="1418" w:type="dxa"/>
            <w:shd w:val="clear" w:color="auto" w:fill="F2F2F2" w:themeFill="background1" w:themeFillShade="F2"/>
            <w:vAlign w:val="center"/>
          </w:tcPr>
          <w:p w14:paraId="70CED9B5" w14:textId="77777777" w:rsidR="00771878" w:rsidRPr="00771878" w:rsidRDefault="00771878" w:rsidP="00E03E2E">
            <w:pPr>
              <w:pStyle w:val="TableText"/>
              <w:rPr>
                <w:b/>
                <w:bCs/>
              </w:rPr>
            </w:pPr>
            <w:r w:rsidRPr="00771878">
              <w:rPr>
                <w:b/>
                <w:bCs/>
              </w:rPr>
              <w:t>Commissioners</w:t>
            </w:r>
          </w:p>
        </w:tc>
        <w:tc>
          <w:tcPr>
            <w:tcW w:w="3544" w:type="dxa"/>
            <w:shd w:val="clear" w:color="auto" w:fill="FFFFFF" w:themeFill="background1"/>
          </w:tcPr>
          <w:p w14:paraId="4A82DF74" w14:textId="77777777" w:rsidR="00771878" w:rsidRPr="00771878" w:rsidRDefault="00771878" w:rsidP="00771878">
            <w:pPr>
              <w:pStyle w:val="TableText"/>
              <w:rPr>
                <w:b/>
              </w:rPr>
            </w:pPr>
            <w:r w:rsidRPr="00771878">
              <w:rPr>
                <w:b/>
              </w:rPr>
              <w:t>Understanding demand</w:t>
            </w:r>
          </w:p>
          <w:p w14:paraId="19C331CC" w14:textId="77777777" w:rsidR="00771878" w:rsidRPr="003A6A50" w:rsidRDefault="00771878" w:rsidP="00771878">
            <w:pPr>
              <w:pStyle w:val="TableText"/>
              <w:rPr>
                <w:rFonts w:cs="Segoe UI"/>
              </w:rPr>
            </w:pPr>
            <w:r w:rsidRPr="003A6A50">
              <w:rPr>
                <w:rFonts w:cs="Segoe UI"/>
              </w:rPr>
              <w:t xml:space="preserve">What </w:t>
            </w:r>
            <w:r>
              <w:rPr>
                <w:rFonts w:cs="Segoe UI"/>
              </w:rPr>
              <w:t>do we know about</w:t>
            </w:r>
            <w:r w:rsidRPr="003A6A50">
              <w:rPr>
                <w:rFonts w:cs="Segoe UI"/>
              </w:rPr>
              <w:t xml:space="preserve"> local service provision</w:t>
            </w:r>
            <w:r>
              <w:rPr>
                <w:rFonts w:cs="Segoe UI"/>
              </w:rPr>
              <w:t xml:space="preserve"> in terms of</w:t>
            </w:r>
            <w:r w:rsidRPr="003A6A50">
              <w:rPr>
                <w:rFonts w:cs="Segoe UI"/>
              </w:rPr>
              <w:t>:</w:t>
            </w:r>
          </w:p>
          <w:p w14:paraId="705A0B9D" w14:textId="77777777" w:rsidR="00771878" w:rsidRPr="003A6A50" w:rsidRDefault="00771878" w:rsidP="004F7098">
            <w:pPr>
              <w:pStyle w:val="Tablebulletx"/>
              <w:tabs>
                <w:tab w:val="clear" w:pos="360"/>
                <w:tab w:val="num" w:pos="252"/>
              </w:tabs>
            </w:pPr>
            <w:r w:rsidRPr="003A6A50">
              <w:t>type, coverage, mix and match to need</w:t>
            </w:r>
          </w:p>
          <w:p w14:paraId="497C8231" w14:textId="0437B155" w:rsidR="00771878" w:rsidRPr="003A6A50" w:rsidRDefault="00771878" w:rsidP="004F7098">
            <w:pPr>
              <w:pStyle w:val="Tablebulletx"/>
              <w:tabs>
                <w:tab w:val="clear" w:pos="360"/>
                <w:tab w:val="num" w:pos="252"/>
              </w:tabs>
            </w:pPr>
            <w:r w:rsidRPr="003A6A50">
              <w:t>enrolment and use patterns</w:t>
            </w:r>
            <w:r w:rsidR="004912ED" w:rsidRPr="00387549">
              <w:t xml:space="preserve"> by</w:t>
            </w:r>
            <w:r w:rsidRPr="003A6A50">
              <w:t>:</w:t>
            </w:r>
          </w:p>
          <w:p w14:paraId="489B6AE4" w14:textId="069F2FCB" w:rsidR="00771878" w:rsidRPr="00387549" w:rsidRDefault="00771878" w:rsidP="00387549">
            <w:pPr>
              <w:pStyle w:val="Tablebulletx"/>
              <w:numPr>
                <w:ilvl w:val="1"/>
                <w:numId w:val="10"/>
              </w:numPr>
              <w:ind w:left="746" w:hanging="283"/>
            </w:pPr>
            <w:r w:rsidRPr="00387549">
              <w:t>key demographics</w:t>
            </w:r>
          </w:p>
          <w:p w14:paraId="0D60858C" w14:textId="23F92C3B" w:rsidR="00771878" w:rsidRPr="00387549" w:rsidRDefault="00771878" w:rsidP="00387549">
            <w:pPr>
              <w:pStyle w:val="Tablebulletx"/>
              <w:numPr>
                <w:ilvl w:val="1"/>
                <w:numId w:val="10"/>
              </w:numPr>
              <w:ind w:left="746" w:hanging="283"/>
              <w:rPr>
                <w:bCs w:val="0"/>
              </w:rPr>
            </w:pPr>
            <w:r w:rsidRPr="00387549">
              <w:t>conditions and</w:t>
            </w:r>
            <w:r w:rsidRPr="00387549">
              <w:rPr>
                <w:bCs w:val="0"/>
              </w:rPr>
              <w:t xml:space="preserve"> co-morbidities</w:t>
            </w:r>
          </w:p>
          <w:p w14:paraId="4AF001BC" w14:textId="77777777" w:rsidR="00771878" w:rsidRPr="003A6A50" w:rsidRDefault="00771878" w:rsidP="004F7098">
            <w:pPr>
              <w:pStyle w:val="Tablebulletx"/>
              <w:tabs>
                <w:tab w:val="clear" w:pos="360"/>
                <w:tab w:val="num" w:pos="252"/>
              </w:tabs>
            </w:pPr>
            <w:r w:rsidRPr="003A6A50">
              <w:t>trends and growth</w:t>
            </w:r>
          </w:p>
          <w:p w14:paraId="747F53C6" w14:textId="77777777" w:rsidR="00771878" w:rsidRPr="003A6A50" w:rsidRDefault="00771878" w:rsidP="004F7098">
            <w:pPr>
              <w:pStyle w:val="Tablebulletx"/>
              <w:tabs>
                <w:tab w:val="clear" w:pos="360"/>
                <w:tab w:val="num" w:pos="252"/>
              </w:tabs>
            </w:pPr>
            <w:r w:rsidRPr="003A6A50">
              <w:t>effectiveness?</w:t>
            </w:r>
          </w:p>
          <w:p w14:paraId="53BDC1E6" w14:textId="335BE0A4" w:rsidR="00771878" w:rsidRPr="003A6A50" w:rsidRDefault="00771878" w:rsidP="00771878">
            <w:pPr>
              <w:pStyle w:val="TableText"/>
            </w:pPr>
            <w:r w:rsidRPr="003A6A50">
              <w:t>Who is missing out</w:t>
            </w:r>
            <w:r w:rsidR="00027A19">
              <w:t xml:space="preserve"> and</w:t>
            </w:r>
            <w:r w:rsidRPr="003A6A50">
              <w:t xml:space="preserve"> why?</w:t>
            </w:r>
          </w:p>
          <w:p w14:paraId="31C46ED8" w14:textId="77777777" w:rsidR="00771878" w:rsidRPr="003A6A50" w:rsidRDefault="00771878" w:rsidP="00771878">
            <w:pPr>
              <w:pStyle w:val="TableText"/>
              <w:rPr>
                <w:b/>
                <w:bCs/>
                <w:color w:val="000000" w:themeColor="text1"/>
              </w:rPr>
            </w:pPr>
            <w:r w:rsidRPr="003A6A50">
              <w:rPr>
                <w:b/>
                <w:bCs/>
                <w:color w:val="000000" w:themeColor="text1"/>
              </w:rPr>
              <w:t>Readiness for action</w:t>
            </w:r>
          </w:p>
          <w:p w14:paraId="57DD2996" w14:textId="77777777" w:rsidR="00771878" w:rsidRPr="003A6A50" w:rsidRDefault="00771878" w:rsidP="00771878">
            <w:pPr>
              <w:pStyle w:val="TableText"/>
              <w:rPr>
                <w:rFonts w:cs="Segoe UI"/>
              </w:rPr>
            </w:pPr>
            <w:r w:rsidRPr="003A6A50">
              <w:rPr>
                <w:rFonts w:cs="Segoe UI"/>
              </w:rPr>
              <w:t>Do existing providers have the capacity and capability to deliver services, innovate and improve?</w:t>
            </w:r>
          </w:p>
          <w:p w14:paraId="5A914684" w14:textId="66C5B211" w:rsidR="00771878" w:rsidRPr="003A6A50" w:rsidRDefault="00771878" w:rsidP="00771878">
            <w:pPr>
              <w:pStyle w:val="TableText"/>
              <w:rPr>
                <w:rFonts w:cs="Segoe UI"/>
              </w:rPr>
            </w:pPr>
            <w:r w:rsidRPr="003A6A50">
              <w:rPr>
                <w:rFonts w:cs="Segoe UI"/>
              </w:rPr>
              <w:t xml:space="preserve">Are there </w:t>
            </w:r>
            <w:r w:rsidR="003A269A">
              <w:rPr>
                <w:rFonts w:cs="Segoe UI"/>
              </w:rPr>
              <w:t xml:space="preserve">any other </w:t>
            </w:r>
            <w:r w:rsidRPr="003A6A50">
              <w:rPr>
                <w:rFonts w:cs="Segoe UI"/>
              </w:rPr>
              <w:t>providers who could meet needs?</w:t>
            </w:r>
          </w:p>
        </w:tc>
        <w:tc>
          <w:tcPr>
            <w:tcW w:w="4110" w:type="dxa"/>
            <w:shd w:val="clear" w:color="auto" w:fill="FFFFFF" w:themeFill="background1"/>
          </w:tcPr>
          <w:p w14:paraId="124B2CCB" w14:textId="77777777" w:rsidR="00771878" w:rsidRPr="003A6A50" w:rsidRDefault="00771878" w:rsidP="00771878">
            <w:pPr>
              <w:pStyle w:val="TableText"/>
            </w:pPr>
            <w:r>
              <w:t xml:space="preserve">Understand </w:t>
            </w:r>
            <w:r w:rsidRPr="003A6A50">
              <w:t>community strengths</w:t>
            </w:r>
            <w:r>
              <w:t xml:space="preserve"> and aspirations, with a focus on:</w:t>
            </w:r>
          </w:p>
          <w:p w14:paraId="69021E5E" w14:textId="77777777" w:rsidR="00771878" w:rsidRPr="003A6A50" w:rsidRDefault="00771878" w:rsidP="00771878">
            <w:pPr>
              <w:pStyle w:val="Tablebulletx"/>
            </w:pPr>
            <w:r w:rsidRPr="003A6A50">
              <w:t>community networks</w:t>
            </w:r>
            <w:r>
              <w:t xml:space="preserve"> and</w:t>
            </w:r>
            <w:r w:rsidRPr="003A6A50">
              <w:t xml:space="preserve"> leadership </w:t>
            </w:r>
          </w:p>
          <w:p w14:paraId="1153E5F3" w14:textId="3C7C5983" w:rsidR="00771878" w:rsidRPr="003A6A50" w:rsidRDefault="00771878" w:rsidP="00771878">
            <w:pPr>
              <w:pStyle w:val="Tablebulletx"/>
            </w:pPr>
            <w:r>
              <w:t xml:space="preserve">opportunities to </w:t>
            </w:r>
            <w:r w:rsidRPr="003A6A50">
              <w:t>build on existing capacity and capability</w:t>
            </w:r>
            <w:r>
              <w:t>.</w:t>
            </w:r>
            <w:r w:rsidR="004D7920">
              <w:rPr>
                <w:rFonts w:ascii="ZWAdobeF" w:hAnsi="ZWAdobeF" w:cs="ZWAdobeF"/>
                <w:color w:val="auto"/>
                <w:spacing w:val="0"/>
                <w:sz w:val="2"/>
                <w:szCs w:val="2"/>
              </w:rPr>
              <w:t>26F</w:t>
            </w:r>
            <w:r>
              <w:rPr>
                <w:rStyle w:val="FootnoteReference"/>
                <w:rFonts w:asciiTheme="minorHAnsi" w:hAnsiTheme="minorHAnsi"/>
              </w:rPr>
              <w:footnoteReference w:id="28"/>
            </w:r>
          </w:p>
          <w:p w14:paraId="5AA96109" w14:textId="77777777" w:rsidR="00771878" w:rsidRPr="00AA00EE" w:rsidRDefault="00771878" w:rsidP="00771878">
            <w:pPr>
              <w:pStyle w:val="TableText"/>
            </w:pPr>
            <w:r w:rsidRPr="00AA00EE">
              <w:t>Map services for:</w:t>
            </w:r>
          </w:p>
          <w:p w14:paraId="2EFC743B" w14:textId="4D6C211A" w:rsidR="00771878" w:rsidRPr="00AA00EE" w:rsidRDefault="0038771F" w:rsidP="00771878">
            <w:pPr>
              <w:pStyle w:val="Tablebulletx"/>
            </w:pPr>
            <w:r>
              <w:t>l</w:t>
            </w:r>
            <w:r w:rsidR="00771878" w:rsidRPr="00AA00EE">
              <w:t>ocation, opening hours, outreach, accessibility</w:t>
            </w:r>
          </w:p>
          <w:p w14:paraId="2603CCBC" w14:textId="77777777" w:rsidR="00771878" w:rsidRPr="003A6A50" w:rsidRDefault="00771878" w:rsidP="00771878">
            <w:pPr>
              <w:pStyle w:val="Tablebulletx"/>
            </w:pPr>
            <w:r w:rsidRPr="003A6A50">
              <w:t xml:space="preserve">GP and provider enrolments by demographics, coverage, unmet need </w:t>
            </w:r>
          </w:p>
          <w:p w14:paraId="7AD1FED7" w14:textId="77777777" w:rsidR="00771878" w:rsidRPr="003A6A50" w:rsidRDefault="00771878" w:rsidP="00771878">
            <w:pPr>
              <w:pStyle w:val="Tablebulletx"/>
            </w:pPr>
            <w:r w:rsidRPr="003A6A50">
              <w:t>primary, secondary and tertiary service use by subgroups</w:t>
            </w:r>
          </w:p>
          <w:p w14:paraId="652A874C" w14:textId="292290BA" w:rsidR="00771878" w:rsidRPr="003A6A50" w:rsidRDefault="00771878" w:rsidP="00771878">
            <w:pPr>
              <w:pStyle w:val="Tablebulletx"/>
            </w:pPr>
            <w:r>
              <w:t>a</w:t>
            </w:r>
            <w:r w:rsidRPr="003A6A50">
              <w:t>cceptability</w:t>
            </w:r>
            <w:r>
              <w:t xml:space="preserve"> </w:t>
            </w:r>
            <w:r w:rsidR="00624322">
              <w:rPr>
                <w:rFonts w:ascii="Calibri" w:hAnsi="Calibri" w:cs="Calibri"/>
              </w:rPr>
              <w:t>—</w:t>
            </w:r>
            <w:r w:rsidRPr="003A6A50">
              <w:t xml:space="preserve"> using preferred language, cultural safety, user/whānau experience </w:t>
            </w:r>
          </w:p>
          <w:p w14:paraId="2B955EEE" w14:textId="2E16F960" w:rsidR="00771878" w:rsidRPr="003A6A50" w:rsidRDefault="00771878" w:rsidP="00771878">
            <w:pPr>
              <w:pStyle w:val="Tablebulletx"/>
            </w:pPr>
            <w:r>
              <w:t>q</w:t>
            </w:r>
            <w:r w:rsidRPr="003A6A50">
              <w:t>uality</w:t>
            </w:r>
            <w:r w:rsidR="00624322">
              <w:t xml:space="preserve"> </w:t>
            </w:r>
            <w:r w:rsidR="00520168">
              <w:t>—</w:t>
            </w:r>
            <w:r w:rsidRPr="003A6A50">
              <w:t xml:space="preserve"> accreditation, reputation and use patterns</w:t>
            </w:r>
          </w:p>
          <w:p w14:paraId="1C678EA7" w14:textId="77777777" w:rsidR="00771878" w:rsidRPr="003A6A50" w:rsidRDefault="00771878" w:rsidP="00771878">
            <w:pPr>
              <w:pStyle w:val="Tablebulletx"/>
              <w:rPr>
                <w:rFonts w:cstheme="minorHAnsi"/>
              </w:rPr>
            </w:pPr>
            <w:r>
              <w:t>r</w:t>
            </w:r>
            <w:r w:rsidRPr="003A6A50">
              <w:t>esilience and readiness to innovate</w:t>
            </w:r>
            <w:r>
              <w:t>.</w:t>
            </w:r>
          </w:p>
        </w:tc>
      </w:tr>
      <w:tr w:rsidR="00771878" w:rsidRPr="003A6A50" w14:paraId="20F339E8" w14:textId="77777777" w:rsidTr="004F7098">
        <w:tc>
          <w:tcPr>
            <w:tcW w:w="1418" w:type="dxa"/>
            <w:shd w:val="clear" w:color="auto" w:fill="F2F2F2" w:themeFill="background1" w:themeFillShade="F2"/>
            <w:vAlign w:val="center"/>
          </w:tcPr>
          <w:p w14:paraId="48E87AAD" w14:textId="77777777" w:rsidR="00771878" w:rsidRPr="00771878" w:rsidRDefault="00771878" w:rsidP="00E03E2E">
            <w:pPr>
              <w:pStyle w:val="TableText"/>
              <w:rPr>
                <w:b/>
                <w:bCs/>
              </w:rPr>
            </w:pPr>
            <w:r w:rsidRPr="00771878">
              <w:rPr>
                <w:b/>
                <w:bCs/>
              </w:rPr>
              <w:t>System conditions</w:t>
            </w:r>
          </w:p>
        </w:tc>
        <w:tc>
          <w:tcPr>
            <w:tcW w:w="3544" w:type="dxa"/>
            <w:shd w:val="clear" w:color="auto" w:fill="FFFFFF" w:themeFill="background1"/>
          </w:tcPr>
          <w:p w14:paraId="19B71C49" w14:textId="77777777" w:rsidR="00771878" w:rsidRPr="00771878" w:rsidRDefault="00771878" w:rsidP="00771878">
            <w:pPr>
              <w:pStyle w:val="TableText"/>
              <w:rPr>
                <w:b/>
              </w:rPr>
            </w:pPr>
            <w:r w:rsidRPr="00771878">
              <w:rPr>
                <w:b/>
              </w:rPr>
              <w:t>What’s working, not working, and known to work?</w:t>
            </w:r>
          </w:p>
          <w:p w14:paraId="20C4E367" w14:textId="77777777" w:rsidR="00771878" w:rsidRPr="003A6A50" w:rsidRDefault="00771878" w:rsidP="00771878">
            <w:pPr>
              <w:pStyle w:val="Tablebulletx"/>
            </w:pPr>
            <w:r w:rsidRPr="003A6A50">
              <w:t xml:space="preserve">What investment has been made? </w:t>
            </w:r>
          </w:p>
          <w:p w14:paraId="3C54B9D0" w14:textId="77777777" w:rsidR="00771878" w:rsidRPr="003A6A50" w:rsidRDefault="00771878" w:rsidP="00771878">
            <w:pPr>
              <w:pStyle w:val="Tablebulletx"/>
            </w:pPr>
            <w:r w:rsidRPr="003A6A50">
              <w:t>How effective are local services, overall and for the target population?</w:t>
            </w:r>
          </w:p>
          <w:p w14:paraId="196940C6" w14:textId="77777777" w:rsidR="00771878" w:rsidRPr="003A6A50" w:rsidRDefault="00771878" w:rsidP="00771878">
            <w:pPr>
              <w:pStyle w:val="Tablebulletx"/>
            </w:pPr>
            <w:r w:rsidRPr="003A6A50">
              <w:t>Are resources being used in the most effective way to get the outcomes that matter?</w:t>
            </w:r>
          </w:p>
          <w:p w14:paraId="75E6A818" w14:textId="77777777" w:rsidR="00771878" w:rsidRPr="003A6A50" w:rsidRDefault="00771878" w:rsidP="00771878">
            <w:pPr>
              <w:pStyle w:val="Tablebulletx"/>
            </w:pPr>
            <w:r w:rsidRPr="003A6A50">
              <w:t>What is the best available evidence for effective and good</w:t>
            </w:r>
            <w:r>
              <w:t>-</w:t>
            </w:r>
            <w:r w:rsidRPr="003A6A50">
              <w:t>value solutions?</w:t>
            </w:r>
          </w:p>
        </w:tc>
        <w:tc>
          <w:tcPr>
            <w:tcW w:w="4110" w:type="dxa"/>
            <w:shd w:val="clear" w:color="auto" w:fill="FFFFFF" w:themeFill="background1"/>
          </w:tcPr>
          <w:p w14:paraId="2CCB9B74" w14:textId="77777777" w:rsidR="00771878" w:rsidRPr="00E859C8" w:rsidRDefault="00771878" w:rsidP="00771878">
            <w:pPr>
              <w:pStyle w:val="TableText"/>
            </w:pPr>
            <w:r>
              <w:t>Identify:</w:t>
            </w:r>
          </w:p>
          <w:p w14:paraId="1A177900" w14:textId="4269AE7E" w:rsidR="00771878" w:rsidRPr="003A6A50" w:rsidRDefault="00771878" w:rsidP="00771878">
            <w:pPr>
              <w:pStyle w:val="Tablebulletx"/>
              <w:rPr>
                <w:lang w:eastAsia="en-NZ"/>
              </w:rPr>
            </w:pPr>
            <w:r>
              <w:rPr>
                <w:lang w:eastAsia="en-NZ"/>
              </w:rPr>
              <w:t>p</w:t>
            </w:r>
            <w:r w:rsidRPr="003A6A50">
              <w:rPr>
                <w:lang w:eastAsia="en-NZ"/>
              </w:rPr>
              <w:t>atterns of investment</w:t>
            </w:r>
            <w:r>
              <w:rPr>
                <w:lang w:eastAsia="en-NZ"/>
              </w:rPr>
              <w:t xml:space="preserve"> </w:t>
            </w:r>
            <w:r w:rsidR="00624322">
              <w:rPr>
                <w:rFonts w:ascii="Calibri" w:hAnsi="Calibri" w:cs="Calibri"/>
                <w:lang w:eastAsia="en-NZ"/>
              </w:rPr>
              <w:t>—</w:t>
            </w:r>
            <w:r w:rsidRPr="003A6A50">
              <w:rPr>
                <w:lang w:eastAsia="en-NZ"/>
              </w:rPr>
              <w:t xml:space="preserve"> purpose, funding amount, contract type and incentives  </w:t>
            </w:r>
          </w:p>
          <w:p w14:paraId="1189AFE6" w14:textId="77777777" w:rsidR="00771878" w:rsidRPr="003A6A50" w:rsidRDefault="00771878" w:rsidP="00771878">
            <w:pPr>
              <w:pStyle w:val="Tablebulletx"/>
              <w:rPr>
                <w:lang w:eastAsia="en-NZ"/>
              </w:rPr>
            </w:pPr>
            <w:r>
              <w:rPr>
                <w:lang w:eastAsia="en-NZ"/>
              </w:rPr>
              <w:t>o</w:t>
            </w:r>
            <w:r w:rsidRPr="003A6A50">
              <w:rPr>
                <w:lang w:eastAsia="en-NZ"/>
              </w:rPr>
              <w:t>utcomes,</w:t>
            </w:r>
            <w:r>
              <w:rPr>
                <w:lang w:eastAsia="en-NZ"/>
              </w:rPr>
              <w:t xml:space="preserve"> both</w:t>
            </w:r>
            <w:r w:rsidRPr="003A6A50">
              <w:rPr>
                <w:lang w:eastAsia="en-NZ"/>
              </w:rPr>
              <w:t xml:space="preserve"> overall and for the target group</w:t>
            </w:r>
          </w:p>
          <w:p w14:paraId="6A2DB530" w14:textId="77777777" w:rsidR="00771878" w:rsidRPr="003A6A50" w:rsidRDefault="00771878" w:rsidP="00771878">
            <w:pPr>
              <w:pStyle w:val="Tablebulletx"/>
              <w:rPr>
                <w:lang w:eastAsia="en-NZ"/>
              </w:rPr>
            </w:pPr>
            <w:r>
              <w:rPr>
                <w:lang w:eastAsia="en-NZ"/>
              </w:rPr>
              <w:t>o</w:t>
            </w:r>
            <w:r w:rsidRPr="003A6A50">
              <w:rPr>
                <w:lang w:eastAsia="en-NZ"/>
              </w:rPr>
              <w:t xml:space="preserve">utcomes by provider type </w:t>
            </w:r>
          </w:p>
          <w:p w14:paraId="768CD9D6" w14:textId="77777777" w:rsidR="00771878" w:rsidRPr="003A6A50" w:rsidRDefault="00771878" w:rsidP="00771878">
            <w:pPr>
              <w:pStyle w:val="Tablebulletx"/>
              <w:rPr>
                <w:lang w:eastAsia="en-NZ"/>
              </w:rPr>
            </w:pPr>
            <w:r>
              <w:rPr>
                <w:lang w:eastAsia="en-NZ"/>
              </w:rPr>
              <w:t>c</w:t>
            </w:r>
            <w:r w:rsidRPr="003A6A50">
              <w:rPr>
                <w:lang w:eastAsia="en-NZ"/>
              </w:rPr>
              <w:t>ost</w:t>
            </w:r>
            <w:r>
              <w:rPr>
                <w:lang w:eastAsia="en-NZ"/>
              </w:rPr>
              <w:t>–</w:t>
            </w:r>
            <w:r w:rsidRPr="003A6A50">
              <w:rPr>
                <w:lang w:eastAsia="en-NZ"/>
              </w:rPr>
              <w:t>benefit</w:t>
            </w:r>
            <w:r>
              <w:rPr>
                <w:lang w:eastAsia="en-NZ"/>
              </w:rPr>
              <w:t xml:space="preserve"> or</w:t>
            </w:r>
            <w:r w:rsidRPr="003A6A50">
              <w:rPr>
                <w:lang w:eastAsia="en-NZ"/>
              </w:rPr>
              <w:t xml:space="preserve"> return on investment analysis</w:t>
            </w:r>
          </w:p>
          <w:p w14:paraId="148DDA0F" w14:textId="77777777" w:rsidR="00771878" w:rsidRPr="003A6A50" w:rsidRDefault="00771878" w:rsidP="00771878">
            <w:pPr>
              <w:pStyle w:val="Tablebulletx"/>
              <w:rPr>
                <w:lang w:eastAsia="en-NZ"/>
              </w:rPr>
            </w:pPr>
            <w:r>
              <w:rPr>
                <w:lang w:eastAsia="en-NZ"/>
              </w:rPr>
              <w:t>l</w:t>
            </w:r>
            <w:r w:rsidRPr="003A6A50">
              <w:rPr>
                <w:lang w:eastAsia="en-NZ"/>
              </w:rPr>
              <w:t>iterature and evidence on effective models of care, commissioning and continuous improvement.</w:t>
            </w:r>
          </w:p>
        </w:tc>
      </w:tr>
      <w:tr w:rsidR="00771878" w:rsidRPr="003A6A50" w14:paraId="66BC5E81" w14:textId="77777777" w:rsidTr="004F7098">
        <w:trPr>
          <w:trHeight w:val="396"/>
        </w:trPr>
        <w:tc>
          <w:tcPr>
            <w:tcW w:w="1418" w:type="dxa"/>
            <w:shd w:val="clear" w:color="auto" w:fill="F2F2F2" w:themeFill="background1" w:themeFillShade="F2"/>
            <w:vAlign w:val="center"/>
          </w:tcPr>
          <w:p w14:paraId="2E01458F" w14:textId="77777777" w:rsidR="00771878" w:rsidRPr="00771878" w:rsidRDefault="00771878" w:rsidP="00E03E2E">
            <w:pPr>
              <w:pStyle w:val="TableText"/>
              <w:rPr>
                <w:b/>
                <w:bCs/>
              </w:rPr>
            </w:pPr>
            <w:r w:rsidRPr="00771878">
              <w:rPr>
                <w:b/>
                <w:bCs/>
              </w:rPr>
              <w:t>Enablers</w:t>
            </w:r>
          </w:p>
        </w:tc>
        <w:tc>
          <w:tcPr>
            <w:tcW w:w="3544" w:type="dxa"/>
            <w:shd w:val="clear" w:color="auto" w:fill="FFFFFF" w:themeFill="background1"/>
          </w:tcPr>
          <w:p w14:paraId="01D65558" w14:textId="10D643BD" w:rsidR="00771878" w:rsidRPr="003A6A50" w:rsidRDefault="00771878" w:rsidP="00771878">
            <w:pPr>
              <w:pStyle w:val="Tablebulletx"/>
            </w:pPr>
            <w:r w:rsidRPr="003A6A50">
              <w:t xml:space="preserve">What is needed to plan for the future, including </w:t>
            </w:r>
            <w:r w:rsidR="003A269A">
              <w:t xml:space="preserve">anticipating </w:t>
            </w:r>
            <w:r w:rsidRPr="003A6A50">
              <w:t>demand, whānau and community behaviours, expectations and preferences?</w:t>
            </w:r>
          </w:p>
        </w:tc>
        <w:tc>
          <w:tcPr>
            <w:tcW w:w="4110" w:type="dxa"/>
            <w:shd w:val="clear" w:color="auto" w:fill="FFFFFF" w:themeFill="background1"/>
          </w:tcPr>
          <w:p w14:paraId="1694D502" w14:textId="77777777" w:rsidR="00771878" w:rsidRPr="003A6A50" w:rsidRDefault="00771878" w:rsidP="00771878">
            <w:pPr>
              <w:pStyle w:val="Tablebulletx"/>
            </w:pPr>
            <w:r w:rsidRPr="003A6A50">
              <w:t>Consolidat</w:t>
            </w:r>
            <w:r>
              <w:t>e</w:t>
            </w:r>
            <w:r w:rsidRPr="003A6A50">
              <w:t xml:space="preserve"> needs analysis, demand projections, existing provider coverage, capacity and capability, readiness and innovation to improve outcomes.</w:t>
            </w:r>
          </w:p>
        </w:tc>
      </w:tr>
    </w:tbl>
    <w:p w14:paraId="0CAB103E" w14:textId="77777777" w:rsidR="00207317" w:rsidRDefault="00207317" w:rsidP="00925E36"/>
    <w:p w14:paraId="6387400A" w14:textId="77777777" w:rsidR="00207317" w:rsidRDefault="00207317">
      <w:pPr>
        <w:spacing w:line="300" w:lineRule="exact"/>
        <w:rPr>
          <w:rFonts w:ascii="Segoe UI" w:eastAsia="Times New Roman" w:hAnsi="Segoe UI" w:cs="Times New Roman"/>
          <w:b/>
          <w:bCs w:val="0"/>
          <w:color w:val="404040" w:themeColor="text1" w:themeTint="BF"/>
          <w:spacing w:val="-5"/>
          <w:sz w:val="48"/>
          <w:szCs w:val="20"/>
          <w:lang w:eastAsia="en-GB"/>
        </w:rPr>
      </w:pPr>
      <w:r>
        <w:br w:type="page"/>
      </w:r>
    </w:p>
    <w:p w14:paraId="47D0715A" w14:textId="1AD1EAEF" w:rsidR="0062282D" w:rsidRDefault="0062282D" w:rsidP="002B7D20">
      <w:pPr>
        <w:pStyle w:val="Heading2-nonumbering"/>
      </w:pPr>
      <w:bookmarkStart w:id="41" w:name="_Toc124933838"/>
      <w:r>
        <w:lastRenderedPageBreak/>
        <w:t>Designing and planning</w:t>
      </w:r>
      <w:bookmarkEnd w:id="41"/>
      <w:r>
        <w:t xml:space="preserve"> </w:t>
      </w:r>
    </w:p>
    <w:p w14:paraId="6425F707" w14:textId="3E0BDDE2" w:rsidR="0062282D" w:rsidRPr="005506BF" w:rsidRDefault="0062282D" w:rsidP="009055B4">
      <w:pPr>
        <w:pStyle w:val="Heading3-nonumbering"/>
      </w:pPr>
      <w:r w:rsidRPr="005506BF">
        <w:t>Aim</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62282D" w:rsidRPr="000C72D2" w14:paraId="73D762DA" w14:textId="77777777" w:rsidTr="0092604F">
        <w:trPr>
          <w:trHeight w:val="170"/>
        </w:trPr>
        <w:tc>
          <w:tcPr>
            <w:tcW w:w="567" w:type="dxa"/>
          </w:tcPr>
          <w:p w14:paraId="1F82B145" w14:textId="77777777" w:rsidR="0062282D" w:rsidRPr="000C72D2" w:rsidRDefault="0062282D" w:rsidP="009055B4">
            <w:pPr>
              <w:pStyle w:val="0RULE"/>
            </w:pPr>
          </w:p>
        </w:tc>
      </w:tr>
    </w:tbl>
    <w:p w14:paraId="28F84DA4" w14:textId="3B3EACA3" w:rsidR="0062282D" w:rsidRPr="003D7A22" w:rsidRDefault="0062282D" w:rsidP="0062282D">
      <w:pPr>
        <w:pStyle w:val="NormalIndent1"/>
        <w:rPr>
          <w:color w:val="auto"/>
          <w:sz w:val="28"/>
          <w:szCs w:val="28"/>
        </w:rPr>
      </w:pPr>
      <w:r w:rsidRPr="003D7A22">
        <w:rPr>
          <w:color w:val="auto"/>
          <w:sz w:val="28"/>
          <w:szCs w:val="28"/>
        </w:rPr>
        <w:t>To design innovative responses to improve outcomes, using prioritisation criteria and assessment of public value, supported by a plan of action.</w:t>
      </w:r>
    </w:p>
    <w:p w14:paraId="58C75D93" w14:textId="77777777" w:rsidR="0062282D" w:rsidRPr="00A902F6" w:rsidRDefault="0062282D" w:rsidP="009055B4">
      <w:pPr>
        <w:pStyle w:val="Heading3-nonumbering"/>
      </w:pPr>
      <w:r>
        <w:t>Key steps</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62282D" w:rsidRPr="000C72D2" w14:paraId="6D6126C9" w14:textId="77777777" w:rsidTr="0092604F">
        <w:trPr>
          <w:trHeight w:val="170"/>
        </w:trPr>
        <w:tc>
          <w:tcPr>
            <w:tcW w:w="567" w:type="dxa"/>
          </w:tcPr>
          <w:p w14:paraId="735DB7CD" w14:textId="77777777" w:rsidR="0062282D" w:rsidRPr="000C72D2" w:rsidRDefault="0062282D" w:rsidP="009055B4">
            <w:pPr>
              <w:pStyle w:val="0RULE"/>
            </w:pPr>
          </w:p>
        </w:tc>
      </w:tr>
    </w:tbl>
    <w:p w14:paraId="1D8F8254" w14:textId="14D7947C" w:rsidR="0062282D" w:rsidRDefault="0062282D" w:rsidP="0062282D">
      <w:pPr>
        <w:pStyle w:val="ListBullet"/>
        <w:tabs>
          <w:tab w:val="clear" w:pos="360"/>
          <w:tab w:val="num" w:pos="2268"/>
        </w:tabs>
        <w:ind w:left="1985" w:hanging="284"/>
      </w:pPr>
      <w:r w:rsidRPr="00B60A91">
        <w:rPr>
          <w:color w:val="auto"/>
        </w:rPr>
        <w:t>Design</w:t>
      </w:r>
      <w:r>
        <w:t>: Identify what will improve outcomes.</w:t>
      </w:r>
    </w:p>
    <w:p w14:paraId="25878DE2" w14:textId="0ACC6CD5" w:rsidR="0062282D" w:rsidRDefault="0062282D" w:rsidP="0062282D">
      <w:pPr>
        <w:pStyle w:val="ListBullet"/>
        <w:tabs>
          <w:tab w:val="clear" w:pos="360"/>
          <w:tab w:val="num" w:pos="2268"/>
        </w:tabs>
        <w:ind w:left="1985" w:hanging="284"/>
      </w:pPr>
      <w:r w:rsidRPr="00B60A91">
        <w:rPr>
          <w:color w:val="auto"/>
        </w:rPr>
        <w:t>Decide priorities</w:t>
      </w:r>
      <w:r w:rsidRPr="003D7A22">
        <w:rPr>
          <w:b/>
          <w:bCs w:val="0"/>
          <w:color w:val="auto"/>
        </w:rPr>
        <w:t xml:space="preserve"> </w:t>
      </w:r>
      <w:r>
        <w:t>and what success will look like.</w:t>
      </w:r>
    </w:p>
    <w:p w14:paraId="33B9261D" w14:textId="4776AC11" w:rsidR="0062282D" w:rsidRDefault="0062282D" w:rsidP="002B7D20">
      <w:pPr>
        <w:pStyle w:val="ListBullet"/>
        <w:tabs>
          <w:tab w:val="clear" w:pos="360"/>
          <w:tab w:val="num" w:pos="2268"/>
        </w:tabs>
        <w:ind w:left="1985" w:hanging="284"/>
      </w:pPr>
      <w:r w:rsidRPr="00B60A91">
        <w:rPr>
          <w:color w:val="auto"/>
        </w:rPr>
        <w:t>Plan</w:t>
      </w:r>
      <w:r>
        <w:t xml:space="preserve">: Sequence the actions and approvals needed to turn the idea into reality.  </w:t>
      </w:r>
    </w:p>
    <w:p w14:paraId="3915ECE8" w14:textId="439D70A5" w:rsidR="00FF16F2" w:rsidRPr="005506BF" w:rsidRDefault="00FF16F2" w:rsidP="009055B4">
      <w:pPr>
        <w:pStyle w:val="Heading3-nonumbering"/>
      </w:pPr>
      <w:r w:rsidRPr="00FF16F2">
        <w:t>Designing</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FF16F2" w:rsidRPr="000C72D2" w14:paraId="211EF621" w14:textId="77777777" w:rsidTr="0092604F">
        <w:trPr>
          <w:trHeight w:val="170"/>
        </w:trPr>
        <w:tc>
          <w:tcPr>
            <w:tcW w:w="567" w:type="dxa"/>
          </w:tcPr>
          <w:p w14:paraId="192E527B" w14:textId="77777777" w:rsidR="00FF16F2" w:rsidRPr="000C72D2" w:rsidRDefault="00FF16F2" w:rsidP="009055B4">
            <w:pPr>
              <w:pStyle w:val="0RULE"/>
            </w:pPr>
          </w:p>
        </w:tc>
      </w:tr>
    </w:tbl>
    <w:p w14:paraId="557C42A6" w14:textId="514D60EB" w:rsidR="00FF16F2" w:rsidRDefault="00FF16F2" w:rsidP="00207317">
      <w:pPr>
        <w:pStyle w:val="NormalIndent1"/>
      </w:pPr>
      <w:r>
        <w:t xml:space="preserve">Innovative responses are needed because the current health system and services are not working well for Māori. Commissioning promotes innovation and encourages new services and models of care when it </w:t>
      </w:r>
      <w:r w:rsidR="00DE7792">
        <w:t>asks</w:t>
      </w:r>
      <w:r>
        <w:t xml:space="preserve"> whether current services are delivering outcomes that matter</w:t>
      </w:r>
      <w:r w:rsidR="00DE7792">
        <w:t xml:space="preserve"> and in ways that deliver </w:t>
      </w:r>
      <w:r w:rsidR="004B1A39">
        <w:t>equity</w:t>
      </w:r>
      <w:r>
        <w:t xml:space="preserve">, and then develops and tests alternatives. </w:t>
      </w:r>
    </w:p>
    <w:p w14:paraId="05735CF5" w14:textId="77777777" w:rsidR="00FF16F2" w:rsidRDefault="00FF16F2" w:rsidP="00FF16F2">
      <w:pPr>
        <w:pStyle w:val="NormalIndent1"/>
      </w:pPr>
      <w:r>
        <w:t xml:space="preserve">Innovation requires new ways of thinking, designing and delivering services. </w:t>
      </w:r>
      <w:r w:rsidRPr="00B60A91">
        <w:rPr>
          <w:color w:val="auto"/>
        </w:rPr>
        <w:t>Design thinking</w:t>
      </w:r>
      <w:r w:rsidRPr="003D7A22">
        <w:rPr>
          <w:color w:val="auto"/>
        </w:rPr>
        <w:t xml:space="preserve"> </w:t>
      </w:r>
      <w:r>
        <w:t>can contribute to this, as a creative process to think about a better future for people. Involving people with diverse backgrounds and views also helps build richer understanding and insight, including understanding of the bigger context.</w:t>
      </w:r>
    </w:p>
    <w:p w14:paraId="35C1D0F0" w14:textId="77777777" w:rsidR="00FF16F2" w:rsidRDefault="00FF16F2" w:rsidP="00FF16F2">
      <w:pPr>
        <w:pStyle w:val="NormalIndent1"/>
      </w:pPr>
      <w:r>
        <w:t>Key elements of design thinking are to:</w:t>
      </w:r>
    </w:p>
    <w:p w14:paraId="677947EC" w14:textId="3CC0D168" w:rsidR="00FF16F2" w:rsidRDefault="00FF16F2" w:rsidP="00FF16F2">
      <w:pPr>
        <w:pStyle w:val="ListBullet"/>
        <w:tabs>
          <w:tab w:val="clear" w:pos="360"/>
          <w:tab w:val="num" w:pos="851"/>
        </w:tabs>
        <w:ind w:left="1985" w:hanging="284"/>
      </w:pPr>
      <w:r>
        <w:t xml:space="preserve">shift the focus from what’s always been done and what works for providers, funders and the system to deeply understand </w:t>
      </w:r>
      <w:r w:rsidRPr="00B60A91">
        <w:rPr>
          <w:color w:val="auto"/>
        </w:rPr>
        <w:t>‘what matters’</w:t>
      </w:r>
      <w:r w:rsidRPr="003D7A22">
        <w:rPr>
          <w:b/>
          <w:bCs w:val="0"/>
          <w:color w:val="auto"/>
        </w:rPr>
        <w:t xml:space="preserve"> </w:t>
      </w:r>
      <w:r>
        <w:t>to service users, whānau and communities</w:t>
      </w:r>
    </w:p>
    <w:p w14:paraId="32C9268A" w14:textId="40FEF26E" w:rsidR="00FF16F2" w:rsidRDefault="00FF16F2" w:rsidP="00FF16F2">
      <w:pPr>
        <w:pStyle w:val="ListBullet"/>
        <w:tabs>
          <w:tab w:val="clear" w:pos="360"/>
          <w:tab w:val="num" w:pos="851"/>
        </w:tabs>
        <w:ind w:left="1985" w:hanging="284"/>
      </w:pPr>
      <w:r>
        <w:t xml:space="preserve">place </w:t>
      </w:r>
      <w:r w:rsidRPr="00B60A91">
        <w:rPr>
          <w:color w:val="auto"/>
        </w:rPr>
        <w:t>‘lived experience’</w:t>
      </w:r>
      <w:r w:rsidRPr="003D7A22">
        <w:rPr>
          <w:b/>
          <w:bCs w:val="0"/>
          <w:color w:val="auto"/>
        </w:rPr>
        <w:t xml:space="preserve"> </w:t>
      </w:r>
      <w:r>
        <w:t>at the centre of the design process</w:t>
      </w:r>
      <w:r w:rsidR="00CE7A98">
        <w:t>.</w:t>
      </w:r>
      <w:r>
        <w:t xml:space="preserve"> </w:t>
      </w:r>
      <w:r w:rsidR="00CE7A98">
        <w:t>I</w:t>
      </w:r>
      <w:r>
        <w:t xml:space="preserve">t can also use </w:t>
      </w:r>
      <w:r w:rsidRPr="00B60A91">
        <w:rPr>
          <w:color w:val="auto"/>
        </w:rPr>
        <w:t>personas</w:t>
      </w:r>
      <w:r w:rsidRPr="003D7A22">
        <w:rPr>
          <w:b/>
          <w:bCs w:val="0"/>
          <w:color w:val="auto"/>
        </w:rPr>
        <w:t xml:space="preserve"> </w:t>
      </w:r>
      <w:r>
        <w:t xml:space="preserve">to build understanding and empathy </w:t>
      </w:r>
      <w:r w:rsidR="00CE7A98">
        <w:t>—</w:t>
      </w:r>
      <w:r>
        <w:t xml:space="preserve"> exploring what it feels like for people using the services now or navigating a complex health system</w:t>
      </w:r>
    </w:p>
    <w:p w14:paraId="69D854FF" w14:textId="1424BFF7" w:rsidR="00FF16F2" w:rsidRDefault="00FF16F2" w:rsidP="00FF16F2">
      <w:pPr>
        <w:pStyle w:val="ListBullet"/>
        <w:tabs>
          <w:tab w:val="clear" w:pos="360"/>
          <w:tab w:val="num" w:pos="851"/>
        </w:tabs>
        <w:ind w:left="1985" w:hanging="284"/>
      </w:pPr>
      <w:r>
        <w:t>develop journey maps to understand all the steps and all the providers a person has to navigate or see to get the help that is of value to them</w:t>
      </w:r>
    </w:p>
    <w:p w14:paraId="2B41A4D0" w14:textId="4F819C8E" w:rsidR="00FF16F2" w:rsidRDefault="00FF16F2" w:rsidP="00FF16F2">
      <w:pPr>
        <w:pStyle w:val="ListBullet"/>
        <w:tabs>
          <w:tab w:val="clear" w:pos="360"/>
          <w:tab w:val="num" w:pos="851"/>
        </w:tabs>
        <w:ind w:left="1985" w:hanging="284"/>
      </w:pPr>
      <w:r>
        <w:t xml:space="preserve">highlight unmet needs </w:t>
      </w:r>
    </w:p>
    <w:p w14:paraId="105C81CD" w14:textId="22DA6EC5" w:rsidR="00FF16F2" w:rsidRDefault="00FF16F2" w:rsidP="00FF16F2">
      <w:pPr>
        <w:pStyle w:val="ListBullet"/>
        <w:tabs>
          <w:tab w:val="clear" w:pos="360"/>
          <w:tab w:val="num" w:pos="851"/>
        </w:tabs>
        <w:ind w:left="1985" w:hanging="284"/>
      </w:pPr>
      <w:r>
        <w:lastRenderedPageBreak/>
        <w:t xml:space="preserve">create new ways of working together or new services to improve outcomes and address unmet needs.  </w:t>
      </w:r>
    </w:p>
    <w:p w14:paraId="47EC5ED4" w14:textId="6368BBB5" w:rsidR="00FF16F2" w:rsidRDefault="00FF16F2" w:rsidP="00FF16F2">
      <w:pPr>
        <w:pStyle w:val="NormalIndent1"/>
      </w:pPr>
      <w:r>
        <w:t>Design thinking can be used to include diverse perspectives on a creative journey to reach an understanding of the ‘sweet spot’ for innovation</w:t>
      </w:r>
      <w:r w:rsidR="00CE7A98">
        <w:t xml:space="preserve">. </w:t>
      </w:r>
      <w:r w:rsidR="00AD1422">
        <w:t>At</w:t>
      </w:r>
      <w:r w:rsidR="00CE7A98">
        <w:t xml:space="preserve"> that spot</w:t>
      </w:r>
      <w:r>
        <w:t xml:space="preserve"> we know:</w:t>
      </w:r>
    </w:p>
    <w:p w14:paraId="51FEBE2F" w14:textId="56E56E56" w:rsidR="00FF16F2" w:rsidRDefault="00FF16F2" w:rsidP="00FF16F2">
      <w:pPr>
        <w:pStyle w:val="ListBullet"/>
        <w:tabs>
          <w:tab w:val="clear" w:pos="360"/>
          <w:tab w:val="num" w:pos="1134"/>
        </w:tabs>
        <w:ind w:left="1985" w:hanging="284"/>
      </w:pPr>
      <w:r>
        <w:t>what’s desirable: the solution is what whānau want and fits their lives</w:t>
      </w:r>
    </w:p>
    <w:p w14:paraId="34D302BE" w14:textId="75B108B3" w:rsidR="00FF16F2" w:rsidRDefault="00FF16F2" w:rsidP="00FF16F2">
      <w:pPr>
        <w:pStyle w:val="ListBullet"/>
        <w:tabs>
          <w:tab w:val="clear" w:pos="360"/>
          <w:tab w:val="num" w:pos="1134"/>
        </w:tabs>
        <w:ind w:left="1985" w:hanging="284"/>
      </w:pPr>
      <w:r>
        <w:t>what’s feasible: achieving the solution is within existing capability (services, sector, technology)</w:t>
      </w:r>
    </w:p>
    <w:p w14:paraId="612D3BCF" w14:textId="597F263B" w:rsidR="00FF16F2" w:rsidRDefault="00FF16F2" w:rsidP="00FF16F2">
      <w:pPr>
        <w:pStyle w:val="ListBullet"/>
        <w:tabs>
          <w:tab w:val="clear" w:pos="360"/>
          <w:tab w:val="num" w:pos="1134"/>
        </w:tabs>
        <w:ind w:left="1985" w:hanging="284"/>
      </w:pPr>
      <w:r>
        <w:t>what’s viable: the solution aligns with strategic and organisational goals.</w:t>
      </w:r>
    </w:p>
    <w:p w14:paraId="44F15388" w14:textId="03C5B20C" w:rsidR="009468E5" w:rsidRPr="002B7D20" w:rsidRDefault="00E03E2E" w:rsidP="009055B4">
      <w:pPr>
        <w:pStyle w:val="Heading3-nonumbering"/>
      </w:pPr>
      <w:r w:rsidRPr="002B7D20">
        <w:t>Deciding priorities</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9468E5" w:rsidRPr="000C72D2" w14:paraId="1CAEE7F1" w14:textId="77777777" w:rsidTr="0092604F">
        <w:trPr>
          <w:trHeight w:val="170"/>
        </w:trPr>
        <w:tc>
          <w:tcPr>
            <w:tcW w:w="567" w:type="dxa"/>
          </w:tcPr>
          <w:p w14:paraId="791E5BA6" w14:textId="77777777" w:rsidR="009468E5" w:rsidRPr="000C72D2" w:rsidRDefault="009468E5" w:rsidP="009055B4">
            <w:pPr>
              <w:pStyle w:val="0RULE"/>
            </w:pPr>
          </w:p>
        </w:tc>
      </w:tr>
    </w:tbl>
    <w:p w14:paraId="296EE6E3" w14:textId="569C2C6C" w:rsidR="009468E5" w:rsidRDefault="009468E5" w:rsidP="009468E5">
      <w:pPr>
        <w:pStyle w:val="NormalwIndent"/>
      </w:pPr>
      <w:r w:rsidRPr="009468E5">
        <w:t xml:space="preserve">Deciding priorities is a key part of commissioning. It involves making decisions about how to allocate resources between the </w:t>
      </w:r>
      <w:r w:rsidR="00624538">
        <w:t xml:space="preserve">sometimes </w:t>
      </w:r>
      <w:r w:rsidRPr="009468E5">
        <w:t>competing claims of</w:t>
      </w:r>
      <w:r w:rsidR="002A0319" w:rsidRPr="002A0319">
        <w:t xml:space="preserve"> </w:t>
      </w:r>
      <w:r w:rsidR="002A0319">
        <w:t>different</w:t>
      </w:r>
      <w:r w:rsidRPr="009468E5">
        <w:t>:</w:t>
      </w:r>
    </w:p>
    <w:p w14:paraId="079D8DF7" w14:textId="276CC871" w:rsidR="009468E5" w:rsidRDefault="009468E5" w:rsidP="009468E5">
      <w:pPr>
        <w:pStyle w:val="ListBullet"/>
        <w:tabs>
          <w:tab w:val="clear" w:pos="360"/>
          <w:tab w:val="num" w:pos="1701"/>
        </w:tabs>
        <w:ind w:left="1985" w:hanging="284"/>
      </w:pPr>
      <w:r>
        <w:t>groups</w:t>
      </w:r>
    </w:p>
    <w:p w14:paraId="425BFD18" w14:textId="1352680D" w:rsidR="009468E5" w:rsidRDefault="009468E5" w:rsidP="009468E5">
      <w:pPr>
        <w:pStyle w:val="ListBullet"/>
        <w:tabs>
          <w:tab w:val="clear" w:pos="360"/>
          <w:tab w:val="num" w:pos="1701"/>
        </w:tabs>
        <w:ind w:left="1985" w:hanging="284"/>
      </w:pPr>
      <w:r>
        <w:t>needs and opportunities</w:t>
      </w:r>
    </w:p>
    <w:p w14:paraId="5E095CAE" w14:textId="5B6E7BC2" w:rsidR="009468E5" w:rsidRDefault="009468E5" w:rsidP="009468E5">
      <w:pPr>
        <w:pStyle w:val="ListBullet"/>
        <w:tabs>
          <w:tab w:val="clear" w:pos="360"/>
          <w:tab w:val="num" w:pos="1701"/>
        </w:tabs>
        <w:ind w:left="1985" w:hanging="284"/>
      </w:pPr>
      <w:r>
        <w:t>contexts</w:t>
      </w:r>
    </w:p>
    <w:p w14:paraId="28356CAF" w14:textId="388EB4CB" w:rsidR="009468E5" w:rsidRDefault="009468E5" w:rsidP="009468E5">
      <w:pPr>
        <w:pStyle w:val="ListBullet"/>
        <w:tabs>
          <w:tab w:val="clear" w:pos="360"/>
          <w:tab w:val="num" w:pos="1701"/>
        </w:tabs>
        <w:ind w:left="1985" w:hanging="284"/>
      </w:pPr>
      <w:r>
        <w:t>stages of the life cycle</w:t>
      </w:r>
    </w:p>
    <w:p w14:paraId="0134A888" w14:textId="55BA9820" w:rsidR="009468E5" w:rsidRDefault="009468E5" w:rsidP="009468E5">
      <w:pPr>
        <w:pStyle w:val="ListBullet"/>
        <w:tabs>
          <w:tab w:val="clear" w:pos="360"/>
          <w:tab w:val="num" w:pos="1701"/>
        </w:tabs>
        <w:ind w:left="1985" w:hanging="284"/>
      </w:pPr>
      <w:r>
        <w:t>stages of intervention (prevention, rehabilitation, treatment)</w:t>
      </w:r>
    </w:p>
    <w:p w14:paraId="24973783" w14:textId="726AEF4B" w:rsidR="009468E5" w:rsidRDefault="009468E5" w:rsidP="009468E5">
      <w:pPr>
        <w:pStyle w:val="ListBullet"/>
        <w:tabs>
          <w:tab w:val="clear" w:pos="360"/>
          <w:tab w:val="num" w:pos="1701"/>
        </w:tabs>
        <w:ind w:left="1985" w:hanging="284"/>
      </w:pPr>
      <w:r>
        <w:t>types of investments (services, support,</w:t>
      </w:r>
      <w:r w:rsidR="002A0319">
        <w:t xml:space="preserve"> or</w:t>
      </w:r>
      <w:r>
        <w:t xml:space="preserve"> capability building of whānau, communities, providers or workforce)</w:t>
      </w:r>
    </w:p>
    <w:p w14:paraId="5839706F" w14:textId="0B6B1120" w:rsidR="009468E5" w:rsidRDefault="009468E5" w:rsidP="009468E5">
      <w:pPr>
        <w:pStyle w:val="ListBullet"/>
        <w:tabs>
          <w:tab w:val="clear" w:pos="360"/>
          <w:tab w:val="num" w:pos="1701"/>
        </w:tabs>
        <w:ind w:left="1985" w:hanging="284"/>
      </w:pPr>
      <w:r>
        <w:t>models of care (western biomedical, holistic, rongoā)</w:t>
      </w:r>
    </w:p>
    <w:p w14:paraId="0674E3A5" w14:textId="257CBC4A" w:rsidR="009468E5" w:rsidRDefault="009468E5" w:rsidP="009468E5">
      <w:pPr>
        <w:pStyle w:val="ListBullet"/>
        <w:tabs>
          <w:tab w:val="clear" w:pos="360"/>
          <w:tab w:val="num" w:pos="1701"/>
        </w:tabs>
        <w:ind w:left="1985" w:hanging="284"/>
      </w:pPr>
      <w:r>
        <w:t>types of providers (public, private, NGO).</w:t>
      </w:r>
    </w:p>
    <w:p w14:paraId="3E24F798" w14:textId="77777777" w:rsidR="009468E5" w:rsidRDefault="009468E5" w:rsidP="009468E5">
      <w:pPr>
        <w:pStyle w:val="NormalwIndent"/>
      </w:pPr>
      <w:r>
        <w:t>The presence of all these different elements and perspectives is why setting priorities can be hard. In working through the options, it can be helpful to understand:</w:t>
      </w:r>
    </w:p>
    <w:p w14:paraId="2B3B5311" w14:textId="6DF67697" w:rsidR="009468E5" w:rsidRDefault="002A0319" w:rsidP="009468E5">
      <w:pPr>
        <w:pStyle w:val="ListBullet"/>
        <w:tabs>
          <w:tab w:val="clear" w:pos="360"/>
          <w:tab w:val="num" w:pos="1134"/>
        </w:tabs>
        <w:ind w:left="1985" w:hanging="284"/>
      </w:pPr>
      <w:r>
        <w:t>t</w:t>
      </w:r>
      <w:r w:rsidR="009468E5">
        <w:t>he distribution of health access and outcomes, both within and between populations, groups and contexts</w:t>
      </w:r>
    </w:p>
    <w:p w14:paraId="1DEE8CA4" w14:textId="5BC8458B" w:rsidR="009468E5" w:rsidRDefault="002A0319" w:rsidP="009468E5">
      <w:pPr>
        <w:pStyle w:val="ListBullet"/>
        <w:tabs>
          <w:tab w:val="clear" w:pos="360"/>
          <w:tab w:val="num" w:pos="1134"/>
        </w:tabs>
        <w:ind w:left="1985" w:hanging="284"/>
      </w:pPr>
      <w:r>
        <w:t>t</w:t>
      </w:r>
      <w:r w:rsidR="009468E5">
        <w:t xml:space="preserve">he aspirations, needs and strengths of people, whānau </w:t>
      </w:r>
      <w:r>
        <w:t xml:space="preserve">and </w:t>
      </w:r>
      <w:r w:rsidR="009468E5">
        <w:t>their communities and contexts</w:t>
      </w:r>
    </w:p>
    <w:p w14:paraId="2919C593" w14:textId="5AF131E6" w:rsidR="009468E5" w:rsidRDefault="002A0319" w:rsidP="009468E5">
      <w:pPr>
        <w:pStyle w:val="ListBullet"/>
        <w:tabs>
          <w:tab w:val="clear" w:pos="360"/>
          <w:tab w:val="num" w:pos="1134"/>
        </w:tabs>
        <w:ind w:left="1985" w:hanging="284"/>
      </w:pPr>
      <w:r>
        <w:t>t</w:t>
      </w:r>
      <w:r w:rsidR="009468E5">
        <w:t xml:space="preserve">hat </w:t>
      </w:r>
      <w:r w:rsidR="004A2191">
        <w:t xml:space="preserve">where </w:t>
      </w:r>
      <w:r w:rsidR="009468E5">
        <w:t>inequitable contexts</w:t>
      </w:r>
      <w:r w:rsidR="004A2191">
        <w:t xml:space="preserve"> exist</w:t>
      </w:r>
      <w:r w:rsidR="009468E5">
        <w:t xml:space="preserve">, </w:t>
      </w:r>
      <w:r w:rsidR="002310B3">
        <w:t>we need to give priority to those experiencing inequities.</w:t>
      </w:r>
      <w:r w:rsidR="002310B3" w:rsidDel="002310B3">
        <w:t xml:space="preserve"> </w:t>
      </w:r>
      <w:r w:rsidR="002310B3">
        <w:t>If we</w:t>
      </w:r>
      <w:r w:rsidR="004A2191">
        <w:t xml:space="preserve"> </w:t>
      </w:r>
      <w:r w:rsidR="009468E5">
        <w:t xml:space="preserve">attend </w:t>
      </w:r>
      <w:r w:rsidR="009468E5" w:rsidRPr="004C13D4">
        <w:rPr>
          <w:color w:val="auto"/>
        </w:rPr>
        <w:t>equally</w:t>
      </w:r>
      <w:r w:rsidR="009468E5" w:rsidRPr="009468E5">
        <w:rPr>
          <w:color w:val="EC643C"/>
        </w:rPr>
        <w:t xml:space="preserve"> </w:t>
      </w:r>
      <w:r w:rsidR="009468E5">
        <w:t>to everybody’s interests</w:t>
      </w:r>
      <w:r w:rsidR="004A2191">
        <w:t>,</w:t>
      </w:r>
      <w:r w:rsidR="009468E5">
        <w:t xml:space="preserve"> </w:t>
      </w:r>
      <w:r w:rsidR="002310B3">
        <w:t xml:space="preserve">we </w:t>
      </w:r>
      <w:r w:rsidR="009468E5">
        <w:t>reproduce inequity (Gorski 2019)</w:t>
      </w:r>
    </w:p>
    <w:p w14:paraId="346C5D7E" w14:textId="1B301698" w:rsidR="009468E5" w:rsidRDefault="00B7420E" w:rsidP="009468E5">
      <w:pPr>
        <w:pStyle w:val="ListBullet"/>
        <w:tabs>
          <w:tab w:val="clear" w:pos="360"/>
          <w:tab w:val="num" w:pos="1134"/>
        </w:tabs>
        <w:ind w:left="1985" w:hanging="284"/>
      </w:pPr>
      <w:r>
        <w:t>t</w:t>
      </w:r>
      <w:r w:rsidR="009468E5">
        <w:t>he cost</w:t>
      </w:r>
      <w:r w:rsidR="00F27286">
        <w:t>-</w:t>
      </w:r>
      <w:r w:rsidR="009468E5">
        <w:t>benefit and public value of different interventions and investments.</w:t>
      </w:r>
    </w:p>
    <w:p w14:paraId="3C4B6B23" w14:textId="3CA28C3A" w:rsidR="009468E5" w:rsidRDefault="009468E5" w:rsidP="009468E5">
      <w:pPr>
        <w:pStyle w:val="NormalwIndent"/>
      </w:pPr>
      <w:r>
        <w:lastRenderedPageBreak/>
        <w:t>The aim of priority setting is to achieve public value</w:t>
      </w:r>
      <w:r w:rsidR="007A4420">
        <w:t xml:space="preserve"> </w:t>
      </w:r>
      <w:r>
        <w:t xml:space="preserve">as well as to meet strategic objectives. </w:t>
      </w:r>
      <w:r w:rsidR="00116510">
        <w:t>Strategic</w:t>
      </w:r>
      <w:r>
        <w:t xml:space="preserve"> objective</w:t>
      </w:r>
      <w:r w:rsidR="00116510">
        <w:t>s</w:t>
      </w:r>
      <w:r>
        <w:t xml:space="preserve"> </w:t>
      </w:r>
      <w:r w:rsidR="00116510">
        <w:t>include</w:t>
      </w:r>
      <w:r>
        <w:t xml:space="preserve"> </w:t>
      </w:r>
      <w:r w:rsidR="00116510">
        <w:t xml:space="preserve">reducing </w:t>
      </w:r>
      <w:r>
        <w:t>inequities, meet</w:t>
      </w:r>
      <w:r w:rsidR="00116510">
        <w:t>ing</w:t>
      </w:r>
      <w:r>
        <w:t xml:space="preserve"> Te Tiriti o Waitangi obligations, foster</w:t>
      </w:r>
      <w:r w:rsidR="00116510">
        <w:t>ing</w:t>
      </w:r>
      <w:r w:rsidR="00484368">
        <w:t xml:space="preserve"> </w:t>
      </w:r>
      <w:r>
        <w:t>Māori</w:t>
      </w:r>
      <w:r w:rsidR="00F27286">
        <w:t>-</w:t>
      </w:r>
      <w:r>
        <w:t xml:space="preserve">Crown relationships </w:t>
      </w:r>
      <w:r w:rsidR="002D3778">
        <w:t xml:space="preserve">and </w:t>
      </w:r>
      <w:r>
        <w:t>redress</w:t>
      </w:r>
      <w:r w:rsidR="002D3778">
        <w:t>ing</w:t>
      </w:r>
      <w:r w:rsidR="00484368">
        <w:t xml:space="preserve"> wrongs</w:t>
      </w:r>
      <w:r w:rsidRPr="00484368">
        <w:t>.</w:t>
      </w:r>
      <w:r>
        <w:t xml:space="preserve"> </w:t>
      </w:r>
    </w:p>
    <w:p w14:paraId="3459F8AE" w14:textId="287122AE" w:rsidR="009468E5" w:rsidRDefault="009468E5" w:rsidP="009468E5">
      <w:pPr>
        <w:pStyle w:val="NormalwIndent"/>
      </w:pPr>
      <w:r>
        <w:t>The main influences on priority setting are:</w:t>
      </w:r>
    </w:p>
    <w:p w14:paraId="7AA5F251" w14:textId="58DFF510" w:rsidR="009468E5" w:rsidRDefault="009468E5" w:rsidP="009468E5">
      <w:pPr>
        <w:pStyle w:val="ListBullet"/>
        <w:tabs>
          <w:tab w:val="clear" w:pos="360"/>
          <w:tab w:val="num" w:pos="709"/>
        </w:tabs>
        <w:ind w:left="1985" w:hanging="284"/>
        <w:rPr>
          <w:lang w:eastAsia="en-GB"/>
        </w:rPr>
      </w:pPr>
      <w:r>
        <w:rPr>
          <w:lang w:eastAsia="en-GB"/>
        </w:rPr>
        <w:t>political and strategic priorities</w:t>
      </w:r>
    </w:p>
    <w:p w14:paraId="4B4DF5BA" w14:textId="3120AB27" w:rsidR="009468E5" w:rsidRDefault="009468E5" w:rsidP="009468E5">
      <w:pPr>
        <w:pStyle w:val="ListBullet"/>
        <w:tabs>
          <w:tab w:val="clear" w:pos="360"/>
          <w:tab w:val="num" w:pos="709"/>
        </w:tabs>
        <w:ind w:left="1985" w:hanging="284"/>
        <w:rPr>
          <w:lang w:eastAsia="en-GB"/>
        </w:rPr>
      </w:pPr>
      <w:r>
        <w:rPr>
          <w:lang w:eastAsia="en-GB"/>
        </w:rPr>
        <w:t xml:space="preserve">evidence of what works </w:t>
      </w:r>
      <w:r w:rsidR="00340C10">
        <w:rPr>
          <w:rFonts w:ascii="Calibri" w:hAnsi="Calibri" w:cs="Calibri"/>
          <w:lang w:eastAsia="en-GB"/>
        </w:rPr>
        <w:t>—</w:t>
      </w:r>
      <w:r>
        <w:rPr>
          <w:lang w:eastAsia="en-GB"/>
        </w:rPr>
        <w:t xml:space="preserve"> and what is considered valid evidence</w:t>
      </w:r>
    </w:p>
    <w:p w14:paraId="08D8B46B" w14:textId="0C50016E" w:rsidR="009468E5" w:rsidRDefault="009468E5" w:rsidP="009468E5">
      <w:pPr>
        <w:pStyle w:val="ListBullet"/>
        <w:tabs>
          <w:tab w:val="clear" w:pos="360"/>
          <w:tab w:val="num" w:pos="709"/>
        </w:tabs>
        <w:ind w:left="1985" w:hanging="284"/>
        <w:rPr>
          <w:lang w:eastAsia="en-GB"/>
        </w:rPr>
      </w:pPr>
      <w:r>
        <w:rPr>
          <w:lang w:eastAsia="en-GB"/>
        </w:rPr>
        <w:t>assessment of public value</w:t>
      </w:r>
    </w:p>
    <w:p w14:paraId="7C8E2A29" w14:textId="41FDB05B" w:rsidR="009468E5" w:rsidRDefault="009468E5" w:rsidP="009468E5">
      <w:pPr>
        <w:pStyle w:val="ListBullet"/>
        <w:tabs>
          <w:tab w:val="clear" w:pos="360"/>
          <w:tab w:val="num" w:pos="709"/>
        </w:tabs>
        <w:ind w:left="1985" w:hanging="284"/>
        <w:rPr>
          <w:lang w:eastAsia="en-GB"/>
        </w:rPr>
      </w:pPr>
      <w:r>
        <w:rPr>
          <w:lang w:eastAsia="en-GB"/>
        </w:rPr>
        <w:t xml:space="preserve">levels of resourcing available.   </w:t>
      </w:r>
    </w:p>
    <w:p w14:paraId="74F4570F" w14:textId="67B4F107" w:rsidR="009468E5" w:rsidRDefault="00A82AD0" w:rsidP="009468E5">
      <w:pPr>
        <w:pStyle w:val="NormalwIndent"/>
      </w:pPr>
      <w:r>
        <w:t>Some</w:t>
      </w:r>
      <w:r w:rsidR="002C6504">
        <w:t xml:space="preserve"> other</w:t>
      </w:r>
      <w:r>
        <w:t xml:space="preserve"> potentially negative influences </w:t>
      </w:r>
      <w:r w:rsidR="009468E5">
        <w:t>can</w:t>
      </w:r>
      <w:r w:rsidR="002C6504">
        <w:t xml:space="preserve"> include</w:t>
      </w:r>
      <w:r>
        <w:t xml:space="preserve"> </w:t>
      </w:r>
      <w:r w:rsidR="009468E5">
        <w:t>investments and commissioning practices</w:t>
      </w:r>
      <w:r w:rsidR="00B7420E">
        <w:t xml:space="preserve"> of the past</w:t>
      </w:r>
      <w:r w:rsidR="009468E5">
        <w:t xml:space="preserve">, and what matters to advocacy groups, even when these do not represent public value. Including criteria for a clear and transparent process </w:t>
      </w:r>
      <w:r w:rsidR="00B7420E">
        <w:t xml:space="preserve">for setting priorities </w:t>
      </w:r>
      <w:r w:rsidR="009468E5">
        <w:t>and taking public value into account can reduce the impact of these influences.</w:t>
      </w:r>
    </w:p>
    <w:p w14:paraId="5CBCD781" w14:textId="238F7C74" w:rsidR="009468E5" w:rsidRDefault="009468E5" w:rsidP="009468E5">
      <w:pPr>
        <w:pStyle w:val="NormalwIndent"/>
      </w:pPr>
      <w:r>
        <w:t>Commissioners should actively and regularly engage with their local community in setting priorities</w:t>
      </w:r>
      <w:r w:rsidR="00A82AD0">
        <w:t>. They should also</w:t>
      </w:r>
      <w:r>
        <w:t xml:space="preserve"> communicate the outcome and impact of their commissioning decisions</w:t>
      </w:r>
      <w:r w:rsidR="0033203E">
        <w:t xml:space="preserve"> to that community</w:t>
      </w:r>
      <w:r>
        <w:t>.</w:t>
      </w:r>
    </w:p>
    <w:p w14:paraId="53A44FD8" w14:textId="52A62FA1" w:rsidR="009468E5" w:rsidRDefault="009468E5" w:rsidP="009468E5">
      <w:pPr>
        <w:pStyle w:val="NormalwIndent"/>
      </w:pPr>
      <w:r>
        <w:t>To set priorities in a commissioning environment, commissioners need to understand the capacity of the market</w:t>
      </w:r>
      <w:r w:rsidR="00DA013C">
        <w:t>. T</w:t>
      </w:r>
      <w:r>
        <w:t xml:space="preserve">his will often require </w:t>
      </w:r>
      <w:r w:rsidR="0033203E">
        <w:t>conducting some</w:t>
      </w:r>
      <w:r>
        <w:t xml:space="preserve"> market testing or soundings.</w:t>
      </w:r>
    </w:p>
    <w:p w14:paraId="61980575" w14:textId="77777777" w:rsidR="009468E5" w:rsidRPr="00925E36" w:rsidRDefault="009468E5" w:rsidP="00925E36">
      <w:pPr>
        <w:pStyle w:val="Heading4"/>
      </w:pPr>
      <w:r w:rsidRPr="00925E36">
        <w:t>Deciding what success will look like</w:t>
      </w:r>
    </w:p>
    <w:p w14:paraId="2CF90FDF" w14:textId="77777777" w:rsidR="00877F7F" w:rsidRDefault="00877F7F" w:rsidP="00877F7F">
      <w:pPr>
        <w:pStyle w:val="NormalwIndent"/>
      </w:pPr>
      <w:r>
        <w:t xml:space="preserve">Commissioners make decisions about how to measure success when developing performance monitoring processes, outcomes measures and evaluation approaches. </w:t>
      </w:r>
    </w:p>
    <w:p w14:paraId="20163A3D" w14:textId="27CE9130" w:rsidR="009468E5" w:rsidRDefault="009468E5" w:rsidP="009468E5">
      <w:pPr>
        <w:pStyle w:val="NormalwIndent"/>
      </w:pPr>
      <w:r>
        <w:t xml:space="preserve">Agreeing what success will look like (and how </w:t>
      </w:r>
      <w:r w:rsidR="0033203E">
        <w:t>to measure it</w:t>
      </w:r>
      <w:r>
        <w:t xml:space="preserve"> meaningfully) at the designing and planning stage will help </w:t>
      </w:r>
      <w:r w:rsidR="0033203E">
        <w:t xml:space="preserve">to </w:t>
      </w:r>
      <w:r w:rsidR="008B12D6">
        <w:t xml:space="preserve">achieve </w:t>
      </w:r>
      <w:r>
        <w:t xml:space="preserve">more </w:t>
      </w:r>
      <w:r w:rsidR="00B91BBE">
        <w:t xml:space="preserve">effective </w:t>
      </w:r>
      <w:r w:rsidR="008B12D6">
        <w:t xml:space="preserve">results when </w:t>
      </w:r>
      <w:r>
        <w:t>planning and design</w:t>
      </w:r>
      <w:r w:rsidR="008B12D6">
        <w:t xml:space="preserve">ing in </w:t>
      </w:r>
      <w:r w:rsidR="002C6504">
        <w:t xml:space="preserve">more </w:t>
      </w:r>
      <w:r w:rsidR="008B12D6">
        <w:t xml:space="preserve">detail </w:t>
      </w:r>
      <w:r>
        <w:t>later</w:t>
      </w:r>
      <w:r w:rsidR="00DF7ED8">
        <w:t>.</w:t>
      </w:r>
      <w:r>
        <w:t xml:space="preserve"> </w:t>
      </w:r>
    </w:p>
    <w:p w14:paraId="523E77B6" w14:textId="77777777" w:rsidR="00E03E2E" w:rsidRDefault="00E03E2E" w:rsidP="00E03E2E"/>
    <w:p w14:paraId="267B20BC" w14:textId="77777777" w:rsidR="00E03E2E" w:rsidRDefault="00E03E2E" w:rsidP="00925E36">
      <w:pPr>
        <w:pStyle w:val="Heading4"/>
        <w:sectPr w:rsidR="00E03E2E" w:rsidSect="00C345BC">
          <w:pgSz w:w="11906" w:h="16838"/>
          <w:pgMar w:top="2778" w:right="1701" w:bottom="454" w:left="1701" w:header="567" w:footer="567" w:gutter="0"/>
          <w:cols w:space="708"/>
          <w:titlePg/>
          <w:docGrid w:linePitch="360"/>
        </w:sectPr>
      </w:pPr>
    </w:p>
    <w:p w14:paraId="03DD36F4" w14:textId="21C501DB" w:rsidR="0007324D" w:rsidRPr="005506BF" w:rsidRDefault="0007324D" w:rsidP="009055B4">
      <w:pPr>
        <w:pStyle w:val="Heading3-nonumbering"/>
        <w:spacing w:before="0"/>
      </w:pPr>
      <w:r w:rsidRPr="0007324D">
        <w:lastRenderedPageBreak/>
        <w:t>Planning</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07324D" w:rsidRPr="000C72D2" w14:paraId="722BCD15" w14:textId="77777777" w:rsidTr="0092604F">
        <w:trPr>
          <w:trHeight w:val="170"/>
        </w:trPr>
        <w:tc>
          <w:tcPr>
            <w:tcW w:w="567" w:type="dxa"/>
          </w:tcPr>
          <w:p w14:paraId="5891F333" w14:textId="21C501DB" w:rsidR="0007324D" w:rsidRPr="000C72D2" w:rsidRDefault="0007324D" w:rsidP="009055B4">
            <w:pPr>
              <w:pStyle w:val="0RULE"/>
            </w:pPr>
          </w:p>
        </w:tc>
      </w:tr>
    </w:tbl>
    <w:p w14:paraId="4DD3FECE" w14:textId="72B4D5EE" w:rsidR="00A12E88" w:rsidRDefault="0007324D" w:rsidP="0007324D">
      <w:pPr>
        <w:pStyle w:val="NormalwIndent"/>
      </w:pPr>
      <w:r w:rsidRPr="0007324D">
        <w:t>The scale, complexity and level of</w:t>
      </w:r>
      <w:r w:rsidR="00484368">
        <w:t xml:space="preserve"> </w:t>
      </w:r>
      <w:r w:rsidRPr="0007324D">
        <w:t xml:space="preserve">strategic </w:t>
      </w:r>
      <w:r w:rsidR="0073638B" w:rsidRPr="0007324D">
        <w:t>priorit</w:t>
      </w:r>
      <w:r w:rsidR="0073638B">
        <w:t>ies and investments</w:t>
      </w:r>
      <w:r w:rsidR="0073638B" w:rsidRPr="0007324D">
        <w:t xml:space="preserve"> </w:t>
      </w:r>
      <w:r w:rsidRPr="0007324D">
        <w:t xml:space="preserve">shape the level of detail </w:t>
      </w:r>
      <w:r w:rsidR="009403E3">
        <w:t>for</w:t>
      </w:r>
      <w:r w:rsidRPr="0007324D">
        <w:t xml:space="preserve"> planning. Plans can help record the following information.</w:t>
      </w:r>
    </w:p>
    <w:p w14:paraId="1AAC7DDB" w14:textId="233629F7" w:rsidR="0007324D" w:rsidRDefault="0007324D" w:rsidP="0007324D"/>
    <w:tbl>
      <w:tblPr>
        <w:tblStyle w:val="TableGrid"/>
        <w:tblW w:w="8505" w:type="dxa"/>
        <w:tblInd w:w="-15"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tblLook w:val="04A0" w:firstRow="1" w:lastRow="0" w:firstColumn="1" w:lastColumn="0" w:noHBand="0" w:noVBand="1"/>
      </w:tblPr>
      <w:tblGrid>
        <w:gridCol w:w="1134"/>
        <w:gridCol w:w="7371"/>
      </w:tblGrid>
      <w:tr w:rsidR="0007324D" w:rsidRPr="0007324D" w14:paraId="6C79C7F8" w14:textId="77777777" w:rsidTr="0007324D">
        <w:trPr>
          <w:trHeight w:val="191"/>
        </w:trPr>
        <w:tc>
          <w:tcPr>
            <w:tcW w:w="1134" w:type="dxa"/>
            <w:shd w:val="clear" w:color="auto" w:fill="F2F2F2" w:themeFill="background1" w:themeFillShade="F2"/>
            <w:vAlign w:val="center"/>
          </w:tcPr>
          <w:p w14:paraId="1AF3370F" w14:textId="77777777" w:rsidR="0007324D" w:rsidRPr="0007324D" w:rsidRDefault="0007324D" w:rsidP="0007324D">
            <w:pPr>
              <w:pStyle w:val="TableText"/>
              <w:spacing w:before="80" w:after="80"/>
              <w:rPr>
                <w:b/>
                <w:bCs/>
                <w:color w:val="auto"/>
              </w:rPr>
            </w:pPr>
            <w:r w:rsidRPr="0007324D">
              <w:rPr>
                <w:b/>
                <w:bCs/>
                <w:color w:val="auto"/>
              </w:rPr>
              <w:t>Focus</w:t>
            </w:r>
          </w:p>
        </w:tc>
        <w:tc>
          <w:tcPr>
            <w:tcW w:w="7371" w:type="dxa"/>
            <w:shd w:val="clear" w:color="auto" w:fill="F2F2F2" w:themeFill="background1" w:themeFillShade="F2"/>
            <w:vAlign w:val="center"/>
          </w:tcPr>
          <w:p w14:paraId="7F940466" w14:textId="77777777" w:rsidR="0007324D" w:rsidRPr="0007324D" w:rsidRDefault="0007324D" w:rsidP="0007324D">
            <w:pPr>
              <w:pStyle w:val="TableText"/>
              <w:spacing w:before="80" w:after="80"/>
              <w:rPr>
                <w:b/>
                <w:bCs/>
                <w:color w:val="auto"/>
                <w:szCs w:val="22"/>
              </w:rPr>
            </w:pPr>
            <w:r w:rsidRPr="0007324D">
              <w:rPr>
                <w:b/>
                <w:bCs/>
                <w:color w:val="auto"/>
                <w:szCs w:val="22"/>
              </w:rPr>
              <w:t>Information in plan</w:t>
            </w:r>
          </w:p>
        </w:tc>
      </w:tr>
      <w:tr w:rsidR="0007324D" w:rsidRPr="003A6A50" w14:paraId="4CD4B7CB" w14:textId="77777777" w:rsidTr="0007324D">
        <w:trPr>
          <w:trHeight w:val="191"/>
        </w:trPr>
        <w:tc>
          <w:tcPr>
            <w:tcW w:w="1134" w:type="dxa"/>
            <w:shd w:val="clear" w:color="auto" w:fill="F2F2F2" w:themeFill="background1" w:themeFillShade="F2"/>
            <w:vAlign w:val="center"/>
          </w:tcPr>
          <w:p w14:paraId="16F96C4F" w14:textId="77777777" w:rsidR="0007324D" w:rsidRPr="0007324D" w:rsidRDefault="0007324D" w:rsidP="0007324D">
            <w:pPr>
              <w:pStyle w:val="TableText"/>
              <w:spacing w:before="80" w:after="80"/>
              <w:rPr>
                <w:b/>
                <w:bCs/>
              </w:rPr>
            </w:pPr>
            <w:r w:rsidRPr="0007324D">
              <w:rPr>
                <w:b/>
                <w:bCs/>
              </w:rPr>
              <w:t>Why</w:t>
            </w:r>
          </w:p>
        </w:tc>
        <w:tc>
          <w:tcPr>
            <w:tcW w:w="7371" w:type="dxa"/>
            <w:shd w:val="clear" w:color="auto" w:fill="auto"/>
          </w:tcPr>
          <w:p w14:paraId="79BCC5DF" w14:textId="747D6212" w:rsidR="0007324D" w:rsidRPr="00064AC4" w:rsidRDefault="0007324D" w:rsidP="0007324D">
            <w:pPr>
              <w:pStyle w:val="Tablebulletx"/>
              <w:spacing w:before="80" w:after="80"/>
              <w:rPr>
                <w:sz w:val="16"/>
                <w:szCs w:val="16"/>
              </w:rPr>
            </w:pPr>
            <w:r>
              <w:t>T</w:t>
            </w:r>
            <w:r w:rsidRPr="003A6A50">
              <w:t>he case for change</w:t>
            </w:r>
          </w:p>
          <w:p w14:paraId="59FFFE89" w14:textId="77777777" w:rsidR="0007324D" w:rsidRPr="003A6A50" w:rsidRDefault="0007324D" w:rsidP="0007324D">
            <w:pPr>
              <w:pStyle w:val="Tablebulletx"/>
              <w:spacing w:before="80" w:after="80"/>
            </w:pPr>
            <w:r>
              <w:t>A</w:t>
            </w:r>
            <w:r w:rsidRPr="003A6A50">
              <w:t xml:space="preserve">lignment to strategic priorities </w:t>
            </w:r>
          </w:p>
        </w:tc>
      </w:tr>
      <w:tr w:rsidR="0007324D" w:rsidRPr="003A6A50" w14:paraId="6296A0C2" w14:textId="77777777" w:rsidTr="0007324D">
        <w:trPr>
          <w:trHeight w:val="709"/>
        </w:trPr>
        <w:tc>
          <w:tcPr>
            <w:tcW w:w="1134" w:type="dxa"/>
            <w:shd w:val="clear" w:color="auto" w:fill="F2F2F2" w:themeFill="background1" w:themeFillShade="F2"/>
            <w:vAlign w:val="center"/>
          </w:tcPr>
          <w:p w14:paraId="179BC16A" w14:textId="77777777" w:rsidR="0007324D" w:rsidRPr="0007324D" w:rsidRDefault="0007324D" w:rsidP="0007324D">
            <w:pPr>
              <w:pStyle w:val="TableText"/>
              <w:spacing w:before="80" w:after="80"/>
              <w:rPr>
                <w:b/>
                <w:bCs/>
              </w:rPr>
            </w:pPr>
            <w:r w:rsidRPr="0007324D">
              <w:rPr>
                <w:b/>
                <w:bCs/>
              </w:rPr>
              <w:t>Who</w:t>
            </w:r>
          </w:p>
        </w:tc>
        <w:tc>
          <w:tcPr>
            <w:tcW w:w="7371" w:type="dxa"/>
            <w:shd w:val="clear" w:color="auto" w:fill="auto"/>
          </w:tcPr>
          <w:p w14:paraId="4D57AABE" w14:textId="77777777" w:rsidR="0007324D" w:rsidRPr="003A6A50" w:rsidRDefault="0007324D" w:rsidP="0007324D">
            <w:pPr>
              <w:pStyle w:val="Tablebulletx"/>
              <w:spacing w:before="80" w:after="80"/>
              <w:rPr>
                <w:color w:val="00B050"/>
              </w:rPr>
            </w:pPr>
            <w:r>
              <w:t>A</w:t>
            </w:r>
            <w:r w:rsidRPr="003A6A50">
              <w:t xml:space="preserve">llocation of roles and responsibilities </w:t>
            </w:r>
          </w:p>
          <w:p w14:paraId="373E0D72" w14:textId="77777777" w:rsidR="0007324D" w:rsidRPr="003A6A50" w:rsidRDefault="0007324D" w:rsidP="0007324D">
            <w:pPr>
              <w:pStyle w:val="Tablebulletx"/>
              <w:spacing w:before="80" w:after="80"/>
            </w:pPr>
            <w:r>
              <w:t>G</w:t>
            </w:r>
            <w:r w:rsidRPr="003A6A50">
              <w:t>overnance and decision-making arrangements</w:t>
            </w:r>
          </w:p>
        </w:tc>
      </w:tr>
      <w:tr w:rsidR="0007324D" w:rsidRPr="003A6A50" w14:paraId="5BA15289" w14:textId="77777777" w:rsidTr="0007324D">
        <w:trPr>
          <w:trHeight w:val="467"/>
        </w:trPr>
        <w:tc>
          <w:tcPr>
            <w:tcW w:w="1134" w:type="dxa"/>
            <w:shd w:val="clear" w:color="auto" w:fill="F2F2F2" w:themeFill="background1" w:themeFillShade="F2"/>
            <w:vAlign w:val="center"/>
          </w:tcPr>
          <w:p w14:paraId="47A22438" w14:textId="77777777" w:rsidR="0007324D" w:rsidRPr="0007324D" w:rsidRDefault="0007324D" w:rsidP="0007324D">
            <w:pPr>
              <w:pStyle w:val="TableText"/>
              <w:spacing w:before="80" w:after="80"/>
              <w:rPr>
                <w:b/>
                <w:bCs/>
              </w:rPr>
            </w:pPr>
            <w:r w:rsidRPr="0007324D">
              <w:rPr>
                <w:b/>
                <w:bCs/>
              </w:rPr>
              <w:t>What</w:t>
            </w:r>
          </w:p>
        </w:tc>
        <w:tc>
          <w:tcPr>
            <w:tcW w:w="7371" w:type="dxa"/>
            <w:shd w:val="clear" w:color="auto" w:fill="auto"/>
          </w:tcPr>
          <w:p w14:paraId="325447D8" w14:textId="3B78D72D" w:rsidR="0007324D" w:rsidRPr="003A6A50" w:rsidRDefault="0007324D" w:rsidP="0007324D">
            <w:pPr>
              <w:pStyle w:val="Tablebulletx"/>
              <w:spacing w:before="80" w:after="80"/>
              <w:rPr>
                <w:color w:val="996633"/>
              </w:rPr>
            </w:pPr>
            <w:r>
              <w:t>T</w:t>
            </w:r>
            <w:r w:rsidRPr="003A6A50">
              <w:t xml:space="preserve">he design process and </w:t>
            </w:r>
            <w:r w:rsidRPr="00A26AFD">
              <w:rPr>
                <w:color w:val="auto"/>
              </w:rPr>
              <w:t>what changed as a result of</w:t>
            </w:r>
            <w:r w:rsidR="008B12D6">
              <w:rPr>
                <w:color w:val="auto"/>
              </w:rPr>
              <w:t xml:space="preserve"> engaging with</w:t>
            </w:r>
            <w:r w:rsidRPr="00A26AFD">
              <w:rPr>
                <w:color w:val="auto"/>
              </w:rPr>
              <w:t xml:space="preserve"> community and whānau</w:t>
            </w:r>
          </w:p>
          <w:p w14:paraId="6654F897" w14:textId="7A37FB6E" w:rsidR="0007324D" w:rsidRPr="003A6A50" w:rsidRDefault="008B12D6" w:rsidP="0007324D">
            <w:pPr>
              <w:pStyle w:val="Tablebulletx"/>
              <w:spacing w:before="80" w:after="80"/>
            </w:pPr>
            <w:r>
              <w:t>What’s needed</w:t>
            </w:r>
            <w:r w:rsidRPr="003A6A50">
              <w:t xml:space="preserve"> </w:t>
            </w:r>
            <w:r w:rsidR="0007324D" w:rsidRPr="003A6A50">
              <w:t xml:space="preserve">to </w:t>
            </w:r>
            <w:r>
              <w:t xml:space="preserve">go on </w:t>
            </w:r>
            <w:r w:rsidR="0007324D" w:rsidRPr="003A6A50">
              <w:t>to the approvals stage</w:t>
            </w:r>
            <w:r w:rsidR="004F19B7">
              <w:t xml:space="preserve"> (</w:t>
            </w:r>
            <w:r w:rsidR="0007324D" w:rsidRPr="003A6A50">
              <w:t>eg</w:t>
            </w:r>
            <w:r w:rsidR="0007324D">
              <w:t>,</w:t>
            </w:r>
            <w:r w:rsidR="0007324D" w:rsidRPr="003A6A50">
              <w:t xml:space="preserve"> funding request, business case</w:t>
            </w:r>
            <w:r w:rsidR="004F19B7">
              <w:t>)</w:t>
            </w:r>
          </w:p>
          <w:p w14:paraId="64D1B1DD" w14:textId="77777777" w:rsidR="0007324D" w:rsidRPr="003A6A50" w:rsidRDefault="0007324D" w:rsidP="0007324D">
            <w:pPr>
              <w:pStyle w:val="Tablebulletx"/>
              <w:spacing w:before="80" w:after="80"/>
            </w:pPr>
            <w:r>
              <w:t>W</w:t>
            </w:r>
            <w:r w:rsidRPr="003A6A50">
              <w:t>hat’s needed to implement (funding, preconditions, skills, lead-in time, communication)</w:t>
            </w:r>
          </w:p>
        </w:tc>
      </w:tr>
      <w:tr w:rsidR="0007324D" w:rsidRPr="003A6A50" w14:paraId="6610A985" w14:textId="77777777" w:rsidTr="0007324D">
        <w:tc>
          <w:tcPr>
            <w:tcW w:w="1134" w:type="dxa"/>
            <w:shd w:val="clear" w:color="auto" w:fill="F2F2F2" w:themeFill="background1" w:themeFillShade="F2"/>
            <w:vAlign w:val="center"/>
          </w:tcPr>
          <w:p w14:paraId="56E83725" w14:textId="77777777" w:rsidR="0007324D" w:rsidRPr="0007324D" w:rsidRDefault="0007324D" w:rsidP="0007324D">
            <w:pPr>
              <w:pStyle w:val="TableText"/>
              <w:spacing w:before="80" w:after="80"/>
              <w:rPr>
                <w:b/>
                <w:bCs/>
              </w:rPr>
            </w:pPr>
            <w:r w:rsidRPr="0007324D">
              <w:rPr>
                <w:b/>
                <w:bCs/>
              </w:rPr>
              <w:t>When</w:t>
            </w:r>
          </w:p>
        </w:tc>
        <w:tc>
          <w:tcPr>
            <w:tcW w:w="7371" w:type="dxa"/>
            <w:shd w:val="clear" w:color="auto" w:fill="auto"/>
          </w:tcPr>
          <w:p w14:paraId="25987D6E" w14:textId="77777777" w:rsidR="0007324D" w:rsidRPr="003A6A50" w:rsidRDefault="0007324D" w:rsidP="0007324D">
            <w:pPr>
              <w:pStyle w:val="Tablebulletx"/>
              <w:spacing w:before="80" w:after="80"/>
            </w:pPr>
            <w:r>
              <w:t>A</w:t>
            </w:r>
            <w:r w:rsidRPr="003A6A50">
              <w:t xml:space="preserve"> high</w:t>
            </w:r>
            <w:r>
              <w:t>-</w:t>
            </w:r>
            <w:r w:rsidRPr="003A6A50">
              <w:t>level timeframe for approvals and implementation, with key milestones</w:t>
            </w:r>
          </w:p>
        </w:tc>
      </w:tr>
      <w:tr w:rsidR="0007324D" w:rsidRPr="003A6A50" w14:paraId="5A4D410F" w14:textId="77777777" w:rsidTr="0007324D">
        <w:tc>
          <w:tcPr>
            <w:tcW w:w="1134" w:type="dxa"/>
            <w:shd w:val="clear" w:color="auto" w:fill="F2F2F2" w:themeFill="background1" w:themeFillShade="F2"/>
            <w:vAlign w:val="center"/>
          </w:tcPr>
          <w:p w14:paraId="284434E0" w14:textId="77777777" w:rsidR="0007324D" w:rsidRPr="0007324D" w:rsidRDefault="0007324D" w:rsidP="0007324D">
            <w:pPr>
              <w:pStyle w:val="TableText"/>
              <w:spacing w:before="80" w:after="80"/>
              <w:rPr>
                <w:b/>
                <w:bCs/>
              </w:rPr>
            </w:pPr>
            <w:r w:rsidRPr="0007324D">
              <w:rPr>
                <w:b/>
                <w:bCs/>
              </w:rPr>
              <w:t>How</w:t>
            </w:r>
          </w:p>
        </w:tc>
        <w:tc>
          <w:tcPr>
            <w:tcW w:w="7371" w:type="dxa"/>
            <w:shd w:val="clear" w:color="auto" w:fill="auto"/>
          </w:tcPr>
          <w:p w14:paraId="5BAD3BE2" w14:textId="77777777" w:rsidR="0007324D" w:rsidRPr="003A6A50" w:rsidRDefault="0007324D" w:rsidP="0007324D">
            <w:pPr>
              <w:pStyle w:val="Tablebulletx"/>
              <w:spacing w:before="80" w:after="80"/>
            </w:pPr>
            <w:r>
              <w:t xml:space="preserve">A </w:t>
            </w:r>
            <w:r w:rsidRPr="003A6A50">
              <w:t>high-level implementation plan</w:t>
            </w:r>
          </w:p>
          <w:p w14:paraId="1FDF2405" w14:textId="77777777" w:rsidR="0007324D" w:rsidRPr="003A6A50" w:rsidRDefault="0007324D" w:rsidP="0007324D">
            <w:pPr>
              <w:pStyle w:val="Tablebulletx"/>
              <w:spacing w:before="80" w:after="80"/>
            </w:pPr>
            <w:r>
              <w:t xml:space="preserve">A </w:t>
            </w:r>
            <w:r w:rsidRPr="003A6A50">
              <w:t>communication and engagement plan</w:t>
            </w:r>
          </w:p>
          <w:p w14:paraId="4E75A244" w14:textId="0E236CA8" w:rsidR="0007324D" w:rsidRPr="003A6A50" w:rsidRDefault="0007324D" w:rsidP="0007324D">
            <w:pPr>
              <w:pStyle w:val="Tablebulletx"/>
              <w:spacing w:before="80" w:after="80"/>
            </w:pPr>
            <w:r>
              <w:t xml:space="preserve">A </w:t>
            </w:r>
            <w:r w:rsidRPr="003A6A50">
              <w:t>risks</w:t>
            </w:r>
            <w:r w:rsidR="004754C2">
              <w:t xml:space="preserve"> and issues</w:t>
            </w:r>
            <w:r w:rsidRPr="003A6A50">
              <w:t xml:space="preserve"> management plan</w:t>
            </w:r>
          </w:p>
          <w:p w14:paraId="11DEEB5D" w14:textId="77777777" w:rsidR="0007324D" w:rsidRPr="003A6A50" w:rsidRDefault="0007324D" w:rsidP="0007324D">
            <w:pPr>
              <w:pStyle w:val="Tablebulletx"/>
              <w:spacing w:before="80" w:after="80"/>
            </w:pPr>
            <w:r>
              <w:t>M</w:t>
            </w:r>
            <w:r w:rsidRPr="003A6A50">
              <w:t>onitoring approach (delivery, performance, accountability, continuous improvement)</w:t>
            </w:r>
          </w:p>
          <w:p w14:paraId="2FF80E67" w14:textId="77777777" w:rsidR="0007324D" w:rsidRPr="003A6A50" w:rsidRDefault="0007324D" w:rsidP="0007324D">
            <w:pPr>
              <w:pStyle w:val="Tablebulletx"/>
              <w:spacing w:before="80" w:after="80"/>
            </w:pPr>
            <w:r>
              <w:t>E</w:t>
            </w:r>
            <w:r w:rsidRPr="003A6A50">
              <w:t>valuation approach (outcomes, what’s working well, what needs to change, future investments)</w:t>
            </w:r>
          </w:p>
        </w:tc>
      </w:tr>
    </w:tbl>
    <w:p w14:paraId="6FF4BC93" w14:textId="77777777" w:rsidR="0007324D" w:rsidRDefault="0007324D" w:rsidP="0007324D"/>
    <w:p w14:paraId="02FECE69" w14:textId="6588A739" w:rsidR="00064AC4" w:rsidRDefault="005401E4" w:rsidP="00064AC4">
      <w:pPr>
        <w:pStyle w:val="NormalwIndent"/>
      </w:pPr>
      <w:r>
        <w:t>Commissioners need to revisit s</w:t>
      </w:r>
      <w:r w:rsidR="00064AC4">
        <w:t xml:space="preserve">ome </w:t>
      </w:r>
      <w:r w:rsidR="003906B7">
        <w:t>high</w:t>
      </w:r>
      <w:r w:rsidR="0095135C">
        <w:t>-</w:t>
      </w:r>
      <w:r w:rsidR="003906B7">
        <w:t xml:space="preserve">level </w:t>
      </w:r>
      <w:r w:rsidR="00064AC4">
        <w:t xml:space="preserve">details in the </w:t>
      </w:r>
      <w:r w:rsidR="00761E80">
        <w:t xml:space="preserve">plans </w:t>
      </w:r>
      <w:r w:rsidR="00064AC4">
        <w:t>during the contract development stage. This is because providers will have insights on what is feasible</w:t>
      </w:r>
      <w:r>
        <w:t xml:space="preserve"> and</w:t>
      </w:r>
      <w:r w:rsidR="00064AC4">
        <w:t xml:space="preserve"> when, and how to </w:t>
      </w:r>
      <w:r w:rsidR="004F19B7">
        <w:t xml:space="preserve">best </w:t>
      </w:r>
      <w:r w:rsidR="00064AC4">
        <w:t xml:space="preserve">use performance monitoring to support performance management. </w:t>
      </w:r>
    </w:p>
    <w:p w14:paraId="2E066E52" w14:textId="77777777" w:rsidR="00064AC4" w:rsidRDefault="00064AC4" w:rsidP="00064AC4"/>
    <w:p w14:paraId="20A17F59" w14:textId="77777777" w:rsidR="00064AC4" w:rsidRDefault="00064AC4" w:rsidP="00925E36">
      <w:pPr>
        <w:pStyle w:val="Heading4"/>
        <w:sectPr w:rsidR="00064AC4" w:rsidSect="00C345BC">
          <w:pgSz w:w="11906" w:h="16838"/>
          <w:pgMar w:top="2778" w:right="1701" w:bottom="454" w:left="1701" w:header="567" w:footer="567" w:gutter="0"/>
          <w:cols w:space="708"/>
          <w:titlePg/>
          <w:docGrid w:linePitch="360"/>
        </w:sectPr>
      </w:pPr>
    </w:p>
    <w:p w14:paraId="044147F2" w14:textId="2583D867" w:rsidR="00064AC4" w:rsidRDefault="00064AC4" w:rsidP="00925E36">
      <w:pPr>
        <w:pStyle w:val="Heading4"/>
      </w:pPr>
      <w:r>
        <w:lastRenderedPageBreak/>
        <w:t xml:space="preserve">Allocating responsibilities </w:t>
      </w:r>
      <w:r w:rsidR="00761E80">
        <w:t xml:space="preserve">at </w:t>
      </w:r>
      <w:r>
        <w:t xml:space="preserve">national, regional </w:t>
      </w:r>
      <w:r w:rsidR="005401E4">
        <w:t xml:space="preserve">and </w:t>
      </w:r>
      <w:r>
        <w:t>local</w:t>
      </w:r>
      <w:r w:rsidR="00761E80">
        <w:t xml:space="preserve"> levels</w:t>
      </w:r>
    </w:p>
    <w:p w14:paraId="4C37DE6A" w14:textId="14E98F56" w:rsidR="00484368" w:rsidRDefault="006F01E0" w:rsidP="00064AC4">
      <w:pPr>
        <w:pStyle w:val="NormalwIndent"/>
      </w:pPr>
      <w:r>
        <w:t>Responsibility for managing d</w:t>
      </w:r>
      <w:r w:rsidR="00064AC4">
        <w:t xml:space="preserve">ifferent parts of the commissioning process can be </w:t>
      </w:r>
      <w:r>
        <w:t xml:space="preserve">spread between </w:t>
      </w:r>
      <w:r w:rsidR="00064AC4">
        <w:t>local</w:t>
      </w:r>
      <w:r>
        <w:t>, regional and national levels</w:t>
      </w:r>
      <w:r w:rsidR="00064AC4">
        <w:t xml:space="preserve">. </w:t>
      </w:r>
    </w:p>
    <w:p w14:paraId="6BF6EDD3" w14:textId="59366279" w:rsidR="0007324D" w:rsidRDefault="00DC0803" w:rsidP="00064AC4">
      <w:pPr>
        <w:pStyle w:val="NormalwIndent"/>
      </w:pPr>
      <w:r>
        <w:fldChar w:fldCharType="begin" w:fldLock="1"/>
      </w:r>
      <w:r>
        <w:instrText xml:space="preserve"> REF _Ref113938328 \h </w:instrText>
      </w:r>
      <w:r>
        <w:fldChar w:fldCharType="separate"/>
      </w:r>
      <w:r w:rsidR="00B24B20" w:rsidRPr="00831CBA">
        <w:t xml:space="preserve">Figure </w:t>
      </w:r>
      <w:r w:rsidR="00B24B20">
        <w:rPr>
          <w:noProof/>
        </w:rPr>
        <w:t>3</w:t>
      </w:r>
      <w:r>
        <w:fldChar w:fldCharType="end"/>
      </w:r>
      <w:r w:rsidR="00064AC4">
        <w:t xml:space="preserve"> lists some questions on benefits, capability and the local context</w:t>
      </w:r>
      <w:r w:rsidR="00B15274">
        <w:t>.</w:t>
      </w:r>
      <w:r w:rsidR="00064AC4">
        <w:t xml:space="preserve"> </w:t>
      </w:r>
      <w:r w:rsidR="00B15274">
        <w:t xml:space="preserve">Commissioners can use these to </w:t>
      </w:r>
      <w:r w:rsidR="00064AC4">
        <w:t xml:space="preserve">help </w:t>
      </w:r>
      <w:r w:rsidR="00820F0E">
        <w:t>make decisions</w:t>
      </w:r>
      <w:r w:rsidR="00B15274">
        <w:t xml:space="preserve"> about </w:t>
      </w:r>
      <w:r w:rsidR="00064AC4">
        <w:t>the most effective way of allocating responsibilities.</w:t>
      </w:r>
    </w:p>
    <w:p w14:paraId="7CBDBABB" w14:textId="6CA26E4B" w:rsidR="005401E4" w:rsidRDefault="005401E4" w:rsidP="00835D14">
      <w:pPr>
        <w:pStyle w:val="Caption"/>
      </w:pPr>
      <w:bookmarkStart w:id="42" w:name="_Ref113938328"/>
      <w:bookmarkStart w:id="43" w:name="_Toc120206624"/>
      <w:r w:rsidRPr="00831CBA">
        <w:t xml:space="preserve">Figure </w:t>
      </w:r>
      <w:r>
        <w:fldChar w:fldCharType="begin"/>
      </w:r>
      <w:r>
        <w:instrText xml:space="preserve"> SEQ Figure \* ARABIC </w:instrText>
      </w:r>
      <w:r>
        <w:fldChar w:fldCharType="separate"/>
      </w:r>
      <w:r w:rsidR="00B27208">
        <w:t>3</w:t>
      </w:r>
      <w:r>
        <w:fldChar w:fldCharType="end"/>
      </w:r>
      <w:bookmarkEnd w:id="42"/>
      <w:r w:rsidR="009055B4">
        <w:t>:</w:t>
      </w:r>
      <w:r w:rsidR="00964587">
        <w:t xml:space="preserve"> </w:t>
      </w:r>
      <w:r w:rsidRPr="00064AC4">
        <w:t xml:space="preserve">Questions to </w:t>
      </w:r>
      <w:r>
        <w:t>help decide</w:t>
      </w:r>
      <w:r w:rsidRPr="00064AC4">
        <w:t xml:space="preserve"> where to allocate responsibilities for the commissioning process</w:t>
      </w:r>
      <w:bookmarkEnd w:id="43"/>
    </w:p>
    <w:p w14:paraId="38CBD250" w14:textId="26547830" w:rsidR="0092604F" w:rsidRDefault="002B7D20" w:rsidP="0092604F">
      <w:r>
        <w:rPr>
          <w:noProof/>
        </w:rPr>
        <w:drawing>
          <wp:inline distT="0" distB="0" distL="0" distR="0" wp14:anchorId="65FCD25A" wp14:editId="1F3BA5F2">
            <wp:extent cx="5048082" cy="5891842"/>
            <wp:effectExtent l="0" t="0" r="635" b="0"/>
            <wp:docPr id="8" name="Picture 8" descr="P7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755#yIS1"/>
                    <pic:cNvPicPr/>
                  </pic:nvPicPr>
                  <pic:blipFill rotWithShape="1">
                    <a:blip r:embed="rId31" cstate="print">
                      <a:extLst>
                        <a:ext uri="{28A0092B-C50C-407E-A947-70E740481C1C}">
                          <a14:useLocalDpi xmlns:a14="http://schemas.microsoft.com/office/drawing/2010/main" val="0"/>
                        </a:ext>
                      </a:extLst>
                    </a:blip>
                    <a:srcRect t="1882" b="1718"/>
                    <a:stretch/>
                  </pic:blipFill>
                  <pic:spPr bwMode="auto">
                    <a:xfrm>
                      <a:off x="0" y="0"/>
                      <a:ext cx="5107158" cy="5960793"/>
                    </a:xfrm>
                    <a:prstGeom prst="rect">
                      <a:avLst/>
                    </a:prstGeom>
                    <a:ln>
                      <a:noFill/>
                    </a:ln>
                    <a:extLst>
                      <a:ext uri="{53640926-AAD7-44D8-BBD7-CCE9431645EC}">
                        <a14:shadowObscured xmlns:a14="http://schemas.microsoft.com/office/drawing/2010/main"/>
                      </a:ext>
                    </a:extLst>
                  </pic:spPr>
                </pic:pic>
              </a:graphicData>
            </a:graphic>
          </wp:inline>
        </w:drawing>
      </w:r>
      <w:bookmarkStart w:id="44" w:name="_Hlk109542649"/>
      <w:r>
        <w:rPr>
          <w:sz w:val="16"/>
          <w:szCs w:val="18"/>
        </w:rPr>
        <w:br/>
      </w:r>
      <w:r w:rsidR="0092604F" w:rsidRPr="0092604F">
        <w:rPr>
          <w:sz w:val="16"/>
          <w:szCs w:val="18"/>
        </w:rPr>
        <w:t>Source: Adapted from the New Zealand Productivity Commission (2013).</w:t>
      </w:r>
      <w:bookmarkEnd w:id="44"/>
    </w:p>
    <w:p w14:paraId="672BAFCE" w14:textId="77777777" w:rsidR="0092604F" w:rsidRDefault="0092604F" w:rsidP="0092604F">
      <w:pPr>
        <w:sectPr w:rsidR="0092604F" w:rsidSect="00C345BC">
          <w:pgSz w:w="11906" w:h="16838"/>
          <w:pgMar w:top="2778" w:right="1701" w:bottom="454" w:left="1701" w:header="567" w:footer="567" w:gutter="0"/>
          <w:cols w:space="708"/>
          <w:titlePg/>
          <w:docGrid w:linePitch="360"/>
        </w:sectPr>
      </w:pPr>
    </w:p>
    <w:p w14:paraId="644A213C" w14:textId="28D5B747" w:rsidR="0092604F" w:rsidRPr="00925E36" w:rsidRDefault="0092604F" w:rsidP="00925E36">
      <w:pPr>
        <w:pStyle w:val="Heading4"/>
      </w:pPr>
      <w:r w:rsidRPr="00925E36">
        <w:lastRenderedPageBreak/>
        <w:t>Key shifts in commissioning at the designing and planning stage</w:t>
      </w:r>
    </w:p>
    <w:p w14:paraId="29E4E813" w14:textId="4DA7ED1B" w:rsidR="0092604F" w:rsidRDefault="0092604F" w:rsidP="0092604F">
      <w:pPr>
        <w:rPr>
          <w:lang w:eastAsia="en-GB"/>
        </w:rPr>
      </w:pPr>
    </w:p>
    <w:tbl>
      <w:tblPr>
        <w:tblStyle w:val="TableGrid"/>
        <w:tblW w:w="8647" w:type="dxa"/>
        <w:tblInd w:w="-157"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578"/>
        <w:gridCol w:w="3219"/>
        <w:gridCol w:w="3850"/>
      </w:tblGrid>
      <w:tr w:rsidR="00E33AED" w:rsidRPr="0092604F" w14:paraId="26D90129" w14:textId="77777777" w:rsidTr="0092604F">
        <w:trPr>
          <w:trHeight w:val="191"/>
        </w:trPr>
        <w:tc>
          <w:tcPr>
            <w:tcW w:w="1578" w:type="dxa"/>
            <w:shd w:val="clear" w:color="auto" w:fill="F2F2F2" w:themeFill="background1" w:themeFillShade="F2"/>
          </w:tcPr>
          <w:p w14:paraId="3ED066AB" w14:textId="77777777" w:rsidR="0092604F" w:rsidRPr="0092604F" w:rsidRDefault="0092604F" w:rsidP="0092604F">
            <w:pPr>
              <w:pStyle w:val="TableText"/>
              <w:spacing w:before="80" w:after="80"/>
              <w:rPr>
                <w:b/>
                <w:bCs/>
              </w:rPr>
            </w:pPr>
          </w:p>
        </w:tc>
        <w:tc>
          <w:tcPr>
            <w:tcW w:w="3219" w:type="dxa"/>
            <w:shd w:val="clear" w:color="auto" w:fill="F2F2F2" w:themeFill="background1" w:themeFillShade="F2"/>
          </w:tcPr>
          <w:p w14:paraId="5BFF7FA4" w14:textId="77777777" w:rsidR="0092604F" w:rsidRPr="0092604F" w:rsidRDefault="0092604F" w:rsidP="0092604F">
            <w:pPr>
              <w:pStyle w:val="TableText"/>
              <w:spacing w:before="80" w:after="80"/>
              <w:rPr>
                <w:b/>
                <w:bCs/>
              </w:rPr>
            </w:pPr>
            <w:r w:rsidRPr="0092604F">
              <w:rPr>
                <w:b/>
                <w:bCs/>
              </w:rPr>
              <w:t>From conventional commissioning</w:t>
            </w:r>
          </w:p>
        </w:tc>
        <w:tc>
          <w:tcPr>
            <w:tcW w:w="3850" w:type="dxa"/>
            <w:shd w:val="clear" w:color="auto" w:fill="F2F2F2" w:themeFill="background1" w:themeFillShade="F2"/>
          </w:tcPr>
          <w:p w14:paraId="73D0A864" w14:textId="165C74DB" w:rsidR="0092604F" w:rsidRPr="0092604F" w:rsidRDefault="0092604F" w:rsidP="0092604F">
            <w:pPr>
              <w:pStyle w:val="TableText"/>
              <w:spacing w:before="80" w:after="80"/>
              <w:rPr>
                <w:b/>
                <w:bCs/>
              </w:rPr>
            </w:pPr>
            <w:r w:rsidRPr="0092604F">
              <w:rPr>
                <w:b/>
                <w:bCs/>
              </w:rPr>
              <w:t>To whānau-</w:t>
            </w:r>
            <w:r w:rsidR="002C691C">
              <w:rPr>
                <w:b/>
                <w:bCs/>
              </w:rPr>
              <w:t>led</w:t>
            </w:r>
            <w:r w:rsidR="00484368">
              <w:rPr>
                <w:b/>
                <w:bCs/>
              </w:rPr>
              <w:t xml:space="preserve"> </w:t>
            </w:r>
            <w:r w:rsidRPr="0092604F">
              <w:rPr>
                <w:b/>
                <w:bCs/>
              </w:rPr>
              <w:t>and Māori-led</w:t>
            </w:r>
          </w:p>
        </w:tc>
      </w:tr>
      <w:tr w:rsidR="00E33AED" w:rsidRPr="003A6A50" w14:paraId="7A1A58CB" w14:textId="77777777" w:rsidTr="0092604F">
        <w:trPr>
          <w:trHeight w:val="709"/>
        </w:trPr>
        <w:tc>
          <w:tcPr>
            <w:tcW w:w="1578" w:type="dxa"/>
            <w:shd w:val="clear" w:color="auto" w:fill="F2F2F2" w:themeFill="background1" w:themeFillShade="F2"/>
            <w:vAlign w:val="center"/>
          </w:tcPr>
          <w:p w14:paraId="6E0E4D0C" w14:textId="77777777" w:rsidR="0092604F" w:rsidRPr="0092604F" w:rsidRDefault="0092604F" w:rsidP="0092604F">
            <w:pPr>
              <w:pStyle w:val="TableText"/>
              <w:spacing w:before="80" w:after="80"/>
              <w:rPr>
                <w:b/>
                <w:bCs/>
              </w:rPr>
            </w:pPr>
            <w:r w:rsidRPr="0092604F">
              <w:rPr>
                <w:b/>
                <w:bCs/>
              </w:rPr>
              <w:t>People</w:t>
            </w:r>
          </w:p>
          <w:p w14:paraId="35AEA651" w14:textId="406B2B13" w:rsidR="0092604F" w:rsidRDefault="0092604F" w:rsidP="0092604F">
            <w:pPr>
              <w:pStyle w:val="TableText"/>
              <w:spacing w:before="80" w:after="80"/>
              <w:rPr>
                <w:b/>
                <w:bCs/>
              </w:rPr>
            </w:pPr>
            <w:r w:rsidRPr="0092604F">
              <w:rPr>
                <w:b/>
                <w:bCs/>
              </w:rPr>
              <w:t>Whānau</w:t>
            </w:r>
          </w:p>
          <w:p w14:paraId="082F4D11" w14:textId="77777777" w:rsidR="0092604F" w:rsidRPr="0092604F" w:rsidRDefault="0092604F" w:rsidP="0092604F">
            <w:pPr>
              <w:pStyle w:val="TableText"/>
              <w:spacing w:before="80" w:after="80"/>
              <w:rPr>
                <w:b/>
                <w:bCs/>
              </w:rPr>
            </w:pPr>
            <w:r w:rsidRPr="0092604F">
              <w:rPr>
                <w:b/>
                <w:bCs/>
              </w:rPr>
              <w:t>Communities</w:t>
            </w:r>
          </w:p>
        </w:tc>
        <w:tc>
          <w:tcPr>
            <w:tcW w:w="3219" w:type="dxa"/>
            <w:shd w:val="clear" w:color="auto" w:fill="FFFFFF" w:themeFill="background1"/>
          </w:tcPr>
          <w:p w14:paraId="19AC3E46" w14:textId="77777777" w:rsidR="0092604F" w:rsidRPr="003A6A50" w:rsidRDefault="0092604F" w:rsidP="0092604F">
            <w:pPr>
              <w:pStyle w:val="Tablebulletx"/>
              <w:rPr>
                <w:lang w:eastAsia="en-NZ"/>
              </w:rPr>
            </w:pPr>
            <w:r>
              <w:rPr>
                <w:lang w:eastAsia="en-NZ"/>
              </w:rPr>
              <w:t>Does not design s</w:t>
            </w:r>
            <w:r w:rsidRPr="003A6A50">
              <w:rPr>
                <w:lang w:eastAsia="en-NZ"/>
              </w:rPr>
              <w:t>ervices and other investments around what matters to whānau</w:t>
            </w:r>
            <w:r>
              <w:rPr>
                <w:lang w:eastAsia="en-NZ"/>
              </w:rPr>
              <w:t>.</w:t>
            </w:r>
            <w:r w:rsidRPr="003A6A50">
              <w:rPr>
                <w:lang w:eastAsia="en-NZ"/>
              </w:rPr>
              <w:t xml:space="preserve"> </w:t>
            </w:r>
          </w:p>
        </w:tc>
        <w:tc>
          <w:tcPr>
            <w:tcW w:w="3850" w:type="dxa"/>
            <w:shd w:val="clear" w:color="auto" w:fill="FFFFFF" w:themeFill="background1"/>
          </w:tcPr>
          <w:p w14:paraId="7FDDC6A3" w14:textId="77777777" w:rsidR="0092604F" w:rsidRPr="003A6A50" w:rsidRDefault="0092604F" w:rsidP="0092604F">
            <w:pPr>
              <w:pStyle w:val="Tablebulletx"/>
              <w:rPr>
                <w:rFonts w:cstheme="minorHAnsi"/>
              </w:rPr>
            </w:pPr>
            <w:r>
              <w:rPr>
                <w:rFonts w:cstheme="minorHAnsi"/>
              </w:rPr>
              <w:t>Involves s</w:t>
            </w:r>
            <w:r w:rsidRPr="003A6A50">
              <w:rPr>
                <w:rFonts w:cstheme="minorHAnsi"/>
              </w:rPr>
              <w:t xml:space="preserve">ervice users, whānau and communities </w:t>
            </w:r>
            <w:r>
              <w:rPr>
                <w:rFonts w:cstheme="minorHAnsi"/>
              </w:rPr>
              <w:t>in shaping</w:t>
            </w:r>
            <w:r w:rsidRPr="003A6A50">
              <w:rPr>
                <w:rFonts w:cstheme="minorHAnsi"/>
              </w:rPr>
              <w:t xml:space="preserve"> system and service purpose, along with other investments</w:t>
            </w:r>
            <w:r>
              <w:rPr>
                <w:rFonts w:cstheme="minorHAnsi"/>
              </w:rPr>
              <w:t>,</w:t>
            </w:r>
            <w:r w:rsidRPr="003A6A50">
              <w:rPr>
                <w:rFonts w:cstheme="minorHAnsi"/>
              </w:rPr>
              <w:t xml:space="preserve"> so </w:t>
            </w:r>
            <w:r>
              <w:rPr>
                <w:rFonts w:cstheme="minorHAnsi"/>
              </w:rPr>
              <w:t>services</w:t>
            </w:r>
            <w:r w:rsidRPr="003A6A50">
              <w:rPr>
                <w:rFonts w:cstheme="minorHAnsi"/>
              </w:rPr>
              <w:t xml:space="preserve"> deliver ‘what matters to them’</w:t>
            </w:r>
            <w:r>
              <w:rPr>
                <w:rFonts w:cstheme="minorHAnsi"/>
              </w:rPr>
              <w:t>.</w:t>
            </w:r>
            <w:r w:rsidRPr="003A6A50">
              <w:rPr>
                <w:rFonts w:cstheme="minorHAnsi"/>
              </w:rPr>
              <w:t xml:space="preserve"> </w:t>
            </w:r>
          </w:p>
        </w:tc>
      </w:tr>
      <w:tr w:rsidR="00E33AED" w:rsidRPr="003A6A50" w14:paraId="780E77A8" w14:textId="77777777" w:rsidTr="0092604F">
        <w:trPr>
          <w:trHeight w:val="467"/>
        </w:trPr>
        <w:tc>
          <w:tcPr>
            <w:tcW w:w="1578" w:type="dxa"/>
            <w:shd w:val="clear" w:color="auto" w:fill="F2F2F2" w:themeFill="background1" w:themeFillShade="F2"/>
            <w:vAlign w:val="center"/>
          </w:tcPr>
          <w:p w14:paraId="5FCD4E11" w14:textId="77777777" w:rsidR="0092604F" w:rsidRPr="0092604F" w:rsidRDefault="0092604F" w:rsidP="0092604F">
            <w:pPr>
              <w:pStyle w:val="TableText"/>
              <w:spacing w:before="80" w:after="80"/>
              <w:rPr>
                <w:b/>
                <w:bCs/>
              </w:rPr>
            </w:pPr>
            <w:r w:rsidRPr="0092604F">
              <w:rPr>
                <w:b/>
                <w:bCs/>
              </w:rPr>
              <w:t>Delivery</w:t>
            </w:r>
          </w:p>
        </w:tc>
        <w:tc>
          <w:tcPr>
            <w:tcW w:w="3219" w:type="dxa"/>
            <w:shd w:val="clear" w:color="auto" w:fill="FFFFFF" w:themeFill="background1"/>
          </w:tcPr>
          <w:p w14:paraId="6238D8C9" w14:textId="7E06DC9F" w:rsidR="0092604F" w:rsidRPr="003A6A50" w:rsidRDefault="0092604F" w:rsidP="0092604F">
            <w:pPr>
              <w:pStyle w:val="Tablebulletx"/>
              <w:rPr>
                <w:lang w:eastAsia="en-NZ"/>
              </w:rPr>
            </w:pPr>
            <w:r>
              <w:rPr>
                <w:lang w:eastAsia="en-NZ"/>
              </w:rPr>
              <w:t>May draw on p</w:t>
            </w:r>
            <w:r w:rsidRPr="003A6A50">
              <w:rPr>
                <w:lang w:eastAsia="en-NZ"/>
              </w:rPr>
              <w:t xml:space="preserve">roviders’ expertise in delivery and </w:t>
            </w:r>
            <w:r w:rsidR="001C0FD5">
              <w:rPr>
                <w:lang w:eastAsia="en-NZ"/>
              </w:rPr>
              <w:t xml:space="preserve">their </w:t>
            </w:r>
            <w:r w:rsidRPr="003A6A50">
              <w:rPr>
                <w:lang w:eastAsia="en-NZ"/>
              </w:rPr>
              <w:t>understanding of local contexts and communities, but</w:t>
            </w:r>
            <w:r>
              <w:rPr>
                <w:lang w:eastAsia="en-NZ"/>
              </w:rPr>
              <w:t xml:space="preserve"> that</w:t>
            </w:r>
            <w:r w:rsidRPr="003A6A50">
              <w:rPr>
                <w:lang w:eastAsia="en-NZ"/>
              </w:rPr>
              <w:t xml:space="preserve"> is not standard practice</w:t>
            </w:r>
            <w:r>
              <w:rPr>
                <w:lang w:eastAsia="en-NZ"/>
              </w:rPr>
              <w:t>.</w:t>
            </w:r>
          </w:p>
          <w:p w14:paraId="39E18577" w14:textId="77777777" w:rsidR="0092604F" w:rsidRPr="003A6A50" w:rsidRDefault="0092604F" w:rsidP="0092604F">
            <w:pPr>
              <w:pStyle w:val="Tablebulletx"/>
              <w:rPr>
                <w:lang w:eastAsia="en-NZ"/>
              </w:rPr>
            </w:pPr>
            <w:r>
              <w:rPr>
                <w:lang w:eastAsia="en-NZ"/>
              </w:rPr>
              <w:t>Assumes</w:t>
            </w:r>
            <w:r w:rsidRPr="003A6A50">
              <w:rPr>
                <w:lang w:eastAsia="en-NZ"/>
              </w:rPr>
              <w:t xml:space="preserve"> a service is what is needed, ahead of other types of investments (eg</w:t>
            </w:r>
            <w:r>
              <w:rPr>
                <w:lang w:eastAsia="en-NZ"/>
              </w:rPr>
              <w:t>, in</w:t>
            </w:r>
            <w:r w:rsidRPr="003A6A50">
              <w:rPr>
                <w:lang w:eastAsia="en-NZ"/>
              </w:rPr>
              <w:t xml:space="preserve"> community leadership and capability building, flexible funding approaches)</w:t>
            </w:r>
            <w:r>
              <w:rPr>
                <w:lang w:eastAsia="en-NZ"/>
              </w:rPr>
              <w:t>.</w:t>
            </w:r>
          </w:p>
        </w:tc>
        <w:tc>
          <w:tcPr>
            <w:tcW w:w="3850" w:type="dxa"/>
            <w:shd w:val="clear" w:color="auto" w:fill="FFFFFF" w:themeFill="background1"/>
          </w:tcPr>
          <w:p w14:paraId="1BC9F608" w14:textId="77777777" w:rsidR="0092604F" w:rsidRPr="003A6A50" w:rsidRDefault="0092604F" w:rsidP="0092604F">
            <w:pPr>
              <w:pStyle w:val="Tablebulletx"/>
              <w:rPr>
                <w:rFonts w:cstheme="minorHAnsi"/>
              </w:rPr>
            </w:pPr>
            <w:r>
              <w:rPr>
                <w:rFonts w:cstheme="minorHAnsi"/>
              </w:rPr>
              <w:t>Engages c</w:t>
            </w:r>
            <w:r w:rsidRPr="003A6A50">
              <w:rPr>
                <w:rFonts w:cstheme="minorHAnsi"/>
              </w:rPr>
              <w:t>ommunity, whānau and providers in design</w:t>
            </w:r>
            <w:r>
              <w:rPr>
                <w:rFonts w:cstheme="minorHAnsi"/>
              </w:rPr>
              <w:t>ing</w:t>
            </w:r>
            <w:r w:rsidRPr="003A6A50">
              <w:rPr>
                <w:rFonts w:cstheme="minorHAnsi"/>
              </w:rPr>
              <w:t xml:space="preserve"> new approaches</w:t>
            </w:r>
            <w:r>
              <w:rPr>
                <w:rFonts w:cstheme="minorHAnsi"/>
              </w:rPr>
              <w:t>.</w:t>
            </w:r>
          </w:p>
          <w:p w14:paraId="2DF0558B" w14:textId="684ABB8B" w:rsidR="0092604F" w:rsidRPr="003A6A50" w:rsidRDefault="0092604F" w:rsidP="0092604F">
            <w:pPr>
              <w:pStyle w:val="Tablebulletx"/>
              <w:rPr>
                <w:rFonts w:cstheme="minorHAnsi"/>
              </w:rPr>
            </w:pPr>
            <w:r>
              <w:rPr>
                <w:rFonts w:cstheme="minorHAnsi"/>
              </w:rPr>
              <w:t>Involves c</w:t>
            </w:r>
            <w:r w:rsidRPr="003A6A50">
              <w:rPr>
                <w:rFonts w:cstheme="minorHAnsi"/>
              </w:rPr>
              <w:t xml:space="preserve">ommunity, whānau and providers </w:t>
            </w:r>
            <w:r>
              <w:rPr>
                <w:rFonts w:cstheme="minorHAnsi"/>
              </w:rPr>
              <w:t xml:space="preserve">in </w:t>
            </w:r>
            <w:r w:rsidRPr="003A6A50">
              <w:rPr>
                <w:rFonts w:cstheme="minorHAnsi"/>
              </w:rPr>
              <w:t>shap</w:t>
            </w:r>
            <w:r>
              <w:rPr>
                <w:rFonts w:cstheme="minorHAnsi"/>
              </w:rPr>
              <w:t>ing</w:t>
            </w:r>
            <w:r w:rsidRPr="003A6A50">
              <w:rPr>
                <w:rFonts w:cstheme="minorHAnsi"/>
              </w:rPr>
              <w:t xml:space="preserve"> meaningful performance measures that capture value</w:t>
            </w:r>
            <w:r w:rsidR="00FF54C3">
              <w:rPr>
                <w:rFonts w:cstheme="minorHAnsi"/>
              </w:rPr>
              <w:t>. The results</w:t>
            </w:r>
            <w:r w:rsidRPr="003A6A50">
              <w:rPr>
                <w:rFonts w:cstheme="minorHAnsi"/>
              </w:rPr>
              <w:t xml:space="preserve"> can explain variance in outcomes and support continuous improvement</w:t>
            </w:r>
            <w:r>
              <w:rPr>
                <w:rFonts w:cstheme="minorHAnsi"/>
              </w:rPr>
              <w:t>.</w:t>
            </w:r>
          </w:p>
        </w:tc>
      </w:tr>
      <w:tr w:rsidR="00E33AED" w:rsidRPr="003A6A50" w14:paraId="1947C57A" w14:textId="77777777" w:rsidTr="0092604F">
        <w:tc>
          <w:tcPr>
            <w:tcW w:w="1578" w:type="dxa"/>
            <w:shd w:val="clear" w:color="auto" w:fill="F2F2F2" w:themeFill="background1" w:themeFillShade="F2"/>
            <w:vAlign w:val="center"/>
          </w:tcPr>
          <w:p w14:paraId="5E1150C8" w14:textId="77777777" w:rsidR="0092604F" w:rsidRPr="0092604F" w:rsidRDefault="0092604F" w:rsidP="0092604F">
            <w:pPr>
              <w:pStyle w:val="TableText"/>
              <w:spacing w:before="80" w:after="80"/>
              <w:rPr>
                <w:b/>
                <w:bCs/>
              </w:rPr>
            </w:pPr>
            <w:r w:rsidRPr="0092604F">
              <w:rPr>
                <w:b/>
                <w:bCs/>
              </w:rPr>
              <w:t>Commissioners</w:t>
            </w:r>
          </w:p>
        </w:tc>
        <w:tc>
          <w:tcPr>
            <w:tcW w:w="3219" w:type="dxa"/>
            <w:shd w:val="clear" w:color="auto" w:fill="FFFFFF" w:themeFill="background1"/>
          </w:tcPr>
          <w:p w14:paraId="5954E019" w14:textId="77777777" w:rsidR="0092604F" w:rsidRPr="003A6A50" w:rsidRDefault="0092604F" w:rsidP="0092604F">
            <w:pPr>
              <w:pStyle w:val="Tablebulletx"/>
              <w:rPr>
                <w:rFonts w:cstheme="minorHAnsi"/>
                <w:lang w:eastAsia="en-NZ"/>
              </w:rPr>
            </w:pPr>
            <w:r>
              <w:rPr>
                <w:rFonts w:cstheme="minorHAnsi"/>
                <w:lang w:eastAsia="en-NZ"/>
              </w:rPr>
              <w:t>Prevents innovation by taking a t</w:t>
            </w:r>
            <w:r w:rsidRPr="003A6A50">
              <w:rPr>
                <w:rFonts w:cstheme="minorHAnsi"/>
                <w:lang w:eastAsia="en-NZ"/>
              </w:rPr>
              <w:t>op-down approach</w:t>
            </w:r>
            <w:r>
              <w:rPr>
                <w:rFonts w:cstheme="minorHAnsi"/>
                <w:lang w:eastAsia="en-NZ"/>
              </w:rPr>
              <w:t>.</w:t>
            </w:r>
          </w:p>
          <w:p w14:paraId="2825F7F3" w14:textId="1609A009" w:rsidR="0092604F" w:rsidRPr="003A6A50" w:rsidRDefault="001C0FD5" w:rsidP="0092604F">
            <w:pPr>
              <w:pStyle w:val="Tablebulletx"/>
              <w:rPr>
                <w:rFonts w:cstheme="minorHAnsi"/>
                <w:lang w:eastAsia="en-NZ"/>
              </w:rPr>
            </w:pPr>
            <w:r>
              <w:rPr>
                <w:rFonts w:cstheme="minorHAnsi"/>
                <w:lang w:eastAsia="en-NZ"/>
              </w:rPr>
              <w:t>Uses a f</w:t>
            </w:r>
            <w:r w:rsidR="0092604F" w:rsidRPr="003A6A50">
              <w:rPr>
                <w:rFonts w:cstheme="minorHAnsi"/>
                <w:lang w:eastAsia="en-NZ"/>
              </w:rPr>
              <w:t xml:space="preserve">unding </w:t>
            </w:r>
            <w:r>
              <w:rPr>
                <w:rFonts w:cstheme="minorHAnsi"/>
                <w:lang w:eastAsia="en-NZ"/>
              </w:rPr>
              <w:t xml:space="preserve">approach that </w:t>
            </w:r>
            <w:r w:rsidR="0092604F" w:rsidRPr="003A6A50">
              <w:rPr>
                <w:rFonts w:cstheme="minorHAnsi"/>
                <w:lang w:eastAsia="en-NZ"/>
              </w:rPr>
              <w:t xml:space="preserve">follows historical patterns, including </w:t>
            </w:r>
            <w:r w:rsidR="0092604F">
              <w:rPr>
                <w:rFonts w:cstheme="minorHAnsi"/>
                <w:lang w:eastAsia="en-NZ"/>
              </w:rPr>
              <w:t>in</w:t>
            </w:r>
            <w:r w:rsidR="0092604F" w:rsidRPr="003A6A50">
              <w:rPr>
                <w:rFonts w:cstheme="minorHAnsi"/>
                <w:lang w:eastAsia="en-NZ"/>
              </w:rPr>
              <w:t xml:space="preserve"> assum</w:t>
            </w:r>
            <w:r w:rsidR="0092604F">
              <w:rPr>
                <w:rFonts w:cstheme="minorHAnsi"/>
                <w:lang w:eastAsia="en-NZ"/>
              </w:rPr>
              <w:t>ing</w:t>
            </w:r>
            <w:r w:rsidR="0092604F" w:rsidRPr="003A6A50">
              <w:rPr>
                <w:rFonts w:cstheme="minorHAnsi"/>
                <w:lang w:eastAsia="en-NZ"/>
              </w:rPr>
              <w:t xml:space="preserve"> that a service response is needed</w:t>
            </w:r>
            <w:r w:rsidR="0092604F">
              <w:rPr>
                <w:rFonts w:cstheme="minorHAnsi"/>
                <w:lang w:eastAsia="en-NZ"/>
              </w:rPr>
              <w:t>.</w:t>
            </w:r>
          </w:p>
          <w:p w14:paraId="53A5E916" w14:textId="77777777" w:rsidR="0092604F" w:rsidRPr="003A6A50" w:rsidRDefault="0092604F" w:rsidP="0092604F">
            <w:pPr>
              <w:pStyle w:val="Tablebulletx"/>
              <w:rPr>
                <w:rFonts w:cstheme="minorHAnsi"/>
                <w:lang w:eastAsia="en-NZ"/>
              </w:rPr>
            </w:pPr>
            <w:r>
              <w:rPr>
                <w:rFonts w:cstheme="minorHAnsi"/>
                <w:lang w:eastAsia="en-NZ"/>
              </w:rPr>
              <w:t>Considers a n</w:t>
            </w:r>
            <w:r w:rsidRPr="003A6A50">
              <w:rPr>
                <w:rFonts w:cstheme="minorHAnsi"/>
                <w:lang w:eastAsia="en-NZ"/>
              </w:rPr>
              <w:t>arrow range of options</w:t>
            </w:r>
            <w:r>
              <w:rPr>
                <w:rFonts w:cstheme="minorHAnsi"/>
                <w:lang w:eastAsia="en-NZ"/>
              </w:rPr>
              <w:t>.</w:t>
            </w:r>
            <w:r w:rsidRPr="003A6A50">
              <w:rPr>
                <w:rFonts w:cstheme="minorHAnsi"/>
                <w:lang w:eastAsia="en-NZ"/>
              </w:rPr>
              <w:t xml:space="preserve"> </w:t>
            </w:r>
          </w:p>
          <w:p w14:paraId="59076593" w14:textId="55A774E8" w:rsidR="0092604F" w:rsidRPr="000C15C9" w:rsidRDefault="0092604F" w:rsidP="000C15C9">
            <w:pPr>
              <w:pStyle w:val="Tablebulletx"/>
              <w:rPr>
                <w:rFonts w:cstheme="minorHAnsi"/>
                <w:lang w:eastAsia="en-NZ"/>
              </w:rPr>
            </w:pPr>
            <w:r>
              <w:rPr>
                <w:rFonts w:cstheme="minorHAnsi"/>
                <w:lang w:eastAsia="en-NZ"/>
              </w:rPr>
              <w:t>Uses e</w:t>
            </w:r>
            <w:r w:rsidRPr="003A6A50">
              <w:rPr>
                <w:rFonts w:cstheme="minorHAnsi"/>
                <w:lang w:eastAsia="en-NZ"/>
              </w:rPr>
              <w:t>fficiency and unit cost</w:t>
            </w:r>
            <w:r w:rsidR="007B22C1">
              <w:rPr>
                <w:rFonts w:cstheme="minorHAnsi"/>
                <w:lang w:eastAsia="en-NZ"/>
              </w:rPr>
              <w:t>s</w:t>
            </w:r>
            <w:r w:rsidRPr="003A6A50">
              <w:rPr>
                <w:rFonts w:cstheme="minorHAnsi"/>
                <w:lang w:eastAsia="en-NZ"/>
              </w:rPr>
              <w:t xml:space="preserve"> to deliver services as measures of value.</w:t>
            </w:r>
          </w:p>
        </w:tc>
        <w:tc>
          <w:tcPr>
            <w:tcW w:w="3850" w:type="dxa"/>
            <w:shd w:val="clear" w:color="auto" w:fill="FFFFFF" w:themeFill="background1"/>
          </w:tcPr>
          <w:p w14:paraId="0BD08B94" w14:textId="73E5C594" w:rsidR="0092604F" w:rsidRPr="003A6A50" w:rsidRDefault="0092604F" w:rsidP="0092604F">
            <w:pPr>
              <w:pStyle w:val="Tablebulletx"/>
              <w:rPr>
                <w:lang w:eastAsia="en-AU"/>
              </w:rPr>
            </w:pPr>
            <w:r w:rsidRPr="003A6A50">
              <w:rPr>
                <w:lang w:eastAsia="en-AU"/>
              </w:rPr>
              <w:t>Enable</w:t>
            </w:r>
            <w:r>
              <w:rPr>
                <w:lang w:eastAsia="en-AU"/>
              </w:rPr>
              <w:t>s</w:t>
            </w:r>
            <w:r w:rsidRPr="003A6A50">
              <w:rPr>
                <w:lang w:eastAsia="en-AU"/>
              </w:rPr>
              <w:t xml:space="preserve"> design thinking with diverse inputs</w:t>
            </w:r>
            <w:r w:rsidR="006F131D">
              <w:rPr>
                <w:lang w:eastAsia="en-AU"/>
              </w:rPr>
              <w:t>.</w:t>
            </w:r>
            <w:r w:rsidRPr="003A6A50">
              <w:rPr>
                <w:lang w:eastAsia="en-AU"/>
              </w:rPr>
              <w:t xml:space="preserve"> </w:t>
            </w:r>
            <w:r w:rsidR="006F131D">
              <w:rPr>
                <w:lang w:eastAsia="en-AU"/>
              </w:rPr>
              <w:t>S</w:t>
            </w:r>
            <w:r w:rsidRPr="003A6A50">
              <w:rPr>
                <w:lang w:eastAsia="en-AU"/>
              </w:rPr>
              <w:t>ervice users, potential service users, whānau and communities help shape the system and service purpose, along with other potential investments and the outcomes that matter to them</w:t>
            </w:r>
            <w:r>
              <w:rPr>
                <w:lang w:eastAsia="en-AU"/>
              </w:rPr>
              <w:t>.</w:t>
            </w:r>
          </w:p>
          <w:p w14:paraId="5A8751B4" w14:textId="77777777" w:rsidR="0092604F" w:rsidRPr="003A6A50" w:rsidRDefault="0092604F" w:rsidP="0092604F">
            <w:pPr>
              <w:pStyle w:val="Tablebulletx"/>
              <w:rPr>
                <w:lang w:eastAsia="en-AU"/>
              </w:rPr>
            </w:pPr>
            <w:r w:rsidRPr="003A6A50">
              <w:rPr>
                <w:lang w:eastAsia="en-AU"/>
              </w:rPr>
              <w:t>Enable</w:t>
            </w:r>
            <w:r>
              <w:rPr>
                <w:lang w:eastAsia="en-AU"/>
              </w:rPr>
              <w:t>s</w:t>
            </w:r>
            <w:r w:rsidRPr="003A6A50">
              <w:rPr>
                <w:lang w:eastAsia="en-AU"/>
              </w:rPr>
              <w:t xml:space="preserve"> thinking around ‘what’s possible’</w:t>
            </w:r>
            <w:r>
              <w:rPr>
                <w:lang w:eastAsia="en-AU"/>
              </w:rPr>
              <w:t>.</w:t>
            </w:r>
            <w:r w:rsidRPr="003A6A50">
              <w:rPr>
                <w:lang w:eastAsia="en-AU"/>
              </w:rPr>
              <w:t xml:space="preserve">  </w:t>
            </w:r>
          </w:p>
          <w:p w14:paraId="1456554A" w14:textId="2719B139" w:rsidR="0092604F" w:rsidRPr="003A6A50" w:rsidRDefault="0092604F" w:rsidP="0092604F">
            <w:pPr>
              <w:pStyle w:val="Tablebulletx"/>
              <w:rPr>
                <w:lang w:eastAsia="en-AU"/>
              </w:rPr>
            </w:pPr>
            <w:r>
              <w:rPr>
                <w:lang w:eastAsia="en-AU"/>
              </w:rPr>
              <w:t>Manages uncertainty by using</w:t>
            </w:r>
            <w:r w:rsidRPr="003A6A50">
              <w:rPr>
                <w:lang w:eastAsia="en-AU"/>
              </w:rPr>
              <w:t xml:space="preserve"> theories of change and staged approaches</w:t>
            </w:r>
            <w:r w:rsidR="004577EF">
              <w:rPr>
                <w:lang w:eastAsia="en-AU"/>
              </w:rPr>
              <w:t>.</w:t>
            </w:r>
          </w:p>
          <w:p w14:paraId="4F12A4C4" w14:textId="22130911" w:rsidR="0092604F" w:rsidRPr="003A6A50" w:rsidRDefault="007B22C1" w:rsidP="0092604F">
            <w:pPr>
              <w:pStyle w:val="Tablebulletx"/>
              <w:rPr>
                <w:lang w:eastAsia="en-AU"/>
              </w:rPr>
            </w:pPr>
            <w:r>
              <w:rPr>
                <w:lang w:eastAsia="en-AU"/>
              </w:rPr>
              <w:t xml:space="preserve">Uses </w:t>
            </w:r>
            <w:r w:rsidR="0092604F">
              <w:rPr>
                <w:lang w:eastAsia="en-AU"/>
              </w:rPr>
              <w:t>c</w:t>
            </w:r>
            <w:r w:rsidR="0092604F" w:rsidRPr="003A6A50">
              <w:rPr>
                <w:lang w:eastAsia="en-AU"/>
              </w:rPr>
              <w:t>osts across the system and public value.</w:t>
            </w:r>
          </w:p>
        </w:tc>
      </w:tr>
      <w:tr w:rsidR="00E33AED" w:rsidRPr="003A6A50" w14:paraId="38DD2969" w14:textId="77777777" w:rsidTr="0092604F">
        <w:trPr>
          <w:trHeight w:val="946"/>
        </w:trPr>
        <w:tc>
          <w:tcPr>
            <w:tcW w:w="1578" w:type="dxa"/>
            <w:shd w:val="clear" w:color="auto" w:fill="F2F2F2" w:themeFill="background1" w:themeFillShade="F2"/>
            <w:vAlign w:val="center"/>
          </w:tcPr>
          <w:p w14:paraId="716F9DBA" w14:textId="77777777" w:rsidR="0092604F" w:rsidRPr="0092604F" w:rsidRDefault="0092604F" w:rsidP="0092604F">
            <w:pPr>
              <w:pStyle w:val="TableText"/>
              <w:spacing w:before="80" w:after="80"/>
              <w:rPr>
                <w:b/>
                <w:bCs/>
              </w:rPr>
            </w:pPr>
            <w:r w:rsidRPr="0092604F">
              <w:rPr>
                <w:b/>
                <w:bCs/>
              </w:rPr>
              <w:t>System conditions</w:t>
            </w:r>
          </w:p>
        </w:tc>
        <w:tc>
          <w:tcPr>
            <w:tcW w:w="3219" w:type="dxa"/>
            <w:shd w:val="clear" w:color="auto" w:fill="FFFFFF" w:themeFill="background1"/>
          </w:tcPr>
          <w:p w14:paraId="6202E28D" w14:textId="48A32E54" w:rsidR="0092604F" w:rsidRPr="003A6A50" w:rsidRDefault="001C0FD5" w:rsidP="0092604F">
            <w:pPr>
              <w:pStyle w:val="Tablebulletx"/>
              <w:rPr>
                <w:lang w:eastAsia="en-NZ"/>
              </w:rPr>
            </w:pPr>
            <w:r>
              <w:rPr>
                <w:lang w:eastAsia="en-NZ"/>
              </w:rPr>
              <w:t>Takes a n</w:t>
            </w:r>
            <w:r w:rsidR="007B22C1">
              <w:rPr>
                <w:lang w:eastAsia="en-NZ"/>
              </w:rPr>
              <w:t>arrow view of why outcomes ha</w:t>
            </w:r>
            <w:r w:rsidR="00FF54C3">
              <w:rPr>
                <w:lang w:eastAsia="en-NZ"/>
              </w:rPr>
              <w:t>ve</w:t>
            </w:r>
            <w:r w:rsidR="007B22C1">
              <w:rPr>
                <w:lang w:eastAsia="en-NZ"/>
              </w:rPr>
              <w:t xml:space="preserve"> not improved</w:t>
            </w:r>
            <w:r w:rsidR="0092604F" w:rsidRPr="003A6A50">
              <w:rPr>
                <w:lang w:eastAsia="en-NZ"/>
              </w:rPr>
              <w:t>.</w:t>
            </w:r>
          </w:p>
        </w:tc>
        <w:tc>
          <w:tcPr>
            <w:tcW w:w="3850" w:type="dxa"/>
            <w:shd w:val="clear" w:color="auto" w:fill="FFFFFF" w:themeFill="background1"/>
          </w:tcPr>
          <w:p w14:paraId="23BA3056" w14:textId="7FC2A239" w:rsidR="0092604F" w:rsidRPr="003A6A50" w:rsidRDefault="0092604F" w:rsidP="0092604F">
            <w:pPr>
              <w:pStyle w:val="Tablebulletx"/>
              <w:rPr>
                <w:rFonts w:cstheme="minorHAnsi"/>
              </w:rPr>
            </w:pPr>
            <w:r>
              <w:rPr>
                <w:rFonts w:cstheme="minorHAnsi"/>
              </w:rPr>
              <w:t xml:space="preserve">Recognises </w:t>
            </w:r>
            <w:r w:rsidR="006F131D">
              <w:rPr>
                <w:rFonts w:cstheme="minorHAnsi"/>
              </w:rPr>
              <w:t xml:space="preserve">that </w:t>
            </w:r>
            <w:r>
              <w:rPr>
                <w:rFonts w:cstheme="minorHAnsi"/>
              </w:rPr>
              <w:t>s</w:t>
            </w:r>
            <w:r w:rsidRPr="003A6A50">
              <w:rPr>
                <w:rFonts w:cstheme="minorHAnsi"/>
              </w:rPr>
              <w:t>ystem conditions impact on outcomes</w:t>
            </w:r>
            <w:r w:rsidR="006F131D">
              <w:rPr>
                <w:rFonts w:cstheme="minorHAnsi"/>
              </w:rPr>
              <w:t>. These</w:t>
            </w:r>
            <w:r>
              <w:rPr>
                <w:rFonts w:cstheme="minorHAnsi"/>
              </w:rPr>
              <w:t xml:space="preserve"> conditions </w:t>
            </w:r>
            <w:r w:rsidR="006F131D">
              <w:rPr>
                <w:rFonts w:cstheme="minorHAnsi"/>
              </w:rPr>
              <w:t>include</w:t>
            </w:r>
            <w:r>
              <w:rPr>
                <w:rFonts w:cstheme="minorHAnsi"/>
              </w:rPr>
              <w:t xml:space="preserve"> </w:t>
            </w:r>
            <w:r w:rsidRPr="003A6A50">
              <w:rPr>
                <w:rFonts w:cstheme="minorHAnsi"/>
              </w:rPr>
              <w:t xml:space="preserve">what evidence </w:t>
            </w:r>
            <w:r>
              <w:rPr>
                <w:rFonts w:cstheme="minorHAnsi"/>
              </w:rPr>
              <w:t>the system</w:t>
            </w:r>
            <w:r w:rsidRPr="003A6A50">
              <w:rPr>
                <w:rFonts w:cstheme="minorHAnsi"/>
              </w:rPr>
              <w:t xml:space="preserve"> value</w:t>
            </w:r>
            <w:r>
              <w:rPr>
                <w:rFonts w:cstheme="minorHAnsi"/>
              </w:rPr>
              <w:t xml:space="preserve">s, </w:t>
            </w:r>
            <w:r w:rsidRPr="003A6A50">
              <w:rPr>
                <w:rFonts w:cstheme="minorHAnsi"/>
              </w:rPr>
              <w:t xml:space="preserve">how </w:t>
            </w:r>
            <w:r>
              <w:rPr>
                <w:rFonts w:cstheme="minorHAnsi"/>
              </w:rPr>
              <w:t xml:space="preserve">it enables </w:t>
            </w:r>
            <w:r w:rsidRPr="003A6A50">
              <w:rPr>
                <w:rFonts w:cstheme="minorHAnsi"/>
              </w:rPr>
              <w:t>innovation, and the impact of systemic and institutional racism on service design.</w:t>
            </w:r>
          </w:p>
        </w:tc>
      </w:tr>
    </w:tbl>
    <w:p w14:paraId="3E3FF43C" w14:textId="541F88F7" w:rsidR="0092604F" w:rsidRDefault="0092604F" w:rsidP="0092604F">
      <w:pPr>
        <w:rPr>
          <w:lang w:eastAsia="en-GB"/>
        </w:rPr>
      </w:pPr>
    </w:p>
    <w:p w14:paraId="4DCCCB14" w14:textId="77777777" w:rsidR="0092604F" w:rsidRDefault="0092604F" w:rsidP="009055B4">
      <w:pPr>
        <w:pStyle w:val="Heading3-nonumbering"/>
        <w:sectPr w:rsidR="0092604F" w:rsidSect="00C345BC">
          <w:pgSz w:w="11906" w:h="16838"/>
          <w:pgMar w:top="2778" w:right="1701" w:bottom="454" w:left="1701" w:header="567" w:footer="567" w:gutter="0"/>
          <w:cols w:space="708"/>
          <w:titlePg/>
          <w:docGrid w:linePitch="360"/>
        </w:sectPr>
      </w:pPr>
    </w:p>
    <w:p w14:paraId="6CE4A346" w14:textId="1A5897CA" w:rsidR="007530B0" w:rsidRPr="005506BF" w:rsidRDefault="007530B0" w:rsidP="009055B4">
      <w:pPr>
        <w:pStyle w:val="Heading3-nonumbering"/>
        <w:spacing w:before="0"/>
      </w:pPr>
      <w:r w:rsidRPr="007530B0">
        <w:lastRenderedPageBreak/>
        <w:t>Designing and planning stage: what and how</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92604F" w:rsidRPr="000C72D2" w14:paraId="1E5CBBC6" w14:textId="77777777" w:rsidTr="00080667">
        <w:trPr>
          <w:trHeight w:val="50"/>
        </w:trPr>
        <w:tc>
          <w:tcPr>
            <w:tcW w:w="567" w:type="dxa"/>
          </w:tcPr>
          <w:p w14:paraId="4F62DA47" w14:textId="77777777" w:rsidR="0092604F" w:rsidRPr="000C72D2" w:rsidRDefault="0092604F" w:rsidP="009055B4">
            <w:pPr>
              <w:pStyle w:val="0RULE"/>
            </w:pPr>
          </w:p>
        </w:tc>
      </w:tr>
    </w:tbl>
    <w:p w14:paraId="24687827" w14:textId="56D62E5B" w:rsidR="00925E36" w:rsidRPr="00925E36" w:rsidRDefault="007530B0" w:rsidP="00925E36">
      <w:pPr>
        <w:pStyle w:val="Heading4"/>
      </w:pPr>
      <w:r>
        <w:t>Aim</w:t>
      </w:r>
    </w:p>
    <w:p w14:paraId="669C5692" w14:textId="53C3CE76" w:rsidR="0092604F" w:rsidRPr="00BE6C08" w:rsidRDefault="0092604F" w:rsidP="0092604F">
      <w:pPr>
        <w:pStyle w:val="NormalIndent1"/>
        <w:rPr>
          <w:color w:val="auto"/>
          <w:sz w:val="28"/>
          <w:szCs w:val="28"/>
        </w:rPr>
      </w:pPr>
      <w:r w:rsidRPr="00BE6C08">
        <w:rPr>
          <w:color w:val="auto"/>
          <w:sz w:val="28"/>
          <w:szCs w:val="28"/>
        </w:rPr>
        <w:t>To design innovative responses to improve outcomes, using prioritisation criteria and assessment of public value, supported by a plan of action.</w:t>
      </w:r>
    </w:p>
    <w:p w14:paraId="58D64AAA" w14:textId="3266257A" w:rsidR="0092604F" w:rsidRDefault="0092604F" w:rsidP="0092604F">
      <w:pPr>
        <w:rPr>
          <w:lang w:eastAsia="en-GB"/>
        </w:rPr>
      </w:pPr>
    </w:p>
    <w:tbl>
      <w:tblPr>
        <w:tblStyle w:val="TableGrid"/>
        <w:tblW w:w="8379" w:type="dxa"/>
        <w:tblInd w:w="-15"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418"/>
        <w:gridCol w:w="3275"/>
        <w:gridCol w:w="3686"/>
      </w:tblGrid>
      <w:tr w:rsidR="00E33AED" w:rsidRPr="004F7098" w14:paraId="0F832347" w14:textId="77777777" w:rsidTr="0092604F">
        <w:trPr>
          <w:trHeight w:val="146"/>
          <w:tblHeader/>
        </w:trPr>
        <w:tc>
          <w:tcPr>
            <w:tcW w:w="1418" w:type="dxa"/>
            <w:shd w:val="clear" w:color="auto" w:fill="F2F2F2" w:themeFill="background1" w:themeFillShade="F2"/>
          </w:tcPr>
          <w:p w14:paraId="2BEC7251" w14:textId="77777777" w:rsidR="0092604F" w:rsidRPr="004F7098" w:rsidRDefault="0092604F" w:rsidP="0092604F">
            <w:pPr>
              <w:pStyle w:val="TableText"/>
              <w:rPr>
                <w:b/>
                <w:bCs/>
                <w:color w:val="auto"/>
              </w:rPr>
            </w:pPr>
          </w:p>
        </w:tc>
        <w:tc>
          <w:tcPr>
            <w:tcW w:w="3275" w:type="dxa"/>
            <w:shd w:val="clear" w:color="auto" w:fill="F2F2F2" w:themeFill="background1" w:themeFillShade="F2"/>
          </w:tcPr>
          <w:p w14:paraId="28EA598E" w14:textId="77777777" w:rsidR="0092604F" w:rsidRPr="004F7098" w:rsidRDefault="0092604F" w:rsidP="0092604F">
            <w:pPr>
              <w:pStyle w:val="TableText"/>
              <w:rPr>
                <w:b/>
                <w:bCs/>
                <w:color w:val="auto"/>
              </w:rPr>
            </w:pPr>
            <w:r w:rsidRPr="004F7098">
              <w:rPr>
                <w:b/>
                <w:bCs/>
                <w:color w:val="auto"/>
              </w:rPr>
              <w:t>What we need to do</w:t>
            </w:r>
          </w:p>
        </w:tc>
        <w:tc>
          <w:tcPr>
            <w:tcW w:w="3686" w:type="dxa"/>
            <w:shd w:val="clear" w:color="auto" w:fill="F2F2F2" w:themeFill="background1" w:themeFillShade="F2"/>
          </w:tcPr>
          <w:p w14:paraId="417A650B" w14:textId="0B925C5D" w:rsidR="0092604F" w:rsidRPr="004F7098" w:rsidRDefault="0092604F" w:rsidP="0092604F">
            <w:pPr>
              <w:pStyle w:val="TableText"/>
              <w:rPr>
                <w:b/>
                <w:bCs/>
                <w:color w:val="auto"/>
              </w:rPr>
            </w:pPr>
            <w:r w:rsidRPr="004F7098">
              <w:rPr>
                <w:b/>
                <w:bCs/>
                <w:color w:val="auto"/>
              </w:rPr>
              <w:t xml:space="preserve">How </w:t>
            </w:r>
            <w:r w:rsidR="006F131D">
              <w:rPr>
                <w:b/>
                <w:bCs/>
                <w:color w:val="auto"/>
              </w:rPr>
              <w:t>—</w:t>
            </w:r>
            <w:r w:rsidRPr="004F7098">
              <w:rPr>
                <w:b/>
                <w:bCs/>
                <w:color w:val="auto"/>
              </w:rPr>
              <w:t xml:space="preserve"> methods, tools, resources</w:t>
            </w:r>
          </w:p>
        </w:tc>
      </w:tr>
      <w:tr w:rsidR="00E33AED" w:rsidRPr="003A6A50" w14:paraId="22A50173" w14:textId="77777777" w:rsidTr="0092604F">
        <w:trPr>
          <w:trHeight w:val="709"/>
        </w:trPr>
        <w:tc>
          <w:tcPr>
            <w:tcW w:w="1418" w:type="dxa"/>
            <w:vMerge w:val="restart"/>
            <w:shd w:val="clear" w:color="auto" w:fill="F2F2F2" w:themeFill="background1" w:themeFillShade="F2"/>
            <w:vAlign w:val="center"/>
          </w:tcPr>
          <w:p w14:paraId="34ED0AD3" w14:textId="77777777" w:rsidR="0092604F" w:rsidRPr="0092604F" w:rsidRDefault="0092604F" w:rsidP="0092604F">
            <w:pPr>
              <w:pStyle w:val="TableText"/>
              <w:rPr>
                <w:rFonts w:eastAsia="+mn-ea"/>
                <w:b/>
                <w:bCs/>
              </w:rPr>
            </w:pPr>
            <w:r w:rsidRPr="0092604F">
              <w:rPr>
                <w:rFonts w:eastAsia="+mn-ea"/>
                <w:b/>
                <w:bCs/>
              </w:rPr>
              <w:t>Designing</w:t>
            </w:r>
          </w:p>
          <w:p w14:paraId="04C504B1" w14:textId="77777777" w:rsidR="0092604F" w:rsidRPr="0092604F" w:rsidRDefault="0092604F" w:rsidP="0092604F">
            <w:pPr>
              <w:pStyle w:val="TableText"/>
              <w:rPr>
                <w:b/>
                <w:bCs/>
              </w:rPr>
            </w:pPr>
          </w:p>
        </w:tc>
        <w:tc>
          <w:tcPr>
            <w:tcW w:w="3275" w:type="dxa"/>
            <w:shd w:val="clear" w:color="auto" w:fill="FFFFFF" w:themeFill="background1"/>
          </w:tcPr>
          <w:p w14:paraId="1551AB15" w14:textId="77777777" w:rsidR="0092604F" w:rsidRPr="00BE6C08" w:rsidRDefault="0092604F" w:rsidP="0092604F">
            <w:pPr>
              <w:pStyle w:val="TableText"/>
              <w:rPr>
                <w:rFonts w:eastAsia="+mn-ea"/>
                <w:b/>
                <w:bCs/>
                <w:color w:val="auto"/>
              </w:rPr>
            </w:pPr>
            <w:r w:rsidRPr="00BE6C08">
              <w:rPr>
                <w:rFonts w:eastAsia="+mn-ea"/>
                <w:b/>
                <w:bCs/>
                <w:color w:val="auto"/>
              </w:rPr>
              <w:t>What will improve outcomes?</w:t>
            </w:r>
          </w:p>
          <w:p w14:paraId="791D019E" w14:textId="1B47FD5D" w:rsidR="0092604F" w:rsidRPr="003A6A50" w:rsidRDefault="0092604F" w:rsidP="0092604F">
            <w:pPr>
              <w:pStyle w:val="TableText"/>
              <w:rPr>
                <w:rFonts w:eastAsia="+mn-ea"/>
              </w:rPr>
            </w:pPr>
            <w:r>
              <w:rPr>
                <w:rFonts w:eastAsia="+mn-ea"/>
              </w:rPr>
              <w:t>We need to answer these questions</w:t>
            </w:r>
            <w:r w:rsidR="006F131D">
              <w:rPr>
                <w:rFonts w:eastAsia="+mn-ea"/>
              </w:rPr>
              <w:t>.</w:t>
            </w:r>
          </w:p>
          <w:p w14:paraId="68D4050E" w14:textId="77777777" w:rsidR="0092604F" w:rsidRPr="003A6A50" w:rsidRDefault="0092604F" w:rsidP="0092604F">
            <w:pPr>
              <w:pStyle w:val="Tablebulletx"/>
              <w:rPr>
                <w:lang w:eastAsia="en-NZ"/>
              </w:rPr>
            </w:pPr>
            <w:r>
              <w:rPr>
                <w:lang w:eastAsia="en-NZ"/>
              </w:rPr>
              <w:t>W</w:t>
            </w:r>
            <w:r w:rsidRPr="003A6A50">
              <w:rPr>
                <w:lang w:eastAsia="en-NZ"/>
              </w:rPr>
              <w:t>hat services, models of care or other support will deliver outcomes that matter to service users, potential service users, whānau and community</w:t>
            </w:r>
            <w:r>
              <w:rPr>
                <w:lang w:eastAsia="en-NZ"/>
              </w:rPr>
              <w:t>?</w:t>
            </w:r>
          </w:p>
          <w:p w14:paraId="28D2D144" w14:textId="77777777" w:rsidR="0092604F" w:rsidRPr="003A6A50" w:rsidRDefault="0092604F" w:rsidP="0092604F">
            <w:pPr>
              <w:pStyle w:val="Tablebulletx"/>
              <w:rPr>
                <w:lang w:eastAsia="en-NZ"/>
              </w:rPr>
            </w:pPr>
            <w:r>
              <w:rPr>
                <w:lang w:eastAsia="en-NZ"/>
              </w:rPr>
              <w:t>H</w:t>
            </w:r>
            <w:r w:rsidRPr="003A6A50">
              <w:rPr>
                <w:lang w:eastAsia="en-NZ"/>
              </w:rPr>
              <w:t xml:space="preserve">ow </w:t>
            </w:r>
            <w:r>
              <w:rPr>
                <w:lang w:eastAsia="en-NZ"/>
              </w:rPr>
              <w:t xml:space="preserve">well do </w:t>
            </w:r>
            <w:r w:rsidRPr="003A6A50">
              <w:rPr>
                <w:lang w:eastAsia="en-NZ"/>
              </w:rPr>
              <w:t xml:space="preserve">current service models and investments compare </w:t>
            </w:r>
            <w:r>
              <w:rPr>
                <w:lang w:eastAsia="en-NZ"/>
              </w:rPr>
              <w:t>with</w:t>
            </w:r>
            <w:r w:rsidRPr="003A6A50">
              <w:rPr>
                <w:lang w:eastAsia="en-NZ"/>
              </w:rPr>
              <w:t xml:space="preserve"> what matters and what works</w:t>
            </w:r>
            <w:r>
              <w:rPr>
                <w:lang w:eastAsia="en-NZ"/>
              </w:rPr>
              <w:t>?</w:t>
            </w:r>
          </w:p>
          <w:p w14:paraId="3AB2D5C0" w14:textId="125CCDB4" w:rsidR="0092604F" w:rsidRPr="003A6A50" w:rsidRDefault="0069387E" w:rsidP="0092604F">
            <w:pPr>
              <w:pStyle w:val="Tablebulletx"/>
              <w:rPr>
                <w:lang w:eastAsia="en-NZ"/>
              </w:rPr>
            </w:pPr>
            <w:r>
              <w:rPr>
                <w:lang w:eastAsia="en-NZ"/>
              </w:rPr>
              <w:t>W</w:t>
            </w:r>
            <w:r w:rsidR="0092604F" w:rsidRPr="003A6A50">
              <w:rPr>
                <w:lang w:eastAsia="en-NZ"/>
              </w:rPr>
              <w:t>hat’s working</w:t>
            </w:r>
            <w:r w:rsidR="006F131D">
              <w:rPr>
                <w:lang w:eastAsia="en-NZ"/>
              </w:rPr>
              <w:t>?</w:t>
            </w:r>
            <w:r w:rsidR="0092604F" w:rsidRPr="003A6A50">
              <w:rPr>
                <w:lang w:eastAsia="en-NZ"/>
              </w:rPr>
              <w:t xml:space="preserve"> </w:t>
            </w:r>
            <w:r w:rsidR="006F131D">
              <w:rPr>
                <w:lang w:eastAsia="en-NZ"/>
              </w:rPr>
              <w:t>W</w:t>
            </w:r>
            <w:r w:rsidR="0092604F">
              <w:rPr>
                <w:lang w:eastAsia="en-NZ"/>
              </w:rPr>
              <w:t>hat’s promising</w:t>
            </w:r>
            <w:r w:rsidR="006F131D">
              <w:rPr>
                <w:lang w:eastAsia="en-NZ"/>
              </w:rPr>
              <w:t>?</w:t>
            </w:r>
            <w:r w:rsidR="0092604F">
              <w:rPr>
                <w:lang w:eastAsia="en-NZ"/>
              </w:rPr>
              <w:t xml:space="preserve"> </w:t>
            </w:r>
            <w:r w:rsidR="006F131D">
              <w:rPr>
                <w:lang w:eastAsia="en-NZ"/>
              </w:rPr>
              <w:t>W</w:t>
            </w:r>
            <w:r w:rsidR="0092604F" w:rsidRPr="003A6A50">
              <w:rPr>
                <w:lang w:eastAsia="en-NZ"/>
              </w:rPr>
              <w:t>hat needs changing</w:t>
            </w:r>
            <w:r w:rsidR="0092604F">
              <w:rPr>
                <w:lang w:eastAsia="en-NZ"/>
              </w:rPr>
              <w:t>?</w:t>
            </w:r>
          </w:p>
          <w:p w14:paraId="79BEFB7E" w14:textId="77777777" w:rsidR="0092604F" w:rsidRPr="003A6A50" w:rsidRDefault="0092604F" w:rsidP="0092604F">
            <w:pPr>
              <w:spacing w:line="240" w:lineRule="auto"/>
              <w:rPr>
                <w:rFonts w:asciiTheme="minorHAnsi" w:eastAsia="+mn-ea" w:hAnsiTheme="minorHAnsi" w:cstheme="minorHAnsi"/>
                <w:kern w:val="24"/>
                <w:sz w:val="20"/>
                <w:lang w:eastAsia="en-NZ"/>
              </w:rPr>
            </w:pPr>
          </w:p>
        </w:tc>
        <w:tc>
          <w:tcPr>
            <w:tcW w:w="3686" w:type="dxa"/>
            <w:shd w:val="clear" w:color="auto" w:fill="FFFFFF" w:themeFill="background1"/>
          </w:tcPr>
          <w:p w14:paraId="2EC2FB53" w14:textId="77777777" w:rsidR="0092604F" w:rsidRPr="003A6A50" w:rsidRDefault="0092604F" w:rsidP="0092604F">
            <w:pPr>
              <w:pStyle w:val="Tablebulletx"/>
              <w:rPr>
                <w:rFonts w:cstheme="minorHAnsi"/>
              </w:rPr>
            </w:pPr>
            <w:r>
              <w:t>Conduct c</w:t>
            </w:r>
            <w:r w:rsidRPr="003A6A50">
              <w:t>ase file reviews and observations to assess and quantify service gaps, time from contact to resolution, evidence of escalation and/or repeat contact for unmet need</w:t>
            </w:r>
            <w:r>
              <w:t>.</w:t>
            </w:r>
          </w:p>
          <w:p w14:paraId="09305E05" w14:textId="5B7E4F80" w:rsidR="0092604F" w:rsidRPr="003A6A50" w:rsidRDefault="0092604F" w:rsidP="0092604F">
            <w:pPr>
              <w:pStyle w:val="Tablebulletx"/>
              <w:rPr>
                <w:rFonts w:cstheme="minorHAnsi"/>
              </w:rPr>
            </w:pPr>
            <w:r>
              <w:rPr>
                <w:rFonts w:cstheme="minorHAnsi"/>
              </w:rPr>
              <w:t>Gain l</w:t>
            </w:r>
            <w:r w:rsidRPr="003A6A50">
              <w:rPr>
                <w:rFonts w:cstheme="minorHAnsi"/>
              </w:rPr>
              <w:t xml:space="preserve">ived experience insights and understanding </w:t>
            </w:r>
            <w:r>
              <w:rPr>
                <w:rFonts w:cstheme="minorHAnsi"/>
              </w:rPr>
              <w:t xml:space="preserve">of </w:t>
            </w:r>
            <w:r w:rsidRPr="003A6A50">
              <w:rPr>
                <w:rFonts w:cstheme="minorHAnsi"/>
              </w:rPr>
              <w:t>what matter</w:t>
            </w:r>
            <w:r>
              <w:rPr>
                <w:rFonts w:cstheme="minorHAnsi"/>
              </w:rPr>
              <w:t>s</w:t>
            </w:r>
            <w:r w:rsidRPr="003A6A50">
              <w:rPr>
                <w:rFonts w:cstheme="minorHAnsi"/>
              </w:rPr>
              <w:t xml:space="preserve"> to whānau from interviews, surveys and design-thinking methods</w:t>
            </w:r>
            <w:r w:rsidR="00CF6F46">
              <w:rPr>
                <w:rFonts w:cstheme="minorHAnsi"/>
              </w:rPr>
              <w:t xml:space="preserve"> such as</w:t>
            </w:r>
            <w:r w:rsidRPr="003A6A50">
              <w:rPr>
                <w:rFonts w:cstheme="minorHAnsi"/>
              </w:rPr>
              <w:t>:</w:t>
            </w:r>
          </w:p>
          <w:p w14:paraId="1F93A881" w14:textId="3B652C6F" w:rsidR="0092604F" w:rsidRDefault="00E57EA4" w:rsidP="004C3121">
            <w:pPr>
              <w:pStyle w:val="Tablebulletx"/>
              <w:numPr>
                <w:ilvl w:val="0"/>
                <w:numId w:val="14"/>
              </w:numPr>
              <w:tabs>
                <w:tab w:val="clear" w:pos="360"/>
                <w:tab w:val="num" w:pos="891"/>
              </w:tabs>
              <w:ind w:left="607" w:hanging="233"/>
            </w:pPr>
            <w:r>
              <w:t>p</w:t>
            </w:r>
            <w:r w:rsidR="0092604F" w:rsidRPr="0092604F">
              <w:t>ersonas</w:t>
            </w:r>
          </w:p>
          <w:p w14:paraId="7EB429A9" w14:textId="0982D680" w:rsidR="0092604F" w:rsidRDefault="0092604F" w:rsidP="004C3121">
            <w:pPr>
              <w:pStyle w:val="Tablebulletx"/>
              <w:numPr>
                <w:ilvl w:val="0"/>
                <w:numId w:val="14"/>
              </w:numPr>
              <w:tabs>
                <w:tab w:val="clear" w:pos="360"/>
                <w:tab w:val="num" w:pos="891"/>
              </w:tabs>
              <w:ind w:left="607" w:hanging="233"/>
            </w:pPr>
            <w:r w:rsidRPr="0092604F">
              <w:t>journey mapping</w:t>
            </w:r>
            <w:r w:rsidR="004D7920">
              <w:rPr>
                <w:rFonts w:ascii="ZWAdobeF" w:hAnsi="ZWAdobeF" w:cs="ZWAdobeF"/>
                <w:color w:val="auto"/>
                <w:spacing w:val="0"/>
                <w:sz w:val="2"/>
                <w:szCs w:val="2"/>
              </w:rPr>
              <w:t>27F</w:t>
            </w:r>
            <w:r w:rsidRPr="0092604F">
              <w:rPr>
                <w:rStyle w:val="FootnoteTextChar"/>
                <w:szCs w:val="16"/>
                <w:vertAlign w:val="superscript"/>
              </w:rPr>
              <w:footnoteReference w:id="29"/>
            </w:r>
            <w:r w:rsidRPr="0092604F">
              <w:t xml:space="preserve"> </w:t>
            </w:r>
          </w:p>
          <w:p w14:paraId="60AF3F90" w14:textId="7B6BB327" w:rsidR="0092604F" w:rsidRPr="0092604F" w:rsidRDefault="0092604F" w:rsidP="004C3121">
            <w:pPr>
              <w:pStyle w:val="Tablebulletx"/>
              <w:numPr>
                <w:ilvl w:val="0"/>
                <w:numId w:val="14"/>
              </w:numPr>
              <w:tabs>
                <w:tab w:val="clear" w:pos="360"/>
                <w:tab w:val="num" w:pos="891"/>
              </w:tabs>
              <w:ind w:left="607" w:hanging="233"/>
            </w:pPr>
            <w:r w:rsidRPr="0092604F">
              <w:t>service design</w:t>
            </w:r>
            <w:r w:rsidR="004D7920">
              <w:rPr>
                <w:rFonts w:ascii="ZWAdobeF" w:hAnsi="ZWAdobeF" w:cs="ZWAdobeF"/>
                <w:color w:val="auto"/>
                <w:spacing w:val="0"/>
                <w:sz w:val="2"/>
                <w:szCs w:val="2"/>
              </w:rPr>
              <w:t>28F</w:t>
            </w:r>
            <w:r w:rsidRPr="0092604F">
              <w:rPr>
                <w:rStyle w:val="FootnoteTextChar"/>
                <w:szCs w:val="16"/>
                <w:vertAlign w:val="superscript"/>
              </w:rPr>
              <w:footnoteReference w:id="30"/>
            </w:r>
          </w:p>
          <w:p w14:paraId="3E266B3A" w14:textId="70966953" w:rsidR="0092604F" w:rsidRPr="0092604F" w:rsidRDefault="0092604F" w:rsidP="004C3121">
            <w:pPr>
              <w:pStyle w:val="Tablebulletx"/>
              <w:numPr>
                <w:ilvl w:val="0"/>
                <w:numId w:val="14"/>
              </w:numPr>
              <w:tabs>
                <w:tab w:val="clear" w:pos="360"/>
                <w:tab w:val="num" w:pos="891"/>
              </w:tabs>
              <w:ind w:left="607" w:hanging="233"/>
            </w:pPr>
            <w:r w:rsidRPr="0092604F">
              <w:t>theory of change and intervention logic to set out how the new approach will improve outcomes.</w:t>
            </w:r>
          </w:p>
          <w:p w14:paraId="62EC69D5" w14:textId="77777777" w:rsidR="0092604F" w:rsidRPr="003A6A50" w:rsidRDefault="0092604F" w:rsidP="0092604F">
            <w:pPr>
              <w:pStyle w:val="Tablebulletx"/>
            </w:pPr>
            <w:r>
              <w:t>Interview and survey p</w:t>
            </w:r>
            <w:r w:rsidRPr="003A6A50">
              <w:t>roviders and other key stakeholders (eg</w:t>
            </w:r>
            <w:r>
              <w:t>,</w:t>
            </w:r>
            <w:r w:rsidRPr="003A6A50">
              <w:t xml:space="preserve"> </w:t>
            </w:r>
            <w:r>
              <w:t>Iwi-Māori Partnership Boards</w:t>
            </w:r>
            <w:r w:rsidRPr="003A6A50">
              <w:t>, social sector agencies)</w:t>
            </w:r>
            <w:r>
              <w:t>. Include them in</w:t>
            </w:r>
            <w:r w:rsidRPr="003A6A50">
              <w:t xml:space="preserve"> the design-thinking work too, </w:t>
            </w:r>
            <w:r>
              <w:t>taking</w:t>
            </w:r>
            <w:r w:rsidRPr="003A6A50">
              <w:t xml:space="preserve"> care </w:t>
            </w:r>
            <w:r>
              <w:t>to</w:t>
            </w:r>
            <w:r w:rsidRPr="003A6A50">
              <w:t xml:space="preserve"> manag</w:t>
            </w:r>
            <w:r>
              <w:t>e</w:t>
            </w:r>
            <w:r w:rsidRPr="003A6A50">
              <w:t xml:space="preserve"> power imbalance and safeguard service users, whānau and community members</w:t>
            </w:r>
            <w:r>
              <w:t>.</w:t>
            </w:r>
          </w:p>
        </w:tc>
      </w:tr>
      <w:tr w:rsidR="00E33AED" w:rsidRPr="003A6A50" w14:paraId="2C9E0BB9" w14:textId="77777777" w:rsidTr="0092604F">
        <w:trPr>
          <w:trHeight w:val="709"/>
        </w:trPr>
        <w:tc>
          <w:tcPr>
            <w:tcW w:w="1418" w:type="dxa"/>
            <w:vMerge/>
            <w:shd w:val="clear" w:color="auto" w:fill="F2F2F2" w:themeFill="background1" w:themeFillShade="F2"/>
            <w:vAlign w:val="center"/>
          </w:tcPr>
          <w:p w14:paraId="2F354FED" w14:textId="77777777" w:rsidR="0092604F" w:rsidRPr="0092604F" w:rsidRDefault="0092604F" w:rsidP="0092604F">
            <w:pPr>
              <w:pStyle w:val="TableText"/>
              <w:rPr>
                <w:rFonts w:eastAsia="+mn-ea"/>
                <w:b/>
                <w:bCs/>
              </w:rPr>
            </w:pPr>
          </w:p>
        </w:tc>
        <w:tc>
          <w:tcPr>
            <w:tcW w:w="3275" w:type="dxa"/>
            <w:shd w:val="clear" w:color="auto" w:fill="FFFFFF" w:themeFill="background1"/>
          </w:tcPr>
          <w:p w14:paraId="2B4804F3" w14:textId="77777777" w:rsidR="0092604F" w:rsidRPr="00BE6C08" w:rsidRDefault="0092604F" w:rsidP="00E929E2">
            <w:pPr>
              <w:pStyle w:val="TableText"/>
              <w:keepNext/>
              <w:rPr>
                <w:rFonts w:eastAsia="+mn-ea"/>
                <w:b/>
                <w:bCs/>
                <w:color w:val="auto"/>
              </w:rPr>
            </w:pPr>
            <w:r w:rsidRPr="00BE6C08">
              <w:rPr>
                <w:rFonts w:eastAsia="+mn-ea"/>
                <w:b/>
                <w:bCs/>
                <w:color w:val="auto"/>
              </w:rPr>
              <w:t>What could deliver these outcomes?</w:t>
            </w:r>
          </w:p>
          <w:p w14:paraId="04F2AD8E" w14:textId="77777777" w:rsidR="0092604F" w:rsidRPr="00E07BD4" w:rsidRDefault="0092604F" w:rsidP="00E929E2">
            <w:pPr>
              <w:pStyle w:val="TableText"/>
              <w:keepNext/>
              <w:rPr>
                <w:rFonts w:eastAsia="+mn-ea"/>
              </w:rPr>
            </w:pPr>
            <w:r>
              <w:rPr>
                <w:rFonts w:eastAsia="+mn-ea"/>
              </w:rPr>
              <w:t>What would be most effective:</w:t>
            </w:r>
          </w:p>
          <w:p w14:paraId="6CF8DACE" w14:textId="60E26B7C" w:rsidR="0092604F" w:rsidRPr="003A6A50" w:rsidRDefault="0092604F" w:rsidP="00E929E2">
            <w:pPr>
              <w:pStyle w:val="Tablebulletx"/>
              <w:keepNext/>
              <w:rPr>
                <w:lang w:eastAsia="en-NZ"/>
              </w:rPr>
            </w:pPr>
            <w:r>
              <w:rPr>
                <w:lang w:eastAsia="en-NZ"/>
              </w:rPr>
              <w:t>r</w:t>
            </w:r>
            <w:r w:rsidRPr="003A6A50">
              <w:rPr>
                <w:lang w:eastAsia="en-NZ"/>
              </w:rPr>
              <w:t>edesign or integrat</w:t>
            </w:r>
            <w:r w:rsidR="00870A03">
              <w:rPr>
                <w:lang w:eastAsia="en-NZ"/>
              </w:rPr>
              <w:t>e</w:t>
            </w:r>
            <w:r w:rsidRPr="003A6A50">
              <w:rPr>
                <w:lang w:eastAsia="en-NZ"/>
              </w:rPr>
              <w:t xml:space="preserve"> existing services</w:t>
            </w:r>
          </w:p>
          <w:p w14:paraId="21EEEFD9" w14:textId="63C834B8" w:rsidR="0092604F" w:rsidRPr="003A6A50" w:rsidRDefault="0092604F" w:rsidP="00E929E2">
            <w:pPr>
              <w:pStyle w:val="Tablebulletx"/>
              <w:keepNext/>
              <w:rPr>
                <w:lang w:eastAsia="en-NZ"/>
              </w:rPr>
            </w:pPr>
            <w:r>
              <w:rPr>
                <w:lang w:eastAsia="en-NZ"/>
              </w:rPr>
              <w:t>a</w:t>
            </w:r>
            <w:r w:rsidR="00B12BD4">
              <w:rPr>
                <w:lang w:eastAsia="en-NZ"/>
              </w:rPr>
              <w:t>n existing or</w:t>
            </w:r>
            <w:r w:rsidRPr="003A6A50">
              <w:rPr>
                <w:lang w:eastAsia="en-NZ"/>
              </w:rPr>
              <w:t xml:space="preserve"> new service delivery model</w:t>
            </w:r>
          </w:p>
          <w:p w14:paraId="66741798" w14:textId="77777777" w:rsidR="0092604F" w:rsidRPr="003A6A50" w:rsidRDefault="0092604F" w:rsidP="00E929E2">
            <w:pPr>
              <w:pStyle w:val="Tablebulletx"/>
              <w:keepNext/>
              <w:rPr>
                <w:lang w:eastAsia="en-NZ"/>
              </w:rPr>
            </w:pPr>
            <w:r>
              <w:rPr>
                <w:lang w:eastAsia="en-NZ"/>
              </w:rPr>
              <w:t>o</w:t>
            </w:r>
            <w:r w:rsidRPr="003A6A50">
              <w:rPr>
                <w:lang w:eastAsia="en-NZ"/>
              </w:rPr>
              <w:t>ne-off or repeat services</w:t>
            </w:r>
          </w:p>
          <w:p w14:paraId="0EBA122A" w14:textId="77777777" w:rsidR="0092604F" w:rsidRPr="003A6A50" w:rsidRDefault="0092604F" w:rsidP="00E929E2">
            <w:pPr>
              <w:pStyle w:val="Tablebulletx"/>
              <w:keepNext/>
              <w:rPr>
                <w:lang w:eastAsia="en-NZ"/>
              </w:rPr>
            </w:pPr>
            <w:r>
              <w:rPr>
                <w:lang w:eastAsia="en-NZ"/>
              </w:rPr>
              <w:t>b</w:t>
            </w:r>
            <w:r w:rsidRPr="003A6A50">
              <w:rPr>
                <w:lang w:eastAsia="en-NZ"/>
              </w:rPr>
              <w:t>undled or separate</w:t>
            </w:r>
            <w:r>
              <w:rPr>
                <w:lang w:eastAsia="en-NZ"/>
              </w:rPr>
              <w:t xml:space="preserve"> services</w:t>
            </w:r>
          </w:p>
          <w:p w14:paraId="135796F9" w14:textId="5BD691E7" w:rsidR="0092604F" w:rsidRPr="003A6A50" w:rsidRDefault="00D33777" w:rsidP="00E929E2">
            <w:pPr>
              <w:pStyle w:val="Tablebulletx"/>
              <w:keepNext/>
              <w:rPr>
                <w:lang w:eastAsia="en-NZ"/>
              </w:rPr>
            </w:pPr>
            <w:r>
              <w:rPr>
                <w:lang w:eastAsia="en-NZ"/>
              </w:rPr>
              <w:t xml:space="preserve">the standard or </w:t>
            </w:r>
            <w:r w:rsidR="0092604F">
              <w:rPr>
                <w:lang w:eastAsia="en-NZ"/>
              </w:rPr>
              <w:t>a d</w:t>
            </w:r>
            <w:r w:rsidR="0092604F" w:rsidRPr="003A6A50">
              <w:rPr>
                <w:lang w:eastAsia="en-NZ"/>
              </w:rPr>
              <w:t>ifferent type of investment (capacity building, flexible funding)</w:t>
            </w:r>
            <w:r w:rsidR="0092604F">
              <w:rPr>
                <w:lang w:eastAsia="en-NZ"/>
              </w:rPr>
              <w:t>?</w:t>
            </w:r>
          </w:p>
          <w:p w14:paraId="22478D66" w14:textId="436AFC93" w:rsidR="0092604F" w:rsidRPr="003A6A50" w:rsidRDefault="0092604F" w:rsidP="00E929E2">
            <w:pPr>
              <w:pStyle w:val="TableText"/>
              <w:keepNext/>
            </w:pPr>
            <w:r w:rsidRPr="003A6A50">
              <w:t xml:space="preserve">What </w:t>
            </w:r>
            <w:r w:rsidR="00D305CD">
              <w:t>do we</w:t>
            </w:r>
            <w:r w:rsidRPr="003A6A50">
              <w:t xml:space="preserve"> expect</w:t>
            </w:r>
            <w:r>
              <w:t xml:space="preserve"> about</w:t>
            </w:r>
            <w:r w:rsidRPr="003A6A50">
              <w:t>:</w:t>
            </w:r>
          </w:p>
          <w:p w14:paraId="2E084BB6" w14:textId="7D9B758B" w:rsidR="0092604F" w:rsidRPr="003A6A50" w:rsidRDefault="001B310C" w:rsidP="00E929E2">
            <w:pPr>
              <w:pStyle w:val="Tablebulletx"/>
              <w:keepNext/>
              <w:rPr>
                <w:lang w:eastAsia="en-NZ"/>
              </w:rPr>
            </w:pPr>
            <w:r>
              <w:rPr>
                <w:lang w:eastAsia="en-NZ"/>
              </w:rPr>
              <w:t>the complexity of needs</w:t>
            </w:r>
          </w:p>
          <w:p w14:paraId="0F4D4DCD" w14:textId="7E836B35" w:rsidR="0092604F" w:rsidRPr="003A6A50" w:rsidRDefault="009E16F1" w:rsidP="00E929E2">
            <w:pPr>
              <w:pStyle w:val="Tablebulletx"/>
              <w:keepNext/>
              <w:rPr>
                <w:lang w:eastAsia="en-NZ"/>
              </w:rPr>
            </w:pPr>
            <w:r>
              <w:rPr>
                <w:lang w:eastAsia="en-NZ"/>
              </w:rPr>
              <w:t xml:space="preserve">whether </w:t>
            </w:r>
            <w:r w:rsidR="00810929">
              <w:rPr>
                <w:lang w:eastAsia="en-NZ"/>
              </w:rPr>
              <w:t xml:space="preserve">the response </w:t>
            </w:r>
            <w:r>
              <w:rPr>
                <w:lang w:eastAsia="en-NZ"/>
              </w:rPr>
              <w:t xml:space="preserve">is likely to </w:t>
            </w:r>
            <w:r w:rsidR="00810929">
              <w:rPr>
                <w:lang w:eastAsia="en-NZ"/>
              </w:rPr>
              <w:t>achieve</w:t>
            </w:r>
            <w:r w:rsidR="0092604F" w:rsidRPr="003A6A50">
              <w:rPr>
                <w:lang w:eastAsia="en-NZ"/>
              </w:rPr>
              <w:t xml:space="preserve"> </w:t>
            </w:r>
            <w:r w:rsidR="00810929">
              <w:rPr>
                <w:lang w:eastAsia="en-NZ"/>
              </w:rPr>
              <w:t xml:space="preserve">the intended </w:t>
            </w:r>
            <w:r w:rsidR="0092604F" w:rsidRPr="003A6A50">
              <w:rPr>
                <w:lang w:eastAsia="en-NZ"/>
              </w:rPr>
              <w:t>outcomes</w:t>
            </w:r>
            <w:r w:rsidR="00D305CD">
              <w:rPr>
                <w:lang w:eastAsia="en-NZ"/>
              </w:rPr>
              <w:t xml:space="preserve"> </w:t>
            </w:r>
          </w:p>
          <w:p w14:paraId="23AE6C4B" w14:textId="3F267962" w:rsidR="0092604F" w:rsidRPr="003A6A50" w:rsidRDefault="00D305CD" w:rsidP="00E929E2">
            <w:pPr>
              <w:pStyle w:val="Tablebulletx"/>
              <w:keepNext/>
              <w:rPr>
                <w:lang w:eastAsia="en-NZ"/>
              </w:rPr>
            </w:pPr>
            <w:r>
              <w:rPr>
                <w:lang w:eastAsia="en-NZ"/>
              </w:rPr>
              <w:t>how easy it is for</w:t>
            </w:r>
            <w:r w:rsidR="0092604F" w:rsidRPr="003A6A50">
              <w:rPr>
                <w:lang w:eastAsia="en-NZ"/>
              </w:rPr>
              <w:t xml:space="preserve"> service users to change providers, and </w:t>
            </w:r>
            <w:r>
              <w:rPr>
                <w:lang w:eastAsia="en-NZ"/>
              </w:rPr>
              <w:t xml:space="preserve">what </w:t>
            </w:r>
            <w:r w:rsidR="0092604F" w:rsidRPr="003A6A50">
              <w:rPr>
                <w:lang w:eastAsia="en-NZ"/>
              </w:rPr>
              <w:t xml:space="preserve">costs </w:t>
            </w:r>
            <w:r>
              <w:rPr>
                <w:lang w:eastAsia="en-NZ"/>
              </w:rPr>
              <w:t xml:space="preserve">would be </w:t>
            </w:r>
            <w:r w:rsidR="0092604F" w:rsidRPr="003A6A50">
              <w:rPr>
                <w:lang w:eastAsia="en-NZ"/>
              </w:rPr>
              <w:t>involved</w:t>
            </w:r>
          </w:p>
          <w:p w14:paraId="757D4346" w14:textId="77777777" w:rsidR="0092604F" w:rsidRPr="003A6A50" w:rsidRDefault="0092604F" w:rsidP="00E929E2">
            <w:pPr>
              <w:pStyle w:val="Tablebulletx"/>
              <w:keepNext/>
              <w:rPr>
                <w:lang w:eastAsia="en-NZ"/>
              </w:rPr>
            </w:pPr>
            <w:r w:rsidRPr="003A6A50">
              <w:t>provider and market capacity and capability to respond?</w:t>
            </w:r>
          </w:p>
          <w:p w14:paraId="618ABFF3" w14:textId="77777777" w:rsidR="0092604F" w:rsidRPr="00BE6C08" w:rsidRDefault="0092604F" w:rsidP="00E929E2">
            <w:pPr>
              <w:pStyle w:val="TableText"/>
              <w:keepNext/>
              <w:rPr>
                <w:rFonts w:eastAsia="+mn-ea"/>
                <w:b/>
                <w:bCs/>
              </w:rPr>
            </w:pPr>
            <w:r w:rsidRPr="00BE6C08">
              <w:rPr>
                <w:rFonts w:eastAsia="+mn-ea"/>
                <w:b/>
                <w:bCs/>
                <w:color w:val="auto"/>
              </w:rPr>
              <w:t>Is a staged approach needed?</w:t>
            </w:r>
          </w:p>
        </w:tc>
        <w:tc>
          <w:tcPr>
            <w:tcW w:w="3686" w:type="dxa"/>
            <w:shd w:val="clear" w:color="auto" w:fill="FFFFFF" w:themeFill="background1"/>
          </w:tcPr>
          <w:p w14:paraId="22F2C04B" w14:textId="77777777" w:rsidR="0092604F" w:rsidRPr="003A6A50" w:rsidRDefault="0092604F" w:rsidP="00E929E2">
            <w:pPr>
              <w:pStyle w:val="TableText"/>
              <w:keepNext/>
            </w:pPr>
            <w:r w:rsidRPr="003A6A50">
              <w:t>Assess resources (budget, people, skills, time) to:</w:t>
            </w:r>
          </w:p>
          <w:p w14:paraId="55C7D01E" w14:textId="77777777" w:rsidR="0092604F" w:rsidRPr="003A6A50" w:rsidRDefault="0092604F" w:rsidP="00E929E2">
            <w:pPr>
              <w:pStyle w:val="Tablebulletx"/>
              <w:keepNext/>
            </w:pPr>
            <w:r w:rsidRPr="003A6A50">
              <w:t>design and procure the service or other investment</w:t>
            </w:r>
          </w:p>
          <w:p w14:paraId="6D87E4B0" w14:textId="0DCA6C4B" w:rsidR="0092604F" w:rsidRPr="003A6A50" w:rsidRDefault="0092604F" w:rsidP="00E929E2">
            <w:pPr>
              <w:pStyle w:val="Tablebulletx"/>
              <w:keepNext/>
            </w:pPr>
            <w:r w:rsidRPr="003A6A50">
              <w:t xml:space="preserve">deliver the service or </w:t>
            </w:r>
            <w:r w:rsidR="00B75C0F">
              <w:t>intervention</w:t>
            </w:r>
            <w:r w:rsidR="00B75C0F" w:rsidRPr="003A6A50">
              <w:t xml:space="preserve"> </w:t>
            </w:r>
            <w:r w:rsidRPr="003A6A50">
              <w:t>(value chain analysis)</w:t>
            </w:r>
          </w:p>
          <w:p w14:paraId="115D3352" w14:textId="77777777" w:rsidR="0092604F" w:rsidRPr="003A6A50" w:rsidRDefault="0092604F" w:rsidP="00E929E2">
            <w:pPr>
              <w:pStyle w:val="Tablebulletx"/>
              <w:keepNext/>
            </w:pPr>
            <w:r w:rsidRPr="003A6A50">
              <w:t>monitor and support continuous improvement</w:t>
            </w:r>
          </w:p>
          <w:p w14:paraId="3F867C2C" w14:textId="77777777" w:rsidR="0092604F" w:rsidRPr="003A6A50" w:rsidRDefault="0092604F" w:rsidP="00E929E2">
            <w:pPr>
              <w:pStyle w:val="Tablebulletx"/>
              <w:keepNext/>
            </w:pPr>
            <w:r w:rsidRPr="003A6A50">
              <w:t>evaluate</w:t>
            </w:r>
          </w:p>
          <w:p w14:paraId="25568458" w14:textId="77777777" w:rsidR="0092604F" w:rsidRPr="003A6A50" w:rsidRDefault="0092604F" w:rsidP="00E929E2">
            <w:pPr>
              <w:pStyle w:val="Tablebulletx"/>
              <w:keepNext/>
            </w:pPr>
            <w:r w:rsidRPr="003A6A50">
              <w:t>recommission or decommission</w:t>
            </w:r>
            <w:r>
              <w:t>.</w:t>
            </w:r>
          </w:p>
          <w:p w14:paraId="031FEE14" w14:textId="77777777" w:rsidR="0092604F" w:rsidRPr="003A6A50" w:rsidRDefault="0092604F" w:rsidP="00E929E2">
            <w:pPr>
              <w:pStyle w:val="TableText"/>
              <w:keepNext/>
            </w:pPr>
            <w:r w:rsidRPr="003A6A50">
              <w:t xml:space="preserve">Assess </w:t>
            </w:r>
            <w:r>
              <w:t xml:space="preserve">the </w:t>
            </w:r>
            <w:r w:rsidRPr="003A6A50">
              <w:t>risks</w:t>
            </w:r>
            <w:r>
              <w:t xml:space="preserve"> of</w:t>
            </w:r>
            <w:r w:rsidRPr="003A6A50">
              <w:t>:</w:t>
            </w:r>
          </w:p>
          <w:p w14:paraId="7AFD1B07" w14:textId="420B8928" w:rsidR="0092604F" w:rsidRPr="003A6A50" w:rsidRDefault="00810929" w:rsidP="00E929E2">
            <w:pPr>
              <w:pStyle w:val="Tablebulletx"/>
              <w:keepNext/>
            </w:pPr>
            <w:r>
              <w:t xml:space="preserve">an </w:t>
            </w:r>
            <w:r w:rsidR="0092604F">
              <w:t>i</w:t>
            </w:r>
            <w:r w:rsidR="0092604F" w:rsidRPr="003A6A50">
              <w:t>ncrease</w:t>
            </w:r>
            <w:r>
              <w:t xml:space="preserve"> in</w:t>
            </w:r>
            <w:r w:rsidR="0092604F" w:rsidRPr="003A6A50">
              <w:t xml:space="preserve"> demand </w:t>
            </w:r>
          </w:p>
          <w:p w14:paraId="5B02CA5D" w14:textId="7E0E4DB7" w:rsidR="0092604F" w:rsidRPr="003A6A50" w:rsidRDefault="0092604F" w:rsidP="00E929E2">
            <w:pPr>
              <w:pStyle w:val="Tablebulletx"/>
              <w:keepNext/>
            </w:pPr>
            <w:r w:rsidRPr="003A6A50">
              <w:t>providers</w:t>
            </w:r>
            <w:r w:rsidR="00810929">
              <w:t xml:space="preserve"> being unable</w:t>
            </w:r>
            <w:r w:rsidRPr="003A6A50">
              <w:t xml:space="preserve"> to innovate, integrate, meet demand, maintain quality </w:t>
            </w:r>
            <w:r>
              <w:t>or perform in other important ways</w:t>
            </w:r>
          </w:p>
          <w:p w14:paraId="151A3511" w14:textId="05C85F65" w:rsidR="0092604F" w:rsidRPr="003A6A50" w:rsidRDefault="00810929" w:rsidP="00E929E2">
            <w:pPr>
              <w:pStyle w:val="Tablebulletx"/>
              <w:keepNext/>
            </w:pPr>
            <w:r>
              <w:t>losing</w:t>
            </w:r>
            <w:r w:rsidR="0092604F">
              <w:t xml:space="preserve"> </w:t>
            </w:r>
            <w:r w:rsidR="0092604F" w:rsidRPr="003A6A50">
              <w:t>service continuity if providers don’t deliver</w:t>
            </w:r>
            <w:r w:rsidR="0092604F">
              <w:t>.</w:t>
            </w:r>
          </w:p>
          <w:p w14:paraId="29729A81" w14:textId="5F010906" w:rsidR="0092604F" w:rsidRPr="003A6A50" w:rsidRDefault="0092604F" w:rsidP="00E929E2">
            <w:pPr>
              <w:pStyle w:val="TableText"/>
              <w:keepNext/>
            </w:pPr>
            <w:r>
              <w:t>In m</w:t>
            </w:r>
            <w:r w:rsidRPr="003A6A50">
              <w:t>anaging risks</w:t>
            </w:r>
            <w:r>
              <w:t>, consider whether</w:t>
            </w:r>
            <w:r w:rsidRPr="003A6A50">
              <w:t xml:space="preserve"> a staged approach </w:t>
            </w:r>
            <w:r>
              <w:t xml:space="preserve">would </w:t>
            </w:r>
            <w:r w:rsidRPr="003A6A50">
              <w:t>help</w:t>
            </w:r>
            <w:r w:rsidR="00EB6423">
              <w:t>. For example</w:t>
            </w:r>
            <w:r>
              <w:t>,</w:t>
            </w:r>
            <w:r w:rsidRPr="003A6A50">
              <w:t xml:space="preserve"> </w:t>
            </w:r>
            <w:r>
              <w:t xml:space="preserve">first </w:t>
            </w:r>
            <w:r w:rsidRPr="003A6A50">
              <w:t>agree to a discovery phase with approval gates to</w:t>
            </w:r>
            <w:r>
              <w:t xml:space="preserve"> pass through before</w:t>
            </w:r>
            <w:r w:rsidRPr="003A6A50">
              <w:t xml:space="preserve"> </w:t>
            </w:r>
            <w:r w:rsidR="00EB6423">
              <w:t xml:space="preserve">continuing </w:t>
            </w:r>
            <w:r>
              <w:t>further.</w:t>
            </w:r>
          </w:p>
        </w:tc>
      </w:tr>
      <w:tr w:rsidR="00E33AED" w:rsidRPr="003A6A50" w14:paraId="75970B41" w14:textId="77777777" w:rsidTr="0092604F">
        <w:trPr>
          <w:trHeight w:val="709"/>
        </w:trPr>
        <w:tc>
          <w:tcPr>
            <w:tcW w:w="1418" w:type="dxa"/>
            <w:shd w:val="clear" w:color="auto" w:fill="F2F2F2" w:themeFill="background1" w:themeFillShade="F2"/>
            <w:vAlign w:val="center"/>
          </w:tcPr>
          <w:p w14:paraId="46348F46" w14:textId="77777777" w:rsidR="0092604F" w:rsidRPr="0092604F" w:rsidRDefault="0092604F" w:rsidP="0092604F">
            <w:pPr>
              <w:pStyle w:val="TableText"/>
              <w:rPr>
                <w:b/>
                <w:bCs/>
              </w:rPr>
            </w:pPr>
            <w:r w:rsidRPr="0092604F">
              <w:rPr>
                <w:b/>
                <w:bCs/>
              </w:rPr>
              <w:t>Deciding priorities</w:t>
            </w:r>
          </w:p>
        </w:tc>
        <w:tc>
          <w:tcPr>
            <w:tcW w:w="3275" w:type="dxa"/>
            <w:shd w:val="clear" w:color="auto" w:fill="FFFFFF" w:themeFill="background1"/>
          </w:tcPr>
          <w:p w14:paraId="69694CD0" w14:textId="160CDE44" w:rsidR="0092604F" w:rsidRPr="003A6A50" w:rsidRDefault="0092604F" w:rsidP="0092604F">
            <w:pPr>
              <w:pStyle w:val="Tablebulletx"/>
              <w:rPr>
                <w:lang w:eastAsia="en-NZ"/>
              </w:rPr>
            </w:pPr>
            <w:r w:rsidRPr="003A6A50">
              <w:rPr>
                <w:lang w:eastAsia="en-NZ"/>
              </w:rPr>
              <w:t xml:space="preserve">What can </w:t>
            </w:r>
            <w:r w:rsidR="00810929">
              <w:rPr>
                <w:lang w:eastAsia="en-NZ"/>
              </w:rPr>
              <w:t>we</w:t>
            </w:r>
            <w:r w:rsidR="00810929" w:rsidRPr="003A6A50">
              <w:rPr>
                <w:lang w:eastAsia="en-NZ"/>
              </w:rPr>
              <w:t xml:space="preserve"> </w:t>
            </w:r>
            <w:r w:rsidRPr="003A6A50">
              <w:rPr>
                <w:lang w:eastAsia="en-NZ"/>
              </w:rPr>
              <w:t xml:space="preserve">do within existing conditions? </w:t>
            </w:r>
          </w:p>
          <w:p w14:paraId="07B4C658" w14:textId="77777777" w:rsidR="0092604F" w:rsidRPr="003A6A50" w:rsidRDefault="0092604F" w:rsidP="0092604F">
            <w:pPr>
              <w:pStyle w:val="Tablebulletx"/>
              <w:rPr>
                <w:lang w:eastAsia="en-NZ"/>
              </w:rPr>
            </w:pPr>
            <w:r w:rsidRPr="003A6A50">
              <w:rPr>
                <w:lang w:eastAsia="en-NZ"/>
              </w:rPr>
              <w:t>What additional resources are needed?</w:t>
            </w:r>
          </w:p>
          <w:p w14:paraId="3D29DE55" w14:textId="1738E9D2" w:rsidR="0092604F" w:rsidRPr="003A6A50" w:rsidRDefault="0092604F" w:rsidP="0092604F">
            <w:pPr>
              <w:pStyle w:val="Tablebulletx"/>
              <w:rPr>
                <w:lang w:eastAsia="en-NZ"/>
              </w:rPr>
            </w:pPr>
            <w:r w:rsidRPr="003A6A50">
              <w:rPr>
                <w:lang w:eastAsia="en-NZ"/>
              </w:rPr>
              <w:t>Can</w:t>
            </w:r>
            <w:r w:rsidR="00D07F65">
              <w:rPr>
                <w:lang w:eastAsia="en-NZ"/>
              </w:rPr>
              <w:t xml:space="preserve"> we get those additional resources</w:t>
            </w:r>
            <w:r w:rsidRPr="003A6A50">
              <w:rPr>
                <w:lang w:eastAsia="en-NZ"/>
              </w:rPr>
              <w:t xml:space="preserve"> in the time needed?</w:t>
            </w:r>
          </w:p>
          <w:p w14:paraId="0A433DD8" w14:textId="77777777" w:rsidR="0092604F" w:rsidRPr="003A6A50" w:rsidRDefault="0092604F" w:rsidP="0092604F">
            <w:pPr>
              <w:pStyle w:val="Tablebulletx"/>
              <w:rPr>
                <w:lang w:eastAsia="en-NZ"/>
              </w:rPr>
            </w:pPr>
            <w:r w:rsidRPr="003A6A50">
              <w:rPr>
                <w:lang w:eastAsia="en-NZ"/>
              </w:rPr>
              <w:t xml:space="preserve">What delivers outcomes that matter to whānau and hits the ‘sweet spot’ for innovation </w:t>
            </w:r>
            <w:r>
              <w:rPr>
                <w:lang w:eastAsia="en-NZ"/>
              </w:rPr>
              <w:t>where the solution is</w:t>
            </w:r>
            <w:r w:rsidRPr="003A6A50">
              <w:rPr>
                <w:lang w:eastAsia="en-NZ"/>
              </w:rPr>
              <w:t xml:space="preserve"> desirable, feasible and viable?</w:t>
            </w:r>
          </w:p>
        </w:tc>
        <w:tc>
          <w:tcPr>
            <w:tcW w:w="3686" w:type="dxa"/>
            <w:shd w:val="clear" w:color="auto" w:fill="FFFFFF" w:themeFill="background1"/>
          </w:tcPr>
          <w:p w14:paraId="50A84E93" w14:textId="77777777" w:rsidR="0092604F" w:rsidRPr="003A6A50" w:rsidRDefault="0092604F" w:rsidP="0092604F">
            <w:pPr>
              <w:pStyle w:val="Tablebulletx"/>
            </w:pPr>
            <w:r w:rsidRPr="003A6A50">
              <w:t>Define high</w:t>
            </w:r>
            <w:r>
              <w:t>-</w:t>
            </w:r>
            <w:r w:rsidRPr="003A6A50">
              <w:t>level measures of success</w:t>
            </w:r>
            <w:r>
              <w:t>.</w:t>
            </w:r>
          </w:p>
          <w:p w14:paraId="63DB45B3" w14:textId="77777777" w:rsidR="0092604F" w:rsidRPr="003A6A50" w:rsidRDefault="0092604F" w:rsidP="0092604F">
            <w:pPr>
              <w:pStyle w:val="Tablebulletx"/>
            </w:pPr>
            <w:r w:rsidRPr="003A6A50">
              <w:t>Assess:</w:t>
            </w:r>
          </w:p>
          <w:p w14:paraId="6E0DDE3C" w14:textId="77777777" w:rsidR="0092604F" w:rsidRPr="0092604F" w:rsidRDefault="0092604F" w:rsidP="004C3121">
            <w:pPr>
              <w:pStyle w:val="Tablebulletx"/>
              <w:numPr>
                <w:ilvl w:val="0"/>
                <w:numId w:val="14"/>
              </w:numPr>
              <w:tabs>
                <w:tab w:val="clear" w:pos="360"/>
                <w:tab w:val="num" w:pos="891"/>
              </w:tabs>
              <w:ind w:left="607" w:hanging="233"/>
            </w:pPr>
            <w:r w:rsidRPr="0092604F">
              <w:t>alignment with strategic priorities</w:t>
            </w:r>
          </w:p>
          <w:p w14:paraId="25138774" w14:textId="77777777" w:rsidR="0092604F" w:rsidRPr="0092604F" w:rsidRDefault="0092604F" w:rsidP="004C3121">
            <w:pPr>
              <w:pStyle w:val="Tablebulletx"/>
              <w:numPr>
                <w:ilvl w:val="0"/>
                <w:numId w:val="14"/>
              </w:numPr>
              <w:tabs>
                <w:tab w:val="clear" w:pos="360"/>
                <w:tab w:val="num" w:pos="891"/>
              </w:tabs>
              <w:ind w:left="607" w:hanging="233"/>
            </w:pPr>
            <w:r w:rsidRPr="0092604F">
              <w:t>against Te Tiriti principles and equity impact</w:t>
            </w:r>
          </w:p>
          <w:p w14:paraId="79403717" w14:textId="77777777" w:rsidR="0092604F" w:rsidRPr="0092604F" w:rsidRDefault="0092604F" w:rsidP="004C3121">
            <w:pPr>
              <w:pStyle w:val="Tablebulletx"/>
              <w:numPr>
                <w:ilvl w:val="0"/>
                <w:numId w:val="14"/>
              </w:numPr>
              <w:tabs>
                <w:tab w:val="clear" w:pos="360"/>
                <w:tab w:val="num" w:pos="891"/>
              </w:tabs>
              <w:ind w:left="607" w:hanging="233"/>
            </w:pPr>
            <w:r w:rsidRPr="0092604F">
              <w:t>provider capacity, capability and readiness</w:t>
            </w:r>
          </w:p>
          <w:p w14:paraId="2F8E7846" w14:textId="1F460123" w:rsidR="0092604F" w:rsidRPr="0092604F" w:rsidRDefault="00414EF7" w:rsidP="004C3121">
            <w:pPr>
              <w:pStyle w:val="Tablebulletx"/>
              <w:numPr>
                <w:ilvl w:val="0"/>
                <w:numId w:val="14"/>
              </w:numPr>
              <w:tabs>
                <w:tab w:val="clear" w:pos="360"/>
                <w:tab w:val="num" w:pos="891"/>
              </w:tabs>
              <w:ind w:left="607" w:hanging="233"/>
            </w:pPr>
            <w:r>
              <w:t xml:space="preserve">how much </w:t>
            </w:r>
            <w:r w:rsidR="0092604F" w:rsidRPr="0092604F">
              <w:t>funding</w:t>
            </w:r>
            <w:r w:rsidRPr="0092604F">
              <w:t xml:space="preserve"> </w:t>
            </w:r>
            <w:r>
              <w:t xml:space="preserve">is </w:t>
            </w:r>
            <w:r w:rsidRPr="0092604F">
              <w:t>available</w:t>
            </w:r>
            <w:r w:rsidR="0092604F" w:rsidRPr="0092604F">
              <w:t>, criteria, approval process and timing</w:t>
            </w:r>
          </w:p>
          <w:p w14:paraId="07A8E648" w14:textId="6DC4EA62" w:rsidR="0092604F" w:rsidRPr="003A6A50" w:rsidRDefault="0092604F" w:rsidP="004C3121">
            <w:pPr>
              <w:pStyle w:val="Tablebulletx"/>
              <w:numPr>
                <w:ilvl w:val="0"/>
                <w:numId w:val="14"/>
              </w:numPr>
              <w:tabs>
                <w:tab w:val="clear" w:pos="360"/>
                <w:tab w:val="num" w:pos="891"/>
              </w:tabs>
              <w:ind w:left="607" w:hanging="233"/>
              <w:rPr>
                <w:rFonts w:asciiTheme="minorHAnsi" w:hAnsiTheme="minorHAnsi" w:cstheme="minorHAnsi"/>
                <w:sz w:val="20"/>
                <w:szCs w:val="20"/>
              </w:rPr>
            </w:pPr>
            <w:r w:rsidRPr="0092604F">
              <w:t>cost–benefit and return on investment.</w:t>
            </w:r>
            <w:r w:rsidR="004D7920">
              <w:rPr>
                <w:rFonts w:ascii="ZWAdobeF" w:hAnsi="ZWAdobeF" w:cs="ZWAdobeF"/>
                <w:color w:val="auto"/>
                <w:spacing w:val="0"/>
                <w:sz w:val="2"/>
                <w:szCs w:val="2"/>
              </w:rPr>
              <w:t>29F</w:t>
            </w:r>
            <w:r w:rsidRPr="00253908">
              <w:rPr>
                <w:rStyle w:val="FootnoteTextChar"/>
                <w:szCs w:val="16"/>
                <w:vertAlign w:val="superscript"/>
              </w:rPr>
              <w:footnoteReference w:id="31"/>
            </w:r>
          </w:p>
        </w:tc>
      </w:tr>
      <w:tr w:rsidR="00E33AED" w:rsidRPr="003A6A50" w14:paraId="300301FD" w14:textId="77777777" w:rsidTr="0092604F">
        <w:trPr>
          <w:trHeight w:val="709"/>
        </w:trPr>
        <w:tc>
          <w:tcPr>
            <w:tcW w:w="1418" w:type="dxa"/>
            <w:shd w:val="clear" w:color="auto" w:fill="F2F2F2" w:themeFill="background1" w:themeFillShade="F2"/>
            <w:vAlign w:val="center"/>
          </w:tcPr>
          <w:p w14:paraId="3E97B82C" w14:textId="77777777" w:rsidR="0092604F" w:rsidRPr="0092604F" w:rsidRDefault="0092604F" w:rsidP="0092604F">
            <w:pPr>
              <w:pStyle w:val="TableText"/>
              <w:rPr>
                <w:b/>
                <w:bCs/>
              </w:rPr>
            </w:pPr>
            <w:r w:rsidRPr="0092604F">
              <w:rPr>
                <w:b/>
                <w:bCs/>
              </w:rPr>
              <w:t>Planning</w:t>
            </w:r>
          </w:p>
        </w:tc>
        <w:tc>
          <w:tcPr>
            <w:tcW w:w="3275" w:type="dxa"/>
            <w:shd w:val="clear" w:color="auto" w:fill="FFFFFF" w:themeFill="background1"/>
          </w:tcPr>
          <w:p w14:paraId="5D8137B0" w14:textId="77777777" w:rsidR="0092604F" w:rsidRPr="003A6A50" w:rsidRDefault="0092604F" w:rsidP="0092604F">
            <w:pPr>
              <w:pStyle w:val="TableText"/>
              <w:rPr>
                <w:rFonts w:eastAsia="+mn-ea"/>
              </w:rPr>
            </w:pPr>
            <w:r>
              <w:rPr>
                <w:rFonts w:eastAsia="+mn-ea"/>
              </w:rPr>
              <w:t>Produce a</w:t>
            </w:r>
            <w:r w:rsidRPr="003A6A50">
              <w:rPr>
                <w:rFonts w:eastAsia="+mn-ea"/>
              </w:rPr>
              <w:t xml:space="preserve"> clear and agreed record of purpose, what success looks like, governance, approvals and funding process, key deliverables, timeline and risk management.</w:t>
            </w:r>
          </w:p>
        </w:tc>
        <w:tc>
          <w:tcPr>
            <w:tcW w:w="3686" w:type="dxa"/>
            <w:shd w:val="clear" w:color="auto" w:fill="FFFFFF" w:themeFill="background1"/>
          </w:tcPr>
          <w:p w14:paraId="4142549F" w14:textId="77777777" w:rsidR="0092604F" w:rsidRPr="00EC4B82" w:rsidRDefault="0092604F" w:rsidP="0092604F">
            <w:pPr>
              <w:pStyle w:val="TableText"/>
            </w:pPr>
            <w:r>
              <w:t>Use:</w:t>
            </w:r>
          </w:p>
          <w:p w14:paraId="28B53101" w14:textId="77777777" w:rsidR="0092604F" w:rsidRPr="003A6A50" w:rsidRDefault="0092604F" w:rsidP="0092604F">
            <w:pPr>
              <w:pStyle w:val="Tablebulletx"/>
            </w:pPr>
            <w:r>
              <w:t>p</w:t>
            </w:r>
            <w:r w:rsidRPr="003A6A50">
              <w:t>lanning templates</w:t>
            </w:r>
          </w:p>
          <w:p w14:paraId="4A25B3A7" w14:textId="36609E53" w:rsidR="0092604F" w:rsidRPr="003A6A50" w:rsidRDefault="0092604F" w:rsidP="0092604F">
            <w:pPr>
              <w:pStyle w:val="Tablebulletx"/>
            </w:pPr>
            <w:r>
              <w:t>b</w:t>
            </w:r>
            <w:r w:rsidRPr="003A6A50">
              <w:t>usiness case templates</w:t>
            </w:r>
            <w:r w:rsidR="004D7920">
              <w:rPr>
                <w:rFonts w:ascii="ZWAdobeF" w:hAnsi="ZWAdobeF" w:cs="ZWAdobeF"/>
                <w:color w:val="auto"/>
                <w:spacing w:val="0"/>
                <w:sz w:val="2"/>
                <w:szCs w:val="2"/>
              </w:rPr>
              <w:t>30F</w:t>
            </w:r>
            <w:r w:rsidRPr="00253908">
              <w:rPr>
                <w:rStyle w:val="FootnoteTextChar"/>
                <w:szCs w:val="16"/>
                <w:vertAlign w:val="superscript"/>
              </w:rPr>
              <w:footnoteReference w:id="32"/>
            </w:r>
          </w:p>
          <w:p w14:paraId="2369E1AA" w14:textId="77777777" w:rsidR="0092604F" w:rsidRPr="003A6A50" w:rsidRDefault="0092604F" w:rsidP="0092604F">
            <w:pPr>
              <w:pStyle w:val="Tablebulletx"/>
            </w:pPr>
            <w:r>
              <w:t>a</w:t>
            </w:r>
            <w:r w:rsidRPr="003A6A50">
              <w:t>pproval processes</w:t>
            </w:r>
            <w:r>
              <w:t>.</w:t>
            </w:r>
          </w:p>
        </w:tc>
      </w:tr>
    </w:tbl>
    <w:p w14:paraId="4D0C5E42" w14:textId="77777777" w:rsidR="00080667" w:rsidRDefault="00080667" w:rsidP="0092604F">
      <w:pPr>
        <w:rPr>
          <w:lang w:eastAsia="en-GB"/>
        </w:rPr>
        <w:sectPr w:rsidR="00080667" w:rsidSect="00C345BC">
          <w:pgSz w:w="11906" w:h="16838"/>
          <w:pgMar w:top="2778" w:right="1701" w:bottom="454" w:left="1701" w:header="567" w:footer="567" w:gutter="0"/>
          <w:cols w:space="708"/>
          <w:titlePg/>
          <w:docGrid w:linePitch="360"/>
        </w:sectPr>
      </w:pPr>
    </w:p>
    <w:p w14:paraId="468CF267" w14:textId="77AB0749" w:rsidR="007530B0" w:rsidRPr="005506BF" w:rsidRDefault="007530B0" w:rsidP="009055B4">
      <w:pPr>
        <w:pStyle w:val="Heading3-nonumbering"/>
        <w:spacing w:before="0"/>
      </w:pPr>
      <w:r w:rsidRPr="007530B0">
        <w:lastRenderedPageBreak/>
        <w:t>Supporting integrated services and other investments across sectors</w:t>
      </w:r>
      <w:r>
        <w:t xml:space="preserve"> </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7530B0" w:rsidRPr="000C72D2" w14:paraId="2B477CF7" w14:textId="77777777" w:rsidTr="00BA5306">
        <w:trPr>
          <w:trHeight w:val="50"/>
        </w:trPr>
        <w:tc>
          <w:tcPr>
            <w:tcW w:w="567" w:type="dxa"/>
          </w:tcPr>
          <w:p w14:paraId="283C459E" w14:textId="77777777" w:rsidR="007530B0" w:rsidRPr="000C72D2" w:rsidRDefault="007530B0" w:rsidP="009055B4">
            <w:pPr>
              <w:pStyle w:val="0RULE"/>
            </w:pPr>
          </w:p>
        </w:tc>
      </w:tr>
    </w:tbl>
    <w:p w14:paraId="1D5AFC47" w14:textId="77777777" w:rsidR="007530B0" w:rsidRDefault="007530B0" w:rsidP="007530B0">
      <w:pPr>
        <w:rPr>
          <w:lang w:eastAsia="en-GB"/>
        </w:rPr>
      </w:pPr>
    </w:p>
    <w:p w14:paraId="71A2AA15" w14:textId="76C62850" w:rsidR="007530B0" w:rsidRDefault="007530B0" w:rsidP="007530B0">
      <w:pPr>
        <w:pStyle w:val="NormalwIndent"/>
      </w:pPr>
      <w:r>
        <w:t>When a health care system is aiming to deliver</w:t>
      </w:r>
      <w:r w:rsidR="0085621C">
        <w:t xml:space="preserve"> lasting</w:t>
      </w:r>
      <w:r>
        <w:t xml:space="preserve"> outcomes, it has a greater need for integration across services and across sectors, as people</w:t>
      </w:r>
      <w:r w:rsidR="00094502">
        <w:t>’</w:t>
      </w:r>
      <w:r w:rsidR="006D32B8">
        <w:t>s needs</w:t>
      </w:r>
      <w:r>
        <w:t xml:space="preserve"> are complex and</w:t>
      </w:r>
      <w:r w:rsidR="0085621C">
        <w:t xml:space="preserve"> meeting them</w:t>
      </w:r>
      <w:r>
        <w:t xml:space="preserve"> require</w:t>
      </w:r>
      <w:r w:rsidR="0085621C">
        <w:t>s</w:t>
      </w:r>
      <w:r>
        <w:t xml:space="preserve"> whole-of-person care. Commissioning can contribute to providing more integrated support by seeking to understand </w:t>
      </w:r>
      <w:r w:rsidR="0085621C">
        <w:rPr>
          <w:rFonts w:ascii="Calibri" w:hAnsi="Calibri" w:cs="Calibri"/>
        </w:rPr>
        <w:t>—</w:t>
      </w:r>
      <w:r>
        <w:t xml:space="preserve"> at each stage of the commissioning cycle </w:t>
      </w:r>
      <w:r w:rsidR="0085621C">
        <w:rPr>
          <w:rFonts w:ascii="Calibri" w:hAnsi="Calibri" w:cs="Calibri"/>
        </w:rPr>
        <w:t>—</w:t>
      </w:r>
      <w:r>
        <w:t xml:space="preserve"> how people and whānau have experienced services and particularly whether services were seamless</w:t>
      </w:r>
      <w:r w:rsidR="006D32B8">
        <w:t xml:space="preserve"> or</w:t>
      </w:r>
      <w:r>
        <w:t xml:space="preserve"> fragmented, inaccessible or not available.</w:t>
      </w:r>
    </w:p>
    <w:p w14:paraId="14BFDCCE" w14:textId="0863D733" w:rsidR="00FB5695" w:rsidRDefault="007530B0" w:rsidP="007530B0">
      <w:pPr>
        <w:pStyle w:val="NormalwIndent"/>
      </w:pPr>
      <w:r>
        <w:t>The system also needs a deeper understanding of how other types of investment can lead to better outcomes.</w:t>
      </w:r>
    </w:p>
    <w:p w14:paraId="1B92BDC4" w14:textId="6786BFA6" w:rsidR="00FB5695" w:rsidRDefault="00FB5695" w:rsidP="0092604F">
      <w:pPr>
        <w:rPr>
          <w:lang w:eastAsia="en-GB"/>
        </w:rPr>
      </w:pPr>
    </w:p>
    <w:p w14:paraId="6A904665" w14:textId="77777777" w:rsidR="007530B0" w:rsidRDefault="007530B0" w:rsidP="007530B0">
      <w:pPr>
        <w:pStyle w:val="Heading2-nonumbering"/>
        <w:sectPr w:rsidR="007530B0" w:rsidSect="00C345BC">
          <w:pgSz w:w="11906" w:h="16838"/>
          <w:pgMar w:top="2778" w:right="1701" w:bottom="454" w:left="1701" w:header="567" w:footer="567" w:gutter="0"/>
          <w:cols w:space="708"/>
          <w:titlePg/>
          <w:docGrid w:linePitch="360"/>
        </w:sectPr>
      </w:pPr>
    </w:p>
    <w:p w14:paraId="071C2D1A" w14:textId="32BBD2BC" w:rsidR="007530B0" w:rsidRPr="00925E36" w:rsidRDefault="007530B0" w:rsidP="00925E36">
      <w:pPr>
        <w:pStyle w:val="Heading2-nonumbering"/>
      </w:pPr>
      <w:bookmarkStart w:id="45" w:name="_Toc124933839"/>
      <w:r w:rsidRPr="00925E36">
        <w:lastRenderedPageBreak/>
        <w:t>Sourcing and investing</w:t>
      </w:r>
      <w:bookmarkEnd w:id="45"/>
    </w:p>
    <w:p w14:paraId="5EFAEC00" w14:textId="63DCB04E" w:rsidR="007530B0" w:rsidRPr="005506BF" w:rsidRDefault="007530B0" w:rsidP="009055B4">
      <w:pPr>
        <w:pStyle w:val="Heading3-nonumbering"/>
      </w:pPr>
      <w:r w:rsidRPr="005506BF">
        <w:t>Aim</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7530B0" w:rsidRPr="000C72D2" w14:paraId="40D10DCF" w14:textId="77777777" w:rsidTr="00BA5306">
        <w:trPr>
          <w:trHeight w:val="170"/>
        </w:trPr>
        <w:tc>
          <w:tcPr>
            <w:tcW w:w="567" w:type="dxa"/>
          </w:tcPr>
          <w:p w14:paraId="5B3CA69F" w14:textId="77777777" w:rsidR="007530B0" w:rsidRPr="000C72D2" w:rsidRDefault="007530B0" w:rsidP="009055B4">
            <w:pPr>
              <w:pStyle w:val="0RULE"/>
            </w:pPr>
          </w:p>
        </w:tc>
      </w:tr>
    </w:tbl>
    <w:p w14:paraId="2F0B9531" w14:textId="39B22156" w:rsidR="007530B0" w:rsidRPr="00BE6C08" w:rsidRDefault="007530B0" w:rsidP="007530B0">
      <w:pPr>
        <w:pStyle w:val="NormalIndent1"/>
        <w:rPr>
          <w:color w:val="auto"/>
          <w:sz w:val="28"/>
          <w:szCs w:val="28"/>
        </w:rPr>
      </w:pPr>
      <w:r w:rsidRPr="00BE6C08">
        <w:rPr>
          <w:color w:val="auto"/>
          <w:sz w:val="28"/>
          <w:szCs w:val="28"/>
        </w:rPr>
        <w:t xml:space="preserve">To find the right provider to deliver the service or support, using contract requirements to ensure that what is delivered </w:t>
      </w:r>
      <w:r w:rsidRPr="00484368">
        <w:rPr>
          <w:color w:val="auto"/>
          <w:sz w:val="28"/>
          <w:szCs w:val="28"/>
        </w:rPr>
        <w:t>‘works for whānau’</w:t>
      </w:r>
      <w:r w:rsidRPr="00BE6C08">
        <w:rPr>
          <w:color w:val="auto"/>
          <w:sz w:val="28"/>
          <w:szCs w:val="28"/>
        </w:rPr>
        <w:t xml:space="preserve"> and is a good use of public funds.</w:t>
      </w:r>
    </w:p>
    <w:p w14:paraId="6A674E37" w14:textId="77777777" w:rsidR="007530B0" w:rsidRPr="00A902F6" w:rsidRDefault="007530B0" w:rsidP="009055B4">
      <w:pPr>
        <w:pStyle w:val="Heading3-nonumbering"/>
      </w:pPr>
      <w:r>
        <w:t>Key steps</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7530B0" w:rsidRPr="000C72D2" w14:paraId="1B191C18" w14:textId="77777777" w:rsidTr="00BA5306">
        <w:trPr>
          <w:trHeight w:val="170"/>
        </w:trPr>
        <w:tc>
          <w:tcPr>
            <w:tcW w:w="567" w:type="dxa"/>
          </w:tcPr>
          <w:p w14:paraId="183096E2" w14:textId="77777777" w:rsidR="007530B0" w:rsidRPr="000C72D2" w:rsidRDefault="007530B0" w:rsidP="009055B4">
            <w:pPr>
              <w:pStyle w:val="0RULE"/>
            </w:pPr>
          </w:p>
        </w:tc>
      </w:tr>
    </w:tbl>
    <w:p w14:paraId="0F66BA95" w14:textId="773A0642" w:rsidR="007530B0" w:rsidRPr="007530B0" w:rsidRDefault="007530B0" w:rsidP="007530B0">
      <w:pPr>
        <w:pStyle w:val="ListBullet"/>
        <w:tabs>
          <w:tab w:val="clear" w:pos="360"/>
          <w:tab w:val="num" w:pos="2268"/>
        </w:tabs>
        <w:ind w:left="1985" w:hanging="284"/>
        <w:rPr>
          <w:color w:val="EC643C"/>
        </w:rPr>
      </w:pPr>
      <w:r w:rsidRPr="00BE6C08">
        <w:rPr>
          <w:b/>
          <w:bCs w:val="0"/>
          <w:color w:val="auto"/>
        </w:rPr>
        <w:t>Source</w:t>
      </w:r>
      <w:r w:rsidRPr="00BE6C08">
        <w:rPr>
          <w:color w:val="auto"/>
        </w:rPr>
        <w:t xml:space="preserve">: </w:t>
      </w:r>
      <w:r w:rsidRPr="007530B0">
        <w:rPr>
          <w:color w:val="auto"/>
        </w:rPr>
        <w:t xml:space="preserve">Decide on the right sourcing approach to </w:t>
      </w:r>
      <w:r w:rsidR="006228C1">
        <w:rPr>
          <w:color w:val="auto"/>
        </w:rPr>
        <w:t>achieve</w:t>
      </w:r>
      <w:r w:rsidR="006228C1" w:rsidRPr="007530B0">
        <w:rPr>
          <w:color w:val="auto"/>
        </w:rPr>
        <w:t xml:space="preserve"> </w:t>
      </w:r>
      <w:r w:rsidRPr="007530B0">
        <w:rPr>
          <w:color w:val="auto"/>
        </w:rPr>
        <w:t>the purpose and then find the appropriate provider.</w:t>
      </w:r>
    </w:p>
    <w:p w14:paraId="447B1126" w14:textId="7950BDD7" w:rsidR="007530B0" w:rsidRPr="009055B4" w:rsidRDefault="007530B0" w:rsidP="009055B4">
      <w:pPr>
        <w:pStyle w:val="ListBullet"/>
        <w:tabs>
          <w:tab w:val="clear" w:pos="360"/>
          <w:tab w:val="num" w:pos="2268"/>
        </w:tabs>
        <w:ind w:left="1985" w:hanging="284"/>
        <w:rPr>
          <w:color w:val="EC643C"/>
        </w:rPr>
      </w:pPr>
      <w:r w:rsidRPr="00BE6C08">
        <w:rPr>
          <w:b/>
          <w:bCs w:val="0"/>
          <w:color w:val="auto"/>
        </w:rPr>
        <w:t>Invest</w:t>
      </w:r>
      <w:r w:rsidRPr="00BE6C08">
        <w:rPr>
          <w:color w:val="auto"/>
        </w:rPr>
        <w:t xml:space="preserve">: </w:t>
      </w:r>
      <w:r w:rsidRPr="007530B0">
        <w:rPr>
          <w:color w:val="auto"/>
        </w:rPr>
        <w:t>Develop the contract with conditions that enable and incentivise the desired outcomes.</w:t>
      </w:r>
    </w:p>
    <w:p w14:paraId="0931212F" w14:textId="386DF570" w:rsidR="007530B0" w:rsidRPr="005506BF" w:rsidRDefault="00174710" w:rsidP="009055B4">
      <w:pPr>
        <w:pStyle w:val="Heading3-nonumbering"/>
      </w:pPr>
      <w:r w:rsidRPr="00174710">
        <w:t>Sourcing</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7530B0" w:rsidRPr="000C72D2" w14:paraId="7A7AAD03" w14:textId="77777777" w:rsidTr="00BA5306">
        <w:trPr>
          <w:trHeight w:val="170"/>
        </w:trPr>
        <w:tc>
          <w:tcPr>
            <w:tcW w:w="567" w:type="dxa"/>
          </w:tcPr>
          <w:p w14:paraId="3CD2B51B" w14:textId="77777777" w:rsidR="007530B0" w:rsidRPr="000C72D2" w:rsidRDefault="007530B0" w:rsidP="009055B4">
            <w:pPr>
              <w:pStyle w:val="0RULE"/>
            </w:pPr>
          </w:p>
        </w:tc>
      </w:tr>
    </w:tbl>
    <w:p w14:paraId="44062347" w14:textId="7BA9F6DF" w:rsidR="00174710" w:rsidRDefault="00174710" w:rsidP="00174710">
      <w:pPr>
        <w:pStyle w:val="NormalIndent1"/>
      </w:pPr>
      <w:r>
        <w:t>When government entities undertake commissioning, they are bound by the Public Finance Act 1989 and procurement rules and principles (accountability, openness, value for money, lawfulness, fairness and integrity). These requirements are set out in:</w:t>
      </w:r>
    </w:p>
    <w:p w14:paraId="3A8440D9" w14:textId="33A69F35" w:rsidR="00174710" w:rsidRDefault="00174710" w:rsidP="00174710">
      <w:pPr>
        <w:pStyle w:val="ListBullet"/>
        <w:tabs>
          <w:tab w:val="clear" w:pos="360"/>
          <w:tab w:val="num" w:pos="993"/>
        </w:tabs>
        <w:ind w:left="1985" w:hanging="284"/>
      </w:pPr>
      <w:r w:rsidRPr="00DC4111">
        <w:rPr>
          <w:i/>
          <w:iCs/>
        </w:rPr>
        <w:t xml:space="preserve">Government </w:t>
      </w:r>
      <w:r w:rsidR="00B548B6" w:rsidRPr="00DC4111">
        <w:rPr>
          <w:i/>
          <w:iCs/>
        </w:rPr>
        <w:t>Procurement Rules</w:t>
      </w:r>
      <w:r>
        <w:t xml:space="preserve"> (</w:t>
      </w:r>
      <w:r w:rsidR="00F90B11">
        <w:t xml:space="preserve">Ministry of Business, Innovation and Employment </w:t>
      </w:r>
      <w:r>
        <w:t xml:space="preserve">2019) and the </w:t>
      </w:r>
      <w:r w:rsidR="00FE156D">
        <w:t>p</w:t>
      </w:r>
      <w:r>
        <w:t>rinciples of Government Procurement</w:t>
      </w:r>
      <w:r w:rsidR="004D7920">
        <w:rPr>
          <w:rFonts w:ascii="ZWAdobeF" w:hAnsi="ZWAdobeF" w:cs="ZWAdobeF"/>
          <w:color w:val="auto"/>
          <w:sz w:val="2"/>
          <w:szCs w:val="2"/>
        </w:rPr>
        <w:t>31F</w:t>
      </w:r>
      <w:r w:rsidR="00EC55B6">
        <w:rPr>
          <w:rStyle w:val="FootnoteReference"/>
        </w:rPr>
        <w:footnoteReference w:id="33"/>
      </w:r>
      <w:r>
        <w:t xml:space="preserve"> </w:t>
      </w:r>
    </w:p>
    <w:p w14:paraId="4F4C54FC" w14:textId="643A5AC9" w:rsidR="007530B0" w:rsidRDefault="00174710" w:rsidP="00174710">
      <w:pPr>
        <w:pStyle w:val="ListBullet"/>
        <w:tabs>
          <w:tab w:val="clear" w:pos="360"/>
          <w:tab w:val="num" w:pos="993"/>
        </w:tabs>
        <w:ind w:left="1985" w:hanging="284"/>
      </w:pPr>
      <w:r>
        <w:t xml:space="preserve">Office of the Auditor-General (2008) </w:t>
      </w:r>
      <w:r w:rsidRPr="00EC55B6">
        <w:rPr>
          <w:i/>
          <w:iCs/>
        </w:rPr>
        <w:t>Procurement Guidance for Public Entities</w:t>
      </w:r>
      <w:r>
        <w:t>.</w:t>
      </w:r>
    </w:p>
    <w:p w14:paraId="49B4FA74" w14:textId="09149D64" w:rsidR="00484368" w:rsidRDefault="00484368">
      <w:pPr>
        <w:spacing w:line="300" w:lineRule="exact"/>
      </w:pPr>
      <w:r>
        <w:br w:type="page"/>
      </w:r>
    </w:p>
    <w:p w14:paraId="6D3916E2" w14:textId="66EF23F1" w:rsidR="00EC55B6" w:rsidRPr="005506BF" w:rsidRDefault="00EC55B6" w:rsidP="009055B4">
      <w:pPr>
        <w:pStyle w:val="Heading3-nonumbering"/>
      </w:pPr>
      <w:r w:rsidRPr="00EC55B6">
        <w:lastRenderedPageBreak/>
        <w:t>Investing</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EC55B6" w:rsidRPr="000C72D2" w14:paraId="40827553" w14:textId="77777777" w:rsidTr="00BA5306">
        <w:trPr>
          <w:trHeight w:val="170"/>
        </w:trPr>
        <w:tc>
          <w:tcPr>
            <w:tcW w:w="567" w:type="dxa"/>
          </w:tcPr>
          <w:p w14:paraId="422FD81C" w14:textId="66EF23F1" w:rsidR="00EC55B6" w:rsidRPr="000C72D2" w:rsidRDefault="00EC55B6" w:rsidP="009055B4">
            <w:pPr>
              <w:pStyle w:val="0RULE"/>
            </w:pPr>
          </w:p>
        </w:tc>
      </w:tr>
    </w:tbl>
    <w:p w14:paraId="2CAFD769" w14:textId="1A3691EB" w:rsidR="00EC55B6" w:rsidRDefault="00EC55B6" w:rsidP="00EC55B6">
      <w:pPr>
        <w:pStyle w:val="NormalwIndent"/>
      </w:pPr>
      <w:r>
        <w:t>The New Zealand Government Procurement website</w:t>
      </w:r>
      <w:r w:rsidR="004D7920">
        <w:rPr>
          <w:rFonts w:ascii="ZWAdobeF" w:hAnsi="ZWAdobeF" w:cs="ZWAdobeF"/>
          <w:color w:val="auto"/>
          <w:sz w:val="2"/>
          <w:szCs w:val="2"/>
        </w:rPr>
        <w:t>32F</w:t>
      </w:r>
      <w:r>
        <w:rPr>
          <w:rStyle w:val="FootnoteReference"/>
        </w:rPr>
        <w:footnoteReference w:id="34"/>
      </w:r>
      <w:r>
        <w:t xml:space="preserve"> contains guides and templates to support </w:t>
      </w:r>
      <w:r w:rsidR="00230F0E">
        <w:t xml:space="preserve">public entities in their </w:t>
      </w:r>
      <w:r>
        <w:t xml:space="preserve">procurement practices. </w:t>
      </w:r>
    </w:p>
    <w:p w14:paraId="70E7A6A4" w14:textId="79346FBC" w:rsidR="00EC55B6" w:rsidRDefault="00EC55B6" w:rsidP="00EC55B6">
      <w:pPr>
        <w:pStyle w:val="NormalwIndent"/>
      </w:pPr>
      <w:r>
        <w:t>Procurement i</w:t>
      </w:r>
      <w:r w:rsidR="00230F0E">
        <w:t xml:space="preserve">nvolves </w:t>
      </w:r>
      <w:r>
        <w:t xml:space="preserve">more than spending money. It is the legal and technical process of seeking bids and getting services or goods from an external source, such as a service provider, an NGO or a business. The commissioning agent can describe what </w:t>
      </w:r>
      <w:r w:rsidR="00230F0E">
        <w:t>it is</w:t>
      </w:r>
      <w:r>
        <w:t xml:space="preserve"> looking for and potential suppliers can respond. Th</w:t>
      </w:r>
      <w:r w:rsidR="00230F0E">
        <w:t>e description</w:t>
      </w:r>
      <w:r>
        <w:t xml:space="preserve"> usually covers quality, experience, price and time (Slay and Penny 2014).</w:t>
      </w:r>
    </w:p>
    <w:p w14:paraId="0F7779D3" w14:textId="19AC97E6" w:rsidR="00EC55B6" w:rsidRDefault="00230F0E" w:rsidP="00EC55B6">
      <w:pPr>
        <w:pStyle w:val="NormalwIndent"/>
      </w:pPr>
      <w:r>
        <w:t>Greater innovation is possible under e</w:t>
      </w:r>
      <w:r w:rsidR="00EC55B6">
        <w:t>xisting legislation and procurement rules, but practices have normalised around narrower interpretations</w:t>
      </w:r>
      <w:r w:rsidR="008931A7">
        <w:t xml:space="preserve"> of these requirements</w:t>
      </w:r>
      <w:r w:rsidR="00EC55B6">
        <w:t xml:space="preserve">. </w:t>
      </w:r>
      <w:r w:rsidR="008931A7">
        <w:t xml:space="preserve">To </w:t>
      </w:r>
      <w:r w:rsidR="000D56CB">
        <w:t>foster</w:t>
      </w:r>
      <w:r w:rsidR="008931A7">
        <w:t xml:space="preserve"> innovative practices </w:t>
      </w:r>
      <w:r w:rsidR="00EC55B6">
        <w:t>now</w:t>
      </w:r>
      <w:r w:rsidR="008931A7">
        <w:t>, Commissioning for Pae Ora can</w:t>
      </w:r>
      <w:r w:rsidR="00EC55B6">
        <w:t xml:space="preserve"> </w:t>
      </w:r>
      <w:r w:rsidR="0007702F">
        <w:t xml:space="preserve">enable </w:t>
      </w:r>
      <w:r w:rsidR="00EC55B6">
        <w:t xml:space="preserve">procurement advisors and contract managers </w:t>
      </w:r>
      <w:r w:rsidR="004B43FB">
        <w:t>to support and encourage</w:t>
      </w:r>
      <w:r w:rsidR="00EC55B6">
        <w:t xml:space="preserve"> innovation in service and system design, as well as providing expertise on how to meet accountability requirements.</w:t>
      </w:r>
    </w:p>
    <w:p w14:paraId="7589548A" w14:textId="1CAD7B4D" w:rsidR="00EC55B6" w:rsidRDefault="00EC55B6" w:rsidP="00EC55B6">
      <w:pPr>
        <w:pStyle w:val="NormalwIndent"/>
        <w:ind w:left="2268" w:right="849"/>
      </w:pPr>
      <w:r>
        <w:t>Innovation in procurement practice is the most likely path to innovation in service delivery. (Villeneuve-Smith and Blake 2016)</w:t>
      </w:r>
    </w:p>
    <w:p w14:paraId="3071A243" w14:textId="517415EA" w:rsidR="00EC55B6" w:rsidRDefault="00EC55B6" w:rsidP="00EC55B6">
      <w:pPr>
        <w:pStyle w:val="NormalwIndent"/>
      </w:pPr>
      <w:r>
        <w:t>Ongoing training and support to embed new practices are also essential.</w:t>
      </w:r>
    </w:p>
    <w:p w14:paraId="59E605C6" w14:textId="7EBAAB0C" w:rsidR="00EC55B6" w:rsidRPr="00925E36" w:rsidRDefault="00EC55B6" w:rsidP="00925E36">
      <w:pPr>
        <w:pStyle w:val="Heading4"/>
      </w:pPr>
      <w:r w:rsidRPr="00925E36">
        <w:t>Innovation in sourcing</w:t>
      </w:r>
    </w:p>
    <w:p w14:paraId="432EE428" w14:textId="55648A33" w:rsidR="00EC55B6" w:rsidRDefault="00EC55B6" w:rsidP="00925E36">
      <w:pPr>
        <w:pStyle w:val="NormalIndent1"/>
        <w:ind w:left="0"/>
      </w:pPr>
    </w:p>
    <w:tbl>
      <w:tblPr>
        <w:tblStyle w:val="TableGrid"/>
        <w:tblW w:w="0" w:type="auto"/>
        <w:tblBorders>
          <w:top w:val="single" w:sz="4" w:space="0" w:color="EC643C"/>
          <w:left w:val="none" w:sz="0" w:space="0" w:color="auto"/>
          <w:bottom w:val="single" w:sz="4" w:space="0" w:color="EC643C"/>
          <w:right w:val="none" w:sz="0" w:space="0" w:color="auto"/>
          <w:insideH w:val="single" w:sz="4" w:space="0" w:color="EC643C"/>
          <w:insideV w:val="single" w:sz="4" w:space="0" w:color="EC643C"/>
        </w:tblBorders>
        <w:tblLook w:val="04A0" w:firstRow="1" w:lastRow="0" w:firstColumn="1" w:lastColumn="0" w:noHBand="0" w:noVBand="1"/>
      </w:tblPr>
      <w:tblGrid>
        <w:gridCol w:w="567"/>
        <w:gridCol w:w="1134"/>
        <w:gridCol w:w="6803"/>
      </w:tblGrid>
      <w:tr w:rsidR="00EC55B6" w14:paraId="1651C009" w14:textId="77777777" w:rsidTr="00BA5306">
        <w:trPr>
          <w:gridBefore w:val="2"/>
          <w:wBefore w:w="1701" w:type="dxa"/>
        </w:trPr>
        <w:tc>
          <w:tcPr>
            <w:tcW w:w="6803" w:type="dxa"/>
          </w:tcPr>
          <w:p w14:paraId="78F3B2A9" w14:textId="3A8899CC" w:rsidR="00EC55B6" w:rsidRDefault="00EC55B6" w:rsidP="00BA5306">
            <w:pPr>
              <w:pStyle w:val="NormalwIndent"/>
              <w:ind w:left="29"/>
              <w:rPr>
                <w:iCs/>
                <w:color w:val="EC643C"/>
                <w:sz w:val="28"/>
              </w:rPr>
            </w:pPr>
            <w:r w:rsidRPr="00EC55B6">
              <w:rPr>
                <w:iCs/>
                <w:color w:val="EC643C"/>
                <w:sz w:val="28"/>
              </w:rPr>
              <w:t xml:space="preserve">New Kaupapa Māori Primary (Community) Mental Health and Addiction Services </w:t>
            </w:r>
            <w:r w:rsidR="001C79CF">
              <w:rPr>
                <w:iCs/>
                <w:color w:val="EC643C"/>
                <w:sz w:val="28"/>
              </w:rPr>
              <w:t>p</w:t>
            </w:r>
            <w:r w:rsidRPr="00EC55B6">
              <w:rPr>
                <w:iCs/>
                <w:color w:val="EC643C"/>
                <w:sz w:val="28"/>
              </w:rPr>
              <w:t>rocurement</w:t>
            </w:r>
            <w:r w:rsidR="004D7920">
              <w:rPr>
                <w:rFonts w:ascii="ZWAdobeF" w:hAnsi="ZWAdobeF" w:cs="ZWAdobeF"/>
                <w:iCs/>
                <w:color w:val="auto"/>
                <w:spacing w:val="0"/>
                <w:sz w:val="2"/>
                <w:szCs w:val="2"/>
              </w:rPr>
              <w:t>33F</w:t>
            </w:r>
            <w:r w:rsidRPr="00EC55B6">
              <w:rPr>
                <w:rStyle w:val="FootnoteReference"/>
                <w:iCs/>
                <w:sz w:val="18"/>
                <w:szCs w:val="22"/>
              </w:rPr>
              <w:footnoteReference w:id="35"/>
            </w:r>
          </w:p>
          <w:p w14:paraId="2CF6E23B" w14:textId="586C42B3" w:rsidR="00EC55B6" w:rsidRPr="00EC55B6" w:rsidRDefault="00585281" w:rsidP="00EC55B6">
            <w:pPr>
              <w:pStyle w:val="NormalwIndent"/>
              <w:spacing w:after="240"/>
              <w:ind w:left="0"/>
            </w:pPr>
            <w:r>
              <w:t>Commissioning can gain v</w:t>
            </w:r>
            <w:r w:rsidR="00EC55B6" w:rsidRPr="00EC55B6">
              <w:t>alue from sourcing models that bring diversity and innovation into the provider market, along with other types of investment that build whānau and community capability and strengths.</w:t>
            </w:r>
          </w:p>
        </w:tc>
      </w:tr>
      <w:tr w:rsidR="00EC55B6" w:rsidRPr="000C72D2" w14:paraId="2917C93D" w14:textId="77777777" w:rsidTr="00BA5306">
        <w:tblPrEx>
          <w:tblBorders>
            <w:top w:val="single" w:sz="8" w:space="0" w:color="EC643C"/>
            <w:bottom w:val="none" w:sz="0" w:space="0" w:color="auto"/>
            <w:insideH w:val="none" w:sz="0" w:space="0" w:color="auto"/>
            <w:insideV w:val="none" w:sz="0" w:space="0" w:color="auto"/>
          </w:tblBorders>
        </w:tblPrEx>
        <w:trPr>
          <w:gridAfter w:val="2"/>
          <w:wAfter w:w="7937" w:type="dxa"/>
          <w:trHeight w:val="170"/>
        </w:trPr>
        <w:tc>
          <w:tcPr>
            <w:tcW w:w="567" w:type="dxa"/>
          </w:tcPr>
          <w:p w14:paraId="5940E180" w14:textId="77777777" w:rsidR="00EC55B6" w:rsidRPr="000C72D2" w:rsidRDefault="00EC55B6" w:rsidP="009055B4">
            <w:pPr>
              <w:pStyle w:val="0RULE"/>
            </w:pPr>
          </w:p>
        </w:tc>
      </w:tr>
    </w:tbl>
    <w:p w14:paraId="6E78B3F3" w14:textId="77777777" w:rsidR="00EC55B6" w:rsidRDefault="00EC55B6" w:rsidP="00EC55B6">
      <w:pPr>
        <w:pStyle w:val="NormalIndent1"/>
        <w:sectPr w:rsidR="00EC55B6" w:rsidSect="00C345BC">
          <w:pgSz w:w="11906" w:h="16838"/>
          <w:pgMar w:top="2778" w:right="1701" w:bottom="454" w:left="1701" w:header="567" w:footer="567" w:gutter="0"/>
          <w:cols w:space="708"/>
          <w:titlePg/>
          <w:docGrid w:linePitch="360"/>
        </w:sectPr>
      </w:pPr>
      <w:r>
        <w:t xml:space="preserve">  </w:t>
      </w:r>
    </w:p>
    <w:p w14:paraId="1C9E4AF9" w14:textId="19F48B4E" w:rsidR="00466E1F" w:rsidRPr="005506BF" w:rsidRDefault="00466E1F" w:rsidP="009055B4">
      <w:pPr>
        <w:pStyle w:val="Heading3-nonumbering"/>
        <w:spacing w:before="0"/>
      </w:pPr>
      <w:r w:rsidRPr="00466E1F">
        <w:lastRenderedPageBreak/>
        <w:t>Provider markets</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466E1F" w:rsidRPr="000C72D2" w14:paraId="766F7432" w14:textId="77777777" w:rsidTr="00BA5306">
        <w:trPr>
          <w:trHeight w:val="170"/>
        </w:trPr>
        <w:tc>
          <w:tcPr>
            <w:tcW w:w="567" w:type="dxa"/>
          </w:tcPr>
          <w:p w14:paraId="7FAEF810" w14:textId="77777777" w:rsidR="00466E1F" w:rsidRPr="000C72D2" w:rsidRDefault="00466E1F" w:rsidP="009055B4">
            <w:pPr>
              <w:pStyle w:val="0RULE"/>
            </w:pPr>
          </w:p>
        </w:tc>
      </w:tr>
    </w:tbl>
    <w:p w14:paraId="292AC072" w14:textId="2A53C47E" w:rsidR="00466E1F" w:rsidRDefault="00D55E1F" w:rsidP="00466E1F">
      <w:pPr>
        <w:pStyle w:val="NormalwIndent"/>
      </w:pPr>
      <w:r>
        <w:t>To be effective,</w:t>
      </w:r>
      <w:r w:rsidR="00585281">
        <w:t xml:space="preserve"> c</w:t>
      </w:r>
      <w:r w:rsidR="00466E1F">
        <w:t>ommissioning</w:t>
      </w:r>
      <w:r w:rsidR="00585281">
        <w:t xml:space="preserve"> </w:t>
      </w:r>
      <w:r w:rsidR="00466E1F">
        <w:t xml:space="preserve">requires a ‘market’ of service providers </w:t>
      </w:r>
      <w:r>
        <w:t xml:space="preserve">that are </w:t>
      </w:r>
      <w:r w:rsidR="00466E1F">
        <w:t xml:space="preserve">able and willing to bid for contracts and provide services within a commissioning framework. </w:t>
      </w:r>
    </w:p>
    <w:p w14:paraId="6825983F" w14:textId="77777777" w:rsidR="00466E1F" w:rsidRDefault="00466E1F" w:rsidP="00925E36">
      <w:pPr>
        <w:pStyle w:val="Heading4"/>
      </w:pPr>
      <w:r>
        <w:t>How provider markets are shaped</w:t>
      </w:r>
    </w:p>
    <w:p w14:paraId="054EA9FE" w14:textId="2BAF3EF8" w:rsidR="00466E1F" w:rsidRDefault="00D55E1F" w:rsidP="00466E1F">
      <w:pPr>
        <w:pStyle w:val="NormalwIndent"/>
      </w:pPr>
      <w:r>
        <w:t>The main influences on t</w:t>
      </w:r>
      <w:r w:rsidR="00466E1F">
        <w:t>he mix, diversity, breadth and depth of provider markets are a</w:t>
      </w:r>
      <w:r>
        <w:t xml:space="preserve"> combination</w:t>
      </w:r>
      <w:r w:rsidR="00466E1F">
        <w:t xml:space="preserve"> of market drivers, and</w:t>
      </w:r>
      <w:r>
        <w:t xml:space="preserve"> whether existing providers have</w:t>
      </w:r>
      <w:r w:rsidR="00466E1F">
        <w:t xml:space="preserve"> the capacity and capability to respond to changes in demand and preference. </w:t>
      </w:r>
      <w:r w:rsidR="004E276A">
        <w:t xml:space="preserve">In addition, new providers </w:t>
      </w:r>
      <w:r w:rsidR="00466E1F">
        <w:t xml:space="preserve">can </w:t>
      </w:r>
      <w:r w:rsidR="004E276A">
        <w:t xml:space="preserve">face </w:t>
      </w:r>
      <w:r w:rsidR="00466E1F">
        <w:t>barriers to ent</w:t>
      </w:r>
      <w:r w:rsidR="004E276A">
        <w:t>ering the market</w:t>
      </w:r>
      <w:r w:rsidR="00466E1F">
        <w:t xml:space="preserve">, including the time and set-up costs </w:t>
      </w:r>
      <w:r w:rsidR="004E276A">
        <w:t>involved in</w:t>
      </w:r>
      <w:r w:rsidR="00466E1F">
        <w:t xml:space="preserve"> </w:t>
      </w:r>
      <w:r w:rsidR="0075124A">
        <w:t>meet</w:t>
      </w:r>
      <w:r w:rsidR="004E276A">
        <w:t>ing</w:t>
      </w:r>
      <w:r w:rsidR="0075124A">
        <w:t xml:space="preserve"> </w:t>
      </w:r>
      <w:r w:rsidR="00466E1F">
        <w:t xml:space="preserve">service standards and regulatory requirements and </w:t>
      </w:r>
      <w:r w:rsidR="0075124A">
        <w:t>manag</w:t>
      </w:r>
      <w:r w:rsidR="004E276A">
        <w:t>ing</w:t>
      </w:r>
      <w:r w:rsidR="0075124A">
        <w:t xml:space="preserve"> </w:t>
      </w:r>
      <w:r w:rsidR="00466E1F">
        <w:t>risk from uncertainty of demand.</w:t>
      </w:r>
    </w:p>
    <w:p w14:paraId="35DC277A" w14:textId="77777777" w:rsidR="00466E1F" w:rsidRDefault="00466E1F" w:rsidP="00925E36">
      <w:pPr>
        <w:pStyle w:val="Heading4"/>
      </w:pPr>
      <w:r>
        <w:t>Market stewardship</w:t>
      </w:r>
    </w:p>
    <w:p w14:paraId="7954B91D" w14:textId="7D185008" w:rsidR="00466E1F" w:rsidRDefault="00466E1F" w:rsidP="00466E1F">
      <w:pPr>
        <w:pStyle w:val="NormalwIndent"/>
      </w:pPr>
      <w:r>
        <w:t>The government</w:t>
      </w:r>
      <w:r w:rsidR="00E06912">
        <w:t xml:space="preserve"> can</w:t>
      </w:r>
      <w:r>
        <w:t xml:space="preserve"> intervene </w:t>
      </w:r>
      <w:r w:rsidR="00E857AF">
        <w:t xml:space="preserve">in the provider market </w:t>
      </w:r>
      <w:r>
        <w:t xml:space="preserve">to ensure </w:t>
      </w:r>
      <w:r w:rsidR="00E857AF">
        <w:t>it contains</w:t>
      </w:r>
      <w:r>
        <w:t xml:space="preserve"> resilient service systems with well-functioning providers and provider markets, which are essential for effective commissioning. The following table lists options for intervention.</w:t>
      </w:r>
    </w:p>
    <w:p w14:paraId="4B5460B7" w14:textId="7F0F1B27" w:rsidR="00466E1F" w:rsidRDefault="00466E1F" w:rsidP="00466E1F">
      <w:pPr>
        <w:pStyle w:val="NormalwIndent"/>
      </w:pPr>
    </w:p>
    <w:tbl>
      <w:tblPr>
        <w:tblStyle w:val="TableGrid"/>
        <w:tblW w:w="8222" w:type="dxa"/>
        <w:tblInd w:w="-15"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701"/>
        <w:gridCol w:w="6521"/>
      </w:tblGrid>
      <w:tr w:rsidR="00E33AED" w:rsidRPr="00466E1F" w14:paraId="2BC29B3A" w14:textId="77777777" w:rsidTr="00466E1F">
        <w:trPr>
          <w:trHeight w:val="709"/>
        </w:trPr>
        <w:tc>
          <w:tcPr>
            <w:tcW w:w="1701" w:type="dxa"/>
            <w:shd w:val="clear" w:color="auto" w:fill="F2F2F2" w:themeFill="background1" w:themeFillShade="F2"/>
            <w:vAlign w:val="center"/>
          </w:tcPr>
          <w:p w14:paraId="3463E2C1" w14:textId="77777777" w:rsidR="00466E1F" w:rsidRPr="00466E1F" w:rsidRDefault="00466E1F" w:rsidP="00466E1F">
            <w:pPr>
              <w:pStyle w:val="TableText"/>
              <w:spacing w:before="80" w:after="80"/>
              <w:rPr>
                <w:b/>
              </w:rPr>
            </w:pPr>
            <w:r w:rsidRPr="00466E1F">
              <w:rPr>
                <w:b/>
              </w:rPr>
              <w:t>Type of intervention</w:t>
            </w:r>
          </w:p>
        </w:tc>
        <w:tc>
          <w:tcPr>
            <w:tcW w:w="6521" w:type="dxa"/>
            <w:shd w:val="clear" w:color="auto" w:fill="F2F2F2" w:themeFill="background1" w:themeFillShade="F2"/>
            <w:vAlign w:val="center"/>
          </w:tcPr>
          <w:p w14:paraId="76FEE5CB" w14:textId="77777777" w:rsidR="00466E1F" w:rsidRPr="00466E1F" w:rsidRDefault="00466E1F" w:rsidP="00466E1F">
            <w:pPr>
              <w:pStyle w:val="TableText"/>
              <w:spacing w:before="80" w:after="80"/>
              <w:rPr>
                <w:rFonts w:eastAsia="+mn-ea"/>
                <w:b/>
                <w:szCs w:val="22"/>
                <w:lang w:eastAsia="en-NZ"/>
              </w:rPr>
            </w:pPr>
            <w:r w:rsidRPr="00466E1F">
              <w:rPr>
                <w:rFonts w:eastAsia="+mn-ea"/>
                <w:b/>
                <w:szCs w:val="22"/>
                <w:lang w:eastAsia="en-NZ"/>
              </w:rPr>
              <w:t>Government actions</w:t>
            </w:r>
          </w:p>
        </w:tc>
      </w:tr>
      <w:tr w:rsidR="00E33AED" w:rsidRPr="003A6A50" w14:paraId="6EC8DC98" w14:textId="77777777" w:rsidTr="00466E1F">
        <w:trPr>
          <w:trHeight w:val="709"/>
        </w:trPr>
        <w:tc>
          <w:tcPr>
            <w:tcW w:w="1701" w:type="dxa"/>
            <w:shd w:val="clear" w:color="auto" w:fill="F2F2F2" w:themeFill="background1" w:themeFillShade="F2"/>
            <w:vAlign w:val="center"/>
          </w:tcPr>
          <w:p w14:paraId="63C9CAEC" w14:textId="77777777" w:rsidR="00466E1F" w:rsidRPr="00466E1F" w:rsidRDefault="00466E1F" w:rsidP="00466E1F">
            <w:pPr>
              <w:pStyle w:val="TableText"/>
              <w:spacing w:before="80" w:after="80"/>
              <w:rPr>
                <w:b/>
              </w:rPr>
            </w:pPr>
            <w:r w:rsidRPr="00466E1F">
              <w:rPr>
                <w:b/>
              </w:rPr>
              <w:t>Delivery</w:t>
            </w:r>
          </w:p>
        </w:tc>
        <w:tc>
          <w:tcPr>
            <w:tcW w:w="6521" w:type="dxa"/>
            <w:shd w:val="clear" w:color="auto" w:fill="FFFFFF" w:themeFill="background1"/>
          </w:tcPr>
          <w:p w14:paraId="4F7AAB2E" w14:textId="6326B4BE" w:rsidR="00466E1F" w:rsidRPr="003A6A50" w:rsidRDefault="00E857AF" w:rsidP="00466E1F">
            <w:pPr>
              <w:pStyle w:val="Tablebulletx"/>
              <w:spacing w:before="80" w:after="80"/>
              <w:rPr>
                <w:lang w:eastAsia="en-NZ"/>
              </w:rPr>
            </w:pPr>
            <w:r>
              <w:rPr>
                <w:lang w:eastAsia="en-NZ"/>
              </w:rPr>
              <w:t>Provide conditions that support</w:t>
            </w:r>
            <w:r w:rsidRPr="003A6A50">
              <w:rPr>
                <w:lang w:eastAsia="en-NZ"/>
              </w:rPr>
              <w:t xml:space="preserve"> </w:t>
            </w:r>
            <w:r w:rsidR="00466E1F" w:rsidRPr="003A6A50">
              <w:rPr>
                <w:lang w:eastAsia="en-NZ"/>
              </w:rPr>
              <w:t>existing providers</w:t>
            </w:r>
            <w:r>
              <w:rPr>
                <w:lang w:eastAsia="en-NZ"/>
              </w:rPr>
              <w:t xml:space="preserve"> to continue.</w:t>
            </w:r>
            <w:r w:rsidR="00466E1F" w:rsidRPr="003A6A50">
              <w:rPr>
                <w:lang w:eastAsia="en-NZ"/>
              </w:rPr>
              <w:t xml:space="preserve"> (</w:t>
            </w:r>
            <w:r>
              <w:rPr>
                <w:lang w:eastAsia="en-NZ"/>
              </w:rPr>
              <w:t xml:space="preserve">With appropriate </w:t>
            </w:r>
            <w:r w:rsidR="00466E1F" w:rsidRPr="003A6A50">
              <w:rPr>
                <w:lang w:eastAsia="en-NZ"/>
              </w:rPr>
              <w:t>funding levels and contract periods</w:t>
            </w:r>
            <w:r>
              <w:rPr>
                <w:lang w:eastAsia="en-NZ"/>
              </w:rPr>
              <w:t>,</w:t>
            </w:r>
            <w:r w:rsidR="00466E1F" w:rsidRPr="003A6A50">
              <w:rPr>
                <w:lang w:eastAsia="en-NZ"/>
              </w:rPr>
              <w:t xml:space="preserve"> providers </w:t>
            </w:r>
            <w:r>
              <w:rPr>
                <w:lang w:eastAsia="en-NZ"/>
              </w:rPr>
              <w:t>can</w:t>
            </w:r>
            <w:r w:rsidR="00466E1F" w:rsidRPr="003A6A50">
              <w:rPr>
                <w:lang w:eastAsia="en-NZ"/>
              </w:rPr>
              <w:t xml:space="preserve"> recruit, train and retain skilled staff</w:t>
            </w:r>
            <w:r>
              <w:rPr>
                <w:lang w:eastAsia="en-NZ"/>
              </w:rPr>
              <w:t>.</w:t>
            </w:r>
            <w:r w:rsidR="00466E1F" w:rsidRPr="003A6A50">
              <w:rPr>
                <w:lang w:eastAsia="en-NZ"/>
              </w:rPr>
              <w:t>)</w:t>
            </w:r>
          </w:p>
          <w:p w14:paraId="3005EFAF" w14:textId="06A3B2B9" w:rsidR="00466E1F" w:rsidRPr="003A6A50" w:rsidRDefault="00466E1F" w:rsidP="00466E1F">
            <w:pPr>
              <w:pStyle w:val="Tablebulletx"/>
              <w:spacing w:before="80" w:after="80"/>
              <w:rPr>
                <w:lang w:eastAsia="en-NZ"/>
              </w:rPr>
            </w:pPr>
            <w:r>
              <w:rPr>
                <w:lang w:eastAsia="en-NZ"/>
              </w:rPr>
              <w:t>E</w:t>
            </w:r>
            <w:r w:rsidRPr="003A6A50">
              <w:rPr>
                <w:lang w:eastAsia="en-NZ"/>
              </w:rPr>
              <w:t>ncourage new providers</w:t>
            </w:r>
            <w:r>
              <w:rPr>
                <w:lang w:eastAsia="en-NZ"/>
              </w:rPr>
              <w:t xml:space="preserve"> to</w:t>
            </w:r>
            <w:r w:rsidRPr="003A6A50">
              <w:rPr>
                <w:lang w:eastAsia="en-NZ"/>
              </w:rPr>
              <w:t xml:space="preserve"> enter the market (</w:t>
            </w:r>
            <w:r w:rsidR="00CD39C6">
              <w:rPr>
                <w:lang w:eastAsia="en-NZ"/>
              </w:rPr>
              <w:t>through</w:t>
            </w:r>
            <w:r w:rsidR="00CD39C6" w:rsidRPr="003A6A50">
              <w:rPr>
                <w:lang w:eastAsia="en-NZ"/>
              </w:rPr>
              <w:t xml:space="preserve"> </w:t>
            </w:r>
            <w:r w:rsidRPr="003A6A50">
              <w:rPr>
                <w:lang w:eastAsia="en-NZ"/>
              </w:rPr>
              <w:t xml:space="preserve">guaranteed contract volumes and longer contract periods, and </w:t>
            </w:r>
            <w:r w:rsidR="00CD39C6">
              <w:rPr>
                <w:lang w:eastAsia="en-NZ"/>
              </w:rPr>
              <w:t xml:space="preserve">by providing </w:t>
            </w:r>
            <w:r w:rsidRPr="003A6A50">
              <w:rPr>
                <w:lang w:eastAsia="en-NZ"/>
              </w:rPr>
              <w:t>support with set-up costs)</w:t>
            </w:r>
            <w:r w:rsidR="00837615">
              <w:rPr>
                <w:lang w:eastAsia="en-NZ"/>
              </w:rPr>
              <w:t xml:space="preserve">. Expanding the market of providers increases </w:t>
            </w:r>
            <w:r w:rsidR="00837615" w:rsidRPr="003A6A50">
              <w:rPr>
                <w:lang w:eastAsia="en-NZ"/>
              </w:rPr>
              <w:t>diversity and options</w:t>
            </w:r>
            <w:r>
              <w:rPr>
                <w:lang w:eastAsia="en-NZ"/>
              </w:rPr>
              <w:t>.</w:t>
            </w:r>
          </w:p>
        </w:tc>
      </w:tr>
      <w:tr w:rsidR="00E33AED" w:rsidRPr="003A6A50" w14:paraId="634545CA" w14:textId="77777777" w:rsidTr="00466E1F">
        <w:trPr>
          <w:trHeight w:val="467"/>
        </w:trPr>
        <w:tc>
          <w:tcPr>
            <w:tcW w:w="1701" w:type="dxa"/>
            <w:shd w:val="clear" w:color="auto" w:fill="F2F2F2" w:themeFill="background1" w:themeFillShade="F2"/>
            <w:vAlign w:val="center"/>
          </w:tcPr>
          <w:p w14:paraId="2AC3B31F" w14:textId="77777777" w:rsidR="00466E1F" w:rsidRPr="00466E1F" w:rsidRDefault="00466E1F" w:rsidP="00466E1F">
            <w:pPr>
              <w:pStyle w:val="TableText"/>
              <w:spacing w:before="80" w:after="80"/>
              <w:rPr>
                <w:b/>
              </w:rPr>
            </w:pPr>
            <w:r w:rsidRPr="00466E1F">
              <w:rPr>
                <w:b/>
              </w:rPr>
              <w:t xml:space="preserve">Incentivise </w:t>
            </w:r>
          </w:p>
        </w:tc>
        <w:tc>
          <w:tcPr>
            <w:tcW w:w="6521" w:type="dxa"/>
            <w:shd w:val="clear" w:color="auto" w:fill="FFFFFF" w:themeFill="background1"/>
          </w:tcPr>
          <w:p w14:paraId="30BB8880" w14:textId="24E11914" w:rsidR="00466E1F" w:rsidRPr="003A6A50" w:rsidRDefault="00466E1F" w:rsidP="00466E1F">
            <w:pPr>
              <w:pStyle w:val="Tablebulletx"/>
              <w:spacing w:before="80" w:after="80"/>
              <w:rPr>
                <w:lang w:eastAsia="en-NZ"/>
              </w:rPr>
            </w:pPr>
            <w:r>
              <w:rPr>
                <w:lang w:eastAsia="en-NZ"/>
              </w:rPr>
              <w:t>I</w:t>
            </w:r>
            <w:r w:rsidRPr="003A6A50">
              <w:rPr>
                <w:lang w:eastAsia="en-NZ"/>
              </w:rPr>
              <w:t>ncentivise collaboration between providers (and remov</w:t>
            </w:r>
            <w:r w:rsidR="000046E6">
              <w:rPr>
                <w:lang w:eastAsia="en-NZ"/>
              </w:rPr>
              <w:t>e</w:t>
            </w:r>
            <w:r w:rsidRPr="003A6A50">
              <w:rPr>
                <w:lang w:eastAsia="en-NZ"/>
              </w:rPr>
              <w:t xml:space="preserve"> competitive contracting)</w:t>
            </w:r>
            <w:r>
              <w:rPr>
                <w:lang w:eastAsia="en-NZ"/>
              </w:rPr>
              <w:t>.</w:t>
            </w:r>
          </w:p>
          <w:p w14:paraId="257060FB" w14:textId="77777777" w:rsidR="00466E1F" w:rsidRPr="003A6A50" w:rsidRDefault="00466E1F" w:rsidP="00466E1F">
            <w:pPr>
              <w:pStyle w:val="Tablebulletx"/>
              <w:spacing w:before="80" w:after="80"/>
              <w:rPr>
                <w:lang w:eastAsia="en-NZ"/>
              </w:rPr>
            </w:pPr>
            <w:r>
              <w:rPr>
                <w:lang w:eastAsia="en-NZ"/>
              </w:rPr>
              <w:t>I</w:t>
            </w:r>
            <w:r w:rsidRPr="003A6A50">
              <w:rPr>
                <w:lang w:eastAsia="en-NZ"/>
              </w:rPr>
              <w:t>ncentivise services to match demand (locations, populations, service types, modes of delivery).</w:t>
            </w:r>
          </w:p>
        </w:tc>
      </w:tr>
      <w:tr w:rsidR="00E33AED" w:rsidRPr="003A6A50" w14:paraId="7DE69027" w14:textId="77777777" w:rsidTr="00466E1F">
        <w:tc>
          <w:tcPr>
            <w:tcW w:w="1701" w:type="dxa"/>
            <w:shd w:val="clear" w:color="auto" w:fill="F2F2F2" w:themeFill="background1" w:themeFillShade="F2"/>
            <w:vAlign w:val="center"/>
          </w:tcPr>
          <w:p w14:paraId="73933098" w14:textId="77777777" w:rsidR="00466E1F" w:rsidRPr="00466E1F" w:rsidRDefault="00466E1F" w:rsidP="00466E1F">
            <w:pPr>
              <w:pStyle w:val="TableText"/>
              <w:spacing w:before="80" w:after="80"/>
              <w:rPr>
                <w:b/>
              </w:rPr>
            </w:pPr>
            <w:r w:rsidRPr="00466E1F">
              <w:rPr>
                <w:b/>
              </w:rPr>
              <w:t>Manage risk</w:t>
            </w:r>
          </w:p>
        </w:tc>
        <w:tc>
          <w:tcPr>
            <w:tcW w:w="6521" w:type="dxa"/>
            <w:shd w:val="clear" w:color="auto" w:fill="FFFFFF" w:themeFill="background1"/>
          </w:tcPr>
          <w:p w14:paraId="70BC2BBB" w14:textId="29404F52" w:rsidR="00466E1F" w:rsidRPr="003A6A50" w:rsidRDefault="00466E1F" w:rsidP="00466E1F">
            <w:pPr>
              <w:pStyle w:val="Tablebulletx"/>
              <w:spacing w:before="80" w:after="80"/>
            </w:pPr>
            <w:r>
              <w:rPr>
                <w:lang w:eastAsia="en-NZ"/>
              </w:rPr>
              <w:t>M</w:t>
            </w:r>
            <w:r w:rsidRPr="003A6A50">
              <w:rPr>
                <w:lang w:eastAsia="en-NZ"/>
              </w:rPr>
              <w:t xml:space="preserve">anage risk by </w:t>
            </w:r>
            <w:r w:rsidRPr="003A6A50">
              <w:t>transitioning services in or out of government</w:t>
            </w:r>
            <w:r w:rsidR="00837615">
              <w:t>,</w:t>
            </w:r>
            <w:r w:rsidRPr="003A6A50">
              <w:t xml:space="preserve"> consider</w:t>
            </w:r>
            <w:r w:rsidR="00837615">
              <w:t>ing</w:t>
            </w:r>
            <w:r w:rsidRPr="003A6A50">
              <w:t xml:space="preserve"> market depth, user maturity and service continuity</w:t>
            </w:r>
            <w:r>
              <w:t>.</w:t>
            </w:r>
          </w:p>
        </w:tc>
      </w:tr>
    </w:tbl>
    <w:p w14:paraId="1262AFC2" w14:textId="2EDAC314" w:rsidR="00466E1F" w:rsidRPr="005506BF" w:rsidRDefault="00466E1F" w:rsidP="009055B4">
      <w:pPr>
        <w:pStyle w:val="Heading3-nonumbering"/>
      </w:pPr>
      <w:r w:rsidRPr="00466E1F">
        <w:lastRenderedPageBreak/>
        <w:t>Funding options</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466E1F" w:rsidRPr="000C72D2" w14:paraId="0AFC3B47" w14:textId="77777777" w:rsidTr="00BA5306">
        <w:trPr>
          <w:trHeight w:val="170"/>
        </w:trPr>
        <w:tc>
          <w:tcPr>
            <w:tcW w:w="567" w:type="dxa"/>
          </w:tcPr>
          <w:p w14:paraId="6EFD6AEF" w14:textId="77777777" w:rsidR="00466E1F" w:rsidRPr="000C72D2" w:rsidRDefault="00466E1F" w:rsidP="009055B4">
            <w:pPr>
              <w:pStyle w:val="0RULE"/>
            </w:pPr>
          </w:p>
        </w:tc>
      </w:tr>
    </w:tbl>
    <w:p w14:paraId="3310ACA6" w14:textId="12E00826" w:rsidR="00466E1F" w:rsidRDefault="00466E1F" w:rsidP="00466E1F">
      <w:pPr>
        <w:pStyle w:val="NormalwIndent"/>
      </w:pPr>
      <w:r>
        <w:t>The following table sets out some key</w:t>
      </w:r>
      <w:r w:rsidR="0007595D">
        <w:t xml:space="preserve"> factors to</w:t>
      </w:r>
      <w:r>
        <w:t xml:space="preserve"> consider when developing funding solutions within a commissioning system (Harris et al 2015).</w:t>
      </w:r>
    </w:p>
    <w:p w14:paraId="0FB4F0A9" w14:textId="2B813ED0" w:rsidR="00466E1F" w:rsidRDefault="00466E1F" w:rsidP="00466E1F">
      <w:pPr>
        <w:pStyle w:val="NormalwIndent"/>
      </w:pPr>
    </w:p>
    <w:tbl>
      <w:tblPr>
        <w:tblStyle w:val="TableGrid"/>
        <w:tblW w:w="8222" w:type="dxa"/>
        <w:tblInd w:w="-15"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701"/>
        <w:gridCol w:w="6521"/>
      </w:tblGrid>
      <w:tr w:rsidR="00E33AED" w:rsidRPr="003A6A50" w14:paraId="1112A028" w14:textId="77777777" w:rsidTr="0073350E">
        <w:tc>
          <w:tcPr>
            <w:tcW w:w="1701" w:type="dxa"/>
            <w:shd w:val="clear" w:color="auto" w:fill="F2F2F2" w:themeFill="background1" w:themeFillShade="F2"/>
            <w:vAlign w:val="center"/>
          </w:tcPr>
          <w:p w14:paraId="4E7D0FE2" w14:textId="0850FA5F" w:rsidR="009A2664" w:rsidRPr="002C61E2" w:rsidRDefault="005329E4" w:rsidP="0073350E">
            <w:pPr>
              <w:pStyle w:val="TableText"/>
              <w:spacing w:before="80" w:after="80"/>
              <w:rPr>
                <w:b/>
                <w:bCs/>
              </w:rPr>
            </w:pPr>
            <w:r>
              <w:rPr>
                <w:b/>
                <w:bCs/>
              </w:rPr>
              <w:t>Factor to consider</w:t>
            </w:r>
          </w:p>
        </w:tc>
        <w:tc>
          <w:tcPr>
            <w:tcW w:w="6521" w:type="dxa"/>
            <w:shd w:val="clear" w:color="auto" w:fill="F2F2F2" w:themeFill="background1" w:themeFillShade="F2"/>
            <w:vAlign w:val="center"/>
          </w:tcPr>
          <w:p w14:paraId="2ED734D5" w14:textId="53BEF780" w:rsidR="009A2664" w:rsidRPr="002C61E2" w:rsidRDefault="005329E4" w:rsidP="0073350E">
            <w:pPr>
              <w:pStyle w:val="TableText"/>
              <w:spacing w:before="80" w:after="80"/>
              <w:rPr>
                <w:b/>
              </w:rPr>
            </w:pPr>
            <w:r>
              <w:rPr>
                <w:b/>
                <w:bCs/>
              </w:rPr>
              <w:t xml:space="preserve">Questions </w:t>
            </w:r>
            <w:r w:rsidR="002C61E2">
              <w:rPr>
                <w:b/>
                <w:bCs/>
              </w:rPr>
              <w:t>to guide decision-making</w:t>
            </w:r>
          </w:p>
        </w:tc>
      </w:tr>
      <w:tr w:rsidR="00E33AED" w:rsidRPr="003A6A50" w14:paraId="35A4116C" w14:textId="77777777" w:rsidTr="00466E1F">
        <w:trPr>
          <w:trHeight w:val="709"/>
        </w:trPr>
        <w:tc>
          <w:tcPr>
            <w:tcW w:w="1701" w:type="dxa"/>
            <w:shd w:val="clear" w:color="auto" w:fill="F2F2F2" w:themeFill="background1" w:themeFillShade="F2"/>
            <w:vAlign w:val="center"/>
          </w:tcPr>
          <w:p w14:paraId="4A45639A" w14:textId="77777777" w:rsidR="00466E1F" w:rsidRPr="00466E1F" w:rsidRDefault="00466E1F" w:rsidP="00466E1F">
            <w:pPr>
              <w:pStyle w:val="TableText"/>
              <w:spacing w:before="80" w:after="80"/>
              <w:rPr>
                <w:b/>
              </w:rPr>
            </w:pPr>
            <w:r w:rsidRPr="00466E1F">
              <w:rPr>
                <w:b/>
              </w:rPr>
              <w:t>Who holds the funding</w:t>
            </w:r>
          </w:p>
        </w:tc>
        <w:tc>
          <w:tcPr>
            <w:tcW w:w="6521" w:type="dxa"/>
            <w:shd w:val="clear" w:color="auto" w:fill="FFFFFF" w:themeFill="background1"/>
          </w:tcPr>
          <w:p w14:paraId="630AEFF2" w14:textId="2580EE25" w:rsidR="00466E1F" w:rsidRPr="003A6A50" w:rsidRDefault="00466E1F" w:rsidP="00466E1F">
            <w:pPr>
              <w:pStyle w:val="Tablebulletx"/>
              <w:spacing w:before="80" w:after="80"/>
            </w:pPr>
            <w:r>
              <w:t>W</w:t>
            </w:r>
            <w:r w:rsidRPr="003A6A50">
              <w:t xml:space="preserve">ho in the commissioning system is best placed to hold and control funding, </w:t>
            </w:r>
            <w:r w:rsidR="00344D8B">
              <w:t>and can</w:t>
            </w:r>
            <w:r w:rsidRPr="003A6A50">
              <w:t xml:space="preserve"> make the </w:t>
            </w:r>
            <w:r w:rsidR="00CC7416">
              <w:t>best-</w:t>
            </w:r>
            <w:r w:rsidRPr="003A6A50">
              <w:t>informed choice</w:t>
            </w:r>
            <w:r w:rsidR="00344D8B">
              <w:t>s</w:t>
            </w:r>
            <w:r w:rsidRPr="003A6A50">
              <w:t xml:space="preserve"> to generate the best outcome</w:t>
            </w:r>
            <w:r w:rsidR="00344D8B">
              <w:t>s</w:t>
            </w:r>
            <w:r>
              <w:t>? Examples include the</w:t>
            </w:r>
            <w:r w:rsidRPr="003A6A50">
              <w:t xml:space="preserve"> government agency (the commissioner), the service provider </w:t>
            </w:r>
            <w:r w:rsidR="00344D8B">
              <w:t>and</w:t>
            </w:r>
            <w:r w:rsidRPr="003A6A50">
              <w:t xml:space="preserve"> the service user</w:t>
            </w:r>
            <w:r>
              <w:t>.</w:t>
            </w:r>
            <w:r w:rsidR="004D7920">
              <w:rPr>
                <w:rFonts w:ascii="ZWAdobeF" w:hAnsi="ZWAdobeF" w:cs="ZWAdobeF"/>
                <w:color w:val="auto"/>
                <w:spacing w:val="0"/>
                <w:sz w:val="2"/>
                <w:szCs w:val="2"/>
              </w:rPr>
              <w:t>34F</w:t>
            </w:r>
            <w:r w:rsidRPr="00466E1F">
              <w:rPr>
                <w:rStyle w:val="FootnoteTextChar"/>
                <w:szCs w:val="16"/>
                <w:vertAlign w:val="superscript"/>
              </w:rPr>
              <w:footnoteReference w:id="36"/>
            </w:r>
          </w:p>
        </w:tc>
      </w:tr>
      <w:tr w:rsidR="00E33AED" w:rsidRPr="003A6A50" w14:paraId="0F834FDB" w14:textId="77777777" w:rsidTr="00466E1F">
        <w:trPr>
          <w:trHeight w:val="467"/>
        </w:trPr>
        <w:tc>
          <w:tcPr>
            <w:tcW w:w="1701" w:type="dxa"/>
            <w:shd w:val="clear" w:color="auto" w:fill="F2F2F2" w:themeFill="background1" w:themeFillShade="F2"/>
            <w:vAlign w:val="center"/>
          </w:tcPr>
          <w:p w14:paraId="723D3565" w14:textId="77777777" w:rsidR="00466E1F" w:rsidRPr="00466E1F" w:rsidRDefault="00466E1F" w:rsidP="00466E1F">
            <w:pPr>
              <w:pStyle w:val="TableText"/>
              <w:spacing w:before="80" w:after="80"/>
              <w:rPr>
                <w:b/>
              </w:rPr>
            </w:pPr>
            <w:r w:rsidRPr="00466E1F">
              <w:rPr>
                <w:b/>
              </w:rPr>
              <w:t>Incentives to collaborate</w:t>
            </w:r>
          </w:p>
        </w:tc>
        <w:tc>
          <w:tcPr>
            <w:tcW w:w="6521" w:type="dxa"/>
            <w:shd w:val="clear" w:color="auto" w:fill="FFFFFF" w:themeFill="background1"/>
          </w:tcPr>
          <w:p w14:paraId="313669BD" w14:textId="5E3CBC69" w:rsidR="00466E1F" w:rsidRPr="003A6A50" w:rsidRDefault="00466E1F" w:rsidP="00466E1F">
            <w:pPr>
              <w:pStyle w:val="Tablebulletx"/>
              <w:spacing w:before="80" w:after="80"/>
            </w:pPr>
            <w:r>
              <w:t>H</w:t>
            </w:r>
            <w:r w:rsidRPr="003A6A50">
              <w:t>ow could funding be better structured to encourage cross-agency collaboration</w:t>
            </w:r>
            <w:r>
              <w:t>?</w:t>
            </w:r>
            <w:r w:rsidRPr="003A6A50">
              <w:t xml:space="preserve"> </w:t>
            </w:r>
            <w:r>
              <w:t xml:space="preserve">One example is to </w:t>
            </w:r>
            <w:r w:rsidRPr="003A6A50">
              <w:t>pool funds from multiple agencies</w:t>
            </w:r>
            <w:r>
              <w:t>.</w:t>
            </w:r>
            <w:r w:rsidR="004D7920">
              <w:rPr>
                <w:rFonts w:ascii="ZWAdobeF" w:hAnsi="ZWAdobeF" w:cs="ZWAdobeF"/>
                <w:color w:val="auto"/>
                <w:spacing w:val="0"/>
                <w:sz w:val="2"/>
                <w:szCs w:val="2"/>
              </w:rPr>
              <w:t>35F</w:t>
            </w:r>
            <w:r w:rsidRPr="00466E1F">
              <w:rPr>
                <w:rStyle w:val="FootnoteTextChar"/>
                <w:szCs w:val="16"/>
                <w:vertAlign w:val="superscript"/>
              </w:rPr>
              <w:footnoteReference w:id="37"/>
            </w:r>
            <w:r w:rsidRPr="00466E1F">
              <w:rPr>
                <w:rStyle w:val="FootnoteTextChar"/>
                <w:szCs w:val="16"/>
                <w:vertAlign w:val="superscript"/>
              </w:rPr>
              <w:t xml:space="preserve"> </w:t>
            </w:r>
          </w:p>
        </w:tc>
      </w:tr>
      <w:tr w:rsidR="00E33AED" w:rsidRPr="003A6A50" w14:paraId="1F5AEEA4" w14:textId="77777777" w:rsidTr="00466E1F">
        <w:tc>
          <w:tcPr>
            <w:tcW w:w="1701" w:type="dxa"/>
            <w:shd w:val="clear" w:color="auto" w:fill="F2F2F2" w:themeFill="background1" w:themeFillShade="F2"/>
            <w:vAlign w:val="center"/>
          </w:tcPr>
          <w:p w14:paraId="3B9B3005" w14:textId="4266F78F" w:rsidR="00466E1F" w:rsidRPr="00466E1F" w:rsidRDefault="00466E1F" w:rsidP="00466E1F">
            <w:pPr>
              <w:pStyle w:val="TableText"/>
              <w:spacing w:before="80" w:after="80"/>
              <w:rPr>
                <w:b/>
              </w:rPr>
            </w:pPr>
            <w:r w:rsidRPr="00466E1F">
              <w:rPr>
                <w:b/>
              </w:rPr>
              <w:t>What releases funding</w:t>
            </w:r>
          </w:p>
        </w:tc>
        <w:tc>
          <w:tcPr>
            <w:tcW w:w="6521" w:type="dxa"/>
            <w:shd w:val="clear" w:color="auto" w:fill="FFFFFF" w:themeFill="background1"/>
          </w:tcPr>
          <w:p w14:paraId="4B8DF0C7" w14:textId="77777777" w:rsidR="00466E1F" w:rsidRPr="003A6A50" w:rsidRDefault="00466E1F" w:rsidP="00466E1F">
            <w:pPr>
              <w:pStyle w:val="Tablebulletx"/>
              <w:spacing w:before="80" w:after="80"/>
            </w:pPr>
            <w:r>
              <w:t>W</w:t>
            </w:r>
            <w:r w:rsidRPr="003A6A50">
              <w:t xml:space="preserve">hat process is used to release funding, so it enables the best performance and </w:t>
            </w:r>
            <w:r>
              <w:t>achieves the</w:t>
            </w:r>
            <w:r w:rsidRPr="003A6A50">
              <w:t xml:space="preserve"> desired outcomes</w:t>
            </w:r>
            <w:r>
              <w:t>?</w:t>
            </w:r>
            <w:r w:rsidRPr="003A6A50">
              <w:t xml:space="preserve"> Options include pre-payments, milestone payments, bulk payments and performance bonus payments</w:t>
            </w:r>
            <w:r>
              <w:t>.</w:t>
            </w:r>
          </w:p>
        </w:tc>
      </w:tr>
    </w:tbl>
    <w:p w14:paraId="18538CFA" w14:textId="5EC5FF8C" w:rsidR="00466E1F" w:rsidRDefault="00466E1F" w:rsidP="00466E1F"/>
    <w:p w14:paraId="41F688A9" w14:textId="77777777" w:rsidR="00685318" w:rsidRDefault="00685318" w:rsidP="009055B4">
      <w:pPr>
        <w:pStyle w:val="Heading3-nonumbering"/>
        <w:sectPr w:rsidR="00685318" w:rsidSect="00C345BC">
          <w:pgSz w:w="11906" w:h="16838"/>
          <w:pgMar w:top="2778" w:right="1701" w:bottom="454" w:left="1701" w:header="567" w:footer="567" w:gutter="0"/>
          <w:cols w:space="708"/>
          <w:titlePg/>
          <w:docGrid w:linePitch="360"/>
        </w:sectPr>
      </w:pPr>
    </w:p>
    <w:p w14:paraId="56E65A10" w14:textId="1E446C2C" w:rsidR="00466E1F" w:rsidRPr="005506BF" w:rsidRDefault="00466E1F" w:rsidP="009055B4">
      <w:pPr>
        <w:pStyle w:val="Heading3-nonumbering"/>
        <w:spacing w:before="0"/>
      </w:pPr>
      <w:r w:rsidRPr="00466E1F">
        <w:lastRenderedPageBreak/>
        <w:t>Funding mechanisms</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466E1F" w:rsidRPr="000C72D2" w14:paraId="288B74F9" w14:textId="77777777" w:rsidTr="00BA5306">
        <w:trPr>
          <w:trHeight w:val="170"/>
        </w:trPr>
        <w:tc>
          <w:tcPr>
            <w:tcW w:w="567" w:type="dxa"/>
          </w:tcPr>
          <w:p w14:paraId="5E1A0DAC" w14:textId="77777777" w:rsidR="00466E1F" w:rsidRPr="000C72D2" w:rsidRDefault="00466E1F" w:rsidP="009055B4">
            <w:pPr>
              <w:pStyle w:val="0RULE"/>
            </w:pPr>
          </w:p>
        </w:tc>
      </w:tr>
    </w:tbl>
    <w:p w14:paraId="6CE98D80" w14:textId="5B14E01C" w:rsidR="00466E1F" w:rsidRDefault="00466E1F" w:rsidP="00466E1F">
      <w:pPr>
        <w:pStyle w:val="NormalwIndent"/>
      </w:pPr>
      <w:r w:rsidRPr="00466E1F">
        <w:t>The following table describes major funding mechanisms in the health sector, along with relevant risks</w:t>
      </w:r>
      <w:r w:rsidR="0090407F">
        <w:t xml:space="preserve"> and</w:t>
      </w:r>
      <w:r w:rsidRPr="00466E1F">
        <w:t xml:space="preserve"> benefits</w:t>
      </w:r>
      <w:r w:rsidR="0090407F">
        <w:t xml:space="preserve"> they bring </w:t>
      </w:r>
      <w:r w:rsidRPr="00466E1F">
        <w:t>and preconditions for using them.</w:t>
      </w:r>
      <w:r w:rsidR="004D7920">
        <w:rPr>
          <w:rFonts w:ascii="ZWAdobeF" w:hAnsi="ZWAdobeF" w:cs="ZWAdobeF"/>
          <w:color w:val="auto"/>
          <w:sz w:val="2"/>
          <w:szCs w:val="2"/>
        </w:rPr>
        <w:t>36F</w:t>
      </w:r>
      <w:r w:rsidRPr="00685318">
        <w:rPr>
          <w:rStyle w:val="FootnoteTextChar"/>
          <w:szCs w:val="16"/>
          <w:vertAlign w:val="superscript"/>
        </w:rPr>
        <w:footnoteReference w:id="38"/>
      </w:r>
    </w:p>
    <w:p w14:paraId="0BD4774A" w14:textId="70F0FA44" w:rsidR="00466E1F" w:rsidRDefault="00466E1F" w:rsidP="00466E1F">
      <w:pPr>
        <w:pStyle w:val="NormalwIndent"/>
      </w:pPr>
    </w:p>
    <w:tbl>
      <w:tblPr>
        <w:tblStyle w:val="TableGrid"/>
        <w:tblW w:w="8520" w:type="dxa"/>
        <w:tblInd w:w="-15"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701"/>
        <w:gridCol w:w="6819"/>
      </w:tblGrid>
      <w:tr w:rsidR="00E33AED" w:rsidRPr="00466E1F" w14:paraId="4F520420" w14:textId="77777777" w:rsidTr="004F7098">
        <w:trPr>
          <w:trHeight w:val="385"/>
          <w:tblHeader/>
        </w:trPr>
        <w:tc>
          <w:tcPr>
            <w:tcW w:w="1701" w:type="dxa"/>
            <w:shd w:val="clear" w:color="auto" w:fill="F2F2F2" w:themeFill="background1" w:themeFillShade="F2"/>
            <w:vAlign w:val="center"/>
          </w:tcPr>
          <w:p w14:paraId="7EF57670" w14:textId="77777777" w:rsidR="00466E1F" w:rsidRPr="00466E1F" w:rsidRDefault="00466E1F" w:rsidP="00BE6C08">
            <w:pPr>
              <w:pStyle w:val="TableText"/>
              <w:spacing w:before="80" w:after="80"/>
              <w:rPr>
                <w:b/>
                <w:bCs/>
              </w:rPr>
            </w:pPr>
            <w:r w:rsidRPr="00466E1F">
              <w:rPr>
                <w:b/>
                <w:bCs/>
              </w:rPr>
              <w:t>Type of funding</w:t>
            </w:r>
          </w:p>
        </w:tc>
        <w:tc>
          <w:tcPr>
            <w:tcW w:w="6819" w:type="dxa"/>
            <w:shd w:val="clear" w:color="auto" w:fill="F2F2F2" w:themeFill="background1" w:themeFillShade="F2"/>
          </w:tcPr>
          <w:p w14:paraId="29CD9821" w14:textId="77777777" w:rsidR="00466E1F" w:rsidRPr="00466E1F" w:rsidRDefault="00466E1F" w:rsidP="00BE6C08">
            <w:pPr>
              <w:pStyle w:val="TableText"/>
              <w:spacing w:before="80" w:after="80"/>
              <w:rPr>
                <w:b/>
                <w:bCs/>
              </w:rPr>
            </w:pPr>
            <w:r w:rsidRPr="00466E1F">
              <w:rPr>
                <w:b/>
                <w:bCs/>
              </w:rPr>
              <w:t>Relevant risks, benefits and preconditions</w:t>
            </w:r>
          </w:p>
        </w:tc>
      </w:tr>
      <w:tr w:rsidR="00E33AED" w:rsidRPr="00466E1F" w14:paraId="1AB22F8E" w14:textId="77777777" w:rsidTr="004F7098">
        <w:trPr>
          <w:trHeight w:val="467"/>
        </w:trPr>
        <w:tc>
          <w:tcPr>
            <w:tcW w:w="1701" w:type="dxa"/>
            <w:shd w:val="clear" w:color="auto" w:fill="F2F2F2" w:themeFill="background1" w:themeFillShade="F2"/>
            <w:vAlign w:val="center"/>
          </w:tcPr>
          <w:p w14:paraId="18752D2C" w14:textId="77777777" w:rsidR="00466E1F" w:rsidRPr="00466E1F" w:rsidRDefault="00466E1F" w:rsidP="00BE6C08">
            <w:pPr>
              <w:pStyle w:val="TableText"/>
              <w:spacing w:before="80" w:after="80"/>
              <w:rPr>
                <w:b/>
                <w:bCs/>
              </w:rPr>
            </w:pPr>
            <w:r w:rsidRPr="00466E1F">
              <w:rPr>
                <w:b/>
                <w:bCs/>
              </w:rPr>
              <w:t>Fee-for-service</w:t>
            </w:r>
          </w:p>
        </w:tc>
        <w:tc>
          <w:tcPr>
            <w:tcW w:w="6819" w:type="dxa"/>
            <w:shd w:val="clear" w:color="auto" w:fill="FFFFFF" w:themeFill="background1"/>
          </w:tcPr>
          <w:p w14:paraId="6252B9E3" w14:textId="77777777" w:rsidR="00466E1F" w:rsidRPr="00466E1F" w:rsidRDefault="00466E1F" w:rsidP="00BE6C08">
            <w:pPr>
              <w:pStyle w:val="TableText"/>
              <w:spacing w:before="80" w:after="80"/>
            </w:pPr>
            <w:r w:rsidRPr="00466E1F">
              <w:t>Fee-for-service funding is useful for relatively standard services in areas where the provider has no control over demand. In this scenario, the funder accepts all demand risk.</w:t>
            </w:r>
          </w:p>
        </w:tc>
      </w:tr>
      <w:tr w:rsidR="00E33AED" w:rsidRPr="00466E1F" w14:paraId="35179D7D" w14:textId="77777777" w:rsidTr="004F7098">
        <w:trPr>
          <w:trHeight w:val="467"/>
        </w:trPr>
        <w:tc>
          <w:tcPr>
            <w:tcW w:w="1701" w:type="dxa"/>
            <w:shd w:val="clear" w:color="auto" w:fill="F2F2F2" w:themeFill="background1" w:themeFillShade="F2"/>
            <w:vAlign w:val="center"/>
          </w:tcPr>
          <w:p w14:paraId="40D71841" w14:textId="77777777" w:rsidR="00466E1F" w:rsidRPr="00466E1F" w:rsidRDefault="00466E1F" w:rsidP="00BE6C08">
            <w:pPr>
              <w:pStyle w:val="TableText"/>
              <w:spacing w:before="80" w:after="80"/>
              <w:rPr>
                <w:b/>
                <w:bCs/>
              </w:rPr>
            </w:pPr>
            <w:r w:rsidRPr="00466E1F">
              <w:rPr>
                <w:b/>
                <w:bCs/>
              </w:rPr>
              <w:t>Casemix</w:t>
            </w:r>
          </w:p>
        </w:tc>
        <w:tc>
          <w:tcPr>
            <w:tcW w:w="6819" w:type="dxa"/>
            <w:shd w:val="clear" w:color="auto" w:fill="FFFFFF" w:themeFill="background1"/>
          </w:tcPr>
          <w:p w14:paraId="16CA3BE6" w14:textId="77777777" w:rsidR="00466E1F" w:rsidRPr="00466E1F" w:rsidRDefault="00466E1F" w:rsidP="00BE6C08">
            <w:pPr>
              <w:pStyle w:val="TableText"/>
              <w:spacing w:before="80" w:after="80"/>
            </w:pPr>
            <w:r w:rsidRPr="00466E1F">
              <w:t xml:space="preserve">Casemix funding requires sophisticated data (eg, clinically coded inpatient hospital events or interRAI’s tool assessment for home care) but can handle extreme variability in consumer need (eg, ranging from one night’s observation in a medical assessment unit to kidney transplants). </w:t>
            </w:r>
          </w:p>
          <w:p w14:paraId="6768A890" w14:textId="4031F2B1" w:rsidR="00466E1F" w:rsidRPr="00466E1F" w:rsidRDefault="00466E1F" w:rsidP="00BE6C08">
            <w:pPr>
              <w:pStyle w:val="TableText"/>
              <w:spacing w:before="80" w:after="80"/>
            </w:pPr>
            <w:r w:rsidRPr="00466E1F">
              <w:t xml:space="preserve">Casemix funding generally </w:t>
            </w:r>
            <w:r w:rsidR="00316215">
              <w:t xml:space="preserve">supports </w:t>
            </w:r>
            <w:r w:rsidRPr="00466E1F">
              <w:t>equity as funding follows consumer need and the base case-weight price can also be adjusted to reflect relative economies of scale or other considerations. Other demand risks can be managed, for example, through case-weight volume agreements.</w:t>
            </w:r>
          </w:p>
        </w:tc>
      </w:tr>
      <w:tr w:rsidR="00E33AED" w:rsidRPr="00466E1F" w14:paraId="013F2244" w14:textId="77777777" w:rsidTr="004F7098">
        <w:trPr>
          <w:trHeight w:val="467"/>
        </w:trPr>
        <w:tc>
          <w:tcPr>
            <w:tcW w:w="1701" w:type="dxa"/>
            <w:shd w:val="clear" w:color="auto" w:fill="F2F2F2" w:themeFill="background1" w:themeFillShade="F2"/>
            <w:vAlign w:val="center"/>
          </w:tcPr>
          <w:p w14:paraId="6601A3F1" w14:textId="77777777" w:rsidR="00466E1F" w:rsidRPr="00466E1F" w:rsidRDefault="00466E1F" w:rsidP="00BE6C08">
            <w:pPr>
              <w:pStyle w:val="TableText"/>
              <w:spacing w:before="80" w:after="80"/>
              <w:rPr>
                <w:b/>
                <w:bCs/>
              </w:rPr>
            </w:pPr>
            <w:r w:rsidRPr="00466E1F">
              <w:rPr>
                <w:b/>
                <w:bCs/>
              </w:rPr>
              <w:t>Capitation</w:t>
            </w:r>
          </w:p>
        </w:tc>
        <w:tc>
          <w:tcPr>
            <w:tcW w:w="6819" w:type="dxa"/>
            <w:shd w:val="clear" w:color="auto" w:fill="FFFFFF" w:themeFill="background1"/>
          </w:tcPr>
          <w:p w14:paraId="67FB4517" w14:textId="77777777" w:rsidR="00466E1F" w:rsidRPr="00466E1F" w:rsidRDefault="00466E1F" w:rsidP="00BE6C08">
            <w:pPr>
              <w:pStyle w:val="TableText"/>
              <w:spacing w:before="80" w:after="80"/>
            </w:pPr>
            <w:r w:rsidRPr="00466E1F">
              <w:t xml:space="preserve">Capitation funding is very useful for funding preventative services that may be overused with fee-for-service funding. It assumes that the provider can manage the variability in consumer need within the structure of the capitation bands.  </w:t>
            </w:r>
          </w:p>
          <w:p w14:paraId="2D967CD1" w14:textId="77777777" w:rsidR="00466E1F" w:rsidRPr="00466E1F" w:rsidRDefault="00466E1F" w:rsidP="00BE6C08">
            <w:pPr>
              <w:pStyle w:val="TableText"/>
              <w:spacing w:before="80" w:after="80"/>
            </w:pPr>
            <w:r w:rsidRPr="00466E1F">
              <w:t>A risk of capitation funding is that the variability in the funding bands may not reflect the cost distribution of service user need well enough, leaving some providers at a disadvantage.</w:t>
            </w:r>
          </w:p>
        </w:tc>
      </w:tr>
      <w:tr w:rsidR="00E33AED" w:rsidRPr="00466E1F" w14:paraId="33F893C6" w14:textId="77777777" w:rsidTr="004F7098">
        <w:trPr>
          <w:trHeight w:val="467"/>
        </w:trPr>
        <w:tc>
          <w:tcPr>
            <w:tcW w:w="1701" w:type="dxa"/>
            <w:shd w:val="clear" w:color="auto" w:fill="F2F2F2" w:themeFill="background1" w:themeFillShade="F2"/>
            <w:vAlign w:val="center"/>
          </w:tcPr>
          <w:p w14:paraId="6E1230FD" w14:textId="77777777" w:rsidR="00466E1F" w:rsidRPr="00466E1F" w:rsidRDefault="00466E1F" w:rsidP="00BE6C08">
            <w:pPr>
              <w:pStyle w:val="TableText"/>
              <w:spacing w:before="80" w:after="80"/>
              <w:rPr>
                <w:b/>
                <w:bCs/>
              </w:rPr>
            </w:pPr>
            <w:r w:rsidRPr="00466E1F">
              <w:rPr>
                <w:b/>
                <w:bCs/>
              </w:rPr>
              <w:t>Mixes of funding</w:t>
            </w:r>
          </w:p>
        </w:tc>
        <w:tc>
          <w:tcPr>
            <w:tcW w:w="6819" w:type="dxa"/>
            <w:shd w:val="clear" w:color="auto" w:fill="FFFFFF" w:themeFill="background1"/>
          </w:tcPr>
          <w:p w14:paraId="4AEE5325" w14:textId="0634B078" w:rsidR="00466E1F" w:rsidRPr="00466E1F" w:rsidRDefault="00466E1F" w:rsidP="00BE6C08">
            <w:pPr>
              <w:pStyle w:val="TableText"/>
              <w:spacing w:before="80" w:after="80"/>
            </w:pPr>
            <w:r w:rsidRPr="00466E1F">
              <w:t>Mixes of funding mechanisms include capitated modules,</w:t>
            </w:r>
            <w:r w:rsidR="004D7920">
              <w:rPr>
                <w:rFonts w:ascii="ZWAdobeF" w:hAnsi="ZWAdobeF" w:cs="ZWAdobeF"/>
                <w:color w:val="auto"/>
                <w:spacing w:val="0"/>
                <w:sz w:val="2"/>
                <w:szCs w:val="2"/>
              </w:rPr>
              <w:t>37F</w:t>
            </w:r>
            <w:r w:rsidRPr="00BB3091">
              <w:rPr>
                <w:rStyle w:val="FootnoteTextChar"/>
                <w:rFonts w:eastAsiaTheme="minorHAnsi"/>
                <w:szCs w:val="16"/>
                <w:vertAlign w:val="superscript"/>
                <w:lang w:val="en-NZ"/>
              </w:rPr>
              <w:footnoteReference w:id="39"/>
            </w:r>
            <w:r w:rsidRPr="00466E1F">
              <w:t xml:space="preserve"> mixes of capitation and fee-for-service</w:t>
            </w:r>
            <w:r w:rsidR="006149DB">
              <w:t xml:space="preserve"> </w:t>
            </w:r>
            <w:r w:rsidR="004D7920">
              <w:rPr>
                <w:rFonts w:ascii="ZWAdobeF" w:hAnsi="ZWAdobeF" w:cs="ZWAdobeF"/>
                <w:color w:val="auto"/>
                <w:spacing w:val="0"/>
                <w:sz w:val="2"/>
                <w:szCs w:val="2"/>
              </w:rPr>
              <w:t>38F</w:t>
            </w:r>
            <w:r w:rsidRPr="00BB3091">
              <w:rPr>
                <w:rStyle w:val="FootnoteTextChar"/>
                <w:rFonts w:eastAsiaTheme="minorHAnsi"/>
                <w:szCs w:val="16"/>
                <w:vertAlign w:val="superscript"/>
                <w:lang w:val="en-NZ"/>
              </w:rPr>
              <w:footnoteReference w:id="40"/>
            </w:r>
            <w:r w:rsidRPr="00466E1F">
              <w:t xml:space="preserve"> or a mix of base capacity with fee-for-service additions for volume above expectations.</w:t>
            </w:r>
          </w:p>
        </w:tc>
      </w:tr>
    </w:tbl>
    <w:p w14:paraId="67BDFF3B" w14:textId="76FE6BF6" w:rsidR="00466E1F" w:rsidRDefault="00466E1F" w:rsidP="00466E1F"/>
    <w:p w14:paraId="4EE6D5F0" w14:textId="77777777" w:rsidR="00685318" w:rsidRDefault="00685318" w:rsidP="009055B4">
      <w:pPr>
        <w:pStyle w:val="Heading3-nonumbering"/>
        <w:sectPr w:rsidR="00685318" w:rsidSect="00C345BC">
          <w:pgSz w:w="11906" w:h="16838"/>
          <w:pgMar w:top="2778" w:right="1701" w:bottom="454" w:left="1701" w:header="567" w:footer="567" w:gutter="0"/>
          <w:cols w:space="708"/>
          <w:titlePg/>
          <w:docGrid w:linePitch="360"/>
        </w:sectPr>
      </w:pPr>
    </w:p>
    <w:p w14:paraId="795C2F8A" w14:textId="1CD91427" w:rsidR="00685318" w:rsidRPr="005506BF" w:rsidRDefault="00685318" w:rsidP="009055B4">
      <w:pPr>
        <w:pStyle w:val="Heading3-nonumbering"/>
        <w:spacing w:before="0"/>
      </w:pPr>
      <w:r w:rsidRPr="00685318">
        <w:lastRenderedPageBreak/>
        <w:t>Contract features</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685318" w:rsidRPr="000C72D2" w14:paraId="60716439" w14:textId="77777777" w:rsidTr="00BA5306">
        <w:trPr>
          <w:trHeight w:val="170"/>
        </w:trPr>
        <w:tc>
          <w:tcPr>
            <w:tcW w:w="567" w:type="dxa"/>
          </w:tcPr>
          <w:p w14:paraId="6098C95A" w14:textId="77777777" w:rsidR="00685318" w:rsidRPr="000C72D2" w:rsidRDefault="00685318" w:rsidP="009055B4">
            <w:pPr>
              <w:pStyle w:val="0RULE"/>
            </w:pPr>
          </w:p>
        </w:tc>
      </w:tr>
    </w:tbl>
    <w:p w14:paraId="1EF4BE14" w14:textId="34D90F51" w:rsidR="008E12B9" w:rsidRDefault="008E12B9" w:rsidP="008E12B9">
      <w:pPr>
        <w:pStyle w:val="NormalwIndent"/>
      </w:pPr>
      <w:r w:rsidRPr="00466E1F">
        <w:t xml:space="preserve">The following table describes </w:t>
      </w:r>
      <w:r>
        <w:t xml:space="preserve">features of contracts that </w:t>
      </w:r>
      <w:r w:rsidR="00912E15">
        <w:t>can support Commissioning for Pae Oa.</w:t>
      </w:r>
    </w:p>
    <w:p w14:paraId="1980B2E8" w14:textId="73DA532F" w:rsidR="00685318" w:rsidRDefault="00685318" w:rsidP="00376826">
      <w:pPr>
        <w:pStyle w:val="NormalwIndent"/>
      </w:pPr>
    </w:p>
    <w:tbl>
      <w:tblPr>
        <w:tblStyle w:val="TableGrid"/>
        <w:tblW w:w="8349"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828"/>
        <w:gridCol w:w="6521"/>
      </w:tblGrid>
      <w:tr w:rsidR="00685318" w:rsidRPr="00685318" w14:paraId="41EBF51E" w14:textId="77777777" w:rsidTr="00685318">
        <w:trPr>
          <w:trHeight w:val="146"/>
          <w:tblHeader/>
        </w:trPr>
        <w:tc>
          <w:tcPr>
            <w:tcW w:w="1828" w:type="dxa"/>
            <w:shd w:val="clear" w:color="auto" w:fill="F2F2F2" w:themeFill="background1" w:themeFillShade="F2"/>
            <w:vAlign w:val="center"/>
          </w:tcPr>
          <w:p w14:paraId="67AE2952" w14:textId="35944B06" w:rsidR="00685318" w:rsidRPr="00685318" w:rsidRDefault="00685318" w:rsidP="00BE6C08">
            <w:pPr>
              <w:pStyle w:val="TableText"/>
              <w:spacing w:before="80" w:after="80"/>
              <w:rPr>
                <w:b/>
                <w:bCs/>
              </w:rPr>
            </w:pPr>
            <w:r w:rsidRPr="00685318">
              <w:rPr>
                <w:b/>
                <w:bCs/>
              </w:rPr>
              <w:t>Feature</w:t>
            </w:r>
            <w:r w:rsidR="00FB6567">
              <w:rPr>
                <w:b/>
                <w:bCs/>
              </w:rPr>
              <w:t xml:space="preserve"> of contract</w:t>
            </w:r>
          </w:p>
        </w:tc>
        <w:tc>
          <w:tcPr>
            <w:tcW w:w="6521" w:type="dxa"/>
            <w:shd w:val="clear" w:color="auto" w:fill="F2F2F2" w:themeFill="background1" w:themeFillShade="F2"/>
          </w:tcPr>
          <w:p w14:paraId="1F740B8D" w14:textId="77777777" w:rsidR="00685318" w:rsidRPr="00685318" w:rsidRDefault="00685318" w:rsidP="00BE6C08">
            <w:pPr>
              <w:pStyle w:val="TableText"/>
              <w:spacing w:before="80" w:after="80"/>
              <w:rPr>
                <w:b/>
                <w:bCs/>
              </w:rPr>
            </w:pPr>
            <w:r w:rsidRPr="00685318">
              <w:rPr>
                <w:b/>
                <w:bCs/>
              </w:rPr>
              <w:t>Description</w:t>
            </w:r>
          </w:p>
        </w:tc>
      </w:tr>
      <w:tr w:rsidR="00685318" w:rsidRPr="003A6A50" w14:paraId="78205F67" w14:textId="77777777" w:rsidTr="00685318">
        <w:trPr>
          <w:trHeight w:val="709"/>
        </w:trPr>
        <w:tc>
          <w:tcPr>
            <w:tcW w:w="1828" w:type="dxa"/>
            <w:shd w:val="clear" w:color="auto" w:fill="F2F2F2" w:themeFill="background1" w:themeFillShade="F2"/>
            <w:vAlign w:val="center"/>
          </w:tcPr>
          <w:p w14:paraId="14275206" w14:textId="0BB23D47" w:rsidR="00685318" w:rsidRPr="00685318" w:rsidRDefault="00685318" w:rsidP="00BE6C08">
            <w:pPr>
              <w:pStyle w:val="TableText"/>
              <w:spacing w:before="80" w:after="80"/>
              <w:rPr>
                <w:b/>
                <w:bCs/>
              </w:rPr>
            </w:pPr>
            <w:r w:rsidRPr="00685318">
              <w:rPr>
                <w:b/>
                <w:bCs/>
              </w:rPr>
              <w:t xml:space="preserve">Contract </w:t>
            </w:r>
            <w:r w:rsidR="00FE0974">
              <w:rPr>
                <w:b/>
                <w:bCs/>
              </w:rPr>
              <w:t>length</w:t>
            </w:r>
          </w:p>
        </w:tc>
        <w:tc>
          <w:tcPr>
            <w:tcW w:w="6521" w:type="dxa"/>
            <w:shd w:val="clear" w:color="auto" w:fill="FFFFFF" w:themeFill="background1"/>
          </w:tcPr>
          <w:p w14:paraId="438266A7" w14:textId="4FE579D3" w:rsidR="00685318" w:rsidRPr="003A6A50" w:rsidRDefault="00685318" w:rsidP="00BE6C08">
            <w:pPr>
              <w:pStyle w:val="Tablebulletx"/>
              <w:spacing w:before="80" w:after="80"/>
            </w:pPr>
            <w:r>
              <w:t>The</w:t>
            </w:r>
            <w:r w:rsidRPr="003A6A50">
              <w:t xml:space="preserve"> </w:t>
            </w:r>
            <w:r w:rsidR="00FE0974">
              <w:t>lengt</w:t>
            </w:r>
            <w:r w:rsidR="00FB6567">
              <w:t>h</w:t>
            </w:r>
            <w:r w:rsidR="00FE0974" w:rsidRPr="003A6A50">
              <w:t xml:space="preserve"> </w:t>
            </w:r>
            <w:r>
              <w:t xml:space="preserve">of a contract </w:t>
            </w:r>
            <w:r w:rsidRPr="003A6A50">
              <w:t>sends signals to the market about the value of the opportunity</w:t>
            </w:r>
            <w:r>
              <w:t>.</w:t>
            </w:r>
          </w:p>
          <w:p w14:paraId="7CA8F087" w14:textId="2E62B074" w:rsidR="00685318" w:rsidRPr="003A6A50" w:rsidRDefault="00685318" w:rsidP="00BE6C08">
            <w:pPr>
              <w:pStyle w:val="Tablebulletx"/>
              <w:spacing w:before="80" w:after="80"/>
            </w:pPr>
            <w:r>
              <w:t>C</w:t>
            </w:r>
            <w:r w:rsidRPr="003A6A50">
              <w:t>ontract</w:t>
            </w:r>
            <w:r>
              <w:t>s over a long period need not</w:t>
            </w:r>
            <w:r w:rsidRPr="003A6A50">
              <w:t xml:space="preserve"> have fixed attributes and can allow for chang</w:t>
            </w:r>
            <w:r>
              <w:t>es</w:t>
            </w:r>
            <w:r w:rsidRPr="003A6A50">
              <w:t xml:space="preserve"> in technology, innovation, performance and price.</w:t>
            </w:r>
            <w:r w:rsidR="004D7920">
              <w:rPr>
                <w:rFonts w:ascii="ZWAdobeF" w:hAnsi="ZWAdobeF" w:cs="ZWAdobeF"/>
                <w:color w:val="auto"/>
                <w:spacing w:val="0"/>
                <w:sz w:val="2"/>
                <w:szCs w:val="2"/>
              </w:rPr>
              <w:t>39F</w:t>
            </w:r>
            <w:r>
              <w:rPr>
                <w:rStyle w:val="FootnoteReference"/>
                <w:rFonts w:asciiTheme="minorHAnsi" w:hAnsiTheme="minorHAnsi" w:cs="Segoe UI"/>
                <w:sz w:val="20"/>
                <w:szCs w:val="20"/>
              </w:rPr>
              <w:footnoteReference w:id="41"/>
            </w:r>
          </w:p>
        </w:tc>
      </w:tr>
      <w:tr w:rsidR="00685318" w:rsidRPr="003A6A50" w14:paraId="40B5558E" w14:textId="77777777" w:rsidTr="00685318">
        <w:tc>
          <w:tcPr>
            <w:tcW w:w="1828" w:type="dxa"/>
            <w:shd w:val="clear" w:color="auto" w:fill="F2F2F2" w:themeFill="background1" w:themeFillShade="F2"/>
            <w:vAlign w:val="center"/>
          </w:tcPr>
          <w:p w14:paraId="0CF8F612" w14:textId="77777777" w:rsidR="00685318" w:rsidRPr="00685318" w:rsidRDefault="00685318" w:rsidP="00BE6C08">
            <w:pPr>
              <w:pStyle w:val="TableText"/>
              <w:spacing w:before="80" w:after="80"/>
              <w:rPr>
                <w:b/>
                <w:bCs/>
              </w:rPr>
            </w:pPr>
            <w:r w:rsidRPr="00685318">
              <w:rPr>
                <w:b/>
                <w:bCs/>
              </w:rPr>
              <w:t>Renewal terms</w:t>
            </w:r>
          </w:p>
        </w:tc>
        <w:tc>
          <w:tcPr>
            <w:tcW w:w="6521" w:type="dxa"/>
            <w:shd w:val="clear" w:color="auto" w:fill="FFFFFF" w:themeFill="background1"/>
          </w:tcPr>
          <w:p w14:paraId="4604C98F" w14:textId="018CA175" w:rsidR="00685318" w:rsidRPr="003A6A50" w:rsidRDefault="00685318" w:rsidP="00BE6C08">
            <w:pPr>
              <w:pStyle w:val="Tablebulletx"/>
              <w:spacing w:before="80" w:after="80"/>
            </w:pPr>
            <w:r w:rsidRPr="003A6A50">
              <w:t>Renewal terms can impact provider behaviour and performance</w:t>
            </w:r>
            <w:r w:rsidR="00CD7CAD">
              <w:t>. They</w:t>
            </w:r>
            <w:r w:rsidRPr="003A6A50">
              <w:t xml:space="preserve"> need to be sufficiently outcomes-focused to ensure providers perform through to the end of the contract</w:t>
            </w:r>
            <w:r>
              <w:t>.</w:t>
            </w:r>
          </w:p>
        </w:tc>
      </w:tr>
      <w:tr w:rsidR="00685318" w:rsidRPr="003A6A50" w14:paraId="02143346" w14:textId="77777777" w:rsidTr="00685318">
        <w:tc>
          <w:tcPr>
            <w:tcW w:w="1828" w:type="dxa"/>
            <w:shd w:val="clear" w:color="auto" w:fill="F2F2F2" w:themeFill="background1" w:themeFillShade="F2"/>
            <w:vAlign w:val="center"/>
          </w:tcPr>
          <w:p w14:paraId="07A003ED" w14:textId="77777777" w:rsidR="00685318" w:rsidRPr="00685318" w:rsidRDefault="00685318" w:rsidP="00BE6C08">
            <w:pPr>
              <w:pStyle w:val="TableText"/>
              <w:spacing w:before="80" w:after="80"/>
              <w:rPr>
                <w:b/>
                <w:bCs/>
              </w:rPr>
            </w:pPr>
            <w:r w:rsidRPr="00685318">
              <w:rPr>
                <w:b/>
                <w:bCs/>
              </w:rPr>
              <w:t xml:space="preserve">Volume guarantees </w:t>
            </w:r>
          </w:p>
        </w:tc>
        <w:tc>
          <w:tcPr>
            <w:tcW w:w="6521" w:type="dxa"/>
            <w:shd w:val="clear" w:color="auto" w:fill="FFFFFF" w:themeFill="background1"/>
          </w:tcPr>
          <w:p w14:paraId="20C35EAF" w14:textId="77777777" w:rsidR="00685318" w:rsidRPr="003A6A50" w:rsidRDefault="00685318" w:rsidP="00BE6C08">
            <w:pPr>
              <w:pStyle w:val="Tablebulletx"/>
              <w:spacing w:before="80" w:after="80"/>
            </w:pPr>
            <w:r w:rsidRPr="003A6A50">
              <w:t>The more uncertain</w:t>
            </w:r>
            <w:r>
              <w:t xml:space="preserve"> volumes are</w:t>
            </w:r>
            <w:r w:rsidRPr="003A6A50">
              <w:t>, the higher the risk premium (and therefore price) is likely to be. Guaranteed volumes can reduce uncertainty and risk premiums.</w:t>
            </w:r>
          </w:p>
        </w:tc>
      </w:tr>
      <w:tr w:rsidR="00685318" w:rsidRPr="003A6A50" w14:paraId="2C1E505A" w14:textId="77777777" w:rsidTr="00685318">
        <w:tc>
          <w:tcPr>
            <w:tcW w:w="1828" w:type="dxa"/>
            <w:shd w:val="clear" w:color="auto" w:fill="F2F2F2" w:themeFill="background1" w:themeFillShade="F2"/>
            <w:vAlign w:val="center"/>
          </w:tcPr>
          <w:p w14:paraId="5BFFB3C8" w14:textId="77777777" w:rsidR="00685318" w:rsidRPr="00685318" w:rsidRDefault="00685318" w:rsidP="00BE6C08">
            <w:pPr>
              <w:pStyle w:val="TableText"/>
              <w:spacing w:before="80" w:after="80"/>
              <w:rPr>
                <w:b/>
                <w:bCs/>
              </w:rPr>
            </w:pPr>
            <w:r w:rsidRPr="00685318">
              <w:rPr>
                <w:b/>
                <w:bCs/>
              </w:rPr>
              <w:t xml:space="preserve">Service quality and minimum standards </w:t>
            </w:r>
          </w:p>
        </w:tc>
        <w:tc>
          <w:tcPr>
            <w:tcW w:w="6521" w:type="dxa"/>
            <w:shd w:val="clear" w:color="auto" w:fill="FFFFFF" w:themeFill="background1"/>
          </w:tcPr>
          <w:p w14:paraId="7BA0F811" w14:textId="4091F26E" w:rsidR="00685318" w:rsidRPr="003A6A50" w:rsidRDefault="00685318" w:rsidP="00BE6C08">
            <w:pPr>
              <w:pStyle w:val="Tablebulletx"/>
              <w:spacing w:before="80" w:after="80"/>
            </w:pPr>
            <w:r w:rsidRPr="003A6A50">
              <w:t xml:space="preserve">Contracts can </w:t>
            </w:r>
            <w:r>
              <w:t>help</w:t>
            </w:r>
            <w:r w:rsidRPr="003A6A50">
              <w:t xml:space="preserve"> </w:t>
            </w:r>
            <w:r w:rsidR="000C1E95">
              <w:t>improve</w:t>
            </w:r>
            <w:r w:rsidR="000C1E95" w:rsidRPr="003A6A50">
              <w:t xml:space="preserve"> </w:t>
            </w:r>
            <w:r w:rsidRPr="003A6A50">
              <w:t xml:space="preserve">service quality and </w:t>
            </w:r>
            <w:r>
              <w:t>motivate providers to follow</w:t>
            </w:r>
            <w:r w:rsidRPr="003A6A50">
              <w:t xml:space="preserve"> minimum standards (including statutory requirements) by specifying the service requirements and consequences for success or failure. </w:t>
            </w:r>
          </w:p>
          <w:p w14:paraId="6959910B" w14:textId="77777777" w:rsidR="00685318" w:rsidRPr="003A6A50" w:rsidRDefault="00685318" w:rsidP="00BE6C08">
            <w:pPr>
              <w:pStyle w:val="Tablebulletx"/>
              <w:spacing w:before="80" w:after="80"/>
            </w:pPr>
            <w:r w:rsidRPr="003A6A50">
              <w:t xml:space="preserve">The service requirements outlined in a contract need to </w:t>
            </w:r>
            <w:r>
              <w:t>have</w:t>
            </w:r>
            <w:r w:rsidRPr="003A6A50">
              <w:t xml:space="preserve"> support</w:t>
            </w:r>
            <w:r>
              <w:t xml:space="preserve"> from</w:t>
            </w:r>
            <w:r w:rsidRPr="003A6A50">
              <w:t xml:space="preserve"> a robust monitoring and assurance regime </w:t>
            </w:r>
            <w:r>
              <w:t>that</w:t>
            </w:r>
            <w:r w:rsidRPr="003A6A50">
              <w:t xml:space="preserve"> uses both qualitative and quantitative data to assess quality and compliance.</w:t>
            </w:r>
          </w:p>
        </w:tc>
      </w:tr>
      <w:tr w:rsidR="00685318" w:rsidRPr="003A6A50" w14:paraId="36CD125C" w14:textId="77777777" w:rsidTr="00685318">
        <w:tc>
          <w:tcPr>
            <w:tcW w:w="1828" w:type="dxa"/>
            <w:shd w:val="clear" w:color="auto" w:fill="F2F2F2" w:themeFill="background1" w:themeFillShade="F2"/>
            <w:vAlign w:val="center"/>
          </w:tcPr>
          <w:p w14:paraId="21FD621E" w14:textId="77777777" w:rsidR="00685318" w:rsidRPr="00685318" w:rsidRDefault="00685318" w:rsidP="00BE6C08">
            <w:pPr>
              <w:pStyle w:val="TableText"/>
              <w:spacing w:before="80" w:after="80"/>
              <w:rPr>
                <w:b/>
                <w:bCs/>
              </w:rPr>
            </w:pPr>
          </w:p>
          <w:p w14:paraId="10A9CF13" w14:textId="77777777" w:rsidR="00685318" w:rsidRPr="00685318" w:rsidRDefault="00685318" w:rsidP="00BE6C08">
            <w:pPr>
              <w:pStyle w:val="TableText"/>
              <w:spacing w:before="80" w:after="80"/>
              <w:rPr>
                <w:b/>
                <w:bCs/>
              </w:rPr>
            </w:pPr>
            <w:r w:rsidRPr="00685318">
              <w:rPr>
                <w:b/>
                <w:bCs/>
              </w:rPr>
              <w:t xml:space="preserve">Service continuity </w:t>
            </w:r>
          </w:p>
          <w:p w14:paraId="5D79CBE4" w14:textId="77777777" w:rsidR="00685318" w:rsidRPr="00685318" w:rsidRDefault="00685318" w:rsidP="00BE6C08">
            <w:pPr>
              <w:pStyle w:val="TableText"/>
              <w:spacing w:before="80" w:after="80"/>
              <w:rPr>
                <w:b/>
                <w:bCs/>
              </w:rPr>
            </w:pPr>
          </w:p>
        </w:tc>
        <w:tc>
          <w:tcPr>
            <w:tcW w:w="6521" w:type="dxa"/>
            <w:shd w:val="clear" w:color="auto" w:fill="FFFFFF" w:themeFill="background1"/>
          </w:tcPr>
          <w:p w14:paraId="248FC851" w14:textId="08F015DA" w:rsidR="00685318" w:rsidRPr="003A6A50" w:rsidRDefault="00685318" w:rsidP="00BE6C08">
            <w:pPr>
              <w:pStyle w:val="Tablebulletx"/>
              <w:spacing w:before="80" w:after="80"/>
            </w:pPr>
            <w:r w:rsidRPr="003A6A50">
              <w:t xml:space="preserve">Service continuity is a key challenge for service contracts, particularly for service types that require </w:t>
            </w:r>
            <w:r>
              <w:t xml:space="preserve">providers to </w:t>
            </w:r>
            <w:r w:rsidRPr="003A6A50">
              <w:t>maintain customer</w:t>
            </w:r>
            <w:r>
              <w:t>–</w:t>
            </w:r>
            <w:r w:rsidRPr="003A6A50">
              <w:t>provider relationships and in shallow markets.</w:t>
            </w:r>
          </w:p>
          <w:p w14:paraId="3B0480C6" w14:textId="1B182936" w:rsidR="00685318" w:rsidRPr="003A6A50" w:rsidRDefault="00685318" w:rsidP="00BE6C08">
            <w:pPr>
              <w:pStyle w:val="Tablebulletx"/>
              <w:spacing w:before="80" w:after="80"/>
            </w:pPr>
            <w:r w:rsidRPr="003A6A50">
              <w:t>In shallow markets, commissioners may want to invest in supporting providers to improve performance and sustainability</w:t>
            </w:r>
            <w:r w:rsidR="004D7920">
              <w:rPr>
                <w:rFonts w:ascii="ZWAdobeF" w:hAnsi="ZWAdobeF" w:cs="ZWAdobeF"/>
                <w:color w:val="auto"/>
                <w:spacing w:val="0"/>
                <w:sz w:val="2"/>
                <w:szCs w:val="2"/>
              </w:rPr>
              <w:t>40F</w:t>
            </w:r>
            <w:r w:rsidRPr="003A6A50">
              <w:rPr>
                <w:rStyle w:val="FootnoteReference"/>
                <w:rFonts w:asciiTheme="minorHAnsi" w:hAnsiTheme="minorHAnsi" w:cs="Segoe UI"/>
                <w:sz w:val="20"/>
                <w:szCs w:val="20"/>
              </w:rPr>
              <w:footnoteReference w:id="42"/>
            </w:r>
            <w:r>
              <w:t xml:space="preserve"> </w:t>
            </w:r>
            <w:r w:rsidRPr="003A6A50">
              <w:t>rather than implementing any sanctions too early. This could be reflected in areas of pricing and performance.</w:t>
            </w:r>
          </w:p>
        </w:tc>
      </w:tr>
      <w:tr w:rsidR="00685318" w:rsidRPr="003A6A50" w14:paraId="0BAF4A8F" w14:textId="77777777" w:rsidTr="00685318">
        <w:tc>
          <w:tcPr>
            <w:tcW w:w="1828" w:type="dxa"/>
            <w:shd w:val="clear" w:color="auto" w:fill="F2F2F2" w:themeFill="background1" w:themeFillShade="F2"/>
            <w:vAlign w:val="center"/>
          </w:tcPr>
          <w:p w14:paraId="74461282" w14:textId="77777777" w:rsidR="00685318" w:rsidRPr="00685318" w:rsidRDefault="00685318" w:rsidP="00BE6C08">
            <w:pPr>
              <w:pStyle w:val="TableText"/>
              <w:spacing w:before="80" w:after="80"/>
              <w:rPr>
                <w:b/>
                <w:bCs/>
              </w:rPr>
            </w:pPr>
            <w:r w:rsidRPr="00685318">
              <w:rPr>
                <w:b/>
                <w:bCs/>
              </w:rPr>
              <w:t>Risk allocation</w:t>
            </w:r>
          </w:p>
        </w:tc>
        <w:tc>
          <w:tcPr>
            <w:tcW w:w="6521" w:type="dxa"/>
            <w:shd w:val="clear" w:color="auto" w:fill="FFFFFF" w:themeFill="background1"/>
          </w:tcPr>
          <w:p w14:paraId="3F41032E" w14:textId="51CD64EF" w:rsidR="00685318" w:rsidRPr="003A6A50" w:rsidRDefault="00685318" w:rsidP="00BE6C08">
            <w:pPr>
              <w:pStyle w:val="Tablebulletx"/>
              <w:spacing w:before="80" w:after="80"/>
            </w:pPr>
            <w:r w:rsidRPr="003A6A50">
              <w:t>Risk allocation refers to the service contract provisions that determine who is responsible for the risk of certain events occurring (or failing to occur).</w:t>
            </w:r>
          </w:p>
          <w:p w14:paraId="3C23E297" w14:textId="77777777" w:rsidR="00685318" w:rsidRPr="003A6A50" w:rsidRDefault="00685318" w:rsidP="00BE6C08">
            <w:pPr>
              <w:pStyle w:val="Tablebulletx"/>
              <w:spacing w:before="80" w:after="80"/>
            </w:pPr>
            <w:r w:rsidRPr="003A6A50">
              <w:t>Three main considerations</w:t>
            </w:r>
            <w:r>
              <w:t xml:space="preserve"> about</w:t>
            </w:r>
            <w:r w:rsidRPr="003A6A50">
              <w:t xml:space="preserve"> risk allocation also impact price</w:t>
            </w:r>
            <w:r>
              <w:t>:</w:t>
            </w:r>
            <w:r w:rsidRPr="003A6A50">
              <w:t xml:space="preserve"> operational, financial and reputational.</w:t>
            </w:r>
          </w:p>
          <w:p w14:paraId="47B87D64" w14:textId="77777777" w:rsidR="00685318" w:rsidRPr="003A6A50" w:rsidRDefault="00685318" w:rsidP="00BE6C08">
            <w:pPr>
              <w:pStyle w:val="Tablebulletx"/>
              <w:spacing w:before="80" w:after="80"/>
            </w:pPr>
            <w:r w:rsidRPr="003A6A50">
              <w:t xml:space="preserve">The level of risk a service provider </w:t>
            </w:r>
            <w:r>
              <w:t xml:space="preserve">assumes </w:t>
            </w:r>
            <w:r w:rsidRPr="003A6A50">
              <w:t>can impact on the proposed price and/or performance of services</w:t>
            </w:r>
            <w:r>
              <w:t>. It</w:t>
            </w:r>
            <w:r w:rsidRPr="003A6A50">
              <w:t xml:space="preserve"> is a fundamental consideration.</w:t>
            </w:r>
          </w:p>
        </w:tc>
      </w:tr>
      <w:tr w:rsidR="00685318" w:rsidRPr="003A6A50" w14:paraId="1F310DE5" w14:textId="77777777" w:rsidTr="00685318">
        <w:tc>
          <w:tcPr>
            <w:tcW w:w="1828" w:type="dxa"/>
            <w:shd w:val="clear" w:color="auto" w:fill="F2F2F2" w:themeFill="background1" w:themeFillShade="F2"/>
            <w:vAlign w:val="center"/>
          </w:tcPr>
          <w:p w14:paraId="5ECC12A2" w14:textId="77777777" w:rsidR="00685318" w:rsidRPr="00685318" w:rsidRDefault="00685318" w:rsidP="00BE6C08">
            <w:pPr>
              <w:pStyle w:val="TableText"/>
              <w:spacing w:before="80" w:after="80"/>
              <w:rPr>
                <w:b/>
                <w:bCs/>
              </w:rPr>
            </w:pPr>
            <w:r w:rsidRPr="00685318">
              <w:rPr>
                <w:b/>
                <w:bCs/>
              </w:rPr>
              <w:t>Failure regime</w:t>
            </w:r>
          </w:p>
        </w:tc>
        <w:tc>
          <w:tcPr>
            <w:tcW w:w="6521" w:type="dxa"/>
            <w:shd w:val="clear" w:color="auto" w:fill="FFFFFF" w:themeFill="background1"/>
          </w:tcPr>
          <w:p w14:paraId="55F3C404" w14:textId="4FA5FC44" w:rsidR="00685318" w:rsidRPr="003A6A50" w:rsidRDefault="00685318" w:rsidP="00BE6C08">
            <w:pPr>
              <w:pStyle w:val="Tablebulletx"/>
              <w:spacing w:before="80" w:after="80"/>
            </w:pPr>
            <w:r>
              <w:t>A service contract must clearly state t</w:t>
            </w:r>
            <w:r w:rsidRPr="003A6A50">
              <w:t>he consequences of not meeting performance thresholds and other forms of service failure (eg</w:t>
            </w:r>
            <w:r>
              <w:t>,</w:t>
            </w:r>
            <w:r w:rsidRPr="003A6A50">
              <w:t xml:space="preserve"> fail</w:t>
            </w:r>
            <w:r w:rsidR="000C1E95">
              <w:t>ing</w:t>
            </w:r>
            <w:r w:rsidRPr="003A6A50">
              <w:t xml:space="preserve"> to meet statutory or minimum standards). These</w:t>
            </w:r>
            <w:r>
              <w:t xml:space="preserve"> failures</w:t>
            </w:r>
            <w:r w:rsidRPr="003A6A50">
              <w:t xml:space="preserve"> </w:t>
            </w:r>
            <w:r>
              <w:t>may be</w:t>
            </w:r>
            <w:r w:rsidRPr="003A6A50">
              <w:t xml:space="preserve"> </w:t>
            </w:r>
            <w:r>
              <w:t>‘</w:t>
            </w:r>
            <w:r w:rsidRPr="003A6A50">
              <w:t>one off</w:t>
            </w:r>
            <w:r>
              <w:t>’</w:t>
            </w:r>
            <w:r w:rsidRPr="003A6A50">
              <w:t xml:space="preserve"> events (eg</w:t>
            </w:r>
            <w:r>
              <w:t>,</w:t>
            </w:r>
            <w:r w:rsidRPr="003A6A50">
              <w:t xml:space="preserve"> a major health and safety breach) or more gradual performance failures. </w:t>
            </w:r>
          </w:p>
          <w:p w14:paraId="03B3AE44" w14:textId="0D3212B9" w:rsidR="00685318" w:rsidRPr="00A57176" w:rsidRDefault="00685318" w:rsidP="00BE6C08">
            <w:pPr>
              <w:pStyle w:val="Tablebulletx"/>
              <w:spacing w:before="80" w:after="80"/>
              <w:rPr>
                <w:color w:val="996633"/>
              </w:rPr>
            </w:pPr>
            <w:r w:rsidRPr="00A57176">
              <w:rPr>
                <w:color w:val="auto"/>
              </w:rPr>
              <w:t>It is also possible to manage, mitigate or avoid such failures by taking a partnership approach to continuous quality improvement and solving contract and service delivery issues/problems</w:t>
            </w:r>
            <w:r w:rsidR="009B41CB">
              <w:rPr>
                <w:color w:val="auto"/>
              </w:rPr>
              <w:t xml:space="preserve"> as soon as they arise</w:t>
            </w:r>
            <w:r w:rsidRPr="00A57176">
              <w:rPr>
                <w:color w:val="auto"/>
              </w:rPr>
              <w:t>.</w:t>
            </w:r>
          </w:p>
        </w:tc>
      </w:tr>
    </w:tbl>
    <w:p w14:paraId="4F24E739" w14:textId="5B064DEF" w:rsidR="00685318" w:rsidRPr="005506BF" w:rsidRDefault="00685318" w:rsidP="009055B4">
      <w:pPr>
        <w:pStyle w:val="Heading3-nonumbering"/>
      </w:pPr>
      <w:r w:rsidRPr="00685318">
        <w:lastRenderedPageBreak/>
        <w:t>Contract management</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685318" w:rsidRPr="000C72D2" w14:paraId="58552429" w14:textId="77777777" w:rsidTr="00BA5306">
        <w:trPr>
          <w:trHeight w:val="170"/>
        </w:trPr>
        <w:tc>
          <w:tcPr>
            <w:tcW w:w="567" w:type="dxa"/>
          </w:tcPr>
          <w:p w14:paraId="55C742A9" w14:textId="77777777" w:rsidR="00685318" w:rsidRPr="000C72D2" w:rsidRDefault="00685318" w:rsidP="009055B4">
            <w:pPr>
              <w:pStyle w:val="0RULE"/>
            </w:pPr>
          </w:p>
        </w:tc>
      </w:tr>
    </w:tbl>
    <w:p w14:paraId="02F8D7A9" w14:textId="4C00147E" w:rsidR="00685318" w:rsidRDefault="00FB6567" w:rsidP="00685318">
      <w:pPr>
        <w:pStyle w:val="NormalwIndent"/>
      </w:pPr>
      <w:r>
        <w:t>A contract usually sets out the p</w:t>
      </w:r>
      <w:r w:rsidR="00685318" w:rsidRPr="00685318">
        <w:t>erformance management regime for providers.</w:t>
      </w:r>
    </w:p>
    <w:p w14:paraId="38292228" w14:textId="1D102FD3" w:rsidR="00685318" w:rsidRDefault="00685318" w:rsidP="00685318">
      <w:pPr>
        <w:pStyle w:val="NormalwIndent"/>
      </w:pPr>
    </w:p>
    <w:tbl>
      <w:tblPr>
        <w:tblStyle w:val="TableGrid"/>
        <w:tblW w:w="8774"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828"/>
        <w:gridCol w:w="6946"/>
      </w:tblGrid>
      <w:tr w:rsidR="000C1E95" w:rsidRPr="003A6A50" w14:paraId="430BB68A" w14:textId="77777777" w:rsidTr="008402FC">
        <w:trPr>
          <w:trHeight w:val="146"/>
        </w:trPr>
        <w:tc>
          <w:tcPr>
            <w:tcW w:w="1828" w:type="dxa"/>
            <w:shd w:val="clear" w:color="auto" w:fill="F2F2F2" w:themeFill="background1" w:themeFillShade="F2"/>
            <w:vAlign w:val="center"/>
          </w:tcPr>
          <w:p w14:paraId="2CCC9450" w14:textId="634FE081" w:rsidR="000C1E95" w:rsidRPr="00685318" w:rsidRDefault="00FB6567" w:rsidP="00685318">
            <w:pPr>
              <w:pStyle w:val="TableText"/>
              <w:spacing w:before="80" w:after="80"/>
              <w:rPr>
                <w:b/>
              </w:rPr>
            </w:pPr>
            <w:r>
              <w:rPr>
                <w:b/>
              </w:rPr>
              <w:t>Feature of performance management</w:t>
            </w:r>
          </w:p>
        </w:tc>
        <w:tc>
          <w:tcPr>
            <w:tcW w:w="6946" w:type="dxa"/>
            <w:shd w:val="clear" w:color="auto" w:fill="F2F2F2" w:themeFill="background1" w:themeFillShade="F2"/>
          </w:tcPr>
          <w:p w14:paraId="3F628EC3" w14:textId="5E13A987" w:rsidR="000C1E95" w:rsidRPr="008402FC" w:rsidRDefault="00FB6567" w:rsidP="00685318">
            <w:pPr>
              <w:pStyle w:val="TableText"/>
              <w:spacing w:before="80" w:after="80"/>
              <w:rPr>
                <w:b/>
                <w:bCs/>
              </w:rPr>
            </w:pPr>
            <w:r>
              <w:rPr>
                <w:b/>
                <w:bCs/>
              </w:rPr>
              <w:t>Description</w:t>
            </w:r>
          </w:p>
        </w:tc>
      </w:tr>
      <w:tr w:rsidR="00685318" w:rsidRPr="003A6A50" w14:paraId="59276B42" w14:textId="77777777" w:rsidTr="00685318">
        <w:trPr>
          <w:trHeight w:val="146"/>
        </w:trPr>
        <w:tc>
          <w:tcPr>
            <w:tcW w:w="1828" w:type="dxa"/>
            <w:shd w:val="clear" w:color="auto" w:fill="F2F2F2" w:themeFill="background1" w:themeFillShade="F2"/>
            <w:vAlign w:val="center"/>
          </w:tcPr>
          <w:p w14:paraId="6C042CD2" w14:textId="77777777" w:rsidR="00685318" w:rsidRPr="00685318" w:rsidRDefault="00685318" w:rsidP="00685318">
            <w:pPr>
              <w:pStyle w:val="TableText"/>
              <w:spacing w:before="80" w:after="80"/>
              <w:rPr>
                <w:b/>
              </w:rPr>
            </w:pPr>
            <w:bookmarkStart w:id="46" w:name="_Hlk79071107"/>
            <w:r w:rsidRPr="00685318">
              <w:rPr>
                <w:b/>
              </w:rPr>
              <w:t>Measures</w:t>
            </w:r>
          </w:p>
        </w:tc>
        <w:tc>
          <w:tcPr>
            <w:tcW w:w="6946" w:type="dxa"/>
            <w:shd w:val="clear" w:color="auto" w:fill="FFFFFF" w:themeFill="background1"/>
          </w:tcPr>
          <w:p w14:paraId="7738632E" w14:textId="13D4F909" w:rsidR="00685318" w:rsidRPr="003A6A50" w:rsidRDefault="00685318" w:rsidP="00685318">
            <w:pPr>
              <w:pStyle w:val="TableText"/>
              <w:spacing w:before="80" w:after="80"/>
            </w:pPr>
            <w:r w:rsidRPr="003A6A50">
              <w:t>Tailor measures to</w:t>
            </w:r>
            <w:r>
              <w:t xml:space="preserve"> the</w:t>
            </w:r>
            <w:r w:rsidRPr="003A6A50">
              <w:t xml:space="preserve"> purpose and level of detail needed to assess results and manage risk</w:t>
            </w:r>
            <w:r>
              <w:t xml:space="preserve">. These </w:t>
            </w:r>
            <w:r w:rsidR="00FB6567">
              <w:t xml:space="preserve">measures </w:t>
            </w:r>
            <w:r>
              <w:t>include</w:t>
            </w:r>
            <w:r w:rsidRPr="003A6A50">
              <w:t>:</w:t>
            </w:r>
          </w:p>
          <w:p w14:paraId="4941D552" w14:textId="30FD0A34" w:rsidR="00685318" w:rsidRPr="003A6A50" w:rsidRDefault="00210E7B" w:rsidP="00685318">
            <w:pPr>
              <w:pStyle w:val="Tablebulletx"/>
              <w:spacing w:before="80" w:after="80"/>
            </w:pPr>
            <w:r>
              <w:t>o</w:t>
            </w:r>
            <w:r w:rsidR="00685318" w:rsidRPr="003A6A50">
              <w:t>utcome measures that are meaningful to whānau and reflect purpose</w:t>
            </w:r>
          </w:p>
          <w:p w14:paraId="7DA17D22" w14:textId="3D09DCE2" w:rsidR="00685318" w:rsidRPr="003A6A50" w:rsidRDefault="00210E7B" w:rsidP="00685318">
            <w:pPr>
              <w:pStyle w:val="Tablebulletx"/>
              <w:spacing w:before="80" w:after="80"/>
            </w:pPr>
            <w:r>
              <w:t>l</w:t>
            </w:r>
            <w:r w:rsidR="00685318" w:rsidRPr="003A6A50">
              <w:t xml:space="preserve">ead and lag indicators </w:t>
            </w:r>
          </w:p>
          <w:p w14:paraId="374A7318" w14:textId="4460107F" w:rsidR="00685318" w:rsidRPr="003A6A50" w:rsidRDefault="00210E7B" w:rsidP="00685318">
            <w:pPr>
              <w:pStyle w:val="Tablebulletx"/>
              <w:spacing w:before="80" w:after="80"/>
            </w:pPr>
            <w:r>
              <w:t>p</w:t>
            </w:r>
            <w:r w:rsidR="00685318" w:rsidRPr="003A6A50">
              <w:t>erformance measures</w:t>
            </w:r>
            <w:r w:rsidR="00685318">
              <w:t xml:space="preserve"> that</w:t>
            </w:r>
            <w:r w:rsidR="00685318" w:rsidRPr="003A6A50">
              <w:t>:</w:t>
            </w:r>
          </w:p>
          <w:p w14:paraId="3E2E2F5E" w14:textId="77777777" w:rsidR="00685318" w:rsidRPr="003A6A50" w:rsidRDefault="00685318" w:rsidP="004C3121">
            <w:pPr>
              <w:pStyle w:val="Tablebulletx"/>
              <w:numPr>
                <w:ilvl w:val="0"/>
                <w:numId w:val="15"/>
              </w:numPr>
              <w:tabs>
                <w:tab w:val="clear" w:pos="360"/>
                <w:tab w:val="num" w:pos="1452"/>
              </w:tabs>
              <w:spacing w:before="80" w:after="80"/>
              <w:ind w:left="654" w:hanging="266"/>
            </w:pPr>
            <w:r w:rsidRPr="003A6A50">
              <w:t>provide a clear line of sight to strategic goals</w:t>
            </w:r>
          </w:p>
          <w:p w14:paraId="0CDC0636" w14:textId="77777777" w:rsidR="00685318" w:rsidRPr="003A6A50" w:rsidRDefault="00685318" w:rsidP="004C3121">
            <w:pPr>
              <w:pStyle w:val="Tablebulletx"/>
              <w:numPr>
                <w:ilvl w:val="0"/>
                <w:numId w:val="15"/>
              </w:numPr>
              <w:tabs>
                <w:tab w:val="clear" w:pos="360"/>
                <w:tab w:val="num" w:pos="1452"/>
              </w:tabs>
              <w:spacing w:before="80" w:after="80"/>
              <w:ind w:left="654" w:hanging="266"/>
            </w:pPr>
            <w:r w:rsidRPr="003A6A50">
              <w:t>explain variation in outcomes and generate insights to support continuous improvement</w:t>
            </w:r>
          </w:p>
          <w:p w14:paraId="6FE71005" w14:textId="3C13595F" w:rsidR="00685318" w:rsidRPr="003A6A50" w:rsidRDefault="00210E7B" w:rsidP="00685318">
            <w:pPr>
              <w:pStyle w:val="Tablebulletx"/>
              <w:spacing w:before="80" w:after="80"/>
            </w:pPr>
            <w:r>
              <w:t>s</w:t>
            </w:r>
            <w:r w:rsidR="00685318" w:rsidRPr="003A6A50">
              <w:t>ocial cost</w:t>
            </w:r>
            <w:r w:rsidR="00685318">
              <w:t>–</w:t>
            </w:r>
            <w:r w:rsidR="00685318" w:rsidRPr="003A6A50">
              <w:t>benefit analysis</w:t>
            </w:r>
          </w:p>
          <w:p w14:paraId="0E5E77D2" w14:textId="61E7A330" w:rsidR="00685318" w:rsidRPr="003A6A50" w:rsidRDefault="00E7510F" w:rsidP="00685318">
            <w:pPr>
              <w:pStyle w:val="Tablebulletx"/>
              <w:spacing w:before="80" w:after="80"/>
            </w:pPr>
            <w:r>
              <w:t>s</w:t>
            </w:r>
            <w:r w:rsidR="00685318" w:rsidRPr="003A6A50">
              <w:t>ystem costs and public value measures</w:t>
            </w:r>
            <w:r w:rsidR="00685318">
              <w:t>.</w:t>
            </w:r>
          </w:p>
        </w:tc>
      </w:tr>
      <w:tr w:rsidR="00685318" w:rsidRPr="003A6A50" w14:paraId="192ED934" w14:textId="77777777" w:rsidTr="00685318">
        <w:tc>
          <w:tcPr>
            <w:tcW w:w="1828" w:type="dxa"/>
            <w:shd w:val="clear" w:color="auto" w:fill="F2F2F2" w:themeFill="background1" w:themeFillShade="F2"/>
            <w:vAlign w:val="center"/>
          </w:tcPr>
          <w:p w14:paraId="584AB71D" w14:textId="77777777" w:rsidR="00685318" w:rsidRPr="00685318" w:rsidRDefault="00685318" w:rsidP="00685318">
            <w:pPr>
              <w:pStyle w:val="TableText"/>
              <w:spacing w:before="80" w:after="80"/>
              <w:rPr>
                <w:b/>
              </w:rPr>
            </w:pPr>
            <w:r w:rsidRPr="00685318">
              <w:rPr>
                <w:b/>
              </w:rPr>
              <w:t>Reporting</w:t>
            </w:r>
          </w:p>
        </w:tc>
        <w:tc>
          <w:tcPr>
            <w:tcW w:w="6946" w:type="dxa"/>
            <w:shd w:val="clear" w:color="auto" w:fill="FFFFFF" w:themeFill="background1"/>
          </w:tcPr>
          <w:p w14:paraId="455FC234" w14:textId="77777777" w:rsidR="00685318" w:rsidRPr="003A6A50" w:rsidRDefault="00685318" w:rsidP="00685318">
            <w:pPr>
              <w:pStyle w:val="TableText"/>
              <w:spacing w:before="80" w:after="80"/>
            </w:pPr>
            <w:r w:rsidRPr="003A6A50">
              <w:t>Co-design reporting frameworks and templates with providers that:</w:t>
            </w:r>
          </w:p>
          <w:p w14:paraId="05AA2999" w14:textId="49F1CE54" w:rsidR="00685318" w:rsidRPr="003A6A50" w:rsidRDefault="00D312C8" w:rsidP="00685318">
            <w:pPr>
              <w:pStyle w:val="Tablebulletx"/>
              <w:spacing w:before="80" w:after="80"/>
            </w:pPr>
            <w:r>
              <w:t>o</w:t>
            </w:r>
            <w:r w:rsidR="00685318" w:rsidRPr="003A6A50">
              <w:t xml:space="preserve">nly collect </w:t>
            </w:r>
            <w:r w:rsidR="00FB6567">
              <w:t>data that</w:t>
            </w:r>
            <w:r w:rsidR="00FB6567" w:rsidRPr="003A6A50">
              <w:t xml:space="preserve"> </w:t>
            </w:r>
            <w:r w:rsidR="00685318" w:rsidRPr="003A6A50">
              <w:t>is useful and use existing data wherever possible</w:t>
            </w:r>
          </w:p>
          <w:p w14:paraId="6C0A8ADA" w14:textId="63851A14" w:rsidR="00685318" w:rsidRPr="003A6A50" w:rsidRDefault="00685318" w:rsidP="00685318">
            <w:pPr>
              <w:pStyle w:val="Tablebulletx"/>
              <w:spacing w:before="80" w:after="80"/>
            </w:pPr>
            <w:r>
              <w:t>are appropriate for</w:t>
            </w:r>
            <w:r w:rsidRPr="003A6A50">
              <w:t xml:space="preserve"> the level of investment and risk</w:t>
            </w:r>
            <w:r w:rsidR="00405486">
              <w:t xml:space="preserve"> </w:t>
            </w:r>
          </w:p>
          <w:p w14:paraId="6B7DB6D8" w14:textId="77777777" w:rsidR="00685318" w:rsidRPr="003A6A50" w:rsidRDefault="00685318" w:rsidP="00685318">
            <w:pPr>
              <w:pStyle w:val="Tablebulletx"/>
              <w:spacing w:before="80" w:after="80"/>
            </w:pPr>
            <w:r w:rsidRPr="003A6A50">
              <w:t>provide performance and outcome data</w:t>
            </w:r>
          </w:p>
          <w:p w14:paraId="50DC5ACE" w14:textId="5336F66B" w:rsidR="00685318" w:rsidRPr="003A6A50" w:rsidRDefault="00685318" w:rsidP="00685318">
            <w:pPr>
              <w:pStyle w:val="Tablebulletx"/>
              <w:spacing w:before="80" w:after="80"/>
            </w:pPr>
            <w:r w:rsidRPr="003A6A50">
              <w:t>meet requirement</w:t>
            </w:r>
            <w:r w:rsidR="00FB6567">
              <w:t>s</w:t>
            </w:r>
            <w:r w:rsidRPr="003A6A50">
              <w:t xml:space="preserve"> that allow results to be compared across time, groups and locations</w:t>
            </w:r>
          </w:p>
          <w:p w14:paraId="30945EB0" w14:textId="77777777" w:rsidR="00685318" w:rsidRPr="003A6A50" w:rsidRDefault="00685318" w:rsidP="00685318">
            <w:pPr>
              <w:pStyle w:val="Tablebulletx"/>
              <w:spacing w:before="80" w:after="80"/>
            </w:pPr>
            <w:r w:rsidRPr="003A6A50">
              <w:t>link outcomes to cost of delivery</w:t>
            </w:r>
          </w:p>
          <w:p w14:paraId="47015536" w14:textId="6C0B58EA" w:rsidR="00685318" w:rsidRPr="003A6A50" w:rsidRDefault="00685318" w:rsidP="00685318">
            <w:pPr>
              <w:pStyle w:val="Tablebulletx"/>
              <w:spacing w:before="80" w:after="80"/>
            </w:pPr>
            <w:r w:rsidRPr="003A6A50">
              <w:t xml:space="preserve">meet ethical and privacy requirements, including </w:t>
            </w:r>
            <w:r w:rsidR="00A96E36">
              <w:t xml:space="preserve">requirements for </w:t>
            </w:r>
            <w:r w:rsidRPr="003A6A50">
              <w:t>data sovereignty.</w:t>
            </w:r>
          </w:p>
        </w:tc>
      </w:tr>
      <w:bookmarkEnd w:id="46"/>
    </w:tbl>
    <w:p w14:paraId="11077C95" w14:textId="3724CD6C" w:rsidR="00685318" w:rsidRDefault="00685318" w:rsidP="00685318"/>
    <w:p w14:paraId="022490A7" w14:textId="77777777" w:rsidR="00685318" w:rsidRDefault="00685318" w:rsidP="00925E36">
      <w:pPr>
        <w:pStyle w:val="Heading4"/>
        <w:sectPr w:rsidR="00685318" w:rsidSect="00C345BC">
          <w:pgSz w:w="11906" w:h="16838"/>
          <w:pgMar w:top="2778" w:right="1701" w:bottom="454" w:left="1701" w:header="567" w:footer="567" w:gutter="0"/>
          <w:cols w:space="708"/>
          <w:titlePg/>
          <w:docGrid w:linePitch="360"/>
        </w:sectPr>
      </w:pPr>
    </w:p>
    <w:p w14:paraId="1524CBA1" w14:textId="317F77D2" w:rsidR="00685318" w:rsidRDefault="00685318" w:rsidP="00925E36">
      <w:pPr>
        <w:pStyle w:val="Heading4"/>
        <w:spacing w:before="0"/>
      </w:pPr>
      <w:r w:rsidRPr="00685318">
        <w:lastRenderedPageBreak/>
        <w:t>Key shifts in commissioning at the sourcing and investing stage</w:t>
      </w:r>
    </w:p>
    <w:p w14:paraId="28001554" w14:textId="263F12C8" w:rsidR="00685318" w:rsidRDefault="00685318" w:rsidP="00685318">
      <w:pPr>
        <w:rPr>
          <w:lang w:eastAsia="en-GB"/>
        </w:rPr>
      </w:pPr>
    </w:p>
    <w:tbl>
      <w:tblPr>
        <w:tblStyle w:val="TableGrid"/>
        <w:tblW w:w="8647"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560"/>
        <w:gridCol w:w="3543"/>
        <w:gridCol w:w="3544"/>
      </w:tblGrid>
      <w:tr w:rsidR="00685318" w:rsidRPr="00685318" w14:paraId="5989300D" w14:textId="77777777" w:rsidTr="00E929E2">
        <w:trPr>
          <w:trHeight w:val="146"/>
          <w:tblHeader/>
        </w:trPr>
        <w:tc>
          <w:tcPr>
            <w:tcW w:w="1560" w:type="dxa"/>
            <w:shd w:val="clear" w:color="auto" w:fill="F2F2F2" w:themeFill="background1" w:themeFillShade="F2"/>
          </w:tcPr>
          <w:p w14:paraId="6344E34C" w14:textId="77777777" w:rsidR="00685318" w:rsidRPr="00685318" w:rsidRDefault="00685318" w:rsidP="00685318">
            <w:pPr>
              <w:pStyle w:val="TableText"/>
              <w:rPr>
                <w:b/>
                <w:bCs/>
              </w:rPr>
            </w:pPr>
          </w:p>
        </w:tc>
        <w:tc>
          <w:tcPr>
            <w:tcW w:w="3543" w:type="dxa"/>
            <w:shd w:val="clear" w:color="auto" w:fill="F2F2F2" w:themeFill="background1" w:themeFillShade="F2"/>
          </w:tcPr>
          <w:p w14:paraId="64D0CBD3" w14:textId="77777777" w:rsidR="00685318" w:rsidRPr="00685318" w:rsidRDefault="00685318" w:rsidP="00685318">
            <w:pPr>
              <w:pStyle w:val="TableText"/>
              <w:rPr>
                <w:b/>
                <w:bCs/>
              </w:rPr>
            </w:pPr>
            <w:r w:rsidRPr="00685318">
              <w:rPr>
                <w:b/>
                <w:bCs/>
              </w:rPr>
              <w:t>From conventional commissioning</w:t>
            </w:r>
          </w:p>
        </w:tc>
        <w:tc>
          <w:tcPr>
            <w:tcW w:w="3544" w:type="dxa"/>
            <w:shd w:val="clear" w:color="auto" w:fill="F2F2F2" w:themeFill="background1" w:themeFillShade="F2"/>
          </w:tcPr>
          <w:p w14:paraId="3928491A" w14:textId="09DAC7A2" w:rsidR="00685318" w:rsidRPr="00685318" w:rsidRDefault="00685318" w:rsidP="00685318">
            <w:pPr>
              <w:pStyle w:val="TableText"/>
              <w:rPr>
                <w:b/>
                <w:bCs/>
              </w:rPr>
            </w:pPr>
            <w:r w:rsidRPr="00685318">
              <w:rPr>
                <w:b/>
                <w:bCs/>
              </w:rPr>
              <w:t>To whānau-</w:t>
            </w:r>
            <w:r w:rsidR="00D92186">
              <w:rPr>
                <w:b/>
                <w:bCs/>
              </w:rPr>
              <w:t>led</w:t>
            </w:r>
            <w:r w:rsidRPr="00685318">
              <w:rPr>
                <w:b/>
                <w:bCs/>
              </w:rPr>
              <w:t xml:space="preserve"> and Māori-led</w:t>
            </w:r>
            <w:r w:rsidR="00A96E36">
              <w:rPr>
                <w:b/>
                <w:bCs/>
              </w:rPr>
              <w:t xml:space="preserve"> commissioning</w:t>
            </w:r>
          </w:p>
        </w:tc>
      </w:tr>
      <w:tr w:rsidR="00E929E2" w:rsidRPr="003A6A50" w14:paraId="4B0CA9F3" w14:textId="77777777" w:rsidTr="00E929E2">
        <w:trPr>
          <w:trHeight w:val="709"/>
        </w:trPr>
        <w:tc>
          <w:tcPr>
            <w:tcW w:w="1560" w:type="dxa"/>
            <w:shd w:val="clear" w:color="auto" w:fill="F2F2F2" w:themeFill="background1" w:themeFillShade="F2"/>
            <w:vAlign w:val="center"/>
          </w:tcPr>
          <w:p w14:paraId="7F05591B" w14:textId="77777777" w:rsidR="00685318" w:rsidRPr="00685318" w:rsidRDefault="00685318" w:rsidP="00685318">
            <w:pPr>
              <w:pStyle w:val="TableText"/>
              <w:rPr>
                <w:b/>
                <w:bCs/>
              </w:rPr>
            </w:pPr>
            <w:r w:rsidRPr="00685318">
              <w:rPr>
                <w:b/>
                <w:bCs/>
              </w:rPr>
              <w:t>People</w:t>
            </w:r>
          </w:p>
          <w:p w14:paraId="0B3860B7" w14:textId="77777777" w:rsidR="00685318" w:rsidRPr="00685318" w:rsidRDefault="00685318" w:rsidP="00685318">
            <w:pPr>
              <w:pStyle w:val="TableText"/>
              <w:rPr>
                <w:b/>
                <w:bCs/>
              </w:rPr>
            </w:pPr>
            <w:r w:rsidRPr="00685318">
              <w:rPr>
                <w:b/>
                <w:bCs/>
              </w:rPr>
              <w:t>Whānau</w:t>
            </w:r>
          </w:p>
          <w:p w14:paraId="0CE3025B" w14:textId="77777777" w:rsidR="00685318" w:rsidRPr="00685318" w:rsidRDefault="00685318" w:rsidP="00685318">
            <w:pPr>
              <w:pStyle w:val="TableText"/>
              <w:rPr>
                <w:b/>
                <w:bCs/>
              </w:rPr>
            </w:pPr>
            <w:r w:rsidRPr="00685318">
              <w:rPr>
                <w:b/>
                <w:bCs/>
              </w:rPr>
              <w:t>Communities</w:t>
            </w:r>
          </w:p>
        </w:tc>
        <w:tc>
          <w:tcPr>
            <w:tcW w:w="3543" w:type="dxa"/>
            <w:shd w:val="clear" w:color="auto" w:fill="FFFFFF" w:themeFill="background1"/>
          </w:tcPr>
          <w:p w14:paraId="7BDE2789" w14:textId="77777777" w:rsidR="00685318" w:rsidRPr="003A6A50" w:rsidRDefault="00685318" w:rsidP="00685318">
            <w:pPr>
              <w:pStyle w:val="Tablebulletx"/>
            </w:pPr>
            <w:r>
              <w:t>Offers f</w:t>
            </w:r>
            <w:r w:rsidRPr="003A6A50">
              <w:t xml:space="preserve">ewer options for Māori health services, </w:t>
            </w:r>
            <w:r>
              <w:t>such as</w:t>
            </w:r>
            <w:r w:rsidRPr="003A6A50">
              <w:t xml:space="preserve"> </w:t>
            </w:r>
            <w:r>
              <w:t>m</w:t>
            </w:r>
            <w:r w:rsidRPr="003A6A50">
              <w:t xml:space="preserve">ātauranga Māori and </w:t>
            </w:r>
            <w:r>
              <w:t>r</w:t>
            </w:r>
            <w:r w:rsidRPr="003A6A50">
              <w:t>ongoā</w:t>
            </w:r>
            <w:r>
              <w:t>.</w:t>
            </w:r>
          </w:p>
        </w:tc>
        <w:tc>
          <w:tcPr>
            <w:tcW w:w="3544" w:type="dxa"/>
            <w:shd w:val="clear" w:color="auto" w:fill="FFFFFF" w:themeFill="background1"/>
          </w:tcPr>
          <w:p w14:paraId="149FA1BE" w14:textId="77777777" w:rsidR="00685318" w:rsidRPr="003A6A50" w:rsidRDefault="00685318" w:rsidP="00685318">
            <w:pPr>
              <w:pStyle w:val="Tablebulletx"/>
            </w:pPr>
            <w:r w:rsidRPr="003A6A50">
              <w:t>Increase</w:t>
            </w:r>
            <w:r>
              <w:t>s</w:t>
            </w:r>
            <w:r w:rsidRPr="003A6A50">
              <w:t xml:space="preserve"> options for a broad range of Māori health services, </w:t>
            </w:r>
            <w:r>
              <w:t>such as</w:t>
            </w:r>
            <w:r w:rsidRPr="003A6A50">
              <w:t xml:space="preserve"> </w:t>
            </w:r>
            <w:r>
              <w:t>m</w:t>
            </w:r>
            <w:r w:rsidRPr="003A6A50">
              <w:t xml:space="preserve">ātauranga Māori and </w:t>
            </w:r>
            <w:r>
              <w:t>r</w:t>
            </w:r>
            <w:r w:rsidRPr="003A6A50">
              <w:t>ongoā</w:t>
            </w:r>
            <w:r>
              <w:t>.</w:t>
            </w:r>
            <w:r w:rsidRPr="003A6A50" w:rsidDel="00AE766F">
              <w:rPr>
                <w:rStyle w:val="FootnoteReference"/>
                <w:rFonts w:asciiTheme="minorHAnsi" w:hAnsiTheme="minorHAnsi" w:cstheme="minorHAnsi"/>
                <w:sz w:val="20"/>
                <w:szCs w:val="20"/>
              </w:rPr>
              <w:t xml:space="preserve"> </w:t>
            </w:r>
          </w:p>
        </w:tc>
      </w:tr>
      <w:tr w:rsidR="00E929E2" w:rsidRPr="003A6A50" w14:paraId="3E36192E" w14:textId="77777777" w:rsidTr="00E929E2">
        <w:trPr>
          <w:trHeight w:val="1389"/>
        </w:trPr>
        <w:tc>
          <w:tcPr>
            <w:tcW w:w="1560" w:type="dxa"/>
            <w:shd w:val="clear" w:color="auto" w:fill="F2F2F2" w:themeFill="background1" w:themeFillShade="F2"/>
            <w:vAlign w:val="center"/>
          </w:tcPr>
          <w:p w14:paraId="3FE0A465" w14:textId="77777777" w:rsidR="00685318" w:rsidRPr="00685318" w:rsidRDefault="00685318" w:rsidP="00685318">
            <w:pPr>
              <w:pStyle w:val="TableText"/>
              <w:rPr>
                <w:b/>
                <w:bCs/>
              </w:rPr>
            </w:pPr>
            <w:r w:rsidRPr="00685318">
              <w:rPr>
                <w:b/>
                <w:bCs/>
              </w:rPr>
              <w:t>Delivery</w:t>
            </w:r>
          </w:p>
        </w:tc>
        <w:tc>
          <w:tcPr>
            <w:tcW w:w="3543" w:type="dxa"/>
            <w:shd w:val="clear" w:color="auto" w:fill="FFFFFF" w:themeFill="background1"/>
          </w:tcPr>
          <w:p w14:paraId="280F9DB8" w14:textId="77777777" w:rsidR="00685318" w:rsidRPr="003A6A50" w:rsidRDefault="00685318" w:rsidP="00685318">
            <w:pPr>
              <w:pStyle w:val="Tablebulletx"/>
            </w:pPr>
            <w:r>
              <w:t>Creates b</w:t>
            </w:r>
            <w:r w:rsidRPr="003A6A50">
              <w:t>arriers to entry for new Māori service providers</w:t>
            </w:r>
            <w:r>
              <w:t>.</w:t>
            </w:r>
          </w:p>
          <w:p w14:paraId="7A226C50" w14:textId="75AD435F" w:rsidR="00685318" w:rsidRPr="003A6A50" w:rsidRDefault="00685318" w:rsidP="00685318">
            <w:pPr>
              <w:pStyle w:val="Tablebulletx"/>
            </w:pPr>
            <w:r>
              <w:t>M</w:t>
            </w:r>
            <w:r w:rsidRPr="003A6A50">
              <w:t>ay disrupt local provider systems if processes exclude good providers from tendering</w:t>
            </w:r>
            <w:r>
              <w:t xml:space="preserve"> or </w:t>
            </w:r>
            <w:r w:rsidRPr="003A6A50">
              <w:t>applying</w:t>
            </w:r>
            <w:r>
              <w:t>.</w:t>
            </w:r>
          </w:p>
          <w:p w14:paraId="15A23C6A" w14:textId="77777777" w:rsidR="00685318" w:rsidRPr="003A6A50" w:rsidRDefault="00685318" w:rsidP="00685318">
            <w:pPr>
              <w:pStyle w:val="Tablebulletx"/>
            </w:pPr>
            <w:r>
              <w:t>Does</w:t>
            </w:r>
            <w:r w:rsidRPr="003A6A50">
              <w:t xml:space="preserve"> not cover full cost of service delivery</w:t>
            </w:r>
            <w:r>
              <w:t xml:space="preserve"> in contracts.</w:t>
            </w:r>
          </w:p>
          <w:p w14:paraId="0BF47206" w14:textId="77777777" w:rsidR="00685318" w:rsidRPr="003A6A50" w:rsidRDefault="00685318" w:rsidP="00685318">
            <w:pPr>
              <w:pStyle w:val="Tablebulletx"/>
            </w:pPr>
            <w:r>
              <w:t>Has</w:t>
            </w:r>
            <w:r w:rsidRPr="003A6A50">
              <w:t xml:space="preserve"> highly specified</w:t>
            </w:r>
            <w:r>
              <w:t xml:space="preserve"> contracts.</w:t>
            </w:r>
          </w:p>
          <w:p w14:paraId="3BC6F68B" w14:textId="013E0030" w:rsidR="00685318" w:rsidRPr="00AE766F" w:rsidRDefault="00685318" w:rsidP="00685318">
            <w:pPr>
              <w:pStyle w:val="Tablebulletx"/>
            </w:pPr>
            <w:r>
              <w:t>Has p</w:t>
            </w:r>
            <w:r w:rsidRPr="00AE766F">
              <w:t xml:space="preserve">erformance measures </w:t>
            </w:r>
            <w:r>
              <w:t xml:space="preserve">that </w:t>
            </w:r>
            <w:r w:rsidRPr="00AE766F">
              <w:t>do not provide useful insights</w:t>
            </w:r>
            <w:r>
              <w:t xml:space="preserve"> </w:t>
            </w:r>
            <w:r w:rsidR="00A5584C">
              <w:rPr>
                <w:rFonts w:ascii="Calibri" w:hAnsi="Calibri" w:cs="Calibri"/>
              </w:rPr>
              <w:t>—</w:t>
            </w:r>
            <w:r>
              <w:t xml:space="preserve"> </w:t>
            </w:r>
            <w:r w:rsidR="00907C1E">
              <w:t>only</w:t>
            </w:r>
            <w:r w:rsidRPr="00AE766F">
              <w:t xml:space="preserve"> track outputs</w:t>
            </w:r>
            <w:r>
              <w:t>.</w:t>
            </w:r>
            <w:r w:rsidRPr="00AE766F">
              <w:t xml:space="preserve"> </w:t>
            </w:r>
          </w:p>
          <w:p w14:paraId="5AED0C55" w14:textId="77777777" w:rsidR="00685318" w:rsidRPr="003A6A50" w:rsidRDefault="00685318" w:rsidP="00685318">
            <w:pPr>
              <w:pStyle w:val="Tablebulletx"/>
            </w:pPr>
            <w:r>
              <w:t>Involves h</w:t>
            </w:r>
            <w:r w:rsidRPr="003A6A50">
              <w:t>igh compliance costs from multiple small contracts, with different reporting requirements</w:t>
            </w:r>
            <w:r>
              <w:t>.</w:t>
            </w:r>
          </w:p>
          <w:p w14:paraId="52FF10EA" w14:textId="77777777" w:rsidR="00685318" w:rsidRPr="003A6A50" w:rsidRDefault="00685318" w:rsidP="00685318">
            <w:pPr>
              <w:pStyle w:val="Tablebulletx"/>
            </w:pPr>
            <w:r>
              <w:t>Has l</w:t>
            </w:r>
            <w:r w:rsidRPr="003A6A50">
              <w:t>ow capacity for innovation</w:t>
            </w:r>
            <w:r>
              <w:t>.</w:t>
            </w:r>
          </w:p>
          <w:p w14:paraId="1E38BA66" w14:textId="557ABFFD" w:rsidR="00685318" w:rsidRPr="003A6A50" w:rsidRDefault="00685318" w:rsidP="00685318">
            <w:pPr>
              <w:pStyle w:val="Tablebulletx"/>
            </w:pPr>
            <w:r>
              <w:t>Reduces</w:t>
            </w:r>
            <w:r w:rsidRPr="003A6A50">
              <w:t xml:space="preserve"> trust </w:t>
            </w:r>
            <w:r>
              <w:t>i</w:t>
            </w:r>
            <w:r w:rsidRPr="003A6A50">
              <w:t xml:space="preserve">n support, or </w:t>
            </w:r>
            <w:r w:rsidR="001B65DB">
              <w:t xml:space="preserve">in </w:t>
            </w:r>
            <w:r w:rsidRPr="003A6A50">
              <w:t>future contracts, if new ideas don’t work</w:t>
            </w:r>
            <w:r>
              <w:t>.</w:t>
            </w:r>
          </w:p>
        </w:tc>
        <w:tc>
          <w:tcPr>
            <w:tcW w:w="3544" w:type="dxa"/>
            <w:shd w:val="clear" w:color="auto" w:fill="FFFFFF" w:themeFill="background1"/>
          </w:tcPr>
          <w:p w14:paraId="0153A949" w14:textId="74BAC0E4" w:rsidR="00685318" w:rsidRPr="003A6A50" w:rsidRDefault="00A5584C" w:rsidP="00685318">
            <w:pPr>
              <w:pStyle w:val="Tablebulletx"/>
            </w:pPr>
            <w:r>
              <w:t xml:space="preserve">Provides </w:t>
            </w:r>
            <w:r w:rsidRPr="003A6A50">
              <w:t>grant funding, capacity building</w:t>
            </w:r>
            <w:r>
              <w:t xml:space="preserve"> and</w:t>
            </w:r>
            <w:r w:rsidRPr="003A6A50">
              <w:t xml:space="preserve"> mentoring </w:t>
            </w:r>
            <w:r>
              <w:t>to s</w:t>
            </w:r>
            <w:r w:rsidR="00685318" w:rsidRPr="003A6A50">
              <w:t xml:space="preserve">upport new Māori health providers to </w:t>
            </w:r>
            <w:r>
              <w:t>offer services</w:t>
            </w:r>
            <w:r w:rsidR="00685318">
              <w:t>.</w:t>
            </w:r>
          </w:p>
          <w:p w14:paraId="0191FAEA" w14:textId="77777777" w:rsidR="00685318" w:rsidRPr="003A6A50" w:rsidRDefault="00685318" w:rsidP="00685318">
            <w:pPr>
              <w:pStyle w:val="Tablebulletx"/>
            </w:pPr>
            <w:r w:rsidRPr="003A6A50">
              <w:t>Streamline</w:t>
            </w:r>
            <w:r>
              <w:t>s</w:t>
            </w:r>
            <w:r w:rsidRPr="003A6A50">
              <w:t xml:space="preserve"> reporting</w:t>
            </w:r>
            <w:r>
              <w:t>.</w:t>
            </w:r>
          </w:p>
          <w:p w14:paraId="5853889F" w14:textId="3B86E75C" w:rsidR="00685318" w:rsidRPr="003A6A50" w:rsidRDefault="00685318" w:rsidP="00685318">
            <w:pPr>
              <w:pStyle w:val="Tablebulletx"/>
            </w:pPr>
            <w:r w:rsidRPr="003A6A50">
              <w:t>Co-design</w:t>
            </w:r>
            <w:r>
              <w:t>s</w:t>
            </w:r>
            <w:r w:rsidRPr="003A6A50">
              <w:t xml:space="preserve"> reporting so providers can tell their story, and the information is useful to them and funders</w:t>
            </w:r>
            <w:r>
              <w:t>.</w:t>
            </w:r>
          </w:p>
          <w:p w14:paraId="17AD2825" w14:textId="77777777" w:rsidR="00685318" w:rsidRPr="003A6A50" w:rsidRDefault="00685318" w:rsidP="00685318">
            <w:pPr>
              <w:pStyle w:val="Tablebulletx"/>
            </w:pPr>
            <w:r w:rsidRPr="003A6A50">
              <w:t>Use</w:t>
            </w:r>
            <w:r>
              <w:t>s</w:t>
            </w:r>
            <w:r w:rsidRPr="003A6A50">
              <w:t xml:space="preserve"> existing data</w:t>
            </w:r>
            <w:r>
              <w:t>.</w:t>
            </w:r>
          </w:p>
          <w:p w14:paraId="68E9DFA4" w14:textId="77777777" w:rsidR="00685318" w:rsidRPr="003A6A50" w:rsidRDefault="00685318" w:rsidP="00685318">
            <w:pPr>
              <w:pStyle w:val="Tablebulletx"/>
            </w:pPr>
            <w:r w:rsidRPr="003A6A50">
              <w:t>Require</w:t>
            </w:r>
            <w:r>
              <w:t>s providers</w:t>
            </w:r>
            <w:r w:rsidRPr="003A6A50">
              <w:t xml:space="preserve"> to share data</w:t>
            </w:r>
            <w:r>
              <w:t>.</w:t>
            </w:r>
          </w:p>
          <w:p w14:paraId="6F358C5D" w14:textId="77777777" w:rsidR="00685318" w:rsidRPr="003A6A50" w:rsidRDefault="00685318" w:rsidP="00685318">
            <w:pPr>
              <w:pStyle w:val="Tablebulletx"/>
            </w:pPr>
            <w:r w:rsidRPr="003A6A50">
              <w:t>Reduce</w:t>
            </w:r>
            <w:r>
              <w:t>s</w:t>
            </w:r>
            <w:r w:rsidRPr="003A6A50">
              <w:t xml:space="preserve"> manual input</w:t>
            </w:r>
            <w:r>
              <w:t>.</w:t>
            </w:r>
            <w:r w:rsidRPr="003A6A50">
              <w:t xml:space="preserve"> </w:t>
            </w:r>
          </w:p>
          <w:p w14:paraId="7456BA4D" w14:textId="77777777" w:rsidR="00685318" w:rsidRPr="003A6A50" w:rsidRDefault="00685318" w:rsidP="00BA5306">
            <w:pPr>
              <w:tabs>
                <w:tab w:val="left" w:pos="710"/>
              </w:tabs>
              <w:spacing w:before="60" w:after="60"/>
              <w:ind w:left="-43"/>
              <w:rPr>
                <w:rFonts w:asciiTheme="minorHAnsi" w:hAnsiTheme="minorHAnsi" w:cstheme="minorHAnsi"/>
                <w:sz w:val="20"/>
              </w:rPr>
            </w:pPr>
          </w:p>
        </w:tc>
      </w:tr>
      <w:tr w:rsidR="00E929E2" w:rsidRPr="003A6A50" w14:paraId="7BD36F44" w14:textId="77777777" w:rsidTr="00A473C9">
        <w:tc>
          <w:tcPr>
            <w:tcW w:w="1560" w:type="dxa"/>
            <w:shd w:val="clear" w:color="auto" w:fill="F2F2F2" w:themeFill="background1" w:themeFillShade="F2"/>
            <w:vAlign w:val="center"/>
          </w:tcPr>
          <w:p w14:paraId="3C70C145" w14:textId="77777777" w:rsidR="00685318" w:rsidRPr="00685318" w:rsidRDefault="00685318" w:rsidP="00685318">
            <w:pPr>
              <w:pStyle w:val="TableText"/>
              <w:rPr>
                <w:b/>
                <w:bCs/>
              </w:rPr>
            </w:pPr>
            <w:r w:rsidRPr="00685318">
              <w:rPr>
                <w:b/>
                <w:bCs/>
              </w:rPr>
              <w:t>Commissioners</w:t>
            </w:r>
          </w:p>
        </w:tc>
        <w:tc>
          <w:tcPr>
            <w:tcW w:w="3543" w:type="dxa"/>
            <w:shd w:val="clear" w:color="auto" w:fill="FFFFFF" w:themeFill="background1"/>
            <w:vAlign w:val="center"/>
          </w:tcPr>
          <w:p w14:paraId="4CB33973" w14:textId="77777777" w:rsidR="00685318" w:rsidRPr="003A6A50" w:rsidRDefault="00685318" w:rsidP="0064519C">
            <w:pPr>
              <w:pStyle w:val="Tablebulletx"/>
            </w:pPr>
            <w:r>
              <w:t>Rarely</w:t>
            </w:r>
            <w:r w:rsidRPr="003A6A50">
              <w:t xml:space="preserve"> use</w:t>
            </w:r>
            <w:r>
              <w:t>s</w:t>
            </w:r>
            <w:r w:rsidRPr="003A6A50">
              <w:t xml:space="preserve"> theories of change at the design stage</w:t>
            </w:r>
            <w:r>
              <w:t>,</w:t>
            </w:r>
            <w:r w:rsidRPr="003A6A50">
              <w:t xml:space="preserve"> mak</w:t>
            </w:r>
            <w:r>
              <w:t>ing</w:t>
            </w:r>
            <w:r w:rsidRPr="003A6A50">
              <w:t xml:space="preserve"> it harder to translate key requirements into the contract</w:t>
            </w:r>
            <w:r>
              <w:t>.</w:t>
            </w:r>
          </w:p>
          <w:p w14:paraId="12AFD243" w14:textId="77777777" w:rsidR="00685318" w:rsidRPr="003A6A50" w:rsidRDefault="00685318" w:rsidP="0064519C">
            <w:pPr>
              <w:pStyle w:val="Tablebulletx"/>
            </w:pPr>
            <w:r>
              <w:t>Conducts l</w:t>
            </w:r>
            <w:r w:rsidRPr="003A6A50">
              <w:t>imited research on what contractual levers support:</w:t>
            </w:r>
          </w:p>
          <w:p w14:paraId="7E2213E0" w14:textId="77777777" w:rsidR="00685318" w:rsidRPr="003A6A50" w:rsidRDefault="00685318" w:rsidP="0064519C">
            <w:pPr>
              <w:pStyle w:val="Tablebulletx2"/>
            </w:pPr>
            <w:r w:rsidRPr="003A6A50">
              <w:t>provider performance</w:t>
            </w:r>
          </w:p>
          <w:p w14:paraId="7C6179C6" w14:textId="77777777" w:rsidR="00685318" w:rsidRPr="003A6A50" w:rsidRDefault="00685318" w:rsidP="0064519C">
            <w:pPr>
              <w:pStyle w:val="Tablebulletx"/>
              <w:numPr>
                <w:ilvl w:val="0"/>
                <w:numId w:val="17"/>
              </w:numPr>
              <w:tabs>
                <w:tab w:val="clear" w:pos="360"/>
                <w:tab w:val="num" w:pos="655"/>
              </w:tabs>
              <w:ind w:left="655" w:hanging="263"/>
            </w:pPr>
            <w:r w:rsidRPr="003A6A50">
              <w:t xml:space="preserve">better outcomes </w:t>
            </w:r>
            <w:r w:rsidRPr="00947CA0">
              <w:rPr>
                <w:bCs w:val="0"/>
              </w:rPr>
              <w:t xml:space="preserve">for </w:t>
            </w:r>
            <w:r w:rsidRPr="003A6A50">
              <w:t>whānau</w:t>
            </w:r>
            <w:r>
              <w:t>.</w:t>
            </w:r>
          </w:p>
          <w:p w14:paraId="42899571" w14:textId="77777777" w:rsidR="00685318" w:rsidRPr="003A6A50" w:rsidRDefault="00685318" w:rsidP="0064519C">
            <w:pPr>
              <w:pStyle w:val="Tablebulletx"/>
            </w:pPr>
            <w:r>
              <w:t>Collects d</w:t>
            </w:r>
            <w:r w:rsidRPr="003A6A50">
              <w:t xml:space="preserve">ata </w:t>
            </w:r>
            <w:r>
              <w:t xml:space="preserve">that </w:t>
            </w:r>
            <w:r w:rsidRPr="003A6A50">
              <w:t>does not provide insights on variations</w:t>
            </w:r>
            <w:r>
              <w:t>.</w:t>
            </w:r>
          </w:p>
          <w:p w14:paraId="3336FB46" w14:textId="77777777" w:rsidR="00685318" w:rsidRPr="003A6A50" w:rsidRDefault="00685318" w:rsidP="0064519C">
            <w:pPr>
              <w:pStyle w:val="Tablebulletx"/>
            </w:pPr>
            <w:r>
              <w:t>Collects d</w:t>
            </w:r>
            <w:r w:rsidRPr="003A6A50">
              <w:t xml:space="preserve">ata </w:t>
            </w:r>
            <w:r>
              <w:t xml:space="preserve">that </w:t>
            </w:r>
            <w:r w:rsidRPr="003A6A50">
              <w:t>does not support continuous improvement</w:t>
            </w:r>
            <w:r>
              <w:t>.</w:t>
            </w:r>
          </w:p>
          <w:p w14:paraId="5F52837F" w14:textId="77777777" w:rsidR="00685318" w:rsidRPr="003A6A50" w:rsidRDefault="00685318" w:rsidP="0064519C">
            <w:pPr>
              <w:pStyle w:val="Tablebulletx"/>
            </w:pPr>
            <w:r>
              <w:t xml:space="preserve">Fails to gain </w:t>
            </w:r>
            <w:r w:rsidRPr="003A6A50">
              <w:t>understanding of the end-to-end commissioning process</w:t>
            </w:r>
            <w:r>
              <w:t>.</w:t>
            </w:r>
          </w:p>
          <w:p w14:paraId="7B8B7B85" w14:textId="77777777" w:rsidR="00685318" w:rsidRPr="003A6A50" w:rsidRDefault="00685318" w:rsidP="0064519C">
            <w:pPr>
              <w:pStyle w:val="Tablebulletx"/>
            </w:pPr>
            <w:r>
              <w:t>Has a l</w:t>
            </w:r>
            <w:r w:rsidRPr="003A6A50">
              <w:t>imited</w:t>
            </w:r>
            <w:r>
              <w:t xml:space="preserve"> number of staff who have</w:t>
            </w:r>
            <w:r w:rsidRPr="003A6A50">
              <w:t xml:space="preserve"> the range of technical and engagement skills to commission well</w:t>
            </w:r>
            <w:r>
              <w:t>.</w:t>
            </w:r>
          </w:p>
        </w:tc>
        <w:tc>
          <w:tcPr>
            <w:tcW w:w="3544" w:type="dxa"/>
            <w:shd w:val="clear" w:color="auto" w:fill="FFFFFF" w:themeFill="background1"/>
          </w:tcPr>
          <w:p w14:paraId="310E9C19" w14:textId="41668A11" w:rsidR="00685318" w:rsidRPr="003A6A50" w:rsidRDefault="00685318" w:rsidP="00685318">
            <w:pPr>
              <w:pStyle w:val="Tablebulletx"/>
              <w:rPr>
                <w:lang w:eastAsia="en-NZ"/>
              </w:rPr>
            </w:pPr>
            <w:r>
              <w:rPr>
                <w:lang w:eastAsia="en-NZ"/>
              </w:rPr>
              <w:t>Actively reviews m</w:t>
            </w:r>
            <w:r w:rsidRPr="003A6A50">
              <w:rPr>
                <w:lang w:eastAsia="en-NZ"/>
              </w:rPr>
              <w:t>onitoring reports and use</w:t>
            </w:r>
            <w:r>
              <w:rPr>
                <w:lang w:eastAsia="en-NZ"/>
              </w:rPr>
              <w:t>s them</w:t>
            </w:r>
            <w:r w:rsidRPr="003A6A50">
              <w:rPr>
                <w:lang w:eastAsia="en-NZ"/>
              </w:rPr>
              <w:t xml:space="preserve"> to support continuous improvement for service design, delivery and commissioning processes.</w:t>
            </w:r>
          </w:p>
          <w:p w14:paraId="18872B73" w14:textId="77777777" w:rsidR="00685318" w:rsidRPr="003A6A50" w:rsidRDefault="00685318" w:rsidP="00685318">
            <w:pPr>
              <w:pStyle w:val="Tablebulletx"/>
              <w:rPr>
                <w:lang w:eastAsia="en-NZ"/>
              </w:rPr>
            </w:pPr>
            <w:r>
              <w:rPr>
                <w:lang w:eastAsia="en-NZ"/>
              </w:rPr>
              <w:t>Develops w</w:t>
            </w:r>
            <w:r w:rsidRPr="003A6A50">
              <w:rPr>
                <w:lang w:eastAsia="en-NZ"/>
              </w:rPr>
              <w:t>orkforce capability</w:t>
            </w:r>
            <w:r>
              <w:rPr>
                <w:lang w:eastAsia="en-NZ"/>
              </w:rPr>
              <w:t xml:space="preserve"> and provides</w:t>
            </w:r>
            <w:r w:rsidRPr="003A6A50">
              <w:rPr>
                <w:lang w:eastAsia="en-NZ"/>
              </w:rPr>
              <w:t xml:space="preserve"> training</w:t>
            </w:r>
            <w:r>
              <w:rPr>
                <w:lang w:eastAsia="en-NZ"/>
              </w:rPr>
              <w:t>.</w:t>
            </w:r>
            <w:r w:rsidRPr="003A6A50">
              <w:rPr>
                <w:lang w:eastAsia="en-NZ"/>
              </w:rPr>
              <w:t xml:space="preserve"> </w:t>
            </w:r>
          </w:p>
          <w:p w14:paraId="087B4359" w14:textId="318F019D" w:rsidR="00685318" w:rsidRPr="00E929E2" w:rsidRDefault="00685318" w:rsidP="00E929E2">
            <w:pPr>
              <w:pStyle w:val="Tablebulletx"/>
              <w:rPr>
                <w:lang w:eastAsia="en-NZ"/>
              </w:rPr>
            </w:pPr>
            <w:r w:rsidRPr="003A6A50">
              <w:rPr>
                <w:lang w:eastAsia="en-NZ"/>
              </w:rPr>
              <w:t>Support</w:t>
            </w:r>
            <w:r>
              <w:rPr>
                <w:lang w:eastAsia="en-NZ"/>
              </w:rPr>
              <w:t>s</w:t>
            </w:r>
            <w:r w:rsidRPr="003A6A50">
              <w:rPr>
                <w:lang w:eastAsia="en-NZ"/>
              </w:rPr>
              <w:t xml:space="preserve"> a learning culture and </w:t>
            </w:r>
            <w:r w:rsidR="00B377E8">
              <w:rPr>
                <w:lang w:eastAsia="en-NZ"/>
              </w:rPr>
              <w:t xml:space="preserve">is proactive and </w:t>
            </w:r>
            <w:r w:rsidR="00A473C9">
              <w:t xml:space="preserve">upfront in responding to </w:t>
            </w:r>
            <w:r w:rsidR="00B377E8">
              <w:t xml:space="preserve">any </w:t>
            </w:r>
            <w:r w:rsidR="00A473C9">
              <w:t>criticism</w:t>
            </w:r>
            <w:r w:rsidR="00A473C9" w:rsidRPr="003A6A50" w:rsidDel="00A473C9">
              <w:rPr>
                <w:lang w:eastAsia="en-NZ"/>
              </w:rPr>
              <w:t xml:space="preserve"> </w:t>
            </w:r>
            <w:r w:rsidR="00B377E8">
              <w:rPr>
                <w:lang w:eastAsia="en-NZ"/>
              </w:rPr>
              <w:t>of new ideas.</w:t>
            </w:r>
          </w:p>
        </w:tc>
      </w:tr>
      <w:tr w:rsidR="00E929E2" w:rsidRPr="003A6A50" w14:paraId="163CB1D8" w14:textId="77777777" w:rsidTr="00E929E2">
        <w:trPr>
          <w:trHeight w:val="946"/>
        </w:trPr>
        <w:tc>
          <w:tcPr>
            <w:tcW w:w="1560" w:type="dxa"/>
            <w:shd w:val="clear" w:color="auto" w:fill="F2F2F2" w:themeFill="background1" w:themeFillShade="F2"/>
            <w:vAlign w:val="center"/>
          </w:tcPr>
          <w:p w14:paraId="79607DE8" w14:textId="77777777" w:rsidR="00685318" w:rsidRPr="00685318" w:rsidRDefault="00685318" w:rsidP="00685318">
            <w:pPr>
              <w:pStyle w:val="TableText"/>
              <w:rPr>
                <w:b/>
                <w:bCs/>
              </w:rPr>
            </w:pPr>
            <w:r w:rsidRPr="00685318">
              <w:rPr>
                <w:b/>
                <w:bCs/>
              </w:rPr>
              <w:t>System conditions</w:t>
            </w:r>
          </w:p>
        </w:tc>
        <w:tc>
          <w:tcPr>
            <w:tcW w:w="3543" w:type="dxa"/>
            <w:shd w:val="clear" w:color="auto" w:fill="FFFFFF" w:themeFill="background1"/>
          </w:tcPr>
          <w:p w14:paraId="05CB3761" w14:textId="77777777" w:rsidR="00685318" w:rsidRPr="003A6A50" w:rsidRDefault="00685318" w:rsidP="00685318">
            <w:pPr>
              <w:pStyle w:val="Tablebulletx"/>
              <w:rPr>
                <w:lang w:eastAsia="en-NZ"/>
              </w:rPr>
            </w:pPr>
            <w:r>
              <w:rPr>
                <w:lang w:eastAsia="en-NZ"/>
              </w:rPr>
              <w:t>Does not</w:t>
            </w:r>
            <w:r w:rsidRPr="003A6A50">
              <w:rPr>
                <w:lang w:eastAsia="en-NZ"/>
              </w:rPr>
              <w:t xml:space="preserve"> active</w:t>
            </w:r>
            <w:r>
              <w:rPr>
                <w:lang w:eastAsia="en-NZ"/>
              </w:rPr>
              <w:t>ly shape the</w:t>
            </w:r>
            <w:r w:rsidRPr="003A6A50">
              <w:rPr>
                <w:lang w:eastAsia="en-NZ"/>
              </w:rPr>
              <w:t xml:space="preserve"> market for Māori health providers</w:t>
            </w:r>
            <w:r>
              <w:rPr>
                <w:lang w:eastAsia="en-NZ"/>
              </w:rPr>
              <w:t>.</w:t>
            </w:r>
          </w:p>
          <w:p w14:paraId="60182EB9" w14:textId="77777777" w:rsidR="00685318" w:rsidRPr="003A6A50" w:rsidRDefault="00685318" w:rsidP="00685318">
            <w:pPr>
              <w:pStyle w:val="Tablebulletx"/>
              <w:rPr>
                <w:lang w:eastAsia="en-NZ"/>
              </w:rPr>
            </w:pPr>
            <w:r>
              <w:rPr>
                <w:lang w:eastAsia="en-NZ"/>
              </w:rPr>
              <w:t>Has a l</w:t>
            </w:r>
            <w:r w:rsidRPr="003A6A50">
              <w:rPr>
                <w:lang w:eastAsia="en-NZ"/>
              </w:rPr>
              <w:t>imited pool of Māori health evaluators</w:t>
            </w:r>
            <w:r>
              <w:rPr>
                <w:lang w:eastAsia="en-NZ"/>
              </w:rPr>
              <w:t>.</w:t>
            </w:r>
          </w:p>
        </w:tc>
        <w:tc>
          <w:tcPr>
            <w:tcW w:w="3544" w:type="dxa"/>
            <w:shd w:val="clear" w:color="auto" w:fill="FFFFFF" w:themeFill="background1"/>
          </w:tcPr>
          <w:p w14:paraId="1D81C3AE" w14:textId="68D9CF8D" w:rsidR="00685318" w:rsidRPr="003A6A50" w:rsidRDefault="00685318" w:rsidP="0064519C">
            <w:pPr>
              <w:pStyle w:val="Tablebulletx"/>
            </w:pPr>
            <w:r w:rsidRPr="003A6A50">
              <w:t>Active</w:t>
            </w:r>
            <w:r>
              <w:t>ly shapes the</w:t>
            </w:r>
            <w:r w:rsidRPr="003A6A50">
              <w:t xml:space="preserve"> market of Māori health providers, in partnership with the social sector</w:t>
            </w:r>
            <w:r>
              <w:t>.</w:t>
            </w:r>
          </w:p>
        </w:tc>
      </w:tr>
    </w:tbl>
    <w:p w14:paraId="5CC03F46" w14:textId="77777777" w:rsidR="00685318" w:rsidRPr="00685318" w:rsidRDefault="00685318" w:rsidP="00685318">
      <w:pPr>
        <w:rPr>
          <w:lang w:eastAsia="en-GB"/>
        </w:rPr>
      </w:pPr>
    </w:p>
    <w:p w14:paraId="21E2F996" w14:textId="77777777" w:rsidR="00466E1F" w:rsidRDefault="00466E1F" w:rsidP="00E929E2"/>
    <w:p w14:paraId="3CEB7649" w14:textId="28BE26CB" w:rsidR="00466E1F" w:rsidRDefault="00466E1F" w:rsidP="003079E7">
      <w:pPr>
        <w:pStyle w:val="Heading1-nonumbering"/>
        <w:sectPr w:rsidR="00466E1F" w:rsidSect="00C345BC">
          <w:pgSz w:w="11906" w:h="16838"/>
          <w:pgMar w:top="2778" w:right="1701" w:bottom="454" w:left="1701" w:header="567" w:footer="567" w:gutter="0"/>
          <w:cols w:space="708"/>
          <w:titlePg/>
          <w:docGrid w:linePitch="360"/>
        </w:sectPr>
      </w:pPr>
    </w:p>
    <w:p w14:paraId="54E37482" w14:textId="34F98F8C" w:rsidR="00E929E2" w:rsidRPr="005506BF" w:rsidRDefault="00E929E2" w:rsidP="009055B4">
      <w:pPr>
        <w:pStyle w:val="Heading3-nonumbering"/>
      </w:pPr>
      <w:r w:rsidRPr="00E929E2">
        <w:lastRenderedPageBreak/>
        <w:t>Sourcing and investing stage</w:t>
      </w:r>
      <w:r w:rsidRPr="007530B0">
        <w:t>: what and how</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E929E2" w:rsidRPr="000C72D2" w14:paraId="3F834C06" w14:textId="77777777" w:rsidTr="00BA5306">
        <w:trPr>
          <w:trHeight w:val="50"/>
        </w:trPr>
        <w:tc>
          <w:tcPr>
            <w:tcW w:w="567" w:type="dxa"/>
          </w:tcPr>
          <w:p w14:paraId="58E7610E" w14:textId="77777777" w:rsidR="00E929E2" w:rsidRPr="000C72D2" w:rsidRDefault="00E929E2" w:rsidP="009055B4">
            <w:pPr>
              <w:pStyle w:val="0RULE"/>
            </w:pPr>
          </w:p>
        </w:tc>
      </w:tr>
    </w:tbl>
    <w:p w14:paraId="2B0863BD" w14:textId="6504AC0C" w:rsidR="00E929E2" w:rsidRDefault="00E929E2" w:rsidP="00925E36">
      <w:pPr>
        <w:pStyle w:val="Heading4"/>
      </w:pPr>
      <w:r>
        <w:t>Aim</w:t>
      </w:r>
    </w:p>
    <w:p w14:paraId="7BE7102A" w14:textId="516FBE70" w:rsidR="00E929E2" w:rsidRPr="00BE6C08" w:rsidRDefault="00E929E2" w:rsidP="00E929E2">
      <w:pPr>
        <w:pStyle w:val="NormalIndent1"/>
        <w:rPr>
          <w:color w:val="auto"/>
          <w:sz w:val="28"/>
          <w:szCs w:val="28"/>
        </w:rPr>
      </w:pPr>
      <w:r w:rsidRPr="00BE6C08">
        <w:rPr>
          <w:color w:val="auto"/>
          <w:sz w:val="28"/>
          <w:szCs w:val="28"/>
        </w:rPr>
        <w:t>To find the right provider to deliver the service or support, using contract requirements to ensure that what is delivered ‘works for whānau’ and is a good use of public funds.</w:t>
      </w:r>
    </w:p>
    <w:p w14:paraId="7EDD2D57" w14:textId="70510B0D" w:rsidR="00BA5306" w:rsidRPr="005506BF" w:rsidRDefault="00BA5306" w:rsidP="009055B4">
      <w:pPr>
        <w:pStyle w:val="Heading3-nonumbering"/>
      </w:pPr>
      <w:r w:rsidRPr="00BA5306">
        <w:t>Costing and pricing</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BA5306" w:rsidRPr="000C72D2" w14:paraId="4C04A7F5" w14:textId="77777777" w:rsidTr="00BA5306">
        <w:trPr>
          <w:trHeight w:val="50"/>
        </w:trPr>
        <w:tc>
          <w:tcPr>
            <w:tcW w:w="567" w:type="dxa"/>
          </w:tcPr>
          <w:p w14:paraId="0621714F" w14:textId="77777777" w:rsidR="00BA5306" w:rsidRPr="000C72D2" w:rsidRDefault="00BA5306" w:rsidP="009055B4">
            <w:pPr>
              <w:pStyle w:val="0RULE"/>
            </w:pPr>
          </w:p>
        </w:tc>
      </w:tr>
    </w:tbl>
    <w:p w14:paraId="29018653" w14:textId="59E630A6" w:rsidR="00E929E2" w:rsidRDefault="0064519C" w:rsidP="00E929E2">
      <w:pPr>
        <w:pStyle w:val="NormalwIndent"/>
      </w:pPr>
      <w:r>
        <w:t>To s</w:t>
      </w:r>
      <w:r w:rsidR="00E929E2">
        <w:t>uccessful</w:t>
      </w:r>
      <w:r>
        <w:t>ly</w:t>
      </w:r>
      <w:r w:rsidR="00E929E2">
        <w:t xml:space="preserve"> construct cost models</w:t>
      </w:r>
      <w:r>
        <w:t>,</w:t>
      </w:r>
      <w:r w:rsidR="00E929E2">
        <w:t xml:space="preserve"> </w:t>
      </w:r>
      <w:r>
        <w:t>funders and providers of services</w:t>
      </w:r>
      <w:r w:rsidDel="0064519C">
        <w:t xml:space="preserve"> </w:t>
      </w:r>
      <w:r>
        <w:t xml:space="preserve">need </w:t>
      </w:r>
      <w:r w:rsidR="00E929E2">
        <w:t xml:space="preserve">high trust and transparency. </w:t>
      </w:r>
      <w:r w:rsidR="003716F6">
        <w:t>When</w:t>
      </w:r>
      <w:r w:rsidR="00E929E2">
        <w:t xml:space="preserve"> construct</w:t>
      </w:r>
      <w:r w:rsidR="003716F6">
        <w:t>ing</w:t>
      </w:r>
      <w:r w:rsidR="00E929E2">
        <w:t xml:space="preserve"> these models within a ‘dual monopoly’ (often with peak bod</w:t>
      </w:r>
      <w:r w:rsidR="003716F6">
        <w:t>ies</w:t>
      </w:r>
      <w:r w:rsidR="008777BA">
        <w:t>)</w:t>
      </w:r>
      <w:r w:rsidR="001440D8">
        <w:t xml:space="preserve">, </w:t>
      </w:r>
      <w:r w:rsidR="00E929E2">
        <w:t>a technical costing approach with high trust and transparency</w:t>
      </w:r>
      <w:r w:rsidR="00B77782">
        <w:t xml:space="preserve"> can </w:t>
      </w:r>
      <w:r w:rsidR="00A711BB">
        <w:t xml:space="preserve">often </w:t>
      </w:r>
      <w:r w:rsidR="00B77782">
        <w:t>work</w:t>
      </w:r>
      <w:r w:rsidR="00E929E2">
        <w:t xml:space="preserve"> best. </w:t>
      </w:r>
    </w:p>
    <w:p w14:paraId="3A8AE256" w14:textId="56B45B70" w:rsidR="00E929E2" w:rsidRDefault="00E929E2" w:rsidP="00E929E2">
      <w:pPr>
        <w:pStyle w:val="NormalwIndent"/>
      </w:pPr>
      <w:r>
        <w:t xml:space="preserve">Collaboration between government funders can be very important to identify the true costs across multiple service lines with multiple funders (including private fees and charitable contributions).  </w:t>
      </w:r>
    </w:p>
    <w:p w14:paraId="5F6518C6" w14:textId="6024AD41" w:rsidR="00E929E2" w:rsidRDefault="00E929E2" w:rsidP="00E929E2">
      <w:pPr>
        <w:pStyle w:val="NormalwIndent"/>
      </w:pPr>
      <w:r>
        <w:t xml:space="preserve">Cost models need to explicitly list the types of costs included (ie, all </w:t>
      </w:r>
      <w:r w:rsidR="0064519C">
        <w:t xml:space="preserve">the NGO’s </w:t>
      </w:r>
      <w:r>
        <w:t>costs of doing business, including return on equity and risk management). The table below describes key considerations when constructing a cost model.</w:t>
      </w:r>
    </w:p>
    <w:p w14:paraId="3D5DDE9D" w14:textId="77777777" w:rsidR="00BA5306" w:rsidRDefault="00BA5306" w:rsidP="00E929E2">
      <w:pPr>
        <w:pStyle w:val="NormalwIndent"/>
      </w:pPr>
    </w:p>
    <w:p w14:paraId="32A9DBF8" w14:textId="77777777" w:rsidR="00BA5306" w:rsidRDefault="00BA5306" w:rsidP="00925E36">
      <w:pPr>
        <w:pStyle w:val="Heading4"/>
        <w:sectPr w:rsidR="00BA5306" w:rsidSect="00C345BC">
          <w:pgSz w:w="11906" w:h="16838"/>
          <w:pgMar w:top="2778" w:right="1701" w:bottom="454" w:left="1701" w:header="567" w:footer="567" w:gutter="0"/>
          <w:cols w:space="708"/>
          <w:titlePg/>
          <w:docGrid w:linePitch="360"/>
        </w:sectPr>
      </w:pPr>
    </w:p>
    <w:p w14:paraId="62C2D7D1" w14:textId="0D3E8610" w:rsidR="00BA5306" w:rsidRDefault="00BA5306" w:rsidP="003939AD">
      <w:pPr>
        <w:pStyle w:val="Heading4"/>
        <w:spacing w:before="0"/>
      </w:pPr>
      <w:r w:rsidRPr="00BA5306">
        <w:lastRenderedPageBreak/>
        <w:t>Considerations when constructing a cost model</w:t>
      </w:r>
    </w:p>
    <w:p w14:paraId="61C73934" w14:textId="77777777" w:rsidR="00BA5306" w:rsidRPr="00BA5306" w:rsidRDefault="00BA5306" w:rsidP="00BA5306">
      <w:pPr>
        <w:rPr>
          <w:lang w:eastAsia="en-GB"/>
        </w:rPr>
      </w:pPr>
    </w:p>
    <w:tbl>
      <w:tblPr>
        <w:tblStyle w:val="TableGrid"/>
        <w:tblW w:w="8662" w:type="dxa"/>
        <w:tblInd w:w="-15"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695"/>
        <w:gridCol w:w="6967"/>
      </w:tblGrid>
      <w:tr w:rsidR="00E33AED" w:rsidRPr="003A6A50" w14:paraId="2D8DF799" w14:textId="77777777" w:rsidTr="00B52EAA">
        <w:trPr>
          <w:trHeight w:val="467"/>
        </w:trPr>
        <w:tc>
          <w:tcPr>
            <w:tcW w:w="1695" w:type="dxa"/>
            <w:shd w:val="clear" w:color="auto" w:fill="F2F2F2" w:themeFill="background1" w:themeFillShade="F2"/>
            <w:vAlign w:val="center"/>
          </w:tcPr>
          <w:p w14:paraId="46B3F18D" w14:textId="4EEDF980" w:rsidR="0064519C" w:rsidRPr="00BA5306" w:rsidRDefault="0064519C" w:rsidP="00BA5306">
            <w:pPr>
              <w:pStyle w:val="TableText"/>
              <w:spacing w:before="80" w:after="80"/>
              <w:rPr>
                <w:b/>
              </w:rPr>
            </w:pPr>
            <w:r>
              <w:rPr>
                <w:b/>
              </w:rPr>
              <w:t>Factor to consider</w:t>
            </w:r>
          </w:p>
        </w:tc>
        <w:tc>
          <w:tcPr>
            <w:tcW w:w="6967" w:type="dxa"/>
            <w:shd w:val="clear" w:color="auto" w:fill="F2F2F2" w:themeFill="background1" w:themeFillShade="F2"/>
            <w:vAlign w:val="center"/>
          </w:tcPr>
          <w:p w14:paraId="00468CA3" w14:textId="05645F2D" w:rsidR="0064519C" w:rsidRPr="00B52EAA" w:rsidRDefault="00E04CE3" w:rsidP="0064519C">
            <w:pPr>
              <w:pStyle w:val="TableText"/>
              <w:spacing w:before="80" w:after="80"/>
              <w:rPr>
                <w:rFonts w:cstheme="minorHAnsi"/>
                <w:b/>
                <w:bCs/>
                <w:lang w:eastAsia="en-NZ"/>
              </w:rPr>
            </w:pPr>
            <w:r>
              <w:rPr>
                <w:rFonts w:cstheme="minorHAnsi"/>
                <w:b/>
                <w:bCs/>
                <w:lang w:eastAsia="en-NZ"/>
              </w:rPr>
              <w:t>Cost model requirements</w:t>
            </w:r>
          </w:p>
        </w:tc>
      </w:tr>
      <w:tr w:rsidR="00E33AED" w:rsidRPr="003A6A50" w14:paraId="6B66B776" w14:textId="77777777" w:rsidTr="00BA5306">
        <w:trPr>
          <w:trHeight w:val="467"/>
        </w:trPr>
        <w:tc>
          <w:tcPr>
            <w:tcW w:w="1695" w:type="dxa"/>
            <w:shd w:val="clear" w:color="auto" w:fill="F2F2F2" w:themeFill="background1" w:themeFillShade="F2"/>
            <w:vAlign w:val="center"/>
          </w:tcPr>
          <w:p w14:paraId="4AAF2C4F" w14:textId="77777777" w:rsidR="00BA5306" w:rsidRPr="00BA5306" w:rsidRDefault="00BA5306" w:rsidP="00BA5306">
            <w:pPr>
              <w:pStyle w:val="TableText"/>
              <w:spacing w:before="80" w:after="80"/>
              <w:rPr>
                <w:b/>
              </w:rPr>
            </w:pPr>
            <w:r w:rsidRPr="00BA5306">
              <w:rPr>
                <w:b/>
              </w:rPr>
              <w:t>Range of costs</w:t>
            </w:r>
          </w:p>
        </w:tc>
        <w:tc>
          <w:tcPr>
            <w:tcW w:w="6967" w:type="dxa"/>
            <w:shd w:val="clear" w:color="auto" w:fill="FFFFFF" w:themeFill="background1"/>
          </w:tcPr>
          <w:p w14:paraId="3D43C198" w14:textId="77777777" w:rsidR="00BA5306" w:rsidRPr="003A6A50" w:rsidRDefault="00BA5306" w:rsidP="00BA5306">
            <w:pPr>
              <w:pStyle w:val="TableText"/>
              <w:spacing w:before="80" w:after="80"/>
              <w:rPr>
                <w:rFonts w:cstheme="minorHAnsi"/>
                <w:lang w:eastAsia="en-NZ"/>
              </w:rPr>
            </w:pPr>
            <w:r w:rsidRPr="003A6A50">
              <w:rPr>
                <w:rFonts w:cstheme="minorHAnsi"/>
                <w:lang w:eastAsia="en-NZ"/>
              </w:rPr>
              <w:t>Cost models need to cover the full range of costs (labour, consumables, capital and reasonable return on equity).</w:t>
            </w:r>
          </w:p>
        </w:tc>
      </w:tr>
      <w:tr w:rsidR="00E33AED" w:rsidRPr="003A6A50" w14:paraId="6C504D40" w14:textId="77777777" w:rsidTr="00BA5306">
        <w:trPr>
          <w:trHeight w:val="467"/>
        </w:trPr>
        <w:tc>
          <w:tcPr>
            <w:tcW w:w="1695" w:type="dxa"/>
            <w:shd w:val="clear" w:color="auto" w:fill="F2F2F2" w:themeFill="background1" w:themeFillShade="F2"/>
            <w:vAlign w:val="center"/>
          </w:tcPr>
          <w:p w14:paraId="5E992280" w14:textId="77777777" w:rsidR="00BA5306" w:rsidRPr="00BA5306" w:rsidRDefault="00BA5306" w:rsidP="00BA5306">
            <w:pPr>
              <w:pStyle w:val="TableText"/>
              <w:spacing w:before="80" w:after="80"/>
              <w:rPr>
                <w:b/>
              </w:rPr>
            </w:pPr>
            <w:r w:rsidRPr="00BA5306">
              <w:rPr>
                <w:b/>
              </w:rPr>
              <w:t>Variability in need</w:t>
            </w:r>
          </w:p>
        </w:tc>
        <w:tc>
          <w:tcPr>
            <w:tcW w:w="6967" w:type="dxa"/>
            <w:shd w:val="clear" w:color="auto" w:fill="FFFFFF" w:themeFill="background1"/>
          </w:tcPr>
          <w:p w14:paraId="33CD736C" w14:textId="0D3B0C0D" w:rsidR="00BA5306" w:rsidRPr="003A6A50" w:rsidRDefault="00BA5306" w:rsidP="00BA5306">
            <w:pPr>
              <w:pStyle w:val="TableText"/>
              <w:spacing w:before="80" w:after="80"/>
              <w:rPr>
                <w:rFonts w:cstheme="minorHAnsi"/>
                <w:lang w:eastAsia="en-NZ"/>
              </w:rPr>
            </w:pPr>
            <w:r w:rsidRPr="003A6A50">
              <w:rPr>
                <w:rFonts w:cstheme="minorHAnsi"/>
                <w:lang w:eastAsia="en-NZ"/>
              </w:rPr>
              <w:t xml:space="preserve">Cost models need to reflect </w:t>
            </w:r>
            <w:r>
              <w:rPr>
                <w:rFonts w:cstheme="minorHAnsi"/>
                <w:lang w:eastAsia="en-NZ"/>
              </w:rPr>
              <w:t>that consumers vary</w:t>
            </w:r>
            <w:r w:rsidRPr="003A6A50">
              <w:rPr>
                <w:rFonts w:cstheme="minorHAnsi"/>
                <w:lang w:eastAsia="en-NZ"/>
              </w:rPr>
              <w:t xml:space="preserve"> in </w:t>
            </w:r>
            <w:r>
              <w:rPr>
                <w:rFonts w:cstheme="minorHAnsi"/>
                <w:lang w:eastAsia="en-NZ"/>
              </w:rPr>
              <w:t xml:space="preserve">their </w:t>
            </w:r>
            <w:r w:rsidRPr="003A6A50">
              <w:rPr>
                <w:rFonts w:cstheme="minorHAnsi"/>
                <w:lang w:eastAsia="en-NZ"/>
              </w:rPr>
              <w:t>service need</w:t>
            </w:r>
            <w:r w:rsidR="00D03D76">
              <w:rPr>
                <w:rFonts w:cstheme="minorHAnsi"/>
                <w:lang w:eastAsia="en-NZ"/>
              </w:rPr>
              <w:t>s</w:t>
            </w:r>
            <w:r w:rsidRPr="003A6A50">
              <w:rPr>
                <w:rFonts w:cstheme="minorHAnsi"/>
                <w:lang w:eastAsia="en-NZ"/>
              </w:rPr>
              <w:t>. At some level</w:t>
            </w:r>
            <w:r>
              <w:rPr>
                <w:rFonts w:cstheme="minorHAnsi"/>
                <w:lang w:eastAsia="en-NZ"/>
              </w:rPr>
              <w:t>,</w:t>
            </w:r>
            <w:r w:rsidRPr="003A6A50">
              <w:rPr>
                <w:rFonts w:cstheme="minorHAnsi"/>
                <w:lang w:eastAsia="en-NZ"/>
              </w:rPr>
              <w:t xml:space="preserve"> all cost models will generate an average cost per output or service. However</w:t>
            </w:r>
            <w:r>
              <w:rPr>
                <w:rFonts w:cstheme="minorHAnsi"/>
                <w:lang w:eastAsia="en-NZ"/>
              </w:rPr>
              <w:t>,</w:t>
            </w:r>
            <w:r w:rsidRPr="003A6A50">
              <w:rPr>
                <w:rFonts w:cstheme="minorHAnsi"/>
                <w:lang w:eastAsia="en-NZ"/>
              </w:rPr>
              <w:t xml:space="preserve"> this average is always made up of a distribution of individual cost observations across the consumer group.  </w:t>
            </w:r>
          </w:p>
          <w:p w14:paraId="6BD1D7CA" w14:textId="2F628B2F" w:rsidR="00BA5306" w:rsidRPr="003A6A50" w:rsidRDefault="00BA5306" w:rsidP="00BA5306">
            <w:pPr>
              <w:pStyle w:val="TableText"/>
              <w:spacing w:before="80" w:after="80"/>
              <w:rPr>
                <w:rFonts w:cstheme="minorHAnsi"/>
                <w:lang w:eastAsia="en-NZ"/>
              </w:rPr>
            </w:pPr>
            <w:r w:rsidRPr="003A6A50">
              <w:rPr>
                <w:rFonts w:cstheme="minorHAnsi"/>
                <w:lang w:eastAsia="en-NZ"/>
              </w:rPr>
              <w:t xml:space="preserve">Understanding this distribution is important. </w:t>
            </w:r>
            <w:r w:rsidR="00E04CE3">
              <w:rPr>
                <w:rFonts w:cstheme="minorHAnsi"/>
                <w:lang w:eastAsia="en-NZ"/>
              </w:rPr>
              <w:t>It can mean that one</w:t>
            </w:r>
            <w:r w:rsidRPr="003A6A50">
              <w:rPr>
                <w:rFonts w:cstheme="minorHAnsi"/>
                <w:lang w:eastAsia="en-NZ"/>
              </w:rPr>
              <w:t xml:space="preserve"> provider </w:t>
            </w:r>
            <w:r w:rsidR="00E04CE3" w:rsidRPr="003A6A50">
              <w:rPr>
                <w:rFonts w:cstheme="minorHAnsi"/>
                <w:lang w:eastAsia="en-NZ"/>
              </w:rPr>
              <w:t>ha</w:t>
            </w:r>
            <w:r w:rsidR="00E04CE3">
              <w:rPr>
                <w:rFonts w:cstheme="minorHAnsi"/>
                <w:lang w:eastAsia="en-NZ"/>
              </w:rPr>
              <w:t>s</w:t>
            </w:r>
            <w:r w:rsidR="00E04CE3" w:rsidRPr="003A6A50">
              <w:rPr>
                <w:rFonts w:cstheme="minorHAnsi"/>
                <w:lang w:eastAsia="en-NZ"/>
              </w:rPr>
              <w:t xml:space="preserve"> </w:t>
            </w:r>
            <w:r w:rsidRPr="003A6A50">
              <w:rPr>
                <w:rFonts w:cstheme="minorHAnsi"/>
                <w:lang w:eastAsia="en-NZ"/>
              </w:rPr>
              <w:t xml:space="preserve">a higher average cost than another provider </w:t>
            </w:r>
            <w:r w:rsidR="00E04CE3">
              <w:rPr>
                <w:rFonts w:cstheme="minorHAnsi"/>
                <w:lang w:eastAsia="en-NZ"/>
              </w:rPr>
              <w:t>because</w:t>
            </w:r>
            <w:r w:rsidRPr="003A6A50">
              <w:rPr>
                <w:rFonts w:cstheme="minorHAnsi"/>
                <w:lang w:eastAsia="en-NZ"/>
              </w:rPr>
              <w:t xml:space="preserve"> the service need (often referred to as </w:t>
            </w:r>
            <w:r w:rsidR="001B65DB">
              <w:rPr>
                <w:rFonts w:cstheme="minorHAnsi"/>
                <w:lang w:eastAsia="en-NZ"/>
              </w:rPr>
              <w:t>‘</w:t>
            </w:r>
            <w:r w:rsidRPr="003A6A50">
              <w:rPr>
                <w:rFonts w:cstheme="minorHAnsi"/>
                <w:lang w:eastAsia="en-NZ"/>
              </w:rPr>
              <w:t>patient casemix</w:t>
            </w:r>
            <w:r w:rsidR="001B65DB">
              <w:rPr>
                <w:rFonts w:cstheme="minorHAnsi"/>
                <w:lang w:eastAsia="en-NZ"/>
              </w:rPr>
              <w:t>’</w:t>
            </w:r>
            <w:r w:rsidRPr="003A6A50">
              <w:rPr>
                <w:rFonts w:cstheme="minorHAnsi"/>
                <w:lang w:eastAsia="en-NZ"/>
              </w:rPr>
              <w:t xml:space="preserve"> in the health sector) of their consumers</w:t>
            </w:r>
            <w:r w:rsidR="00E04CE3">
              <w:rPr>
                <w:rFonts w:cstheme="minorHAnsi"/>
                <w:lang w:eastAsia="en-NZ"/>
              </w:rPr>
              <w:t xml:space="preserve"> is higher overall</w:t>
            </w:r>
            <w:r w:rsidRPr="003A6A50">
              <w:rPr>
                <w:rFonts w:cstheme="minorHAnsi"/>
                <w:lang w:eastAsia="en-NZ"/>
              </w:rPr>
              <w:t xml:space="preserve">. This </w:t>
            </w:r>
            <w:r>
              <w:rPr>
                <w:rFonts w:cstheme="minorHAnsi"/>
                <w:lang w:eastAsia="en-NZ"/>
              </w:rPr>
              <w:t>is</w:t>
            </w:r>
            <w:r w:rsidRPr="003A6A50">
              <w:rPr>
                <w:rFonts w:cstheme="minorHAnsi"/>
                <w:lang w:eastAsia="en-NZ"/>
              </w:rPr>
              <w:t xml:space="preserve"> common for providers serving </w:t>
            </w:r>
            <w:r>
              <w:rPr>
                <w:rFonts w:cstheme="minorHAnsi"/>
                <w:lang w:eastAsia="en-NZ"/>
              </w:rPr>
              <w:t>mainly</w:t>
            </w:r>
            <w:r w:rsidRPr="003A6A50">
              <w:rPr>
                <w:rFonts w:cstheme="minorHAnsi"/>
                <w:lang w:eastAsia="en-NZ"/>
              </w:rPr>
              <w:t xml:space="preserve"> Māori and Pacific whānau and other communities</w:t>
            </w:r>
            <w:r>
              <w:rPr>
                <w:rFonts w:cstheme="minorHAnsi"/>
                <w:lang w:eastAsia="en-NZ"/>
              </w:rPr>
              <w:t xml:space="preserve"> that face</w:t>
            </w:r>
            <w:r w:rsidRPr="003A6A50">
              <w:rPr>
                <w:rFonts w:cstheme="minorHAnsi"/>
                <w:lang w:eastAsia="en-NZ"/>
              </w:rPr>
              <w:t xml:space="preserve"> higher cost</w:t>
            </w:r>
            <w:r>
              <w:rPr>
                <w:rFonts w:cstheme="minorHAnsi"/>
                <w:lang w:eastAsia="en-NZ"/>
              </w:rPr>
              <w:t>s</w:t>
            </w:r>
            <w:r w:rsidRPr="003A6A50">
              <w:rPr>
                <w:rFonts w:cstheme="minorHAnsi"/>
                <w:lang w:eastAsia="en-NZ"/>
              </w:rPr>
              <w:t xml:space="preserve"> </w:t>
            </w:r>
            <w:r>
              <w:rPr>
                <w:rFonts w:cstheme="minorHAnsi"/>
                <w:lang w:eastAsia="en-NZ"/>
              </w:rPr>
              <w:t xml:space="preserve">due to </w:t>
            </w:r>
            <w:r w:rsidRPr="003A6A50">
              <w:rPr>
                <w:rFonts w:cstheme="minorHAnsi"/>
                <w:lang w:eastAsia="en-NZ"/>
              </w:rPr>
              <w:t xml:space="preserve">higher economic disadvantage, </w:t>
            </w:r>
            <w:r w:rsidR="00E04CE3">
              <w:rPr>
                <w:rFonts w:cstheme="minorHAnsi"/>
                <w:lang w:eastAsia="en-NZ"/>
              </w:rPr>
              <w:t>lack of</w:t>
            </w:r>
            <w:r w:rsidR="00E04CE3" w:rsidRPr="003A6A50">
              <w:rPr>
                <w:rFonts w:cstheme="minorHAnsi"/>
                <w:lang w:eastAsia="en-NZ"/>
              </w:rPr>
              <w:t xml:space="preserve"> </w:t>
            </w:r>
            <w:r w:rsidRPr="003A6A50">
              <w:rPr>
                <w:rFonts w:cstheme="minorHAnsi"/>
                <w:lang w:eastAsia="en-NZ"/>
              </w:rPr>
              <w:t xml:space="preserve">infrastructure or </w:t>
            </w:r>
            <w:r w:rsidR="001B65DB">
              <w:rPr>
                <w:rFonts w:cstheme="minorHAnsi"/>
                <w:lang w:eastAsia="en-NZ"/>
              </w:rPr>
              <w:t xml:space="preserve">living in </w:t>
            </w:r>
            <w:r w:rsidRPr="003A6A50">
              <w:rPr>
                <w:rFonts w:cstheme="minorHAnsi"/>
                <w:lang w:eastAsia="en-NZ"/>
              </w:rPr>
              <w:t>geographically remote areas.</w:t>
            </w:r>
          </w:p>
        </w:tc>
      </w:tr>
      <w:tr w:rsidR="00E33AED" w:rsidRPr="003A6A50" w14:paraId="7E36C3F9" w14:textId="77777777" w:rsidTr="00BA5306">
        <w:trPr>
          <w:trHeight w:val="467"/>
        </w:trPr>
        <w:tc>
          <w:tcPr>
            <w:tcW w:w="1695" w:type="dxa"/>
            <w:shd w:val="clear" w:color="auto" w:fill="F2F2F2" w:themeFill="background1" w:themeFillShade="F2"/>
            <w:vAlign w:val="center"/>
          </w:tcPr>
          <w:p w14:paraId="5FB08D9A" w14:textId="77777777" w:rsidR="00BA5306" w:rsidRPr="00BA5306" w:rsidRDefault="00BA5306" w:rsidP="00BA5306">
            <w:pPr>
              <w:pStyle w:val="TableText"/>
              <w:spacing w:before="80" w:after="80"/>
              <w:rPr>
                <w:b/>
              </w:rPr>
            </w:pPr>
            <w:r w:rsidRPr="00BA5306">
              <w:rPr>
                <w:b/>
              </w:rPr>
              <w:t>Relative scale and scope across providers</w:t>
            </w:r>
          </w:p>
        </w:tc>
        <w:tc>
          <w:tcPr>
            <w:tcW w:w="6967" w:type="dxa"/>
            <w:shd w:val="clear" w:color="auto" w:fill="FFFFFF" w:themeFill="background1"/>
          </w:tcPr>
          <w:p w14:paraId="133548CE" w14:textId="0084EF20" w:rsidR="00BA5306" w:rsidRPr="003A6A50" w:rsidRDefault="00BA5306" w:rsidP="00BA5306">
            <w:pPr>
              <w:pStyle w:val="TableText"/>
              <w:spacing w:before="80" w:after="80"/>
              <w:rPr>
                <w:rFonts w:cstheme="minorHAnsi"/>
                <w:lang w:eastAsia="en-NZ"/>
              </w:rPr>
            </w:pPr>
            <w:r w:rsidRPr="003A6A50">
              <w:rPr>
                <w:rFonts w:cstheme="minorHAnsi"/>
                <w:lang w:eastAsia="en-NZ"/>
              </w:rPr>
              <w:t>Cost models need to consider relative economies of scale and scope across providers. Often providers serving Māori, Pacific or rural communities will have lower</w:t>
            </w:r>
            <w:r w:rsidR="007631BF">
              <w:rPr>
                <w:rFonts w:cstheme="minorHAnsi"/>
                <w:lang w:eastAsia="en-NZ"/>
              </w:rPr>
              <w:t>-</w:t>
            </w:r>
            <w:r w:rsidRPr="003A6A50">
              <w:rPr>
                <w:rFonts w:cstheme="minorHAnsi"/>
                <w:lang w:eastAsia="en-NZ"/>
              </w:rPr>
              <w:t>scale, higher</w:t>
            </w:r>
            <w:r w:rsidR="007631BF">
              <w:rPr>
                <w:rFonts w:cstheme="minorHAnsi"/>
                <w:lang w:eastAsia="en-NZ"/>
              </w:rPr>
              <w:t>-</w:t>
            </w:r>
            <w:r w:rsidRPr="003A6A50">
              <w:rPr>
                <w:rFonts w:cstheme="minorHAnsi"/>
                <w:lang w:eastAsia="en-NZ"/>
              </w:rPr>
              <w:t xml:space="preserve">development costs, higher costs to retain and attract staff, and higher costs </w:t>
            </w:r>
            <w:r w:rsidR="00C94318">
              <w:rPr>
                <w:rFonts w:cstheme="minorHAnsi"/>
                <w:lang w:eastAsia="en-NZ"/>
              </w:rPr>
              <w:t>in</w:t>
            </w:r>
            <w:r w:rsidRPr="003A6A50">
              <w:rPr>
                <w:rFonts w:cstheme="minorHAnsi"/>
                <w:lang w:eastAsia="en-NZ"/>
              </w:rPr>
              <w:t xml:space="preserve"> providing culturally safe services.</w:t>
            </w:r>
          </w:p>
        </w:tc>
      </w:tr>
      <w:tr w:rsidR="00E33AED" w:rsidRPr="003A6A50" w14:paraId="0834A932" w14:textId="77777777" w:rsidTr="00BA5306">
        <w:trPr>
          <w:trHeight w:val="467"/>
        </w:trPr>
        <w:tc>
          <w:tcPr>
            <w:tcW w:w="1695" w:type="dxa"/>
            <w:shd w:val="clear" w:color="auto" w:fill="F2F2F2" w:themeFill="background1" w:themeFillShade="F2"/>
            <w:vAlign w:val="center"/>
          </w:tcPr>
          <w:p w14:paraId="1609300E" w14:textId="77777777" w:rsidR="00BA5306" w:rsidRPr="00BA5306" w:rsidRDefault="00BA5306" w:rsidP="00BA5306">
            <w:pPr>
              <w:pStyle w:val="TableText"/>
              <w:spacing w:before="80" w:after="80"/>
              <w:rPr>
                <w:b/>
              </w:rPr>
            </w:pPr>
            <w:r w:rsidRPr="00BA5306">
              <w:rPr>
                <w:b/>
              </w:rPr>
              <w:t>Parts of the provider’s business</w:t>
            </w:r>
          </w:p>
        </w:tc>
        <w:tc>
          <w:tcPr>
            <w:tcW w:w="6967" w:type="dxa"/>
            <w:shd w:val="clear" w:color="auto" w:fill="FFFFFF" w:themeFill="background1"/>
          </w:tcPr>
          <w:p w14:paraId="798541A7" w14:textId="77777777" w:rsidR="00BA5306" w:rsidRPr="003A6A50" w:rsidRDefault="00BA5306" w:rsidP="00BA5306">
            <w:pPr>
              <w:pStyle w:val="TableText"/>
              <w:spacing w:before="80" w:after="80"/>
              <w:rPr>
                <w:rFonts w:cstheme="minorHAnsi"/>
                <w:lang w:eastAsia="en-NZ"/>
              </w:rPr>
            </w:pPr>
            <w:r w:rsidRPr="003A6A50">
              <w:rPr>
                <w:rFonts w:cstheme="minorHAnsi"/>
                <w:lang w:eastAsia="en-NZ"/>
              </w:rPr>
              <w:t xml:space="preserve">Cost models often have to </w:t>
            </w:r>
            <w:r>
              <w:rPr>
                <w:rFonts w:cstheme="minorHAnsi"/>
                <w:lang w:eastAsia="en-NZ"/>
              </w:rPr>
              <w:t>distinguish</w:t>
            </w:r>
            <w:r w:rsidRPr="003A6A50">
              <w:rPr>
                <w:rFonts w:cstheme="minorHAnsi"/>
                <w:lang w:eastAsia="en-NZ"/>
              </w:rPr>
              <w:t xml:space="preserve"> between different sections of the provider</w:t>
            </w:r>
            <w:r>
              <w:rPr>
                <w:rFonts w:cstheme="minorHAnsi"/>
                <w:lang w:eastAsia="en-NZ"/>
              </w:rPr>
              <w:t>’</w:t>
            </w:r>
            <w:r w:rsidRPr="003A6A50">
              <w:rPr>
                <w:rFonts w:cstheme="minorHAnsi"/>
                <w:lang w:eastAsia="en-NZ"/>
              </w:rPr>
              <w:t xml:space="preserve">s business. </w:t>
            </w:r>
            <w:r>
              <w:rPr>
                <w:rFonts w:cstheme="minorHAnsi"/>
                <w:lang w:eastAsia="en-NZ"/>
              </w:rPr>
              <w:t>This applies e</w:t>
            </w:r>
            <w:r w:rsidRPr="003A6A50">
              <w:rPr>
                <w:rFonts w:cstheme="minorHAnsi"/>
                <w:lang w:eastAsia="en-NZ"/>
              </w:rPr>
              <w:t>specially for Māori and Pacific NGOs</w:t>
            </w:r>
            <w:r>
              <w:rPr>
                <w:rFonts w:cstheme="minorHAnsi"/>
                <w:lang w:eastAsia="en-NZ"/>
              </w:rPr>
              <w:t>, which</w:t>
            </w:r>
            <w:r w:rsidRPr="003A6A50">
              <w:rPr>
                <w:rFonts w:cstheme="minorHAnsi"/>
                <w:lang w:eastAsia="en-NZ"/>
              </w:rPr>
              <w:t xml:space="preserve"> usually construct a holistic group of services based on whānau needs. Attributing costs to the right service areas can be challenging but is necessary to understand the true costs of services and make effective economic decisions.</w:t>
            </w:r>
          </w:p>
        </w:tc>
      </w:tr>
      <w:tr w:rsidR="00E33AED" w:rsidRPr="003A6A50" w14:paraId="31D12C5D" w14:textId="77777777" w:rsidTr="00BA5306">
        <w:trPr>
          <w:trHeight w:val="467"/>
        </w:trPr>
        <w:tc>
          <w:tcPr>
            <w:tcW w:w="1695" w:type="dxa"/>
            <w:shd w:val="clear" w:color="auto" w:fill="F2F2F2" w:themeFill="background1" w:themeFillShade="F2"/>
            <w:vAlign w:val="center"/>
          </w:tcPr>
          <w:p w14:paraId="674B8AA6" w14:textId="77777777" w:rsidR="00BA5306" w:rsidRPr="00BA5306" w:rsidRDefault="00BA5306" w:rsidP="00BA5306">
            <w:pPr>
              <w:pStyle w:val="TableText"/>
              <w:spacing w:before="80" w:after="80"/>
              <w:rPr>
                <w:b/>
              </w:rPr>
            </w:pPr>
            <w:r w:rsidRPr="00BA5306">
              <w:rPr>
                <w:b/>
              </w:rPr>
              <w:t>Factoring in risk allocation and costs</w:t>
            </w:r>
          </w:p>
        </w:tc>
        <w:tc>
          <w:tcPr>
            <w:tcW w:w="6967" w:type="dxa"/>
            <w:shd w:val="clear" w:color="auto" w:fill="FFFFFF" w:themeFill="background1"/>
          </w:tcPr>
          <w:p w14:paraId="5812F7F1" w14:textId="63CE4702" w:rsidR="00BA5306" w:rsidRPr="003A6A50" w:rsidRDefault="00BA5306" w:rsidP="00BA5306">
            <w:pPr>
              <w:pStyle w:val="TableText"/>
              <w:spacing w:before="80" w:after="80"/>
              <w:rPr>
                <w:rFonts w:cstheme="minorHAnsi"/>
                <w:lang w:eastAsia="en-NZ"/>
              </w:rPr>
            </w:pPr>
            <w:r w:rsidRPr="003A6A50">
              <w:rPr>
                <w:rFonts w:cstheme="minorHAnsi"/>
                <w:lang w:eastAsia="en-NZ"/>
              </w:rPr>
              <w:t>Cost models must inherently consider the risk</w:t>
            </w:r>
            <w:r>
              <w:rPr>
                <w:rFonts w:cstheme="minorHAnsi"/>
                <w:lang w:eastAsia="en-NZ"/>
              </w:rPr>
              <w:t>s</w:t>
            </w:r>
            <w:r w:rsidRPr="003A6A50">
              <w:rPr>
                <w:rFonts w:cstheme="minorHAnsi"/>
                <w:lang w:eastAsia="en-NZ"/>
              </w:rPr>
              <w:t xml:space="preserve"> that NGOs</w:t>
            </w:r>
            <w:r w:rsidR="007631BF">
              <w:rPr>
                <w:rFonts w:cstheme="minorHAnsi"/>
                <w:lang w:eastAsia="en-NZ"/>
              </w:rPr>
              <w:t xml:space="preserve"> face</w:t>
            </w:r>
            <w:r>
              <w:rPr>
                <w:rFonts w:cstheme="minorHAnsi"/>
                <w:lang w:eastAsia="en-NZ"/>
              </w:rPr>
              <w:t>. They must</w:t>
            </w:r>
            <w:r w:rsidRPr="003A6A50">
              <w:rPr>
                <w:rFonts w:cstheme="minorHAnsi"/>
                <w:lang w:eastAsia="en-NZ"/>
              </w:rPr>
              <w:t xml:space="preserve"> make a conscious allowance for how </w:t>
            </w:r>
            <w:r>
              <w:rPr>
                <w:rFonts w:cstheme="minorHAnsi"/>
                <w:lang w:eastAsia="en-NZ"/>
              </w:rPr>
              <w:t xml:space="preserve">NGOs will manage those </w:t>
            </w:r>
            <w:r w:rsidRPr="003A6A50">
              <w:rPr>
                <w:rFonts w:cstheme="minorHAnsi"/>
                <w:lang w:eastAsia="en-NZ"/>
              </w:rPr>
              <w:t>risks (</w:t>
            </w:r>
            <w:r>
              <w:rPr>
                <w:rFonts w:cstheme="minorHAnsi"/>
                <w:lang w:eastAsia="en-NZ"/>
              </w:rPr>
              <w:t xml:space="preserve">eg, </w:t>
            </w:r>
            <w:r w:rsidRPr="003A6A50">
              <w:rPr>
                <w:rFonts w:cstheme="minorHAnsi"/>
                <w:lang w:eastAsia="en-NZ"/>
              </w:rPr>
              <w:t>demand risk, cost inflation risk) and cost</w:t>
            </w:r>
            <w:r>
              <w:rPr>
                <w:rFonts w:cstheme="minorHAnsi"/>
                <w:lang w:eastAsia="en-NZ"/>
              </w:rPr>
              <w:t xml:space="preserve"> them</w:t>
            </w:r>
            <w:r w:rsidRPr="003A6A50">
              <w:rPr>
                <w:rFonts w:cstheme="minorHAnsi"/>
                <w:lang w:eastAsia="en-NZ"/>
              </w:rPr>
              <w:t xml:space="preserve"> appropriately.  </w:t>
            </w:r>
          </w:p>
          <w:p w14:paraId="6ABEB922" w14:textId="075096D0" w:rsidR="00BA5306" w:rsidRPr="003A6A50" w:rsidRDefault="00BA5306" w:rsidP="00BA5306">
            <w:pPr>
              <w:pStyle w:val="TableText"/>
              <w:spacing w:before="80" w:after="80"/>
              <w:rPr>
                <w:rFonts w:cstheme="minorHAnsi"/>
                <w:lang w:eastAsia="en-NZ"/>
              </w:rPr>
            </w:pPr>
            <w:r>
              <w:rPr>
                <w:rFonts w:cstheme="minorHAnsi"/>
                <w:lang w:eastAsia="en-NZ"/>
              </w:rPr>
              <w:t>Decisions about how to</w:t>
            </w:r>
            <w:r w:rsidRPr="003A6A50">
              <w:rPr>
                <w:rFonts w:cstheme="minorHAnsi"/>
                <w:lang w:eastAsia="en-NZ"/>
              </w:rPr>
              <w:t xml:space="preserve"> allocat</w:t>
            </w:r>
            <w:r>
              <w:rPr>
                <w:rFonts w:cstheme="minorHAnsi"/>
                <w:lang w:eastAsia="en-NZ"/>
              </w:rPr>
              <w:t>e</w:t>
            </w:r>
            <w:r w:rsidRPr="003A6A50">
              <w:rPr>
                <w:rFonts w:cstheme="minorHAnsi"/>
                <w:lang w:eastAsia="en-NZ"/>
              </w:rPr>
              <w:t xml:space="preserve"> risk between funders and providers and the associated costs are important economic</w:t>
            </w:r>
            <w:r w:rsidR="007631BF">
              <w:rPr>
                <w:rFonts w:cstheme="minorHAnsi"/>
                <w:lang w:eastAsia="en-NZ"/>
              </w:rPr>
              <w:t>ally</w:t>
            </w:r>
            <w:r w:rsidRPr="003A6A50">
              <w:rPr>
                <w:rFonts w:cstheme="minorHAnsi"/>
                <w:lang w:eastAsia="en-NZ"/>
              </w:rPr>
              <w:t>.</w:t>
            </w:r>
          </w:p>
        </w:tc>
      </w:tr>
    </w:tbl>
    <w:p w14:paraId="4A8E65B8" w14:textId="16DA90A6" w:rsidR="00BA5306" w:rsidRDefault="00BA5306" w:rsidP="00376826">
      <w:pPr>
        <w:pStyle w:val="NormalwIndent"/>
      </w:pPr>
    </w:p>
    <w:p w14:paraId="7C98DA6B" w14:textId="2276870F" w:rsidR="00BA5306" w:rsidRDefault="00A711BB" w:rsidP="00BA5306">
      <w:pPr>
        <w:pStyle w:val="NormalwIndent"/>
      </w:pPr>
      <w:r>
        <w:t>Achieving</w:t>
      </w:r>
      <w:r w:rsidR="00BA5306">
        <w:t xml:space="preserve"> cost models </w:t>
      </w:r>
      <w:r w:rsidR="00B96C42">
        <w:t>that fund</w:t>
      </w:r>
      <w:r w:rsidR="00BA5306">
        <w:t xml:space="preserve"> NGOs sustainably involves </w:t>
      </w:r>
      <w:r w:rsidR="007631BF">
        <w:t xml:space="preserve">making appropriate decisions on </w:t>
      </w:r>
      <w:r w:rsidR="00BA5306">
        <w:t>pricing and purchasing. Pricing methods need to reflect the nature of:</w:t>
      </w:r>
    </w:p>
    <w:p w14:paraId="0F002A5E" w14:textId="413FDA48" w:rsidR="00BA5306" w:rsidRDefault="00BA5306" w:rsidP="00BA5306">
      <w:pPr>
        <w:pStyle w:val="ListBullet"/>
        <w:tabs>
          <w:tab w:val="clear" w:pos="360"/>
          <w:tab w:val="num" w:pos="709"/>
        </w:tabs>
        <w:ind w:left="1985" w:hanging="284"/>
        <w:rPr>
          <w:lang w:eastAsia="en-GB"/>
        </w:rPr>
      </w:pPr>
      <w:r>
        <w:rPr>
          <w:lang w:eastAsia="en-GB"/>
        </w:rPr>
        <w:t xml:space="preserve">the </w:t>
      </w:r>
      <w:r w:rsidR="00B96C42">
        <w:rPr>
          <w:lang w:eastAsia="en-GB"/>
        </w:rPr>
        <w:t>people</w:t>
      </w:r>
      <w:r>
        <w:rPr>
          <w:lang w:eastAsia="en-GB"/>
        </w:rPr>
        <w:t xml:space="preserve"> using the service, especially their varied service needs</w:t>
      </w:r>
    </w:p>
    <w:p w14:paraId="1466166B" w14:textId="5D018245" w:rsidR="00BA5306" w:rsidRDefault="00BA5306" w:rsidP="00BA5306">
      <w:pPr>
        <w:pStyle w:val="ListBullet"/>
        <w:tabs>
          <w:tab w:val="clear" w:pos="360"/>
          <w:tab w:val="num" w:pos="709"/>
        </w:tabs>
        <w:ind w:left="1985" w:hanging="284"/>
        <w:rPr>
          <w:lang w:eastAsia="en-GB"/>
        </w:rPr>
      </w:pPr>
      <w:r>
        <w:rPr>
          <w:lang w:eastAsia="en-GB"/>
        </w:rPr>
        <w:t>the services being provided</w:t>
      </w:r>
      <w:r w:rsidR="007631BF">
        <w:rPr>
          <w:lang w:eastAsia="en-GB"/>
        </w:rPr>
        <w:t xml:space="preserve"> </w:t>
      </w:r>
      <w:r w:rsidR="007631BF">
        <w:rPr>
          <w:rFonts w:ascii="Calibri" w:hAnsi="Calibri" w:cs="Calibri"/>
          <w:lang w:eastAsia="en-GB"/>
        </w:rPr>
        <w:t>—</w:t>
      </w:r>
      <w:r>
        <w:rPr>
          <w:lang w:eastAsia="en-GB"/>
        </w:rPr>
        <w:t xml:space="preserve"> for example, preventative health care is not usually priced </w:t>
      </w:r>
    </w:p>
    <w:p w14:paraId="2B76B82D" w14:textId="48E85A52" w:rsidR="00BA5306" w:rsidRDefault="00BA5306" w:rsidP="00BA5306">
      <w:pPr>
        <w:pStyle w:val="ListBullet"/>
        <w:tabs>
          <w:tab w:val="clear" w:pos="360"/>
          <w:tab w:val="num" w:pos="709"/>
        </w:tabs>
        <w:ind w:left="1985" w:hanging="284"/>
        <w:rPr>
          <w:lang w:eastAsia="en-GB"/>
        </w:rPr>
      </w:pPr>
      <w:r>
        <w:rPr>
          <w:lang w:eastAsia="en-GB"/>
        </w:rPr>
        <w:t xml:space="preserve">the market of providers providing the services and their ability to manage demand, variability </w:t>
      </w:r>
      <w:r w:rsidR="00B96C42">
        <w:rPr>
          <w:lang w:eastAsia="en-GB"/>
        </w:rPr>
        <w:t>of</w:t>
      </w:r>
      <w:r>
        <w:rPr>
          <w:lang w:eastAsia="en-GB"/>
        </w:rPr>
        <w:t xml:space="preserve"> needs and other risks</w:t>
      </w:r>
      <w:r w:rsidR="007631BF">
        <w:rPr>
          <w:lang w:eastAsia="en-GB"/>
        </w:rPr>
        <w:t>.</w:t>
      </w:r>
      <w:r>
        <w:rPr>
          <w:lang w:eastAsia="en-GB"/>
        </w:rPr>
        <w:t xml:space="preserve"> </w:t>
      </w:r>
      <w:r w:rsidR="007631BF">
        <w:rPr>
          <w:lang w:eastAsia="en-GB"/>
        </w:rPr>
        <w:t>For example</w:t>
      </w:r>
      <w:r>
        <w:rPr>
          <w:lang w:eastAsia="en-GB"/>
        </w:rPr>
        <w:t>, are they large providers with significant corporate capability, are they mostly small and medium enterprises, or a mix of these?</w:t>
      </w:r>
    </w:p>
    <w:p w14:paraId="2F646B34" w14:textId="77777777" w:rsidR="00BA5306" w:rsidRDefault="00BA5306" w:rsidP="00BA5306">
      <w:pPr>
        <w:rPr>
          <w:lang w:eastAsia="en-GB"/>
        </w:rPr>
      </w:pPr>
    </w:p>
    <w:p w14:paraId="7B63D1CC" w14:textId="77777777" w:rsidR="00BA5306" w:rsidRDefault="00BA5306" w:rsidP="00925E36">
      <w:pPr>
        <w:pStyle w:val="Heading4"/>
        <w:sectPr w:rsidR="00BA5306" w:rsidSect="00C345BC">
          <w:pgSz w:w="11906" w:h="16838"/>
          <w:pgMar w:top="2778" w:right="1701" w:bottom="454" w:left="1701" w:header="567" w:footer="567" w:gutter="0"/>
          <w:cols w:space="708"/>
          <w:titlePg/>
          <w:docGrid w:linePitch="360"/>
        </w:sectPr>
      </w:pPr>
    </w:p>
    <w:p w14:paraId="59EBE607" w14:textId="39688FDD" w:rsidR="00BA5306" w:rsidRDefault="00BA5306" w:rsidP="003939AD">
      <w:pPr>
        <w:pStyle w:val="Heading4"/>
        <w:spacing w:before="0"/>
      </w:pPr>
      <w:r>
        <w:lastRenderedPageBreak/>
        <w:t>Considerations for pricing and purchasing</w:t>
      </w:r>
    </w:p>
    <w:p w14:paraId="31ADE74B" w14:textId="77777777" w:rsidR="00BA5306" w:rsidRPr="00BA5306" w:rsidRDefault="00BA5306" w:rsidP="00BA5306">
      <w:pPr>
        <w:rPr>
          <w:lang w:eastAsia="en-GB"/>
        </w:rPr>
      </w:pPr>
    </w:p>
    <w:tbl>
      <w:tblPr>
        <w:tblStyle w:val="TableGrid"/>
        <w:tblW w:w="8222" w:type="dxa"/>
        <w:tblInd w:w="-15"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701"/>
        <w:gridCol w:w="6521"/>
      </w:tblGrid>
      <w:tr w:rsidR="00E33AED" w:rsidRPr="003A6A50" w14:paraId="2B19DFFC" w14:textId="77777777" w:rsidTr="00AC4146">
        <w:tc>
          <w:tcPr>
            <w:tcW w:w="1701" w:type="dxa"/>
            <w:shd w:val="clear" w:color="auto" w:fill="F2F2F2" w:themeFill="background1" w:themeFillShade="F2"/>
            <w:vAlign w:val="center"/>
          </w:tcPr>
          <w:p w14:paraId="343A25EC" w14:textId="77777777" w:rsidR="00E25198" w:rsidRPr="00BA5306" w:rsidRDefault="00E25198" w:rsidP="00AC4146">
            <w:pPr>
              <w:pStyle w:val="TableText"/>
            </w:pPr>
          </w:p>
        </w:tc>
        <w:tc>
          <w:tcPr>
            <w:tcW w:w="6521" w:type="dxa"/>
            <w:shd w:val="clear" w:color="auto" w:fill="F2F2F2" w:themeFill="background1" w:themeFillShade="F2"/>
            <w:vAlign w:val="center"/>
          </w:tcPr>
          <w:p w14:paraId="35CD96AB" w14:textId="46CBB877" w:rsidR="00E25198" w:rsidRPr="00AC4146" w:rsidRDefault="00E25198" w:rsidP="00AC4146">
            <w:pPr>
              <w:pStyle w:val="TableText"/>
              <w:rPr>
                <w:rFonts w:cstheme="minorHAnsi"/>
                <w:b/>
                <w:bCs/>
                <w:lang w:eastAsia="en-NZ"/>
              </w:rPr>
            </w:pPr>
            <w:r w:rsidRPr="00AC4146">
              <w:rPr>
                <w:rFonts w:cstheme="minorHAnsi"/>
                <w:b/>
                <w:lang w:eastAsia="en-NZ"/>
              </w:rPr>
              <w:t>Pricing and purchasing requirements</w:t>
            </w:r>
          </w:p>
        </w:tc>
      </w:tr>
      <w:tr w:rsidR="00E33AED" w:rsidRPr="003A6A50" w14:paraId="543C30B7" w14:textId="77777777" w:rsidTr="00BA5306">
        <w:trPr>
          <w:trHeight w:val="866"/>
        </w:trPr>
        <w:tc>
          <w:tcPr>
            <w:tcW w:w="1701" w:type="dxa"/>
            <w:shd w:val="clear" w:color="auto" w:fill="F2F2F2" w:themeFill="background1" w:themeFillShade="F2"/>
            <w:vAlign w:val="center"/>
          </w:tcPr>
          <w:p w14:paraId="1E1C387E" w14:textId="77777777" w:rsidR="00BA5306" w:rsidRPr="00BA5306" w:rsidRDefault="00BA5306" w:rsidP="00BA5306">
            <w:pPr>
              <w:pStyle w:val="TableText"/>
              <w:spacing w:before="80" w:after="80"/>
              <w:rPr>
                <w:b/>
                <w:bCs/>
              </w:rPr>
            </w:pPr>
            <w:r w:rsidRPr="00BA5306">
              <w:rPr>
                <w:b/>
                <w:bCs/>
              </w:rPr>
              <w:t>People</w:t>
            </w:r>
          </w:p>
          <w:p w14:paraId="3BB008D3" w14:textId="77777777" w:rsidR="00BA5306" w:rsidRPr="00BA5306" w:rsidRDefault="00BA5306" w:rsidP="00BA5306">
            <w:pPr>
              <w:pStyle w:val="TableText"/>
              <w:spacing w:before="80" w:after="80"/>
              <w:rPr>
                <w:b/>
                <w:bCs/>
              </w:rPr>
            </w:pPr>
            <w:r w:rsidRPr="00BA5306">
              <w:rPr>
                <w:b/>
                <w:bCs/>
              </w:rPr>
              <w:t>Whānau</w:t>
            </w:r>
          </w:p>
          <w:p w14:paraId="6B4F5254" w14:textId="77777777" w:rsidR="00BA5306" w:rsidRPr="00BA5306" w:rsidRDefault="00BA5306" w:rsidP="00BA5306">
            <w:pPr>
              <w:pStyle w:val="TableText"/>
              <w:spacing w:before="80" w:after="80"/>
              <w:rPr>
                <w:b/>
                <w:bCs/>
                <w:sz w:val="20"/>
              </w:rPr>
            </w:pPr>
            <w:r w:rsidRPr="00BA5306">
              <w:rPr>
                <w:b/>
                <w:bCs/>
              </w:rPr>
              <w:t>Communities</w:t>
            </w:r>
          </w:p>
        </w:tc>
        <w:tc>
          <w:tcPr>
            <w:tcW w:w="6521" w:type="dxa"/>
            <w:shd w:val="clear" w:color="auto" w:fill="FFFFFF" w:themeFill="background1"/>
          </w:tcPr>
          <w:p w14:paraId="5D164BE3" w14:textId="77777777" w:rsidR="00BA5306" w:rsidRPr="003A6A50" w:rsidRDefault="00BA5306" w:rsidP="00BA5306">
            <w:pPr>
              <w:pStyle w:val="TableText"/>
              <w:spacing w:before="80" w:after="80"/>
              <w:rPr>
                <w:rFonts w:cstheme="minorHAnsi"/>
                <w:lang w:eastAsia="en-NZ"/>
              </w:rPr>
            </w:pPr>
            <w:r w:rsidRPr="003A6A50">
              <w:rPr>
                <w:rFonts w:cstheme="minorHAnsi"/>
                <w:lang w:eastAsia="en-NZ"/>
              </w:rPr>
              <w:t xml:space="preserve">Funding must reflect the range of need present in a population, service user group and community. </w:t>
            </w:r>
          </w:p>
          <w:p w14:paraId="3B6A288B" w14:textId="35913E87" w:rsidR="00BA5306" w:rsidRPr="003A6A50" w:rsidRDefault="00BA5306" w:rsidP="00BA5306">
            <w:pPr>
              <w:pStyle w:val="TableText"/>
              <w:spacing w:before="80" w:after="80"/>
              <w:rPr>
                <w:rFonts w:cstheme="minorHAnsi"/>
                <w:lang w:eastAsia="en-NZ"/>
              </w:rPr>
            </w:pPr>
            <w:r w:rsidRPr="003A6A50">
              <w:rPr>
                <w:rFonts w:cstheme="minorHAnsi"/>
                <w:lang w:eastAsia="en-NZ"/>
              </w:rPr>
              <w:t xml:space="preserve">Sometimes </w:t>
            </w:r>
            <w:r w:rsidR="00445000">
              <w:rPr>
                <w:rFonts w:cstheme="minorHAnsi"/>
                <w:lang w:eastAsia="en-NZ"/>
              </w:rPr>
              <w:t xml:space="preserve">investment </w:t>
            </w:r>
            <w:r w:rsidR="009D3072">
              <w:rPr>
                <w:rFonts w:cstheme="minorHAnsi"/>
                <w:lang w:eastAsia="en-NZ"/>
              </w:rPr>
              <w:t>includes</w:t>
            </w:r>
            <w:r w:rsidRPr="003A6A50">
              <w:rPr>
                <w:rFonts w:cstheme="minorHAnsi"/>
                <w:lang w:eastAsia="en-NZ"/>
              </w:rPr>
              <w:t xml:space="preserve"> a premium </w:t>
            </w:r>
            <w:r w:rsidR="009D3072">
              <w:rPr>
                <w:rFonts w:cstheme="minorHAnsi"/>
                <w:lang w:eastAsia="en-NZ"/>
              </w:rPr>
              <w:t>for</w:t>
            </w:r>
            <w:r w:rsidR="009D3072" w:rsidRPr="003A6A50">
              <w:rPr>
                <w:rFonts w:cstheme="minorHAnsi"/>
                <w:lang w:eastAsia="en-NZ"/>
              </w:rPr>
              <w:t xml:space="preserve"> </w:t>
            </w:r>
            <w:r w:rsidRPr="003A6A50">
              <w:rPr>
                <w:rFonts w:cstheme="minorHAnsi"/>
                <w:lang w:eastAsia="en-NZ"/>
              </w:rPr>
              <w:t xml:space="preserve">services that enable access for whānau and communities that would not be served under a </w:t>
            </w:r>
            <w:r w:rsidR="00E25198">
              <w:rPr>
                <w:rFonts w:cstheme="minorHAnsi"/>
                <w:lang w:eastAsia="en-NZ"/>
              </w:rPr>
              <w:t>‘</w:t>
            </w:r>
            <w:r w:rsidRPr="003A6A50">
              <w:rPr>
                <w:rFonts w:cstheme="minorHAnsi"/>
                <w:lang w:eastAsia="en-NZ"/>
              </w:rPr>
              <w:t>one-size</w:t>
            </w:r>
            <w:r w:rsidR="00E25198">
              <w:rPr>
                <w:rFonts w:cstheme="minorHAnsi"/>
                <w:lang w:eastAsia="en-NZ"/>
              </w:rPr>
              <w:t>-fits-all’</w:t>
            </w:r>
            <w:r w:rsidRPr="003A6A50">
              <w:rPr>
                <w:rFonts w:cstheme="minorHAnsi"/>
                <w:lang w:eastAsia="en-NZ"/>
              </w:rPr>
              <w:t xml:space="preserve"> funding model.  </w:t>
            </w:r>
          </w:p>
          <w:p w14:paraId="72A2379B" w14:textId="4912DD85" w:rsidR="00BA5306" w:rsidRPr="003A6A50" w:rsidRDefault="00BA5306" w:rsidP="00BA5306">
            <w:pPr>
              <w:pStyle w:val="TableText"/>
              <w:spacing w:before="80" w:after="80"/>
              <w:rPr>
                <w:rFonts w:cstheme="minorHAnsi"/>
              </w:rPr>
            </w:pPr>
            <w:r w:rsidRPr="003A6A50">
              <w:rPr>
                <w:rFonts w:cstheme="minorHAnsi"/>
              </w:rPr>
              <w:t xml:space="preserve">Equity of outcomes is important </w:t>
            </w:r>
            <w:r w:rsidR="00E25198">
              <w:rPr>
                <w:rFonts w:cstheme="minorHAnsi"/>
              </w:rPr>
              <w:t>because</w:t>
            </w:r>
            <w:r w:rsidRPr="003A6A50">
              <w:rPr>
                <w:rFonts w:cstheme="minorHAnsi"/>
              </w:rPr>
              <w:t xml:space="preserve"> pricing incentives can </w:t>
            </w:r>
            <w:r>
              <w:rPr>
                <w:rFonts w:cstheme="minorHAnsi"/>
              </w:rPr>
              <w:t xml:space="preserve">be a </w:t>
            </w:r>
            <w:r w:rsidRPr="003A6A50">
              <w:rPr>
                <w:rFonts w:cstheme="minorHAnsi"/>
              </w:rPr>
              <w:t xml:space="preserve">powerful </w:t>
            </w:r>
            <w:r>
              <w:rPr>
                <w:rFonts w:cstheme="minorHAnsi"/>
              </w:rPr>
              <w:t>way of encouraging providers</w:t>
            </w:r>
            <w:r w:rsidRPr="003A6A50">
              <w:rPr>
                <w:rFonts w:cstheme="minorHAnsi"/>
              </w:rPr>
              <w:t xml:space="preserve"> to address inequity.</w:t>
            </w:r>
          </w:p>
        </w:tc>
      </w:tr>
      <w:tr w:rsidR="00E33AED" w:rsidRPr="003A6A50" w14:paraId="33FA2C3C" w14:textId="77777777" w:rsidTr="00BA5306">
        <w:trPr>
          <w:trHeight w:val="467"/>
        </w:trPr>
        <w:tc>
          <w:tcPr>
            <w:tcW w:w="1701" w:type="dxa"/>
            <w:shd w:val="clear" w:color="auto" w:fill="F2F2F2" w:themeFill="background1" w:themeFillShade="F2"/>
            <w:vAlign w:val="center"/>
          </w:tcPr>
          <w:p w14:paraId="2425BC9E" w14:textId="77777777" w:rsidR="00BA5306" w:rsidRPr="00BA5306" w:rsidRDefault="00BA5306" w:rsidP="00BA5306">
            <w:pPr>
              <w:pStyle w:val="TableText"/>
              <w:spacing w:before="80" w:after="80"/>
              <w:rPr>
                <w:b/>
                <w:bCs/>
                <w:sz w:val="20"/>
              </w:rPr>
            </w:pPr>
            <w:r w:rsidRPr="00BA5306">
              <w:rPr>
                <w:b/>
                <w:bCs/>
              </w:rPr>
              <w:t>Delivery</w:t>
            </w:r>
          </w:p>
        </w:tc>
        <w:tc>
          <w:tcPr>
            <w:tcW w:w="6521" w:type="dxa"/>
            <w:shd w:val="clear" w:color="auto" w:fill="FFFFFF" w:themeFill="background1"/>
          </w:tcPr>
          <w:p w14:paraId="56C1AE99" w14:textId="3E2B0A28" w:rsidR="00BA5306" w:rsidRPr="003A6A50" w:rsidRDefault="00BA5306" w:rsidP="00BA5306">
            <w:pPr>
              <w:pStyle w:val="TableText"/>
              <w:spacing w:before="80" w:after="80"/>
              <w:rPr>
                <w:rFonts w:cstheme="minorHAnsi"/>
                <w:lang w:eastAsia="en-NZ"/>
              </w:rPr>
            </w:pPr>
            <w:r w:rsidRPr="003A6A50">
              <w:rPr>
                <w:rFonts w:cstheme="minorHAnsi"/>
                <w:lang w:eastAsia="en-NZ"/>
              </w:rPr>
              <w:t xml:space="preserve">Pricing methods must </w:t>
            </w:r>
            <w:r w:rsidR="00F300E8">
              <w:rPr>
                <w:rFonts w:cstheme="minorHAnsi"/>
                <w:lang w:eastAsia="en-NZ"/>
              </w:rPr>
              <w:t>ensure</w:t>
            </w:r>
            <w:r>
              <w:rPr>
                <w:rFonts w:cstheme="minorHAnsi"/>
                <w:lang w:eastAsia="en-NZ"/>
              </w:rPr>
              <w:t xml:space="preserve"> providers </w:t>
            </w:r>
            <w:r w:rsidR="00F300E8">
              <w:rPr>
                <w:rFonts w:cstheme="minorHAnsi"/>
                <w:lang w:eastAsia="en-NZ"/>
              </w:rPr>
              <w:t>are reimbursed for</w:t>
            </w:r>
            <w:r w:rsidRPr="003A6A50">
              <w:rPr>
                <w:rFonts w:cstheme="minorHAnsi"/>
                <w:lang w:eastAsia="en-NZ"/>
              </w:rPr>
              <w:t xml:space="preserve"> reasonable costs and provide incentives for</w:t>
            </w:r>
            <w:r>
              <w:rPr>
                <w:rFonts w:cstheme="minorHAnsi"/>
                <w:lang w:eastAsia="en-NZ"/>
              </w:rPr>
              <w:t xml:space="preserve"> them to</w:t>
            </w:r>
            <w:r w:rsidRPr="003A6A50">
              <w:rPr>
                <w:rFonts w:cstheme="minorHAnsi"/>
                <w:lang w:eastAsia="en-NZ"/>
              </w:rPr>
              <w:t xml:space="preserve"> achiev</w:t>
            </w:r>
            <w:r>
              <w:rPr>
                <w:rFonts w:cstheme="minorHAnsi"/>
                <w:lang w:eastAsia="en-NZ"/>
              </w:rPr>
              <w:t>e</w:t>
            </w:r>
            <w:r w:rsidRPr="003A6A50">
              <w:rPr>
                <w:rFonts w:cstheme="minorHAnsi"/>
                <w:lang w:eastAsia="en-NZ"/>
              </w:rPr>
              <w:t xml:space="preserve"> equity and provid</w:t>
            </w:r>
            <w:r>
              <w:rPr>
                <w:rFonts w:cstheme="minorHAnsi"/>
                <w:lang w:eastAsia="en-NZ"/>
              </w:rPr>
              <w:t>e</w:t>
            </w:r>
            <w:r w:rsidRPr="003A6A50">
              <w:rPr>
                <w:rFonts w:cstheme="minorHAnsi"/>
                <w:lang w:eastAsia="en-NZ"/>
              </w:rPr>
              <w:t xml:space="preserve"> high</w:t>
            </w:r>
            <w:r>
              <w:rPr>
                <w:rFonts w:cstheme="minorHAnsi"/>
                <w:lang w:eastAsia="en-NZ"/>
              </w:rPr>
              <w:t>-</w:t>
            </w:r>
            <w:r w:rsidRPr="003A6A50">
              <w:rPr>
                <w:rFonts w:cstheme="minorHAnsi"/>
                <w:lang w:eastAsia="en-NZ"/>
              </w:rPr>
              <w:t>quality services.</w:t>
            </w:r>
          </w:p>
          <w:p w14:paraId="5F53FC12" w14:textId="77777777" w:rsidR="00BA5306" w:rsidRPr="003A6A50" w:rsidRDefault="00BA5306" w:rsidP="00BA5306">
            <w:pPr>
              <w:pStyle w:val="TableText"/>
              <w:spacing w:before="80" w:after="80"/>
              <w:rPr>
                <w:rFonts w:cstheme="minorHAnsi"/>
                <w:lang w:eastAsia="en-NZ"/>
              </w:rPr>
            </w:pPr>
            <w:r>
              <w:rPr>
                <w:rFonts w:cstheme="minorHAnsi"/>
                <w:lang w:eastAsia="en-NZ"/>
              </w:rPr>
              <w:t>With a</w:t>
            </w:r>
            <w:r w:rsidRPr="003A6A50">
              <w:rPr>
                <w:rFonts w:cstheme="minorHAnsi"/>
                <w:lang w:eastAsia="en-NZ"/>
              </w:rPr>
              <w:t>n appropriate return on equity</w:t>
            </w:r>
            <w:r>
              <w:rPr>
                <w:rFonts w:cstheme="minorHAnsi"/>
                <w:lang w:eastAsia="en-NZ"/>
              </w:rPr>
              <w:t>,</w:t>
            </w:r>
            <w:r w:rsidRPr="003A6A50">
              <w:rPr>
                <w:rFonts w:cstheme="minorHAnsi"/>
                <w:lang w:eastAsia="en-NZ"/>
              </w:rPr>
              <w:t xml:space="preserve"> providers </w:t>
            </w:r>
            <w:r>
              <w:rPr>
                <w:rFonts w:cstheme="minorHAnsi"/>
                <w:lang w:eastAsia="en-NZ"/>
              </w:rPr>
              <w:t>gain</w:t>
            </w:r>
            <w:r w:rsidRPr="003A6A50">
              <w:rPr>
                <w:rFonts w:cstheme="minorHAnsi"/>
                <w:lang w:eastAsia="en-NZ"/>
              </w:rPr>
              <w:t xml:space="preserve"> the ability to change, adapt and innovate for their community’s needs.</w:t>
            </w:r>
          </w:p>
        </w:tc>
      </w:tr>
      <w:tr w:rsidR="00E33AED" w:rsidRPr="003A6A50" w14:paraId="781A803F" w14:textId="77777777" w:rsidTr="00BA5306">
        <w:trPr>
          <w:trHeight w:val="467"/>
        </w:trPr>
        <w:tc>
          <w:tcPr>
            <w:tcW w:w="1701" w:type="dxa"/>
            <w:shd w:val="clear" w:color="auto" w:fill="F2F2F2" w:themeFill="background1" w:themeFillShade="F2"/>
            <w:vAlign w:val="center"/>
          </w:tcPr>
          <w:p w14:paraId="1F7FD0A4" w14:textId="77777777" w:rsidR="00BA5306" w:rsidRPr="00BA5306" w:rsidRDefault="00BA5306" w:rsidP="00BA5306">
            <w:pPr>
              <w:pStyle w:val="TableText"/>
              <w:spacing w:before="80" w:after="80"/>
              <w:rPr>
                <w:b/>
                <w:bCs/>
                <w:sz w:val="20"/>
              </w:rPr>
            </w:pPr>
            <w:r w:rsidRPr="00BA5306">
              <w:rPr>
                <w:b/>
                <w:bCs/>
              </w:rPr>
              <w:t>Commissioners</w:t>
            </w:r>
          </w:p>
        </w:tc>
        <w:tc>
          <w:tcPr>
            <w:tcW w:w="6521" w:type="dxa"/>
            <w:shd w:val="clear" w:color="auto" w:fill="FFFFFF" w:themeFill="background1"/>
          </w:tcPr>
          <w:p w14:paraId="0573EB10" w14:textId="6D49CBD0" w:rsidR="00BA5306" w:rsidRDefault="00BA5306" w:rsidP="00BA5306">
            <w:pPr>
              <w:pStyle w:val="TableText"/>
              <w:spacing w:before="80" w:after="80"/>
              <w:rPr>
                <w:rFonts w:cstheme="minorHAnsi"/>
                <w:lang w:eastAsia="en-NZ"/>
              </w:rPr>
            </w:pPr>
            <w:r w:rsidRPr="003A6A50">
              <w:rPr>
                <w:rFonts w:cstheme="minorHAnsi"/>
                <w:lang w:eastAsia="en-NZ"/>
              </w:rPr>
              <w:t>When commissioning services</w:t>
            </w:r>
            <w:r>
              <w:rPr>
                <w:rFonts w:cstheme="minorHAnsi"/>
                <w:lang w:eastAsia="en-NZ"/>
              </w:rPr>
              <w:t>,</w:t>
            </w:r>
            <w:r w:rsidRPr="003A6A50">
              <w:rPr>
                <w:rFonts w:cstheme="minorHAnsi"/>
                <w:lang w:eastAsia="en-NZ"/>
              </w:rPr>
              <w:t xml:space="preserve"> it is important t</w:t>
            </w:r>
            <w:r>
              <w:rPr>
                <w:rFonts w:cstheme="minorHAnsi"/>
                <w:lang w:eastAsia="en-NZ"/>
              </w:rPr>
              <w:t>o</w:t>
            </w:r>
            <w:r w:rsidRPr="003A6A50">
              <w:rPr>
                <w:rFonts w:cstheme="minorHAnsi"/>
                <w:lang w:eastAsia="en-NZ"/>
              </w:rPr>
              <w:t xml:space="preserve"> fund</w:t>
            </w:r>
            <w:r>
              <w:rPr>
                <w:rFonts w:cstheme="minorHAnsi"/>
                <w:lang w:eastAsia="en-NZ"/>
              </w:rPr>
              <w:t xml:space="preserve"> them</w:t>
            </w:r>
            <w:r w:rsidRPr="003A6A50">
              <w:rPr>
                <w:rFonts w:cstheme="minorHAnsi"/>
                <w:lang w:eastAsia="en-NZ"/>
              </w:rPr>
              <w:t xml:space="preserve"> </w:t>
            </w:r>
            <w:r w:rsidR="00E25198">
              <w:rPr>
                <w:rFonts w:cstheme="minorHAnsi"/>
                <w:lang w:eastAsia="en-NZ"/>
              </w:rPr>
              <w:t>as</w:t>
            </w:r>
            <w:r w:rsidRPr="003A6A50">
              <w:rPr>
                <w:rFonts w:cstheme="minorHAnsi"/>
                <w:lang w:eastAsia="en-NZ"/>
              </w:rPr>
              <w:t xml:space="preserve"> a going concern (sustainable funding)</w:t>
            </w:r>
            <w:r w:rsidR="00E25198">
              <w:rPr>
                <w:rFonts w:cstheme="minorHAnsi"/>
                <w:lang w:eastAsia="en-NZ"/>
              </w:rPr>
              <w:t>. With the funding,</w:t>
            </w:r>
            <w:r w:rsidRPr="003A6A50">
              <w:rPr>
                <w:rFonts w:cstheme="minorHAnsi"/>
                <w:lang w:eastAsia="en-NZ"/>
              </w:rPr>
              <w:t xml:space="preserve"> services </w:t>
            </w:r>
            <w:r w:rsidR="00E25198">
              <w:rPr>
                <w:rFonts w:cstheme="minorHAnsi"/>
                <w:lang w:eastAsia="en-NZ"/>
              </w:rPr>
              <w:t xml:space="preserve">should be able </w:t>
            </w:r>
            <w:r w:rsidRPr="003A6A50">
              <w:rPr>
                <w:rFonts w:cstheme="minorHAnsi"/>
                <w:lang w:eastAsia="en-NZ"/>
              </w:rPr>
              <w:t>to cover reasonable labour costs, consumables</w:t>
            </w:r>
            <w:r>
              <w:rPr>
                <w:rFonts w:cstheme="minorHAnsi"/>
                <w:lang w:eastAsia="en-NZ"/>
              </w:rPr>
              <w:t xml:space="preserve"> and</w:t>
            </w:r>
            <w:r w:rsidRPr="003A6A50">
              <w:rPr>
                <w:rFonts w:cstheme="minorHAnsi"/>
                <w:lang w:eastAsia="en-NZ"/>
              </w:rPr>
              <w:t xml:space="preserve"> capital costs (</w:t>
            </w:r>
            <w:r w:rsidR="00E25198">
              <w:rPr>
                <w:rFonts w:cstheme="minorHAnsi"/>
                <w:lang w:eastAsia="en-NZ"/>
              </w:rPr>
              <w:t xml:space="preserve">for </w:t>
            </w:r>
            <w:r w:rsidRPr="003A6A50">
              <w:rPr>
                <w:rFonts w:cstheme="minorHAnsi"/>
                <w:lang w:eastAsia="en-NZ"/>
              </w:rPr>
              <w:t>maintain</w:t>
            </w:r>
            <w:r w:rsidR="00E25198">
              <w:rPr>
                <w:rFonts w:cstheme="minorHAnsi"/>
                <w:lang w:eastAsia="en-NZ"/>
              </w:rPr>
              <w:t>ing</w:t>
            </w:r>
            <w:r w:rsidRPr="003A6A50">
              <w:rPr>
                <w:rFonts w:cstheme="minorHAnsi"/>
                <w:lang w:eastAsia="en-NZ"/>
              </w:rPr>
              <w:t xml:space="preserve"> and replac</w:t>
            </w:r>
            <w:r w:rsidR="00E25198">
              <w:rPr>
                <w:rFonts w:cstheme="minorHAnsi"/>
                <w:lang w:eastAsia="en-NZ"/>
              </w:rPr>
              <w:t>ing fixed assets</w:t>
            </w:r>
            <w:r w:rsidRPr="003A6A50">
              <w:rPr>
                <w:rFonts w:cstheme="minorHAnsi"/>
                <w:lang w:eastAsia="en-NZ"/>
              </w:rPr>
              <w:t xml:space="preserve">) and </w:t>
            </w:r>
            <w:r w:rsidR="00863263">
              <w:rPr>
                <w:rFonts w:cstheme="minorHAnsi"/>
                <w:lang w:eastAsia="en-NZ"/>
              </w:rPr>
              <w:t xml:space="preserve">receive </w:t>
            </w:r>
            <w:r w:rsidRPr="003A6A50">
              <w:rPr>
                <w:rFonts w:cstheme="minorHAnsi"/>
                <w:lang w:eastAsia="en-NZ"/>
              </w:rPr>
              <w:t>an appropriate return on equity (even if they are a not-for-profit</w:t>
            </w:r>
            <w:r w:rsidR="00C94318">
              <w:rPr>
                <w:rFonts w:cstheme="minorHAnsi"/>
                <w:lang w:eastAsia="en-NZ"/>
              </w:rPr>
              <w:t xml:space="preserve"> organisation</w:t>
            </w:r>
            <w:r w:rsidRPr="003A6A50">
              <w:rPr>
                <w:rFonts w:cstheme="minorHAnsi"/>
                <w:lang w:eastAsia="en-NZ"/>
              </w:rPr>
              <w:t xml:space="preserve">). </w:t>
            </w:r>
          </w:p>
          <w:p w14:paraId="4B0D833A" w14:textId="49991792" w:rsidR="00BA5306" w:rsidRDefault="00BA5306" w:rsidP="00BA5306">
            <w:pPr>
              <w:pStyle w:val="TableText"/>
              <w:spacing w:before="80" w:after="80"/>
              <w:rPr>
                <w:rFonts w:cstheme="minorHAnsi"/>
                <w:lang w:eastAsia="en-NZ"/>
              </w:rPr>
            </w:pPr>
            <w:r w:rsidRPr="00AF0300">
              <w:rPr>
                <w:rFonts w:cstheme="minorHAnsi"/>
              </w:rPr>
              <w:t xml:space="preserve">Purchasing models vary across the health sector. GPs and primary health organisations receive population-based capitation funding based on their enrolled patients. Other services are funded fee-for-service </w:t>
            </w:r>
            <w:r w:rsidR="00FE1906">
              <w:rPr>
                <w:rFonts w:cstheme="minorHAnsi"/>
              </w:rPr>
              <w:t xml:space="preserve">or through one of the </w:t>
            </w:r>
            <w:r w:rsidRPr="00AF0300">
              <w:rPr>
                <w:rFonts w:cstheme="minorHAnsi"/>
              </w:rPr>
              <w:t xml:space="preserve">other mixed funding models </w:t>
            </w:r>
            <w:r w:rsidR="00FE1906">
              <w:rPr>
                <w:rFonts w:cstheme="minorHAnsi"/>
              </w:rPr>
              <w:t xml:space="preserve">in use </w:t>
            </w:r>
            <w:r w:rsidRPr="00AF0300">
              <w:rPr>
                <w:rFonts w:cstheme="minorHAnsi"/>
              </w:rPr>
              <w:t>across the health sector</w:t>
            </w:r>
            <w:r w:rsidRPr="00FB0247">
              <w:rPr>
                <w:rFonts w:cstheme="minorHAnsi"/>
              </w:rPr>
              <w:t>.</w:t>
            </w:r>
          </w:p>
          <w:p w14:paraId="60702DAC" w14:textId="4F6FF12F" w:rsidR="00BA5306" w:rsidRPr="00610FE4" w:rsidRDefault="00BA5306" w:rsidP="00BA5306">
            <w:pPr>
              <w:pStyle w:val="TableText"/>
              <w:spacing w:before="80" w:after="80"/>
              <w:rPr>
                <w:rFonts w:cstheme="minorHAnsi"/>
                <w:lang w:eastAsia="en-NZ"/>
              </w:rPr>
            </w:pPr>
            <w:r w:rsidRPr="00610FE4">
              <w:rPr>
                <w:rFonts w:cstheme="minorHAnsi"/>
                <w:lang w:eastAsia="en-NZ"/>
              </w:rPr>
              <w:t>Government agencies</w:t>
            </w:r>
            <w:r>
              <w:rPr>
                <w:rFonts w:cstheme="minorHAnsi"/>
                <w:lang w:eastAsia="en-NZ"/>
              </w:rPr>
              <w:t xml:space="preserve"> also need</w:t>
            </w:r>
            <w:r w:rsidRPr="00610FE4">
              <w:rPr>
                <w:rFonts w:cstheme="minorHAnsi"/>
                <w:lang w:eastAsia="en-NZ"/>
              </w:rPr>
              <w:t xml:space="preserve"> to consider the full </w:t>
            </w:r>
            <w:r w:rsidR="00FE1906">
              <w:rPr>
                <w:rFonts w:cstheme="minorHAnsi"/>
                <w:lang w:eastAsia="en-NZ"/>
              </w:rPr>
              <w:t>range</w:t>
            </w:r>
            <w:r w:rsidR="00FE1906" w:rsidRPr="00610FE4">
              <w:rPr>
                <w:rFonts w:cstheme="minorHAnsi"/>
                <w:lang w:eastAsia="en-NZ"/>
              </w:rPr>
              <w:t xml:space="preserve"> </w:t>
            </w:r>
            <w:r w:rsidRPr="00610FE4">
              <w:rPr>
                <w:rFonts w:cstheme="minorHAnsi"/>
                <w:lang w:eastAsia="en-NZ"/>
              </w:rPr>
              <w:t xml:space="preserve">of pricing and purchasing </w:t>
            </w:r>
            <w:r w:rsidRPr="00AF0300">
              <w:rPr>
                <w:rFonts w:cstheme="minorHAnsi"/>
                <w:lang w:eastAsia="en-NZ"/>
              </w:rPr>
              <w:t>methods (</w:t>
            </w:r>
            <w:r w:rsidR="00FE1906">
              <w:rPr>
                <w:rFonts w:cstheme="minorHAnsi"/>
                <w:lang w:eastAsia="en-NZ"/>
              </w:rPr>
              <w:t xml:space="preserve">eg, </w:t>
            </w:r>
            <w:r w:rsidRPr="00AF0300">
              <w:rPr>
                <w:rFonts w:cstheme="minorHAnsi"/>
                <w:lang w:eastAsia="en-NZ"/>
              </w:rPr>
              <w:t xml:space="preserve">fee-for-service, capitation, casemix funding, capacity funding, price/volume </w:t>
            </w:r>
            <w:r w:rsidRPr="00610FE4">
              <w:rPr>
                <w:rFonts w:cstheme="minorHAnsi"/>
                <w:lang w:eastAsia="en-NZ"/>
              </w:rPr>
              <w:t>capped)</w:t>
            </w:r>
            <w:r w:rsidR="00FE1906">
              <w:rPr>
                <w:rFonts w:cstheme="minorHAnsi"/>
                <w:lang w:eastAsia="en-NZ"/>
              </w:rPr>
              <w:t>. From those, they</w:t>
            </w:r>
            <w:r w:rsidRPr="00610FE4">
              <w:rPr>
                <w:rFonts w:cstheme="minorHAnsi"/>
                <w:lang w:eastAsia="en-NZ"/>
              </w:rPr>
              <w:t xml:space="preserve"> choose the method or mix of methods that best suit</w:t>
            </w:r>
            <w:r>
              <w:rPr>
                <w:rFonts w:cstheme="minorHAnsi"/>
                <w:lang w:eastAsia="en-NZ"/>
              </w:rPr>
              <w:t>s the:</w:t>
            </w:r>
          </w:p>
          <w:p w14:paraId="4A950503" w14:textId="77F49A24" w:rsidR="00BA5306" w:rsidRPr="00D0681B" w:rsidRDefault="00BA5306" w:rsidP="00BA5306">
            <w:pPr>
              <w:pStyle w:val="Tablebulletx"/>
              <w:spacing w:before="80" w:after="80"/>
            </w:pPr>
            <w:r w:rsidRPr="00D0681B">
              <w:t xml:space="preserve">needs of </w:t>
            </w:r>
            <w:r w:rsidR="008E1898">
              <w:t>service users</w:t>
            </w:r>
            <w:r w:rsidRPr="00D0681B">
              <w:t xml:space="preserve"> and whānau</w:t>
            </w:r>
          </w:p>
          <w:p w14:paraId="51EE22A6" w14:textId="77777777" w:rsidR="00BA5306" w:rsidRPr="00D0681B" w:rsidRDefault="00BA5306" w:rsidP="00BA5306">
            <w:pPr>
              <w:pStyle w:val="Tablebulletx"/>
              <w:spacing w:before="80" w:after="80"/>
            </w:pPr>
            <w:r w:rsidRPr="00D0681B">
              <w:t>nature of the service</w:t>
            </w:r>
          </w:p>
          <w:p w14:paraId="37B41CFC" w14:textId="36B71F54" w:rsidR="00BA5306" w:rsidRPr="00D0681B" w:rsidRDefault="00BA5306" w:rsidP="00BA5306">
            <w:pPr>
              <w:pStyle w:val="Tablebulletx"/>
              <w:spacing w:before="80" w:after="80"/>
            </w:pPr>
            <w:r w:rsidRPr="00D0681B">
              <w:t>nature of the market of providers</w:t>
            </w:r>
          </w:p>
          <w:p w14:paraId="13C8D1DB" w14:textId="77777777" w:rsidR="00BA5306" w:rsidRDefault="00BA5306" w:rsidP="00BA5306">
            <w:pPr>
              <w:pStyle w:val="Tablebulletx"/>
              <w:spacing w:before="80" w:after="80"/>
              <w:rPr>
                <w:rFonts w:cstheme="minorHAnsi"/>
                <w:lang w:eastAsia="en-NZ"/>
              </w:rPr>
            </w:pPr>
            <w:r w:rsidRPr="00D0681B">
              <w:t>ability of NGO providers to manage risk</w:t>
            </w:r>
            <w:r>
              <w:rPr>
                <w:rFonts w:cstheme="minorHAnsi"/>
                <w:lang w:eastAsia="en-NZ"/>
              </w:rPr>
              <w:t>.</w:t>
            </w:r>
          </w:p>
          <w:p w14:paraId="1A277E07" w14:textId="77777777" w:rsidR="00BA5306" w:rsidRPr="003A6A50" w:rsidRDefault="00BA5306" w:rsidP="00BA5306">
            <w:pPr>
              <w:pStyle w:val="TableText"/>
              <w:spacing w:before="80" w:after="80"/>
              <w:rPr>
                <w:rFonts w:cstheme="minorHAnsi"/>
                <w:lang w:eastAsia="en-NZ"/>
              </w:rPr>
            </w:pPr>
            <w:r w:rsidRPr="003A6A50">
              <w:rPr>
                <w:rFonts w:cstheme="minorHAnsi"/>
                <w:lang w:eastAsia="en-NZ"/>
              </w:rPr>
              <w:t xml:space="preserve">Another challenge is managing the different levels of economy of scope and scale and </w:t>
            </w:r>
            <w:r>
              <w:rPr>
                <w:rFonts w:cstheme="minorHAnsi"/>
                <w:lang w:eastAsia="en-NZ"/>
              </w:rPr>
              <w:t xml:space="preserve">of </w:t>
            </w:r>
            <w:r w:rsidRPr="003A6A50">
              <w:rPr>
                <w:rFonts w:cstheme="minorHAnsi"/>
                <w:lang w:eastAsia="en-NZ"/>
              </w:rPr>
              <w:t>risk management ability between providers. In some cases</w:t>
            </w:r>
            <w:r>
              <w:rPr>
                <w:rFonts w:cstheme="minorHAnsi"/>
                <w:lang w:eastAsia="en-NZ"/>
              </w:rPr>
              <w:t>,</w:t>
            </w:r>
            <w:r w:rsidRPr="003A6A50">
              <w:rPr>
                <w:rFonts w:cstheme="minorHAnsi"/>
                <w:lang w:eastAsia="en-NZ"/>
              </w:rPr>
              <w:t xml:space="preserve"> it makes more economic sense for the funder to manage </w:t>
            </w:r>
            <w:r>
              <w:rPr>
                <w:rFonts w:cstheme="minorHAnsi"/>
                <w:lang w:eastAsia="en-NZ"/>
              </w:rPr>
              <w:t xml:space="preserve">such </w:t>
            </w:r>
            <w:r w:rsidRPr="003A6A50">
              <w:rPr>
                <w:rFonts w:cstheme="minorHAnsi"/>
                <w:lang w:eastAsia="en-NZ"/>
              </w:rPr>
              <w:t xml:space="preserve">risks </w:t>
            </w:r>
            <w:r>
              <w:rPr>
                <w:rFonts w:cstheme="minorHAnsi"/>
                <w:lang w:eastAsia="en-NZ"/>
              </w:rPr>
              <w:t>as</w:t>
            </w:r>
            <w:r w:rsidRPr="003A6A50">
              <w:rPr>
                <w:rFonts w:cstheme="minorHAnsi"/>
                <w:lang w:eastAsia="en-NZ"/>
              </w:rPr>
              <w:t xml:space="preserve"> demand fluctuations.</w:t>
            </w:r>
          </w:p>
        </w:tc>
      </w:tr>
      <w:tr w:rsidR="00E33AED" w:rsidRPr="003A6A50" w14:paraId="04ED5E43" w14:textId="77777777" w:rsidTr="00BA5306">
        <w:trPr>
          <w:trHeight w:val="467"/>
        </w:trPr>
        <w:tc>
          <w:tcPr>
            <w:tcW w:w="1701" w:type="dxa"/>
            <w:shd w:val="clear" w:color="auto" w:fill="F2F2F2" w:themeFill="background1" w:themeFillShade="F2"/>
            <w:vAlign w:val="center"/>
          </w:tcPr>
          <w:p w14:paraId="2BB6E973" w14:textId="77777777" w:rsidR="00BA5306" w:rsidRPr="00BA5306" w:rsidRDefault="00BA5306" w:rsidP="00BA5306">
            <w:pPr>
              <w:pStyle w:val="TableText"/>
              <w:spacing w:before="80" w:after="80"/>
              <w:rPr>
                <w:b/>
                <w:bCs/>
                <w:sz w:val="20"/>
              </w:rPr>
            </w:pPr>
            <w:r w:rsidRPr="00BA5306">
              <w:rPr>
                <w:b/>
                <w:bCs/>
              </w:rPr>
              <w:t>System conditions</w:t>
            </w:r>
          </w:p>
        </w:tc>
        <w:tc>
          <w:tcPr>
            <w:tcW w:w="6521" w:type="dxa"/>
            <w:shd w:val="clear" w:color="auto" w:fill="FFFFFF" w:themeFill="background1"/>
          </w:tcPr>
          <w:p w14:paraId="23269E4C" w14:textId="7DCA4D29" w:rsidR="00BA5306" w:rsidRPr="003A6A50" w:rsidRDefault="00BA5306" w:rsidP="00BA5306">
            <w:pPr>
              <w:pStyle w:val="TableText"/>
              <w:spacing w:before="80" w:after="80"/>
              <w:rPr>
                <w:rFonts w:cstheme="minorHAnsi"/>
                <w:lang w:eastAsia="en-NZ"/>
              </w:rPr>
            </w:pPr>
            <w:r w:rsidRPr="003A6A50">
              <w:rPr>
                <w:rFonts w:cstheme="minorHAnsi"/>
                <w:lang w:eastAsia="en-NZ"/>
              </w:rPr>
              <w:t>Many government services encompass a range of needs within a service line</w:t>
            </w:r>
            <w:r w:rsidR="004D126A">
              <w:rPr>
                <w:rFonts w:cstheme="minorHAnsi"/>
                <w:lang w:eastAsia="en-NZ"/>
              </w:rPr>
              <w:t>.</w:t>
            </w:r>
            <w:r w:rsidR="00A8084A">
              <w:rPr>
                <w:rFonts w:cstheme="minorHAnsi"/>
                <w:lang w:eastAsia="en-NZ"/>
              </w:rPr>
              <w:t xml:space="preserve"> </w:t>
            </w:r>
            <w:r w:rsidRPr="003A6A50">
              <w:rPr>
                <w:rFonts w:cstheme="minorHAnsi"/>
                <w:lang w:eastAsia="en-NZ"/>
              </w:rPr>
              <w:t>Funding models need to make use of all funding options to best reflect and allow for variability of need.</w:t>
            </w:r>
          </w:p>
          <w:p w14:paraId="1B9381F5" w14:textId="77777777" w:rsidR="00BA5306" w:rsidRPr="003A6A50" w:rsidRDefault="00BA5306" w:rsidP="00BA5306">
            <w:pPr>
              <w:pStyle w:val="TableText"/>
              <w:spacing w:before="80" w:after="80"/>
              <w:rPr>
                <w:rFonts w:cstheme="minorHAnsi"/>
                <w:lang w:eastAsia="en-NZ"/>
              </w:rPr>
            </w:pPr>
            <w:r w:rsidRPr="003A6A50">
              <w:rPr>
                <w:rFonts w:cstheme="minorHAnsi"/>
                <w:lang w:eastAsia="en-NZ"/>
              </w:rPr>
              <w:t>Where parties intentionally collaborate, including where those providing the service want to contribute, co-funding arrangements are appropriate.</w:t>
            </w:r>
          </w:p>
        </w:tc>
      </w:tr>
    </w:tbl>
    <w:p w14:paraId="71CDD70F" w14:textId="77777777" w:rsidR="00BA5306" w:rsidRDefault="00BA5306" w:rsidP="00BA5306">
      <w:pPr>
        <w:ind w:firstLine="720"/>
        <w:rPr>
          <w:lang w:eastAsia="en-GB"/>
        </w:rPr>
        <w:sectPr w:rsidR="00BA5306" w:rsidSect="00C345BC">
          <w:pgSz w:w="11906" w:h="16838"/>
          <w:pgMar w:top="2778" w:right="1701" w:bottom="454" w:left="1701" w:header="567" w:footer="567" w:gutter="0"/>
          <w:cols w:space="708"/>
          <w:titlePg/>
          <w:docGrid w:linePitch="360"/>
        </w:sectPr>
      </w:pPr>
    </w:p>
    <w:p w14:paraId="00C04A8C" w14:textId="4BF02ACC" w:rsidR="00BA5306" w:rsidRDefault="00BA5306" w:rsidP="00925E36">
      <w:pPr>
        <w:pStyle w:val="Heading2-nonumbering"/>
      </w:pPr>
      <w:bookmarkStart w:id="47" w:name="_Toc124933840"/>
      <w:r w:rsidRPr="00BA5306">
        <w:lastRenderedPageBreak/>
        <w:t>Delivering, monitoring and evaluating</w:t>
      </w:r>
      <w:bookmarkEnd w:id="47"/>
    </w:p>
    <w:p w14:paraId="383F1681" w14:textId="77777777" w:rsidR="00BA5306" w:rsidRPr="005506BF" w:rsidRDefault="00BA5306" w:rsidP="009055B4">
      <w:pPr>
        <w:pStyle w:val="Heading3-nonumbering"/>
      </w:pPr>
      <w:r w:rsidRPr="005506BF">
        <w:t>Aim</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BA5306" w:rsidRPr="000C72D2" w14:paraId="62DD4DC9" w14:textId="77777777" w:rsidTr="00BA5306">
        <w:trPr>
          <w:trHeight w:val="170"/>
        </w:trPr>
        <w:tc>
          <w:tcPr>
            <w:tcW w:w="567" w:type="dxa"/>
          </w:tcPr>
          <w:p w14:paraId="674F28CE" w14:textId="77777777" w:rsidR="00BA5306" w:rsidRPr="000C72D2" w:rsidRDefault="00BA5306" w:rsidP="009055B4">
            <w:pPr>
              <w:pStyle w:val="0RULE"/>
            </w:pPr>
          </w:p>
        </w:tc>
      </w:tr>
    </w:tbl>
    <w:p w14:paraId="5EFE07E3" w14:textId="3BBFF9E9" w:rsidR="00BA5306" w:rsidRPr="00BE6C08" w:rsidRDefault="00BA5306" w:rsidP="00BA5306">
      <w:pPr>
        <w:pStyle w:val="NormalIndent1"/>
        <w:rPr>
          <w:color w:val="auto"/>
          <w:sz w:val="28"/>
          <w:szCs w:val="28"/>
        </w:rPr>
      </w:pPr>
      <w:r w:rsidRPr="00BE6C08">
        <w:rPr>
          <w:color w:val="auto"/>
          <w:sz w:val="28"/>
          <w:szCs w:val="28"/>
        </w:rPr>
        <w:t xml:space="preserve">To implement the service or intervention, monitor how it delivers against intended operation and budget, evaluate outcomes </w:t>
      </w:r>
      <w:r w:rsidR="00F61BFB">
        <w:rPr>
          <w:rFonts w:ascii="Calibri" w:hAnsi="Calibri" w:cs="Calibri"/>
          <w:color w:val="auto"/>
          <w:sz w:val="28"/>
          <w:szCs w:val="28"/>
        </w:rPr>
        <w:t>—</w:t>
      </w:r>
      <w:r w:rsidRPr="00BE6C08">
        <w:rPr>
          <w:color w:val="auto"/>
          <w:sz w:val="28"/>
          <w:szCs w:val="28"/>
        </w:rPr>
        <w:t xml:space="preserve"> what worked well and lessons learnt </w:t>
      </w:r>
      <w:r w:rsidR="00F61BFB">
        <w:rPr>
          <w:rFonts w:ascii="Calibri" w:hAnsi="Calibri" w:cs="Calibri"/>
          <w:color w:val="auto"/>
          <w:sz w:val="28"/>
          <w:szCs w:val="28"/>
        </w:rPr>
        <w:t>—</w:t>
      </w:r>
      <w:r w:rsidRPr="00BE6C08">
        <w:rPr>
          <w:color w:val="auto"/>
          <w:sz w:val="28"/>
          <w:szCs w:val="28"/>
        </w:rPr>
        <w:t xml:space="preserve"> and implement improvements (or decommission).   </w:t>
      </w:r>
    </w:p>
    <w:p w14:paraId="52817092" w14:textId="77777777" w:rsidR="00BA5306" w:rsidRPr="00A902F6" w:rsidRDefault="00BA5306" w:rsidP="009055B4">
      <w:pPr>
        <w:pStyle w:val="Heading3-nonumbering"/>
      </w:pPr>
      <w:r>
        <w:t>Key steps</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BA5306" w:rsidRPr="000C72D2" w14:paraId="080EF084" w14:textId="77777777" w:rsidTr="00BA5306">
        <w:trPr>
          <w:trHeight w:val="170"/>
        </w:trPr>
        <w:tc>
          <w:tcPr>
            <w:tcW w:w="567" w:type="dxa"/>
          </w:tcPr>
          <w:p w14:paraId="4AC87A76" w14:textId="77777777" w:rsidR="00BA5306" w:rsidRPr="000C72D2" w:rsidRDefault="00BA5306" w:rsidP="009055B4">
            <w:pPr>
              <w:pStyle w:val="0RULE"/>
            </w:pPr>
          </w:p>
        </w:tc>
      </w:tr>
    </w:tbl>
    <w:p w14:paraId="7C1D2E45" w14:textId="6C237132" w:rsidR="00BA5306" w:rsidRPr="00BA5306" w:rsidRDefault="00BA5306" w:rsidP="00BA5306">
      <w:pPr>
        <w:pStyle w:val="ListBullet"/>
        <w:tabs>
          <w:tab w:val="clear" w:pos="360"/>
          <w:tab w:val="num" w:pos="2268"/>
        </w:tabs>
        <w:ind w:left="1985" w:hanging="284"/>
        <w:rPr>
          <w:color w:val="EC643C"/>
        </w:rPr>
      </w:pPr>
      <w:r w:rsidRPr="00BE6C08">
        <w:rPr>
          <w:b/>
          <w:bCs w:val="0"/>
          <w:color w:val="auto"/>
        </w:rPr>
        <w:t>Deliver</w:t>
      </w:r>
      <w:r w:rsidR="008E1898">
        <w:rPr>
          <w:b/>
          <w:bCs w:val="0"/>
          <w:color w:val="auto"/>
        </w:rPr>
        <w:t>y</w:t>
      </w:r>
      <w:r w:rsidRPr="00BE6C08">
        <w:rPr>
          <w:color w:val="auto"/>
        </w:rPr>
        <w:t>:</w:t>
      </w:r>
      <w:r w:rsidRPr="00BA5306">
        <w:rPr>
          <w:color w:val="EC643C"/>
        </w:rPr>
        <w:t xml:space="preserve"> </w:t>
      </w:r>
      <w:r w:rsidRPr="00BA5306">
        <w:rPr>
          <w:color w:val="auto"/>
        </w:rPr>
        <w:t xml:space="preserve">Ensure the preconditions needed to deliver the services well are in place and </w:t>
      </w:r>
      <w:r w:rsidR="000D6C06">
        <w:rPr>
          <w:color w:val="auto"/>
        </w:rPr>
        <w:t xml:space="preserve">that providers </w:t>
      </w:r>
      <w:r w:rsidR="008E1898">
        <w:rPr>
          <w:color w:val="auto"/>
        </w:rPr>
        <w:t xml:space="preserve">can </w:t>
      </w:r>
      <w:r w:rsidR="000D6C06">
        <w:rPr>
          <w:color w:val="auto"/>
        </w:rPr>
        <w:t xml:space="preserve">deliver the </w:t>
      </w:r>
      <w:r w:rsidRPr="00BA5306">
        <w:rPr>
          <w:color w:val="auto"/>
        </w:rPr>
        <w:t>services as intended.</w:t>
      </w:r>
    </w:p>
    <w:p w14:paraId="06851750" w14:textId="63303271" w:rsidR="00BA5306" w:rsidRPr="00BA5306" w:rsidRDefault="00BA5306" w:rsidP="00BA5306">
      <w:pPr>
        <w:pStyle w:val="ListBullet"/>
        <w:tabs>
          <w:tab w:val="clear" w:pos="360"/>
          <w:tab w:val="num" w:pos="2268"/>
        </w:tabs>
        <w:ind w:left="1985" w:hanging="284"/>
        <w:rPr>
          <w:color w:val="EC643C"/>
        </w:rPr>
      </w:pPr>
      <w:r w:rsidRPr="00BE6C08">
        <w:rPr>
          <w:b/>
          <w:bCs w:val="0"/>
          <w:color w:val="auto"/>
        </w:rPr>
        <w:t>Monitor</w:t>
      </w:r>
      <w:r w:rsidR="008E1898">
        <w:rPr>
          <w:b/>
          <w:bCs w:val="0"/>
          <w:color w:val="auto"/>
        </w:rPr>
        <w:t>ing</w:t>
      </w:r>
      <w:r w:rsidRPr="00BE6C08">
        <w:rPr>
          <w:color w:val="auto"/>
        </w:rPr>
        <w:t xml:space="preserve">: </w:t>
      </w:r>
      <w:r w:rsidRPr="00BA5306">
        <w:rPr>
          <w:color w:val="auto"/>
        </w:rPr>
        <w:t>Track delivery against intent</w:t>
      </w:r>
      <w:r w:rsidR="000D6C06">
        <w:rPr>
          <w:color w:val="auto"/>
        </w:rPr>
        <w:t>.</w:t>
      </w:r>
      <w:r w:rsidRPr="00BA5306">
        <w:rPr>
          <w:color w:val="auto"/>
        </w:rPr>
        <w:t xml:space="preserve"> </w:t>
      </w:r>
      <w:r w:rsidR="000D6C06">
        <w:rPr>
          <w:color w:val="auto"/>
        </w:rPr>
        <w:t>W</w:t>
      </w:r>
      <w:r w:rsidRPr="00BA5306">
        <w:rPr>
          <w:color w:val="auto"/>
        </w:rPr>
        <w:t xml:space="preserve">hat </w:t>
      </w:r>
      <w:r w:rsidR="000D6C06">
        <w:rPr>
          <w:color w:val="auto"/>
        </w:rPr>
        <w:t xml:space="preserve">did providers </w:t>
      </w:r>
      <w:r w:rsidRPr="00BA5306">
        <w:rPr>
          <w:color w:val="auto"/>
        </w:rPr>
        <w:t xml:space="preserve">deliver, when, to whom, how often, </w:t>
      </w:r>
      <w:r w:rsidR="005000E8">
        <w:rPr>
          <w:color w:val="auto"/>
        </w:rPr>
        <w:t>for</w:t>
      </w:r>
      <w:r w:rsidR="005000E8" w:rsidRPr="00BA5306">
        <w:rPr>
          <w:color w:val="auto"/>
        </w:rPr>
        <w:t xml:space="preserve"> </w:t>
      </w:r>
      <w:r w:rsidRPr="00BA5306">
        <w:rPr>
          <w:color w:val="auto"/>
        </w:rPr>
        <w:t>how long</w:t>
      </w:r>
      <w:r w:rsidR="00512E6E">
        <w:rPr>
          <w:color w:val="auto"/>
        </w:rPr>
        <w:t xml:space="preserve"> </w:t>
      </w:r>
      <w:r w:rsidRPr="00BA5306">
        <w:rPr>
          <w:color w:val="auto"/>
        </w:rPr>
        <w:t>and at what cost</w:t>
      </w:r>
      <w:r w:rsidR="000D6C06">
        <w:rPr>
          <w:color w:val="auto"/>
        </w:rPr>
        <w:t xml:space="preserve">? If outcomes varied from what </w:t>
      </w:r>
      <w:r w:rsidR="005000E8">
        <w:rPr>
          <w:color w:val="auto"/>
        </w:rPr>
        <w:t>was</w:t>
      </w:r>
      <w:r w:rsidR="000D6C06">
        <w:rPr>
          <w:color w:val="auto"/>
        </w:rPr>
        <w:t xml:space="preserve"> intended, what were the</w:t>
      </w:r>
      <w:r w:rsidRPr="00BA5306">
        <w:rPr>
          <w:color w:val="auto"/>
        </w:rPr>
        <w:t xml:space="preserve"> reasons for</w:t>
      </w:r>
      <w:r w:rsidR="000D6C06">
        <w:rPr>
          <w:color w:val="auto"/>
        </w:rPr>
        <w:t xml:space="preserve"> this? What</w:t>
      </w:r>
      <w:r w:rsidRPr="00BA5306">
        <w:rPr>
          <w:color w:val="auto"/>
        </w:rPr>
        <w:t xml:space="preserve"> issues</w:t>
      </w:r>
      <w:r w:rsidR="00512E6E">
        <w:rPr>
          <w:color w:val="auto"/>
        </w:rPr>
        <w:t xml:space="preserve"> and</w:t>
      </w:r>
      <w:r w:rsidRPr="00BA5306">
        <w:rPr>
          <w:color w:val="auto"/>
        </w:rPr>
        <w:t xml:space="preserve"> risks </w:t>
      </w:r>
      <w:r w:rsidR="00512E6E">
        <w:rPr>
          <w:color w:val="auto"/>
        </w:rPr>
        <w:t xml:space="preserve">arose </w:t>
      </w:r>
      <w:r w:rsidRPr="00BA5306">
        <w:rPr>
          <w:color w:val="auto"/>
        </w:rPr>
        <w:t xml:space="preserve">and </w:t>
      </w:r>
      <w:r w:rsidR="00512E6E">
        <w:rPr>
          <w:color w:val="auto"/>
        </w:rPr>
        <w:t xml:space="preserve">what </w:t>
      </w:r>
      <w:r w:rsidRPr="00BA5306">
        <w:rPr>
          <w:color w:val="auto"/>
        </w:rPr>
        <w:t>risk management</w:t>
      </w:r>
      <w:r w:rsidR="00512E6E">
        <w:rPr>
          <w:color w:val="auto"/>
        </w:rPr>
        <w:t xml:space="preserve"> took place</w:t>
      </w:r>
      <w:r w:rsidR="000D6C06">
        <w:rPr>
          <w:color w:val="auto"/>
        </w:rPr>
        <w:t>?</w:t>
      </w:r>
    </w:p>
    <w:p w14:paraId="3ADC107C" w14:textId="67A2B43F" w:rsidR="00BA5306" w:rsidRPr="00BA5306" w:rsidRDefault="00BA5306" w:rsidP="00BA5306">
      <w:pPr>
        <w:pStyle w:val="ListBullet"/>
        <w:tabs>
          <w:tab w:val="clear" w:pos="360"/>
          <w:tab w:val="num" w:pos="2268"/>
        </w:tabs>
        <w:ind w:left="1985" w:hanging="284"/>
        <w:rPr>
          <w:color w:val="EC643C"/>
        </w:rPr>
      </w:pPr>
      <w:r w:rsidRPr="00BE6C08">
        <w:rPr>
          <w:b/>
          <w:bCs w:val="0"/>
          <w:color w:val="auto"/>
        </w:rPr>
        <w:t>Evaluat</w:t>
      </w:r>
      <w:r w:rsidR="008E1898">
        <w:rPr>
          <w:b/>
          <w:bCs w:val="0"/>
          <w:color w:val="auto"/>
        </w:rPr>
        <w:t>ion</w:t>
      </w:r>
      <w:r w:rsidRPr="00BE6C08">
        <w:rPr>
          <w:color w:val="auto"/>
        </w:rPr>
        <w:t>:</w:t>
      </w:r>
      <w:r w:rsidRPr="00BA5306">
        <w:rPr>
          <w:color w:val="EC643C"/>
        </w:rPr>
        <w:t xml:space="preserve"> </w:t>
      </w:r>
      <w:r w:rsidRPr="00BA5306">
        <w:rPr>
          <w:color w:val="auto"/>
        </w:rPr>
        <w:t xml:space="preserve">Evaluate whether the service or intervention generated the desired outcomes, reasons why (or why not), what worked well and what needs </w:t>
      </w:r>
      <w:r w:rsidR="00D94385">
        <w:rPr>
          <w:color w:val="auto"/>
        </w:rPr>
        <w:t>to change</w:t>
      </w:r>
      <w:r w:rsidRPr="00BA5306">
        <w:rPr>
          <w:color w:val="auto"/>
        </w:rPr>
        <w:t>.</w:t>
      </w:r>
    </w:p>
    <w:p w14:paraId="6399EF15" w14:textId="77777777" w:rsidR="00BA5306" w:rsidRDefault="00BA5306" w:rsidP="00BA5306">
      <w:pPr>
        <w:pStyle w:val="ListBullet"/>
        <w:numPr>
          <w:ilvl w:val="0"/>
          <w:numId w:val="0"/>
        </w:numPr>
        <w:ind w:left="1701"/>
      </w:pPr>
    </w:p>
    <w:p w14:paraId="4250667F" w14:textId="77777777" w:rsidR="00784905" w:rsidRDefault="00784905" w:rsidP="009055B4">
      <w:pPr>
        <w:pStyle w:val="Heading3-nonumbering"/>
        <w:sectPr w:rsidR="00784905" w:rsidSect="00C345BC">
          <w:pgSz w:w="11906" w:h="16838"/>
          <w:pgMar w:top="2778" w:right="1701" w:bottom="454" w:left="1701" w:header="567" w:footer="567" w:gutter="0"/>
          <w:cols w:space="708"/>
          <w:titlePg/>
          <w:docGrid w:linePitch="360"/>
        </w:sectPr>
      </w:pPr>
    </w:p>
    <w:p w14:paraId="500D9481" w14:textId="36D91D93" w:rsidR="00BA5306" w:rsidRPr="005506BF" w:rsidRDefault="00784905" w:rsidP="009055B4">
      <w:pPr>
        <w:pStyle w:val="Heading3-nonumbering"/>
        <w:spacing w:before="0"/>
      </w:pPr>
      <w:r w:rsidRPr="00784905">
        <w:lastRenderedPageBreak/>
        <w:t>Delivering</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BA5306" w:rsidRPr="000C72D2" w14:paraId="0D14CCFA" w14:textId="77777777" w:rsidTr="00BA5306">
        <w:trPr>
          <w:trHeight w:val="170"/>
        </w:trPr>
        <w:tc>
          <w:tcPr>
            <w:tcW w:w="567" w:type="dxa"/>
          </w:tcPr>
          <w:p w14:paraId="340709EE" w14:textId="77777777" w:rsidR="00BA5306" w:rsidRPr="000C72D2" w:rsidRDefault="00BA5306" w:rsidP="009055B4">
            <w:pPr>
              <w:pStyle w:val="0RULE"/>
            </w:pPr>
          </w:p>
        </w:tc>
      </w:tr>
    </w:tbl>
    <w:p w14:paraId="72083A4E" w14:textId="41D85257" w:rsidR="00BA5306" w:rsidRDefault="00784905" w:rsidP="00BA5306">
      <w:pPr>
        <w:pStyle w:val="NormalIndent1"/>
      </w:pPr>
      <w:r w:rsidRPr="00784905">
        <w:t xml:space="preserve">Providers are responsible for </w:t>
      </w:r>
      <w:r w:rsidR="000D6C06">
        <w:t>putting</w:t>
      </w:r>
      <w:r w:rsidR="000D6C06" w:rsidRPr="00784905">
        <w:t xml:space="preserve"> </w:t>
      </w:r>
      <w:r w:rsidRPr="00784905">
        <w:t>the preconditions for success in place and then for delivering the services to the standard,</w:t>
      </w:r>
      <w:r w:rsidRPr="00BE6C08">
        <w:rPr>
          <w:b/>
          <w:bCs w:val="0"/>
          <w:color w:val="auto"/>
        </w:rPr>
        <w:t xml:space="preserve"> </w:t>
      </w:r>
      <w:r w:rsidRPr="00A26AFD">
        <w:rPr>
          <w:color w:val="auto"/>
        </w:rPr>
        <w:t>quality</w:t>
      </w:r>
      <w:r w:rsidRPr="00784905">
        <w:t>, length, volume or other criteria in service-level agreements developed as part of the contract specification</w:t>
      </w:r>
      <w:r w:rsidR="00BA5306">
        <w:t xml:space="preserve">. </w:t>
      </w:r>
    </w:p>
    <w:p w14:paraId="3E7D1687" w14:textId="5FD60252" w:rsidR="00784905" w:rsidRDefault="00784905" w:rsidP="00376826">
      <w:pPr>
        <w:pStyle w:val="NormalwIndent"/>
      </w:pPr>
    </w:p>
    <w:tbl>
      <w:tblPr>
        <w:tblStyle w:val="TableGrid"/>
        <w:tblW w:w="8647"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578"/>
        <w:gridCol w:w="3227"/>
        <w:gridCol w:w="3842"/>
      </w:tblGrid>
      <w:tr w:rsidR="00784905" w:rsidRPr="00784905" w14:paraId="03C085C8" w14:textId="77777777" w:rsidTr="00784905">
        <w:trPr>
          <w:trHeight w:val="370"/>
        </w:trPr>
        <w:tc>
          <w:tcPr>
            <w:tcW w:w="1578" w:type="dxa"/>
            <w:shd w:val="clear" w:color="auto" w:fill="F2F2F2" w:themeFill="background1" w:themeFillShade="F2"/>
          </w:tcPr>
          <w:p w14:paraId="6EAED07B" w14:textId="77777777" w:rsidR="00784905" w:rsidRPr="00784905" w:rsidRDefault="00784905" w:rsidP="00784905">
            <w:pPr>
              <w:pStyle w:val="TableText"/>
              <w:rPr>
                <w:b/>
                <w:bCs/>
              </w:rPr>
            </w:pPr>
          </w:p>
        </w:tc>
        <w:tc>
          <w:tcPr>
            <w:tcW w:w="3227" w:type="dxa"/>
            <w:shd w:val="clear" w:color="auto" w:fill="F2F2F2" w:themeFill="background1" w:themeFillShade="F2"/>
          </w:tcPr>
          <w:p w14:paraId="4380ED34" w14:textId="1CB85EEA" w:rsidR="00784905" w:rsidRPr="00784905" w:rsidRDefault="00C5102E" w:rsidP="00784905">
            <w:pPr>
              <w:pStyle w:val="TableText"/>
              <w:rPr>
                <w:b/>
                <w:bCs/>
              </w:rPr>
            </w:pPr>
            <w:r>
              <w:rPr>
                <w:b/>
                <w:bCs/>
              </w:rPr>
              <w:t>Key understandings</w:t>
            </w:r>
          </w:p>
        </w:tc>
        <w:tc>
          <w:tcPr>
            <w:tcW w:w="3842" w:type="dxa"/>
            <w:shd w:val="clear" w:color="auto" w:fill="F2F2F2" w:themeFill="background1" w:themeFillShade="F2"/>
          </w:tcPr>
          <w:p w14:paraId="4418BABC" w14:textId="5F2F3B4F" w:rsidR="00784905" w:rsidRPr="00784905" w:rsidRDefault="00784905" w:rsidP="00784905">
            <w:pPr>
              <w:pStyle w:val="TableText"/>
              <w:rPr>
                <w:b/>
                <w:bCs/>
              </w:rPr>
            </w:pPr>
            <w:r w:rsidRPr="00784905">
              <w:rPr>
                <w:b/>
                <w:bCs/>
              </w:rPr>
              <w:t xml:space="preserve">How </w:t>
            </w:r>
            <w:r w:rsidR="000D6C06">
              <w:rPr>
                <w:rFonts w:ascii="Calibri" w:hAnsi="Calibri" w:cs="Calibri"/>
                <w:b/>
                <w:bCs/>
              </w:rPr>
              <w:t>—</w:t>
            </w:r>
            <w:r w:rsidRPr="00784905">
              <w:rPr>
                <w:b/>
                <w:bCs/>
              </w:rPr>
              <w:t xml:space="preserve"> methods, tools, resources</w:t>
            </w:r>
          </w:p>
        </w:tc>
      </w:tr>
      <w:tr w:rsidR="00784905" w:rsidRPr="003A6A50" w14:paraId="28916DD3" w14:textId="77777777" w:rsidTr="00784905">
        <w:trPr>
          <w:trHeight w:val="135"/>
        </w:trPr>
        <w:tc>
          <w:tcPr>
            <w:tcW w:w="1578" w:type="dxa"/>
            <w:shd w:val="clear" w:color="auto" w:fill="F2F2F2" w:themeFill="background1" w:themeFillShade="F2"/>
            <w:vAlign w:val="center"/>
          </w:tcPr>
          <w:p w14:paraId="0BD90813" w14:textId="77777777" w:rsidR="00784905" w:rsidRPr="00784905" w:rsidRDefault="00784905" w:rsidP="00784905">
            <w:pPr>
              <w:pStyle w:val="TableText"/>
              <w:rPr>
                <w:b/>
                <w:szCs w:val="22"/>
              </w:rPr>
            </w:pPr>
            <w:r w:rsidRPr="00784905">
              <w:rPr>
                <w:b/>
                <w:szCs w:val="22"/>
              </w:rPr>
              <w:t>People</w:t>
            </w:r>
          </w:p>
          <w:p w14:paraId="20178025" w14:textId="77777777" w:rsidR="00784905" w:rsidRPr="00784905" w:rsidRDefault="00784905" w:rsidP="00784905">
            <w:pPr>
              <w:pStyle w:val="TableText"/>
              <w:rPr>
                <w:b/>
                <w:szCs w:val="22"/>
              </w:rPr>
            </w:pPr>
            <w:r w:rsidRPr="00784905">
              <w:rPr>
                <w:b/>
                <w:szCs w:val="22"/>
              </w:rPr>
              <w:t>Whānau</w:t>
            </w:r>
          </w:p>
          <w:p w14:paraId="409BCA9B" w14:textId="77777777" w:rsidR="00784905" w:rsidRPr="00784905" w:rsidRDefault="00784905" w:rsidP="00784905">
            <w:pPr>
              <w:pStyle w:val="TableText"/>
              <w:rPr>
                <w:b/>
              </w:rPr>
            </w:pPr>
            <w:r w:rsidRPr="00784905">
              <w:rPr>
                <w:b/>
                <w:szCs w:val="22"/>
              </w:rPr>
              <w:t>Communities</w:t>
            </w:r>
          </w:p>
        </w:tc>
        <w:tc>
          <w:tcPr>
            <w:tcW w:w="3227" w:type="dxa"/>
            <w:shd w:val="clear" w:color="auto" w:fill="FFFFFF" w:themeFill="background1"/>
          </w:tcPr>
          <w:p w14:paraId="33B87ADF" w14:textId="6B4B1A49" w:rsidR="00784905" w:rsidRPr="003A6A50" w:rsidRDefault="00784905" w:rsidP="00784905">
            <w:pPr>
              <w:pStyle w:val="TableText"/>
              <w:rPr>
                <w:rFonts w:cstheme="minorHAnsi"/>
                <w:bCs/>
              </w:rPr>
            </w:pPr>
            <w:r w:rsidRPr="003A6A50">
              <w:rPr>
                <w:rFonts w:cstheme="minorHAnsi"/>
                <w:lang w:eastAsia="en-NZ"/>
              </w:rPr>
              <w:t xml:space="preserve">In health, </w:t>
            </w:r>
            <w:r w:rsidR="00194037">
              <w:rPr>
                <w:rFonts w:cstheme="minorHAnsi"/>
                <w:lang w:eastAsia="en-NZ"/>
              </w:rPr>
              <w:t xml:space="preserve">the </w:t>
            </w:r>
            <w:r w:rsidRPr="003A6A50">
              <w:rPr>
                <w:rFonts w:cstheme="minorHAnsi"/>
                <w:lang w:eastAsia="en-NZ"/>
              </w:rPr>
              <w:t xml:space="preserve">safety </w:t>
            </w:r>
            <w:r w:rsidR="00194037">
              <w:rPr>
                <w:rFonts w:cstheme="minorHAnsi"/>
                <w:lang w:eastAsia="en-NZ"/>
              </w:rPr>
              <w:t>of service users</w:t>
            </w:r>
            <w:r w:rsidR="00194037" w:rsidRPr="003A6A50">
              <w:rPr>
                <w:rFonts w:cstheme="minorHAnsi"/>
                <w:lang w:eastAsia="en-NZ"/>
              </w:rPr>
              <w:t xml:space="preserve"> and whānau </w:t>
            </w:r>
            <w:r w:rsidRPr="003A6A50">
              <w:rPr>
                <w:rFonts w:cstheme="minorHAnsi"/>
                <w:lang w:eastAsia="en-NZ"/>
              </w:rPr>
              <w:t xml:space="preserve">is </w:t>
            </w:r>
            <w:r>
              <w:rPr>
                <w:rFonts w:cstheme="minorHAnsi"/>
                <w:lang w:eastAsia="en-NZ"/>
              </w:rPr>
              <w:t>of</w:t>
            </w:r>
            <w:r w:rsidRPr="003A6A50">
              <w:rPr>
                <w:rFonts w:cstheme="minorHAnsi"/>
                <w:lang w:eastAsia="en-NZ"/>
              </w:rPr>
              <w:t xml:space="preserve"> paramount concern for quality assurance</w:t>
            </w:r>
            <w:r>
              <w:rPr>
                <w:rFonts w:cstheme="minorHAnsi"/>
                <w:lang w:eastAsia="en-NZ"/>
              </w:rPr>
              <w:t>.</w:t>
            </w:r>
          </w:p>
        </w:tc>
        <w:tc>
          <w:tcPr>
            <w:tcW w:w="3842" w:type="dxa"/>
            <w:shd w:val="clear" w:color="auto" w:fill="FFFFFF" w:themeFill="background1"/>
          </w:tcPr>
          <w:p w14:paraId="474E7954" w14:textId="178B3768" w:rsidR="00784905" w:rsidRPr="003A6A50" w:rsidRDefault="00AD1C64" w:rsidP="00784905">
            <w:pPr>
              <w:pStyle w:val="TableText"/>
              <w:rPr>
                <w:rFonts w:cstheme="minorHAnsi"/>
              </w:rPr>
            </w:pPr>
            <w:r>
              <w:rPr>
                <w:rFonts w:cstheme="minorHAnsi"/>
                <w:lang w:eastAsia="en-NZ"/>
              </w:rPr>
              <w:t>When</w:t>
            </w:r>
            <w:r w:rsidRPr="003A6A50">
              <w:rPr>
                <w:rFonts w:cstheme="minorHAnsi"/>
                <w:lang w:eastAsia="en-NZ"/>
              </w:rPr>
              <w:t xml:space="preserve"> </w:t>
            </w:r>
            <w:r w:rsidR="00784905" w:rsidRPr="003A6A50">
              <w:rPr>
                <w:rFonts w:cstheme="minorHAnsi"/>
                <w:lang w:eastAsia="en-NZ"/>
              </w:rPr>
              <w:t xml:space="preserve">‘what matters to whānau and community’ drives services and other investments, quality assessments must reflect whānau and community experiences and outcomes.  </w:t>
            </w:r>
          </w:p>
        </w:tc>
      </w:tr>
      <w:tr w:rsidR="00784905" w:rsidRPr="003A6A50" w14:paraId="0CB47B6F" w14:textId="77777777" w:rsidTr="00784905">
        <w:trPr>
          <w:trHeight w:val="1389"/>
        </w:trPr>
        <w:tc>
          <w:tcPr>
            <w:tcW w:w="1578" w:type="dxa"/>
            <w:shd w:val="clear" w:color="auto" w:fill="F2F2F2" w:themeFill="background1" w:themeFillShade="F2"/>
            <w:vAlign w:val="center"/>
          </w:tcPr>
          <w:p w14:paraId="6E2EF71D" w14:textId="77777777" w:rsidR="00784905" w:rsidRPr="00784905" w:rsidRDefault="00784905" w:rsidP="00784905">
            <w:pPr>
              <w:pStyle w:val="TableText"/>
              <w:rPr>
                <w:b/>
              </w:rPr>
            </w:pPr>
            <w:r w:rsidRPr="00784905">
              <w:rPr>
                <w:b/>
                <w:szCs w:val="22"/>
              </w:rPr>
              <w:t>Delivery</w:t>
            </w:r>
          </w:p>
        </w:tc>
        <w:tc>
          <w:tcPr>
            <w:tcW w:w="3227" w:type="dxa"/>
            <w:shd w:val="clear" w:color="auto" w:fill="FFFFFF" w:themeFill="background1"/>
          </w:tcPr>
          <w:p w14:paraId="1ACB0DF8" w14:textId="77777777" w:rsidR="00784905" w:rsidRPr="003A6A50" w:rsidRDefault="00784905" w:rsidP="00784905">
            <w:pPr>
              <w:pStyle w:val="TableText"/>
              <w:rPr>
                <w:rFonts w:cstheme="minorHAnsi"/>
                <w:kern w:val="24"/>
              </w:rPr>
            </w:pPr>
            <w:r>
              <w:t xml:space="preserve">Most </w:t>
            </w:r>
            <w:r w:rsidRPr="003A6A50">
              <w:t xml:space="preserve">health sector </w:t>
            </w:r>
            <w:r>
              <w:t xml:space="preserve">services </w:t>
            </w:r>
            <w:r w:rsidRPr="003A6A50">
              <w:t>will still be delivered through commissioned services from NGOs</w:t>
            </w:r>
            <w:r>
              <w:t>.</w:t>
            </w:r>
          </w:p>
        </w:tc>
        <w:tc>
          <w:tcPr>
            <w:tcW w:w="3842" w:type="dxa"/>
            <w:shd w:val="clear" w:color="auto" w:fill="FFFFFF" w:themeFill="background1"/>
          </w:tcPr>
          <w:p w14:paraId="7AE3B570" w14:textId="21C990C3" w:rsidR="00784905" w:rsidRPr="003A6A50" w:rsidRDefault="00AD1C64" w:rsidP="00784905">
            <w:pPr>
              <w:pStyle w:val="TableText"/>
              <w:rPr>
                <w:rFonts w:cstheme="minorHAnsi"/>
                <w:lang w:eastAsia="en-NZ"/>
              </w:rPr>
            </w:pPr>
            <w:r>
              <w:rPr>
                <w:rFonts w:cstheme="minorHAnsi"/>
                <w:lang w:eastAsia="en-NZ"/>
              </w:rPr>
              <w:t>It</w:t>
            </w:r>
            <w:r w:rsidR="00784905" w:rsidRPr="003A6A50">
              <w:rPr>
                <w:rFonts w:cstheme="minorHAnsi"/>
                <w:lang w:eastAsia="en-NZ"/>
              </w:rPr>
              <w:t xml:space="preserve"> </w:t>
            </w:r>
            <w:r w:rsidR="00B82DE3">
              <w:rPr>
                <w:rFonts w:cstheme="minorHAnsi"/>
                <w:lang w:eastAsia="en-NZ"/>
              </w:rPr>
              <w:t>is</w:t>
            </w:r>
            <w:r w:rsidR="00784905" w:rsidRPr="003A6A50">
              <w:rPr>
                <w:rFonts w:cstheme="minorHAnsi"/>
                <w:lang w:eastAsia="en-NZ"/>
              </w:rPr>
              <w:t xml:space="preserve"> helpful to work with providers to get </w:t>
            </w:r>
            <w:r w:rsidR="00784905">
              <w:rPr>
                <w:rFonts w:cstheme="minorHAnsi"/>
                <w:lang w:eastAsia="en-NZ"/>
              </w:rPr>
              <w:t>their</w:t>
            </w:r>
            <w:r w:rsidR="00784905" w:rsidRPr="003A6A50">
              <w:rPr>
                <w:rFonts w:cstheme="minorHAnsi"/>
                <w:lang w:eastAsia="en-NZ"/>
              </w:rPr>
              <w:t xml:space="preserve"> insights </w:t>
            </w:r>
            <w:r w:rsidR="00784905">
              <w:rPr>
                <w:rFonts w:cstheme="minorHAnsi"/>
                <w:lang w:eastAsia="en-NZ"/>
              </w:rPr>
              <w:t xml:space="preserve">on what </w:t>
            </w:r>
            <w:r w:rsidR="00784905" w:rsidRPr="003A6A50">
              <w:rPr>
                <w:rFonts w:cstheme="minorHAnsi"/>
                <w:lang w:eastAsia="en-NZ"/>
              </w:rPr>
              <w:t>help</w:t>
            </w:r>
            <w:r w:rsidR="00B82DE3">
              <w:rPr>
                <w:rFonts w:cstheme="minorHAnsi"/>
                <w:lang w:eastAsia="en-NZ"/>
              </w:rPr>
              <w:t>s</w:t>
            </w:r>
            <w:r w:rsidR="00784905" w:rsidRPr="003A6A50">
              <w:rPr>
                <w:rFonts w:cstheme="minorHAnsi"/>
                <w:lang w:eastAsia="en-NZ"/>
              </w:rPr>
              <w:t xml:space="preserve"> drive continuous improvement</w:t>
            </w:r>
            <w:r w:rsidR="00052F80">
              <w:rPr>
                <w:rFonts w:cstheme="minorHAnsi"/>
                <w:lang w:eastAsia="en-NZ"/>
              </w:rPr>
              <w:t>. In this way, the focus</w:t>
            </w:r>
            <w:r w:rsidR="00784905" w:rsidRPr="003A6A50">
              <w:rPr>
                <w:rFonts w:cstheme="minorHAnsi"/>
                <w:lang w:eastAsia="en-NZ"/>
              </w:rPr>
              <w:t xml:space="preserve"> shift</w:t>
            </w:r>
            <w:r w:rsidR="00052F80">
              <w:rPr>
                <w:rFonts w:cstheme="minorHAnsi"/>
                <w:lang w:eastAsia="en-NZ"/>
              </w:rPr>
              <w:t>s</w:t>
            </w:r>
            <w:r w:rsidR="00784905" w:rsidRPr="003A6A50">
              <w:rPr>
                <w:rFonts w:cstheme="minorHAnsi"/>
                <w:lang w:eastAsia="en-NZ"/>
              </w:rPr>
              <w:t xml:space="preserve"> away from compliance to </w:t>
            </w:r>
            <w:r w:rsidR="00B82DE3">
              <w:rPr>
                <w:rFonts w:cstheme="minorHAnsi"/>
                <w:lang w:eastAsia="en-NZ"/>
              </w:rPr>
              <w:t xml:space="preserve">achieve </w:t>
            </w:r>
            <w:r w:rsidR="00784905" w:rsidRPr="003A6A50">
              <w:rPr>
                <w:rFonts w:cstheme="minorHAnsi"/>
                <w:lang w:eastAsia="en-NZ"/>
              </w:rPr>
              <w:t>a more dynamic learning partnership</w:t>
            </w:r>
            <w:r w:rsidR="00784905">
              <w:rPr>
                <w:rFonts w:cstheme="minorHAnsi"/>
                <w:lang w:eastAsia="en-NZ"/>
              </w:rPr>
              <w:t>.</w:t>
            </w:r>
          </w:p>
        </w:tc>
      </w:tr>
      <w:tr w:rsidR="00784905" w:rsidRPr="003A6A50" w14:paraId="3909F708" w14:textId="77777777" w:rsidTr="00784905">
        <w:tc>
          <w:tcPr>
            <w:tcW w:w="1578" w:type="dxa"/>
            <w:shd w:val="clear" w:color="auto" w:fill="F2F2F2" w:themeFill="background1" w:themeFillShade="F2"/>
            <w:vAlign w:val="center"/>
          </w:tcPr>
          <w:p w14:paraId="02EFFA9D" w14:textId="77777777" w:rsidR="00784905" w:rsidRPr="00784905" w:rsidRDefault="00784905" w:rsidP="00784905">
            <w:pPr>
              <w:pStyle w:val="TableText"/>
              <w:rPr>
                <w:b/>
              </w:rPr>
            </w:pPr>
            <w:r w:rsidRPr="00784905">
              <w:rPr>
                <w:b/>
                <w:szCs w:val="22"/>
              </w:rPr>
              <w:t>Commissioners</w:t>
            </w:r>
          </w:p>
        </w:tc>
        <w:tc>
          <w:tcPr>
            <w:tcW w:w="3227" w:type="dxa"/>
            <w:shd w:val="clear" w:color="auto" w:fill="FFFFFF" w:themeFill="background1"/>
          </w:tcPr>
          <w:p w14:paraId="4B6E0FBC" w14:textId="441E5DCA" w:rsidR="00784905" w:rsidRPr="003A6A50" w:rsidRDefault="00784905" w:rsidP="00784905">
            <w:pPr>
              <w:pStyle w:val="TableText"/>
              <w:rPr>
                <w:rFonts w:cstheme="minorHAnsi"/>
              </w:rPr>
            </w:pPr>
            <w:r w:rsidRPr="003A6A50">
              <w:t xml:space="preserve">Commissioning </w:t>
            </w:r>
            <w:r w:rsidR="00B82DE3">
              <w:t xml:space="preserve">on its own </w:t>
            </w:r>
            <w:r>
              <w:t>can put only a</w:t>
            </w:r>
            <w:r w:rsidRPr="003A6A50">
              <w:t xml:space="preserve"> limit</w:t>
            </w:r>
            <w:r>
              <w:t>ed number of</w:t>
            </w:r>
            <w:r w:rsidRPr="003A6A50">
              <w:t xml:space="preserve"> quality requirements in place.</w:t>
            </w:r>
          </w:p>
        </w:tc>
        <w:tc>
          <w:tcPr>
            <w:tcW w:w="3842" w:type="dxa"/>
            <w:shd w:val="clear" w:color="auto" w:fill="FFFFFF" w:themeFill="background1"/>
          </w:tcPr>
          <w:p w14:paraId="585E69B4" w14:textId="08F1B2A5" w:rsidR="00784905" w:rsidRPr="003A6A50" w:rsidRDefault="00784905" w:rsidP="00784905">
            <w:pPr>
              <w:pStyle w:val="TableText"/>
            </w:pPr>
            <w:r w:rsidRPr="003A6A50">
              <w:t xml:space="preserve">The different agencies in the quality </w:t>
            </w:r>
            <w:r w:rsidR="00686968">
              <w:t xml:space="preserve">assurance </w:t>
            </w:r>
            <w:r w:rsidRPr="003A6A50">
              <w:t xml:space="preserve">space (commissioners, regulators, professional councils, Health and Disability Commissioner and the Health Quality </w:t>
            </w:r>
            <w:r>
              <w:t>&amp;</w:t>
            </w:r>
            <w:r w:rsidRPr="003A6A50">
              <w:t xml:space="preserve"> Safety</w:t>
            </w:r>
            <w:r>
              <w:t xml:space="preserve"> Commission)</w:t>
            </w:r>
            <w:r w:rsidRPr="003A6A50">
              <w:t xml:space="preserve"> all have different rol</w:t>
            </w:r>
            <w:r>
              <w:t>e</w:t>
            </w:r>
            <w:r w:rsidRPr="003A6A50">
              <w:t>s and strengths</w:t>
            </w:r>
            <w:r>
              <w:t>.</w:t>
            </w:r>
            <w:r w:rsidRPr="003A6A50">
              <w:t xml:space="preserve"> </w:t>
            </w:r>
            <w:r w:rsidR="00052F80">
              <w:t>T</w:t>
            </w:r>
            <w:r w:rsidRPr="003A6A50">
              <w:t>he conscious melding of the systems creates a positive</w:t>
            </w:r>
            <w:r w:rsidR="00052F80">
              <w:t>,</w:t>
            </w:r>
            <w:r w:rsidRPr="003A6A50">
              <w:t xml:space="preserve"> reinforcing quality cycle (eg</w:t>
            </w:r>
            <w:r>
              <w:t>,</w:t>
            </w:r>
            <w:r w:rsidRPr="003A6A50">
              <w:t xml:space="preserve"> the combined audit and quality process for aged residential care that came out of the 2009 </w:t>
            </w:r>
            <w:r>
              <w:t>Office of the Auditor-General</w:t>
            </w:r>
            <w:r w:rsidRPr="003A6A50">
              <w:t xml:space="preserve"> review)</w:t>
            </w:r>
            <w:r w:rsidR="004D7920">
              <w:rPr>
                <w:rFonts w:ascii="ZWAdobeF" w:hAnsi="ZWAdobeF" w:cs="ZWAdobeF"/>
                <w:color w:val="auto"/>
                <w:spacing w:val="0"/>
                <w:sz w:val="2"/>
                <w:szCs w:val="2"/>
              </w:rPr>
              <w:t>41F</w:t>
            </w:r>
            <w:r w:rsidR="004B3E47">
              <w:rPr>
                <w:rStyle w:val="FootnoteReference"/>
              </w:rPr>
              <w:footnoteReference w:id="43"/>
            </w:r>
            <w:r>
              <w:t>.</w:t>
            </w:r>
          </w:p>
        </w:tc>
      </w:tr>
      <w:tr w:rsidR="00784905" w:rsidRPr="003A6A50" w14:paraId="772A3DF5" w14:textId="77777777" w:rsidTr="00784905">
        <w:trPr>
          <w:trHeight w:val="1505"/>
        </w:trPr>
        <w:tc>
          <w:tcPr>
            <w:tcW w:w="1578" w:type="dxa"/>
            <w:shd w:val="clear" w:color="auto" w:fill="F2F2F2" w:themeFill="background1" w:themeFillShade="F2"/>
            <w:vAlign w:val="center"/>
          </w:tcPr>
          <w:p w14:paraId="4E56C32D" w14:textId="77777777" w:rsidR="00784905" w:rsidRPr="00784905" w:rsidRDefault="00784905" w:rsidP="00784905">
            <w:pPr>
              <w:pStyle w:val="TableText"/>
              <w:rPr>
                <w:b/>
              </w:rPr>
            </w:pPr>
            <w:r w:rsidRPr="00784905">
              <w:rPr>
                <w:b/>
                <w:szCs w:val="22"/>
              </w:rPr>
              <w:t>System conditions</w:t>
            </w:r>
          </w:p>
        </w:tc>
        <w:tc>
          <w:tcPr>
            <w:tcW w:w="3227" w:type="dxa"/>
            <w:shd w:val="clear" w:color="auto" w:fill="FFFFFF" w:themeFill="background1"/>
          </w:tcPr>
          <w:p w14:paraId="36943BF5" w14:textId="77777777" w:rsidR="00716513" w:rsidRDefault="00194037" w:rsidP="00784905">
            <w:pPr>
              <w:pStyle w:val="TableText"/>
              <w:rPr>
                <w:rFonts w:cstheme="minorHAnsi"/>
                <w:lang w:eastAsia="en-NZ"/>
              </w:rPr>
            </w:pPr>
            <w:r w:rsidRPr="003A6A50">
              <w:rPr>
                <w:rFonts w:cstheme="minorHAnsi"/>
                <w:lang w:eastAsia="en-NZ"/>
              </w:rPr>
              <w:t>Quality assurance needs to take a systems approach</w:t>
            </w:r>
            <w:r>
              <w:rPr>
                <w:rFonts w:cstheme="minorHAnsi"/>
                <w:lang w:eastAsia="en-NZ"/>
              </w:rPr>
              <w:t xml:space="preserve"> so that</w:t>
            </w:r>
            <w:r w:rsidRPr="003A6A50">
              <w:rPr>
                <w:rFonts w:cstheme="minorHAnsi"/>
                <w:lang w:eastAsia="en-NZ"/>
              </w:rPr>
              <w:t xml:space="preserve"> all the levers</w:t>
            </w:r>
            <w:r>
              <w:rPr>
                <w:rFonts w:cstheme="minorHAnsi"/>
                <w:lang w:eastAsia="en-NZ"/>
              </w:rPr>
              <w:t xml:space="preserve"> interact effectively</w:t>
            </w:r>
            <w:r w:rsidRPr="003A6A50">
              <w:rPr>
                <w:rFonts w:cstheme="minorHAnsi"/>
                <w:lang w:eastAsia="en-NZ"/>
              </w:rPr>
              <w:t xml:space="preserve">: commissioning, regulation, professional bodies, standards, accreditation, workforce pipeline </w:t>
            </w:r>
            <w:r w:rsidR="00716513">
              <w:rPr>
                <w:rFonts w:cstheme="minorHAnsi"/>
                <w:lang w:eastAsia="en-NZ"/>
              </w:rPr>
              <w:t xml:space="preserve">and </w:t>
            </w:r>
            <w:r w:rsidR="00716513" w:rsidRPr="003A6A50">
              <w:rPr>
                <w:rFonts w:cstheme="minorHAnsi"/>
                <w:lang w:eastAsia="en-NZ"/>
              </w:rPr>
              <w:t>training</w:t>
            </w:r>
            <w:r w:rsidR="00716513">
              <w:rPr>
                <w:rFonts w:cstheme="minorHAnsi"/>
                <w:lang w:eastAsia="en-NZ"/>
              </w:rPr>
              <w:t>.</w:t>
            </w:r>
          </w:p>
          <w:p w14:paraId="718A63F2" w14:textId="57F8781E" w:rsidR="00784905" w:rsidRPr="003A6A50" w:rsidRDefault="00784905" w:rsidP="00784905">
            <w:pPr>
              <w:pStyle w:val="TableText"/>
            </w:pPr>
          </w:p>
        </w:tc>
        <w:tc>
          <w:tcPr>
            <w:tcW w:w="3842" w:type="dxa"/>
            <w:shd w:val="clear" w:color="auto" w:fill="FFFFFF" w:themeFill="background1"/>
          </w:tcPr>
          <w:p w14:paraId="65292982" w14:textId="7BB86852" w:rsidR="00784905" w:rsidRPr="003A6A50" w:rsidRDefault="00194037" w:rsidP="00784905">
            <w:pPr>
              <w:pStyle w:val="TableText"/>
              <w:rPr>
                <w:rFonts w:cstheme="minorHAnsi"/>
                <w:lang w:eastAsia="en-NZ"/>
              </w:rPr>
            </w:pPr>
            <w:r>
              <w:t>Other</w:t>
            </w:r>
            <w:r w:rsidRPr="003A6A50">
              <w:t xml:space="preserve"> </w:t>
            </w:r>
            <w:r w:rsidRPr="003A6A50">
              <w:rPr>
                <w:rFonts w:cstheme="minorHAnsi"/>
                <w:lang w:eastAsia="en-NZ"/>
              </w:rPr>
              <w:t xml:space="preserve">levers come from professional councils and oversight functions (Health and Disability Commissioner, Health Quality </w:t>
            </w:r>
            <w:r>
              <w:rPr>
                <w:rFonts w:cstheme="minorHAnsi"/>
                <w:lang w:eastAsia="en-NZ"/>
              </w:rPr>
              <w:t>&amp;</w:t>
            </w:r>
            <w:r w:rsidRPr="003A6A50">
              <w:rPr>
                <w:rFonts w:cstheme="minorHAnsi"/>
                <w:lang w:eastAsia="en-NZ"/>
              </w:rPr>
              <w:t xml:space="preserve"> Safety </w:t>
            </w:r>
            <w:r>
              <w:rPr>
                <w:rFonts w:cstheme="minorHAnsi"/>
                <w:lang w:eastAsia="en-NZ"/>
              </w:rPr>
              <w:t>Commission</w:t>
            </w:r>
            <w:r w:rsidRPr="003A6A50">
              <w:rPr>
                <w:rFonts w:cstheme="minorHAnsi"/>
                <w:lang w:eastAsia="en-NZ"/>
              </w:rPr>
              <w:t>)</w:t>
            </w:r>
            <w:r>
              <w:rPr>
                <w:rFonts w:cstheme="minorHAnsi"/>
                <w:lang w:eastAsia="en-NZ"/>
              </w:rPr>
              <w:t>.</w:t>
            </w:r>
            <w:r w:rsidRPr="003A6A50">
              <w:rPr>
                <w:rFonts w:cstheme="minorHAnsi"/>
                <w:lang w:eastAsia="en-NZ"/>
              </w:rPr>
              <w:t xml:space="preserve"> </w:t>
            </w:r>
            <w:r>
              <w:rPr>
                <w:rFonts w:cstheme="minorHAnsi"/>
                <w:lang w:eastAsia="en-NZ"/>
              </w:rPr>
              <w:t>R</w:t>
            </w:r>
            <w:r w:rsidRPr="003A6A50">
              <w:rPr>
                <w:rFonts w:cstheme="minorHAnsi"/>
                <w:lang w:eastAsia="en-NZ"/>
              </w:rPr>
              <w:t>egulation</w:t>
            </w:r>
            <w:r w:rsidR="00123A4C">
              <w:rPr>
                <w:rFonts w:cstheme="minorHAnsi"/>
                <w:lang w:eastAsia="en-NZ"/>
              </w:rPr>
              <w:t xml:space="preserve"> </w:t>
            </w:r>
            <w:r w:rsidR="00123A4C" w:rsidRPr="003A6A50">
              <w:rPr>
                <w:rFonts w:cstheme="minorHAnsi"/>
                <w:lang w:eastAsia="en-NZ"/>
              </w:rPr>
              <w:t>is use</w:t>
            </w:r>
            <w:r w:rsidR="00123A4C">
              <w:rPr>
                <w:rFonts w:cstheme="minorHAnsi"/>
                <w:lang w:eastAsia="en-NZ"/>
              </w:rPr>
              <w:t>d</w:t>
            </w:r>
            <w:r w:rsidR="00123A4C" w:rsidRPr="003A6A50">
              <w:rPr>
                <w:rFonts w:cstheme="minorHAnsi"/>
                <w:lang w:eastAsia="en-NZ"/>
              </w:rPr>
              <w:t xml:space="preserve"> for the </w:t>
            </w:r>
            <w:r w:rsidR="00123A4C" w:rsidRPr="003A6A50">
              <w:t>highest</w:t>
            </w:r>
            <w:r w:rsidR="00123A4C">
              <w:t>-</w:t>
            </w:r>
            <w:r w:rsidR="00123A4C" w:rsidRPr="003A6A50">
              <w:t>risk situations</w:t>
            </w:r>
            <w:r w:rsidR="00123A4C">
              <w:t>.</w:t>
            </w:r>
          </w:p>
        </w:tc>
      </w:tr>
    </w:tbl>
    <w:p w14:paraId="3023F65B" w14:textId="77777777" w:rsidR="00784905" w:rsidRDefault="00784905" w:rsidP="00784905"/>
    <w:p w14:paraId="2F7D7FAF" w14:textId="77777777" w:rsidR="003939AD" w:rsidRDefault="003939AD" w:rsidP="009055B4">
      <w:pPr>
        <w:pStyle w:val="Heading3-nonumbering"/>
        <w:sectPr w:rsidR="003939AD" w:rsidSect="00C345BC">
          <w:pgSz w:w="11906" w:h="16838"/>
          <w:pgMar w:top="2778" w:right="1701" w:bottom="454" w:left="1701" w:header="567" w:footer="567" w:gutter="0"/>
          <w:cols w:space="708"/>
          <w:titlePg/>
          <w:docGrid w:linePitch="360"/>
        </w:sectPr>
      </w:pPr>
    </w:p>
    <w:p w14:paraId="62A09E13" w14:textId="57A6A7BA" w:rsidR="00784905" w:rsidRPr="005506BF" w:rsidRDefault="00784905" w:rsidP="009055B4">
      <w:pPr>
        <w:pStyle w:val="Heading3-nonumbering"/>
        <w:spacing w:before="0"/>
      </w:pPr>
      <w:r w:rsidRPr="00784905">
        <w:lastRenderedPageBreak/>
        <w:t>Monitoring</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784905" w:rsidRPr="000C72D2" w14:paraId="2F385296" w14:textId="77777777" w:rsidTr="003D7A22">
        <w:trPr>
          <w:trHeight w:val="170"/>
        </w:trPr>
        <w:tc>
          <w:tcPr>
            <w:tcW w:w="567" w:type="dxa"/>
          </w:tcPr>
          <w:p w14:paraId="46DD349D" w14:textId="77777777" w:rsidR="00784905" w:rsidRPr="000C72D2" w:rsidRDefault="00784905" w:rsidP="009055B4">
            <w:pPr>
              <w:pStyle w:val="0RULE"/>
            </w:pPr>
          </w:p>
        </w:tc>
      </w:tr>
    </w:tbl>
    <w:p w14:paraId="44F6776A" w14:textId="77777777" w:rsidR="00784905" w:rsidRDefault="00784905" w:rsidP="00784905">
      <w:pPr>
        <w:pStyle w:val="NormalwIndent"/>
      </w:pPr>
      <w:r>
        <w:t>Monitoring is making a systematic assessment to understand whether the commissioned response is on track to deliver the expected results. Monitoring often tracks:</w:t>
      </w:r>
    </w:p>
    <w:p w14:paraId="3E5000F0" w14:textId="331E5ED6" w:rsidR="00784905" w:rsidRDefault="00784905" w:rsidP="00784905">
      <w:pPr>
        <w:pStyle w:val="ListBullet"/>
        <w:tabs>
          <w:tab w:val="clear" w:pos="360"/>
          <w:tab w:val="num" w:pos="709"/>
        </w:tabs>
        <w:ind w:left="1985" w:hanging="284"/>
        <w:rPr>
          <w:lang w:eastAsia="en-GB"/>
        </w:rPr>
      </w:pPr>
      <w:r>
        <w:rPr>
          <w:lang w:eastAsia="en-GB"/>
        </w:rPr>
        <w:t>types of investment (services, capability building, technology)</w:t>
      </w:r>
    </w:p>
    <w:p w14:paraId="1E40D274" w14:textId="54B9DCA1" w:rsidR="00784905" w:rsidRDefault="00784905" w:rsidP="00784905">
      <w:pPr>
        <w:pStyle w:val="ListBullet"/>
        <w:tabs>
          <w:tab w:val="clear" w:pos="360"/>
          <w:tab w:val="num" w:pos="709"/>
        </w:tabs>
        <w:ind w:left="1985" w:hanging="284"/>
        <w:rPr>
          <w:lang w:eastAsia="en-GB"/>
        </w:rPr>
      </w:pPr>
      <w:r>
        <w:rPr>
          <w:lang w:eastAsia="en-GB"/>
        </w:rPr>
        <w:t>timing of intervention (across the life course or intervention stage)</w:t>
      </w:r>
    </w:p>
    <w:p w14:paraId="37D668C2" w14:textId="56DE2C19" w:rsidR="00784905" w:rsidRDefault="00784905" w:rsidP="00784905">
      <w:pPr>
        <w:pStyle w:val="ListBullet"/>
        <w:tabs>
          <w:tab w:val="clear" w:pos="360"/>
          <w:tab w:val="num" w:pos="709"/>
        </w:tabs>
        <w:ind w:left="1985" w:hanging="284"/>
        <w:rPr>
          <w:lang w:eastAsia="en-GB"/>
        </w:rPr>
      </w:pPr>
      <w:r>
        <w:rPr>
          <w:lang w:eastAsia="en-GB"/>
        </w:rPr>
        <w:t>service delivery against agreed standards and volumes and other agreed criteria</w:t>
      </w:r>
    </w:p>
    <w:p w14:paraId="377DB24B" w14:textId="7934CB0E" w:rsidR="00784905" w:rsidRDefault="00784905" w:rsidP="00784905">
      <w:pPr>
        <w:pStyle w:val="ListBullet"/>
        <w:tabs>
          <w:tab w:val="clear" w:pos="360"/>
          <w:tab w:val="num" w:pos="709"/>
        </w:tabs>
        <w:ind w:left="1985" w:hanging="284"/>
        <w:rPr>
          <w:lang w:eastAsia="en-GB"/>
        </w:rPr>
      </w:pPr>
      <w:r>
        <w:rPr>
          <w:lang w:eastAsia="en-GB"/>
        </w:rPr>
        <w:t>reasons for service use</w:t>
      </w:r>
    </w:p>
    <w:p w14:paraId="6C2DBC96" w14:textId="62DCE253" w:rsidR="00784905" w:rsidRDefault="00784905" w:rsidP="00784905">
      <w:pPr>
        <w:pStyle w:val="ListBullet"/>
        <w:tabs>
          <w:tab w:val="clear" w:pos="360"/>
          <w:tab w:val="num" w:pos="709"/>
        </w:tabs>
        <w:ind w:left="1985" w:hanging="284"/>
        <w:rPr>
          <w:lang w:eastAsia="en-GB"/>
        </w:rPr>
      </w:pPr>
      <w:r>
        <w:rPr>
          <w:lang w:eastAsia="en-GB"/>
        </w:rPr>
        <w:t>service use by key demographics (age, gender, ethnicity)</w:t>
      </w:r>
      <w:r w:rsidR="00052F80">
        <w:rPr>
          <w:lang w:eastAsia="en-GB"/>
        </w:rPr>
        <w:t xml:space="preserve"> </w:t>
      </w:r>
      <w:r w:rsidR="00052F80">
        <w:rPr>
          <w:rFonts w:ascii="Calibri" w:hAnsi="Calibri" w:cs="Calibri"/>
          <w:lang w:eastAsia="en-GB"/>
        </w:rPr>
        <w:t>—</w:t>
      </w:r>
      <w:r>
        <w:rPr>
          <w:lang w:eastAsia="en-GB"/>
        </w:rPr>
        <w:t xml:space="preserve"> and who is missing out</w:t>
      </w:r>
    </w:p>
    <w:p w14:paraId="31A8C26D" w14:textId="5ADE123E" w:rsidR="00784905" w:rsidRDefault="00784905" w:rsidP="00784905">
      <w:pPr>
        <w:pStyle w:val="ListBullet"/>
        <w:tabs>
          <w:tab w:val="clear" w:pos="360"/>
          <w:tab w:val="num" w:pos="709"/>
        </w:tabs>
        <w:ind w:left="1985" w:hanging="284"/>
        <w:rPr>
          <w:lang w:eastAsia="en-GB"/>
        </w:rPr>
      </w:pPr>
      <w:r>
        <w:rPr>
          <w:lang w:eastAsia="en-GB"/>
        </w:rPr>
        <w:t>results by service user characteristic (demographics, needs, conditions)</w:t>
      </w:r>
    </w:p>
    <w:p w14:paraId="323793DC" w14:textId="7871116F" w:rsidR="00784905" w:rsidRDefault="00784905" w:rsidP="00784905">
      <w:pPr>
        <w:pStyle w:val="ListBullet"/>
        <w:tabs>
          <w:tab w:val="clear" w:pos="360"/>
          <w:tab w:val="num" w:pos="709"/>
        </w:tabs>
        <w:ind w:left="1985" w:hanging="284"/>
        <w:rPr>
          <w:lang w:eastAsia="en-GB"/>
        </w:rPr>
      </w:pPr>
      <w:r>
        <w:rPr>
          <w:lang w:eastAsia="en-GB"/>
        </w:rPr>
        <w:t xml:space="preserve">referral pathways </w:t>
      </w:r>
    </w:p>
    <w:p w14:paraId="1930249C" w14:textId="10DA671C" w:rsidR="00784905" w:rsidRDefault="00784905" w:rsidP="00784905">
      <w:pPr>
        <w:pStyle w:val="ListBullet"/>
        <w:tabs>
          <w:tab w:val="clear" w:pos="360"/>
          <w:tab w:val="num" w:pos="709"/>
        </w:tabs>
        <w:ind w:left="1985" w:hanging="284"/>
        <w:rPr>
          <w:lang w:eastAsia="en-GB"/>
        </w:rPr>
      </w:pPr>
      <w:r>
        <w:rPr>
          <w:lang w:eastAsia="en-GB"/>
        </w:rPr>
        <w:t>actual against planned expenditure</w:t>
      </w:r>
    </w:p>
    <w:p w14:paraId="66F9254C" w14:textId="43CCED7D" w:rsidR="00784905" w:rsidRDefault="00784905" w:rsidP="00F674DF">
      <w:pPr>
        <w:pStyle w:val="ListBullet"/>
        <w:tabs>
          <w:tab w:val="clear" w:pos="360"/>
          <w:tab w:val="num" w:pos="709"/>
          <w:tab w:val="left" w:pos="1701"/>
        </w:tabs>
        <w:ind w:left="1985" w:hanging="284"/>
        <w:rPr>
          <w:lang w:eastAsia="en-GB"/>
        </w:rPr>
      </w:pPr>
      <w:r>
        <w:rPr>
          <w:lang w:eastAsia="en-GB"/>
        </w:rPr>
        <w:t>service and investment gaps, overlaps, duplication and future opportunities</w:t>
      </w:r>
    </w:p>
    <w:p w14:paraId="7F18D063" w14:textId="7CF49CCB" w:rsidR="00784905" w:rsidRDefault="00784905" w:rsidP="00784905">
      <w:pPr>
        <w:pStyle w:val="ListBullet"/>
        <w:tabs>
          <w:tab w:val="clear" w:pos="360"/>
          <w:tab w:val="num" w:pos="709"/>
        </w:tabs>
        <w:ind w:left="1985" w:hanging="284"/>
        <w:rPr>
          <w:lang w:eastAsia="en-GB"/>
        </w:rPr>
      </w:pPr>
      <w:r>
        <w:rPr>
          <w:lang w:eastAsia="en-GB"/>
        </w:rPr>
        <w:t>whether key enablers (eg, workforce) are present and sufficient</w:t>
      </w:r>
    </w:p>
    <w:p w14:paraId="75FF68DD" w14:textId="367519EA" w:rsidR="00784905" w:rsidRDefault="00784905" w:rsidP="00784905">
      <w:pPr>
        <w:pStyle w:val="ListBullet"/>
        <w:tabs>
          <w:tab w:val="clear" w:pos="360"/>
          <w:tab w:val="num" w:pos="709"/>
        </w:tabs>
        <w:ind w:left="1985" w:hanging="284"/>
        <w:rPr>
          <w:lang w:eastAsia="en-GB"/>
        </w:rPr>
      </w:pPr>
      <w:r>
        <w:rPr>
          <w:lang w:eastAsia="en-GB"/>
        </w:rPr>
        <w:t xml:space="preserve">issues, risks and </w:t>
      </w:r>
      <w:r w:rsidR="00970C54">
        <w:rPr>
          <w:lang w:eastAsia="en-GB"/>
        </w:rPr>
        <w:t xml:space="preserve">actions taken to mitigate </w:t>
      </w:r>
      <w:r>
        <w:rPr>
          <w:lang w:eastAsia="en-GB"/>
        </w:rPr>
        <w:t>risk.</w:t>
      </w:r>
    </w:p>
    <w:p w14:paraId="6266CCB6" w14:textId="456FFCB3" w:rsidR="00784905" w:rsidRDefault="00784905" w:rsidP="00784905">
      <w:pPr>
        <w:pStyle w:val="NormalwIndent"/>
      </w:pPr>
      <w:r>
        <w:t>Decisions about the frequency and focus of monitoring are based on what the service is intending to achieve</w:t>
      </w:r>
      <w:r w:rsidR="006768EA">
        <w:t>, as well as</w:t>
      </w:r>
      <w:r>
        <w:t xml:space="preserve"> the level of:</w:t>
      </w:r>
    </w:p>
    <w:p w14:paraId="1CC847A6" w14:textId="258DBAA7" w:rsidR="00784905" w:rsidRDefault="00784905" w:rsidP="00784905">
      <w:pPr>
        <w:pStyle w:val="ListBullet"/>
        <w:tabs>
          <w:tab w:val="clear" w:pos="360"/>
          <w:tab w:val="num" w:pos="709"/>
        </w:tabs>
        <w:ind w:left="1985" w:hanging="284"/>
        <w:rPr>
          <w:lang w:eastAsia="en-GB"/>
        </w:rPr>
      </w:pPr>
      <w:r>
        <w:rPr>
          <w:lang w:eastAsia="en-GB"/>
        </w:rPr>
        <w:t>risk from low or no protective factors, late delivery or poor-quality services</w:t>
      </w:r>
    </w:p>
    <w:p w14:paraId="4A716380" w14:textId="4B6E1413" w:rsidR="00784905" w:rsidRDefault="00784905" w:rsidP="00784905">
      <w:pPr>
        <w:pStyle w:val="ListBullet"/>
        <w:tabs>
          <w:tab w:val="clear" w:pos="360"/>
          <w:tab w:val="num" w:pos="709"/>
        </w:tabs>
        <w:ind w:left="1985" w:hanging="284"/>
        <w:rPr>
          <w:lang w:eastAsia="en-GB"/>
        </w:rPr>
      </w:pPr>
      <w:r>
        <w:rPr>
          <w:lang w:eastAsia="en-GB"/>
        </w:rPr>
        <w:t>safeguarding needed for the target group (this may be mandatory through a regulatory framework or a legislative requirement or may reflect good practice)</w:t>
      </w:r>
    </w:p>
    <w:p w14:paraId="7B03082D" w14:textId="30189613" w:rsidR="00784905" w:rsidRDefault="00784905" w:rsidP="00784905">
      <w:pPr>
        <w:pStyle w:val="ListBullet"/>
        <w:tabs>
          <w:tab w:val="clear" w:pos="360"/>
          <w:tab w:val="num" w:pos="709"/>
        </w:tabs>
        <w:ind w:left="1985" w:hanging="284"/>
        <w:rPr>
          <w:lang w:eastAsia="en-GB"/>
        </w:rPr>
      </w:pPr>
      <w:r>
        <w:rPr>
          <w:lang w:eastAsia="en-GB"/>
        </w:rPr>
        <w:t>investment and innovation</w:t>
      </w:r>
    </w:p>
    <w:p w14:paraId="3E5DAF04" w14:textId="15919A83" w:rsidR="00784905" w:rsidRDefault="00784905" w:rsidP="00784905">
      <w:pPr>
        <w:pStyle w:val="ListBullet"/>
        <w:tabs>
          <w:tab w:val="clear" w:pos="360"/>
          <w:tab w:val="num" w:pos="709"/>
        </w:tabs>
        <w:ind w:left="1985" w:hanging="284"/>
        <w:rPr>
          <w:lang w:eastAsia="en-GB"/>
        </w:rPr>
      </w:pPr>
      <w:r>
        <w:rPr>
          <w:lang w:eastAsia="en-GB"/>
        </w:rPr>
        <w:t xml:space="preserve">political interest and public scrutiny. </w:t>
      </w:r>
    </w:p>
    <w:p w14:paraId="2B101248" w14:textId="77777777" w:rsidR="00784905" w:rsidRDefault="00784905" w:rsidP="00784905">
      <w:pPr>
        <w:pStyle w:val="NormalwIndent"/>
      </w:pPr>
      <w:r>
        <w:t xml:space="preserve">The greater the level of risk, investment, innovation or interest, the more robust the monitoring needs to be.  </w:t>
      </w:r>
    </w:p>
    <w:p w14:paraId="229A283A" w14:textId="77777777" w:rsidR="00784905" w:rsidRDefault="00784905" w:rsidP="00784905">
      <w:pPr>
        <w:pStyle w:val="NormalwIndent"/>
      </w:pPr>
      <w:r>
        <w:t>It can be time consuming to collect this information. For this reason, commissioners need to shape reporting requirements so that:</w:t>
      </w:r>
    </w:p>
    <w:p w14:paraId="0F060B45" w14:textId="7918991E" w:rsidR="00784905" w:rsidRDefault="00784905" w:rsidP="00784905">
      <w:pPr>
        <w:pStyle w:val="ListBullet"/>
        <w:tabs>
          <w:tab w:val="clear" w:pos="360"/>
          <w:tab w:val="num" w:pos="709"/>
        </w:tabs>
        <w:ind w:left="1985" w:hanging="284"/>
        <w:rPr>
          <w:lang w:eastAsia="en-GB"/>
        </w:rPr>
      </w:pPr>
      <w:r>
        <w:rPr>
          <w:lang w:eastAsia="en-GB"/>
        </w:rPr>
        <w:t xml:space="preserve">reporting requirements </w:t>
      </w:r>
      <w:r w:rsidR="001E22DA">
        <w:rPr>
          <w:lang w:eastAsia="en-GB"/>
        </w:rPr>
        <w:t>match</w:t>
      </w:r>
      <w:r>
        <w:rPr>
          <w:lang w:eastAsia="en-GB"/>
        </w:rPr>
        <w:t xml:space="preserve"> </w:t>
      </w:r>
      <w:r w:rsidR="001E22DA">
        <w:rPr>
          <w:lang w:eastAsia="en-GB"/>
        </w:rPr>
        <w:t xml:space="preserve">the level of </w:t>
      </w:r>
      <w:r>
        <w:rPr>
          <w:lang w:eastAsia="en-GB"/>
        </w:rPr>
        <w:t>risk and investment</w:t>
      </w:r>
      <w:r w:rsidR="001E22DA">
        <w:rPr>
          <w:lang w:eastAsia="en-GB"/>
        </w:rPr>
        <w:t xml:space="preserve"> involved</w:t>
      </w:r>
    </w:p>
    <w:p w14:paraId="75EB1381" w14:textId="7349CA7C" w:rsidR="00784905" w:rsidRDefault="006C50B0" w:rsidP="00784905">
      <w:pPr>
        <w:pStyle w:val="ListBullet"/>
        <w:tabs>
          <w:tab w:val="clear" w:pos="360"/>
          <w:tab w:val="num" w:pos="709"/>
        </w:tabs>
        <w:ind w:left="1985" w:hanging="284"/>
        <w:rPr>
          <w:lang w:eastAsia="en-GB"/>
        </w:rPr>
      </w:pPr>
      <w:r>
        <w:rPr>
          <w:lang w:eastAsia="en-GB"/>
        </w:rPr>
        <w:t xml:space="preserve">wherever possible, </w:t>
      </w:r>
      <w:r w:rsidR="00784905">
        <w:rPr>
          <w:lang w:eastAsia="en-GB"/>
        </w:rPr>
        <w:t>reporting uses data</w:t>
      </w:r>
      <w:r w:rsidR="00686968">
        <w:rPr>
          <w:lang w:eastAsia="en-GB"/>
        </w:rPr>
        <w:t xml:space="preserve"> and information</w:t>
      </w:r>
      <w:r w:rsidR="00784905">
        <w:rPr>
          <w:lang w:eastAsia="en-GB"/>
        </w:rPr>
        <w:t xml:space="preserve"> that </w:t>
      </w:r>
      <w:r>
        <w:rPr>
          <w:lang w:eastAsia="en-GB"/>
        </w:rPr>
        <w:t xml:space="preserve">are </w:t>
      </w:r>
      <w:r w:rsidR="00784905">
        <w:rPr>
          <w:lang w:eastAsia="en-GB"/>
        </w:rPr>
        <w:t xml:space="preserve">already being collected </w:t>
      </w:r>
    </w:p>
    <w:p w14:paraId="565839F7" w14:textId="00650A56" w:rsidR="00784905" w:rsidRDefault="00784905" w:rsidP="00784905">
      <w:pPr>
        <w:pStyle w:val="ListBullet"/>
        <w:tabs>
          <w:tab w:val="clear" w:pos="360"/>
          <w:tab w:val="num" w:pos="709"/>
        </w:tabs>
        <w:ind w:left="1985" w:hanging="284"/>
        <w:rPr>
          <w:lang w:eastAsia="en-GB"/>
        </w:rPr>
      </w:pPr>
      <w:r>
        <w:rPr>
          <w:lang w:eastAsia="en-GB"/>
        </w:rPr>
        <w:t xml:space="preserve">where new data is needed, the amount of new data </w:t>
      </w:r>
      <w:r w:rsidR="00970C54">
        <w:rPr>
          <w:lang w:eastAsia="en-GB"/>
        </w:rPr>
        <w:t xml:space="preserve">to collect </w:t>
      </w:r>
      <w:r>
        <w:rPr>
          <w:lang w:eastAsia="en-GB"/>
        </w:rPr>
        <w:t>is kept to a minimum</w:t>
      </w:r>
    </w:p>
    <w:p w14:paraId="11B4AD8C" w14:textId="3B5F15FE" w:rsidR="00784905" w:rsidRDefault="00784905" w:rsidP="00784905">
      <w:pPr>
        <w:pStyle w:val="ListBullet"/>
        <w:tabs>
          <w:tab w:val="clear" w:pos="360"/>
          <w:tab w:val="num" w:pos="709"/>
        </w:tabs>
        <w:ind w:left="1985" w:hanging="284"/>
        <w:rPr>
          <w:lang w:eastAsia="en-GB"/>
        </w:rPr>
      </w:pPr>
      <w:r>
        <w:rPr>
          <w:lang w:eastAsia="en-GB"/>
        </w:rPr>
        <w:lastRenderedPageBreak/>
        <w:t xml:space="preserve">data </w:t>
      </w:r>
      <w:r w:rsidR="00686968">
        <w:rPr>
          <w:lang w:eastAsia="en-GB"/>
        </w:rPr>
        <w:t xml:space="preserve">and information </w:t>
      </w:r>
      <w:r>
        <w:rPr>
          <w:lang w:eastAsia="en-GB"/>
        </w:rPr>
        <w:t>provide</w:t>
      </w:r>
      <w:r w:rsidR="00686968">
        <w:rPr>
          <w:lang w:eastAsia="en-GB"/>
        </w:rPr>
        <w:t xml:space="preserve"> </w:t>
      </w:r>
      <w:r>
        <w:rPr>
          <w:lang w:eastAsia="en-GB"/>
        </w:rPr>
        <w:t>insight</w:t>
      </w:r>
      <w:r w:rsidR="00686968">
        <w:rPr>
          <w:lang w:eastAsia="en-GB"/>
        </w:rPr>
        <w:t>s</w:t>
      </w:r>
      <w:r>
        <w:rPr>
          <w:lang w:eastAsia="en-GB"/>
        </w:rPr>
        <w:t xml:space="preserve"> into outcome variation</w:t>
      </w:r>
      <w:r w:rsidR="004D7920">
        <w:rPr>
          <w:rFonts w:ascii="ZWAdobeF" w:hAnsi="ZWAdobeF" w:cs="ZWAdobeF"/>
          <w:color w:val="auto"/>
          <w:sz w:val="2"/>
          <w:szCs w:val="2"/>
          <w:lang w:eastAsia="en-GB"/>
        </w:rPr>
        <w:t>42F</w:t>
      </w:r>
      <w:r>
        <w:rPr>
          <w:rStyle w:val="FootnoteReference"/>
          <w:lang w:eastAsia="en-GB"/>
        </w:rPr>
        <w:footnoteReference w:id="44"/>
      </w:r>
      <w:r>
        <w:rPr>
          <w:lang w:eastAsia="en-GB"/>
        </w:rPr>
        <w:t xml:space="preserve"> and areas that need to be improved. </w:t>
      </w:r>
    </w:p>
    <w:p w14:paraId="5B728E27" w14:textId="0301125A" w:rsidR="00784905" w:rsidRDefault="00784905" w:rsidP="00784905">
      <w:pPr>
        <w:pStyle w:val="NormalwIndent"/>
      </w:pPr>
      <w:r>
        <w:t xml:space="preserve">Ongoing monitoring requires regular discussions between contract managers and providers about how the service or model of care is working, what results </w:t>
      </w:r>
      <w:r w:rsidR="00D27ACC">
        <w:t xml:space="preserve">it is </w:t>
      </w:r>
      <w:r>
        <w:t>achieving, lessons learnt and areas for improvement. It can also involve reviewing the impact of contract incentives to innovate and integrate.</w:t>
      </w:r>
      <w:r w:rsidRPr="00784905">
        <w:rPr>
          <w:color w:val="EC643C"/>
        </w:rPr>
        <w:t xml:space="preserve"> </w:t>
      </w:r>
      <w:r w:rsidR="00B21802">
        <w:rPr>
          <w:color w:val="auto"/>
        </w:rPr>
        <w:t>Getting effective results from monitoring</w:t>
      </w:r>
      <w:r w:rsidR="00B21802" w:rsidRPr="0096035D">
        <w:rPr>
          <w:color w:val="auto"/>
        </w:rPr>
        <w:t xml:space="preserve"> </w:t>
      </w:r>
      <w:r w:rsidRPr="0096035D">
        <w:rPr>
          <w:color w:val="auto"/>
        </w:rPr>
        <w:t>requires a relationship of trust and working together as learning partners.</w:t>
      </w:r>
      <w:r w:rsidRPr="00BE6C08">
        <w:rPr>
          <w:color w:val="auto"/>
        </w:rPr>
        <w:t xml:space="preserve"> </w:t>
      </w:r>
    </w:p>
    <w:p w14:paraId="54C45425" w14:textId="2758F3D5" w:rsidR="00784905" w:rsidRDefault="00784905" w:rsidP="00784905">
      <w:pPr>
        <w:pStyle w:val="NormalwIndent"/>
      </w:pPr>
      <w:r>
        <w:t xml:space="preserve">Monitoring may highlight where contract managers and providers need to agree on changes to the service design or delivery, for example, to respond to unanticipated demand, unmet need or changed context. </w:t>
      </w:r>
    </w:p>
    <w:p w14:paraId="3E45E1E1" w14:textId="58BEA100" w:rsidR="00784905" w:rsidRPr="005506BF" w:rsidRDefault="00784905" w:rsidP="009055B4">
      <w:pPr>
        <w:pStyle w:val="Heading3-nonumbering"/>
      </w:pPr>
      <w:r w:rsidRPr="00784905">
        <w:t>Evaluating</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784905" w:rsidRPr="000C72D2" w14:paraId="3C91B7D7" w14:textId="77777777" w:rsidTr="003D7A22">
        <w:trPr>
          <w:trHeight w:val="170"/>
        </w:trPr>
        <w:tc>
          <w:tcPr>
            <w:tcW w:w="567" w:type="dxa"/>
          </w:tcPr>
          <w:p w14:paraId="19F73AA6" w14:textId="77777777" w:rsidR="00784905" w:rsidRPr="000C72D2" w:rsidRDefault="00784905" w:rsidP="009055B4">
            <w:pPr>
              <w:pStyle w:val="0RULE"/>
            </w:pPr>
          </w:p>
        </w:tc>
      </w:tr>
    </w:tbl>
    <w:p w14:paraId="592792BB" w14:textId="2DDDC335" w:rsidR="00784905" w:rsidRDefault="00784905" w:rsidP="00784905">
      <w:pPr>
        <w:pStyle w:val="NormalwIndent"/>
      </w:pPr>
      <w:r>
        <w:t>Evaluation uses a mix of methods and perspectives to:</w:t>
      </w:r>
    </w:p>
    <w:p w14:paraId="5E34F47C" w14:textId="54A9943D" w:rsidR="00784905" w:rsidRDefault="00784905" w:rsidP="00784905">
      <w:pPr>
        <w:pStyle w:val="ListBullet"/>
        <w:tabs>
          <w:tab w:val="clear" w:pos="360"/>
          <w:tab w:val="num" w:pos="709"/>
        </w:tabs>
        <w:ind w:left="1985" w:hanging="284"/>
        <w:rPr>
          <w:lang w:eastAsia="en-GB"/>
        </w:rPr>
      </w:pPr>
      <w:r>
        <w:rPr>
          <w:lang w:eastAsia="en-GB"/>
        </w:rPr>
        <w:t xml:space="preserve">assess what outcomes resulted from the service or </w:t>
      </w:r>
      <w:r w:rsidR="007A3DC6">
        <w:rPr>
          <w:lang w:eastAsia="en-GB"/>
        </w:rPr>
        <w:t>intervention</w:t>
      </w:r>
    </w:p>
    <w:p w14:paraId="3094301C" w14:textId="58F9D796" w:rsidR="00784905" w:rsidRDefault="00784905" w:rsidP="00784905">
      <w:pPr>
        <w:pStyle w:val="ListBullet"/>
        <w:tabs>
          <w:tab w:val="clear" w:pos="360"/>
          <w:tab w:val="num" w:pos="709"/>
        </w:tabs>
        <w:ind w:left="1985" w:hanging="284"/>
        <w:rPr>
          <w:lang w:eastAsia="en-GB"/>
        </w:rPr>
      </w:pPr>
      <w:r>
        <w:rPr>
          <w:lang w:eastAsia="en-GB"/>
        </w:rPr>
        <w:t>understand why these outcomes occurred</w:t>
      </w:r>
    </w:p>
    <w:p w14:paraId="40066DB3" w14:textId="6FC300A2" w:rsidR="00784905" w:rsidRDefault="00784905" w:rsidP="00784905">
      <w:pPr>
        <w:pStyle w:val="ListBullet"/>
        <w:tabs>
          <w:tab w:val="clear" w:pos="360"/>
          <w:tab w:val="num" w:pos="709"/>
        </w:tabs>
        <w:ind w:left="1985" w:hanging="284"/>
        <w:rPr>
          <w:lang w:eastAsia="en-GB"/>
        </w:rPr>
      </w:pPr>
      <w:r>
        <w:rPr>
          <w:lang w:eastAsia="en-GB"/>
        </w:rPr>
        <w:t>identify any unintended outcomes (positive and negative)</w:t>
      </w:r>
    </w:p>
    <w:p w14:paraId="51AB4976" w14:textId="368C7DDA" w:rsidR="00784905" w:rsidRDefault="00784905" w:rsidP="00784905">
      <w:pPr>
        <w:pStyle w:val="ListBullet"/>
        <w:tabs>
          <w:tab w:val="clear" w:pos="360"/>
          <w:tab w:val="num" w:pos="709"/>
        </w:tabs>
        <w:ind w:left="1985" w:hanging="284"/>
        <w:rPr>
          <w:lang w:eastAsia="en-GB"/>
        </w:rPr>
      </w:pPr>
      <w:r>
        <w:rPr>
          <w:lang w:eastAsia="en-GB"/>
        </w:rPr>
        <w:t>understand what worked well and what could be improved</w:t>
      </w:r>
    </w:p>
    <w:p w14:paraId="332E211D" w14:textId="08A8DD6D" w:rsidR="00784905" w:rsidRDefault="00784905" w:rsidP="00784905">
      <w:pPr>
        <w:pStyle w:val="ListBullet"/>
        <w:tabs>
          <w:tab w:val="clear" w:pos="360"/>
          <w:tab w:val="num" w:pos="709"/>
        </w:tabs>
        <w:ind w:left="1985" w:hanging="284"/>
        <w:rPr>
          <w:lang w:eastAsia="en-GB"/>
        </w:rPr>
      </w:pPr>
      <w:r>
        <w:rPr>
          <w:lang w:eastAsia="en-GB"/>
        </w:rPr>
        <w:t>prioritise what improvements to make</w:t>
      </w:r>
      <w:r w:rsidR="0096035D">
        <w:rPr>
          <w:lang w:eastAsia="en-GB"/>
        </w:rPr>
        <w:t xml:space="preserve"> and </w:t>
      </w:r>
      <w:r w:rsidR="00B21802">
        <w:rPr>
          <w:lang w:eastAsia="en-GB"/>
        </w:rPr>
        <w:t xml:space="preserve">work out </w:t>
      </w:r>
      <w:r w:rsidR="0096035D">
        <w:rPr>
          <w:lang w:eastAsia="en-GB"/>
        </w:rPr>
        <w:t>next steps</w:t>
      </w:r>
      <w:r>
        <w:rPr>
          <w:lang w:eastAsia="en-GB"/>
        </w:rPr>
        <w:t>.</w:t>
      </w:r>
    </w:p>
    <w:p w14:paraId="0BB928EF" w14:textId="24335B7D" w:rsidR="00784905" w:rsidRDefault="00784905" w:rsidP="00925E36">
      <w:pPr>
        <w:pStyle w:val="Heading4"/>
      </w:pPr>
      <w:r>
        <w:t>Methods</w:t>
      </w:r>
    </w:p>
    <w:p w14:paraId="596412AB" w14:textId="77777777" w:rsidR="00784905" w:rsidRDefault="00784905" w:rsidP="00784905">
      <w:pPr>
        <w:pStyle w:val="NormalwIndent"/>
      </w:pPr>
      <w:r>
        <w:t xml:space="preserve">The theory of change developed at the design phase will help determine what methods are needed to assess outcomes and understand why they occurred.  </w:t>
      </w:r>
    </w:p>
    <w:p w14:paraId="6F2D0CA6" w14:textId="0A7E58B3" w:rsidR="00784905" w:rsidRDefault="00784905" w:rsidP="00784905">
      <w:pPr>
        <w:pStyle w:val="NormalwIndent"/>
      </w:pPr>
      <w:r>
        <w:t xml:space="preserve">As noted, te ao Māori framing </w:t>
      </w:r>
      <w:r w:rsidR="002D2260">
        <w:t>can</w:t>
      </w:r>
      <w:r>
        <w:t xml:space="preserve"> shape the theory of change, as part of </w:t>
      </w:r>
      <w:r w:rsidR="00B75C0F">
        <w:t xml:space="preserve">the work to meet </w:t>
      </w:r>
      <w:r>
        <w:t>the overall aim of learning what matters to and works for whānau.</w:t>
      </w:r>
    </w:p>
    <w:p w14:paraId="2E4B370A" w14:textId="1E6070FA" w:rsidR="00784905" w:rsidRDefault="00784905" w:rsidP="00784905">
      <w:pPr>
        <w:pStyle w:val="NormalwIndent"/>
      </w:pPr>
      <w:r>
        <w:t>Assessing wellbeing and what changes a service or intervention</w:t>
      </w:r>
      <w:r w:rsidR="00B21802">
        <w:t xml:space="preserve"> has caused</w:t>
      </w:r>
      <w:r>
        <w:t xml:space="preserve"> can be </w:t>
      </w:r>
      <w:r w:rsidR="00DF0CC2">
        <w:t>challenging</w:t>
      </w:r>
      <w:r>
        <w:t xml:space="preserve">. Often a range of </w:t>
      </w:r>
      <w:r w:rsidR="00B75C0F">
        <w:t xml:space="preserve">factors that are </w:t>
      </w:r>
      <w:r>
        <w:t>wider and more powerful than the service or intervention also influence wellbeing</w:t>
      </w:r>
      <w:r w:rsidR="00B21802">
        <w:t>. For example,</w:t>
      </w:r>
      <w:r>
        <w:t xml:space="preserve"> having enough money to live on and having a safe, warm home</w:t>
      </w:r>
      <w:r w:rsidR="00B21802">
        <w:t xml:space="preserve"> are both strong influenc</w:t>
      </w:r>
      <w:r w:rsidR="00316641">
        <w:t>ing factors</w:t>
      </w:r>
      <w:r>
        <w:t xml:space="preserve">.   </w:t>
      </w:r>
    </w:p>
    <w:p w14:paraId="168B427E" w14:textId="5C729651" w:rsidR="00784905" w:rsidRDefault="00784905" w:rsidP="00784905">
      <w:pPr>
        <w:pStyle w:val="NormalwIndent"/>
      </w:pPr>
      <w:r>
        <w:t xml:space="preserve">In many cases, a more realistic and meaningful </w:t>
      </w:r>
      <w:r w:rsidR="00271980">
        <w:t xml:space="preserve">aim </w:t>
      </w:r>
      <w:r>
        <w:t xml:space="preserve">is to </w:t>
      </w:r>
      <w:r w:rsidR="00DF0CC2">
        <w:t xml:space="preserve">understand </w:t>
      </w:r>
      <w:r w:rsidR="001C61B7">
        <w:t xml:space="preserve">the wider context of </w:t>
      </w:r>
      <w:r w:rsidR="00DF0CC2">
        <w:t>how a</w:t>
      </w:r>
      <w:r>
        <w:t xml:space="preserve"> service or intervention contributes to outcomes, rather than what it alone </w:t>
      </w:r>
      <w:r w:rsidR="00F90ECF">
        <w:t>contributes</w:t>
      </w:r>
      <w:r>
        <w:t xml:space="preserve">. One way </w:t>
      </w:r>
      <w:r w:rsidR="00271980">
        <w:t>to find this out</w:t>
      </w:r>
      <w:r>
        <w:t xml:space="preserve"> is to ask service users and </w:t>
      </w:r>
      <w:r>
        <w:lastRenderedPageBreak/>
        <w:t xml:space="preserve">whānau about how the service or intervention </w:t>
      </w:r>
      <w:r w:rsidR="00316641">
        <w:t>is helping</w:t>
      </w:r>
      <w:r>
        <w:t xml:space="preserve"> them, and how it has contributed to their health and wellbeing. Having intermediary steps on the journey helps to show progress towards longer-term outcomes. </w:t>
      </w:r>
    </w:p>
    <w:p w14:paraId="778296AA" w14:textId="207247C7" w:rsidR="00784905" w:rsidRDefault="00784905" w:rsidP="00784905">
      <w:pPr>
        <w:pStyle w:val="NormalwIndent"/>
      </w:pPr>
      <w:r>
        <w:t>This information will also help refine understanding of what matters to and works for whānau. It may lead to a revision of the original theory of change.</w:t>
      </w:r>
    </w:p>
    <w:p w14:paraId="67DAEF1E" w14:textId="6430463B" w:rsidR="00784905" w:rsidRDefault="00784905" w:rsidP="00784905">
      <w:pPr>
        <w:pStyle w:val="NormalwIndent"/>
      </w:pPr>
      <w:r>
        <w:t xml:space="preserve">It is critical to have robust, tested theories of change to explain how and why a service works. They are also needed to </w:t>
      </w:r>
      <w:r w:rsidR="00F90ECF">
        <w:t>inform future commissioning dec</w:t>
      </w:r>
      <w:r w:rsidR="00E956BA">
        <w:t>isions</w:t>
      </w:r>
      <w:r>
        <w:t xml:space="preserve"> as theories of change set out the key ingredients for success. </w:t>
      </w:r>
    </w:p>
    <w:p w14:paraId="55143960" w14:textId="77777777" w:rsidR="00784905" w:rsidRDefault="00784905" w:rsidP="00925E36">
      <w:pPr>
        <w:pStyle w:val="Heading4"/>
      </w:pPr>
      <w:r>
        <w:t>Revising and adapting</w:t>
      </w:r>
    </w:p>
    <w:p w14:paraId="03E9EBCC" w14:textId="2B0323EB" w:rsidR="00784905" w:rsidRDefault="00784905" w:rsidP="00784905">
      <w:pPr>
        <w:pStyle w:val="NormalwIndent"/>
      </w:pPr>
      <w:r>
        <w:t xml:space="preserve">Monitoring and evaluating the services against expected outcomes and the key steps in the theory of change will lead to insights into how effective those services are for different groups and what </w:t>
      </w:r>
      <w:r w:rsidR="00E956BA">
        <w:t>needs</w:t>
      </w:r>
      <w:r>
        <w:t xml:space="preserve"> to improve.</w:t>
      </w:r>
    </w:p>
    <w:p w14:paraId="660B5AE3" w14:textId="5DA5C999" w:rsidR="00E80679" w:rsidRDefault="00784905" w:rsidP="00784905">
      <w:pPr>
        <w:pStyle w:val="NormalwIndent"/>
      </w:pPr>
      <w:r>
        <w:t>These insights lead back to the first stage in the commissioning cycle: purpose and understanding. They may</w:t>
      </w:r>
      <w:r w:rsidR="00E80679">
        <w:t xml:space="preserve"> point to a range of different actions needed, such as:</w:t>
      </w:r>
    </w:p>
    <w:p w14:paraId="4453FE9B" w14:textId="39B5B594" w:rsidR="006F63E7" w:rsidRDefault="00784905" w:rsidP="006F63E7">
      <w:pPr>
        <w:pStyle w:val="ListBullet"/>
        <w:tabs>
          <w:tab w:val="clear" w:pos="360"/>
        </w:tabs>
        <w:ind w:left="1985" w:hanging="284"/>
      </w:pPr>
      <w:r>
        <w:t>adapt</w:t>
      </w:r>
      <w:r w:rsidR="00EF4EAF">
        <w:t>ing</w:t>
      </w:r>
      <w:r>
        <w:t xml:space="preserve"> the </w:t>
      </w:r>
      <w:r w:rsidR="001440D8">
        <w:t>service</w:t>
      </w:r>
      <w:r>
        <w:t xml:space="preserve"> </w:t>
      </w:r>
      <w:r w:rsidR="006F63E7">
        <w:t xml:space="preserve">using the opportunities </w:t>
      </w:r>
      <w:r w:rsidR="00EF4EAF">
        <w:t xml:space="preserve">that </w:t>
      </w:r>
      <w:r w:rsidR="006F63E7">
        <w:t>the insights identify to</w:t>
      </w:r>
      <w:r>
        <w:t xml:space="preserve"> better meet needs</w:t>
      </w:r>
    </w:p>
    <w:p w14:paraId="1DFAF67C" w14:textId="29032D33" w:rsidR="006F63E7" w:rsidRDefault="00784905" w:rsidP="006F63E7">
      <w:pPr>
        <w:pStyle w:val="ListBullet"/>
        <w:tabs>
          <w:tab w:val="clear" w:pos="360"/>
        </w:tabs>
        <w:ind w:left="1985" w:hanging="284"/>
      </w:pPr>
      <w:r>
        <w:t>start</w:t>
      </w:r>
      <w:r w:rsidR="00EF4EAF">
        <w:t>ing</w:t>
      </w:r>
      <w:r>
        <w:t xml:space="preserve"> the commissioning cycle again if a more substantial redesign is needed</w:t>
      </w:r>
    </w:p>
    <w:p w14:paraId="4007B55F" w14:textId="1A992717" w:rsidR="00784905" w:rsidRDefault="00784905" w:rsidP="008875D8">
      <w:pPr>
        <w:pStyle w:val="ListBullet"/>
        <w:tabs>
          <w:tab w:val="clear" w:pos="360"/>
        </w:tabs>
        <w:ind w:left="1985" w:hanging="284"/>
      </w:pPr>
      <w:r>
        <w:t>mak</w:t>
      </w:r>
      <w:r w:rsidR="00EF4EAF">
        <w:t>ing</w:t>
      </w:r>
      <w:r>
        <w:t xml:space="preserve"> a recommendation to stop funding </w:t>
      </w:r>
      <w:r w:rsidR="006F63E7">
        <w:rPr>
          <w:rFonts w:ascii="Calibri" w:hAnsi="Calibri" w:cs="Calibri"/>
        </w:rPr>
        <w:t>—</w:t>
      </w:r>
      <w:r>
        <w:t xml:space="preserve"> decommission.</w:t>
      </w:r>
    </w:p>
    <w:p w14:paraId="02C5C333" w14:textId="77777777" w:rsidR="00784905" w:rsidRDefault="00784905" w:rsidP="00925E36">
      <w:pPr>
        <w:pStyle w:val="Heading4"/>
      </w:pPr>
      <w:r>
        <w:t>Decommissioning</w:t>
      </w:r>
    </w:p>
    <w:p w14:paraId="77DE2C27" w14:textId="0AACFB14" w:rsidR="00784905" w:rsidRDefault="00784905" w:rsidP="00784905">
      <w:pPr>
        <w:pStyle w:val="NormalwIndent"/>
      </w:pPr>
      <w:r>
        <w:t xml:space="preserve">Decommissioning is the process of planning and managing a reduction in service delivery or stopping a service because </w:t>
      </w:r>
      <w:r w:rsidR="00EF4EAF">
        <w:t xml:space="preserve">it is not achieving the intended </w:t>
      </w:r>
      <w:r>
        <w:t xml:space="preserve">outcomes, or because priorities or context </w:t>
      </w:r>
      <w:r w:rsidR="00D63DCB">
        <w:t>have changed</w:t>
      </w:r>
      <w:r>
        <w:t>.</w:t>
      </w:r>
    </w:p>
    <w:p w14:paraId="2150CFF4" w14:textId="77777777" w:rsidR="00784905" w:rsidRDefault="00784905" w:rsidP="00784905">
      <w:pPr>
        <w:pStyle w:val="NormalwIndent"/>
      </w:pPr>
      <w:r>
        <w:t>Before deciding to reduce or stop a service, commissioners need to understand:</w:t>
      </w:r>
    </w:p>
    <w:p w14:paraId="344690E5" w14:textId="3EFEB3D2" w:rsidR="00784905" w:rsidRDefault="00EF4EAF" w:rsidP="00784905">
      <w:pPr>
        <w:pStyle w:val="ListBullet"/>
        <w:tabs>
          <w:tab w:val="clear" w:pos="360"/>
          <w:tab w:val="num" w:pos="709"/>
        </w:tabs>
        <w:ind w:left="1985" w:hanging="284"/>
        <w:rPr>
          <w:lang w:eastAsia="en-GB"/>
        </w:rPr>
      </w:pPr>
      <w:r>
        <w:rPr>
          <w:lang w:eastAsia="en-GB"/>
        </w:rPr>
        <w:t xml:space="preserve">how reducing or stopping a service </w:t>
      </w:r>
      <w:r w:rsidR="00784905">
        <w:rPr>
          <w:lang w:eastAsia="en-GB"/>
        </w:rPr>
        <w:t>impact</w:t>
      </w:r>
      <w:r>
        <w:rPr>
          <w:lang w:eastAsia="en-GB"/>
        </w:rPr>
        <w:t>s</w:t>
      </w:r>
      <w:r w:rsidR="00784905">
        <w:rPr>
          <w:lang w:eastAsia="en-GB"/>
        </w:rPr>
        <w:t xml:space="preserve"> </w:t>
      </w:r>
      <w:r w:rsidR="00D63DCB">
        <w:rPr>
          <w:lang w:eastAsia="en-GB"/>
        </w:rPr>
        <w:t>on users</w:t>
      </w:r>
      <w:r w:rsidR="000171BD">
        <w:rPr>
          <w:lang w:eastAsia="en-GB"/>
        </w:rPr>
        <w:t>,</w:t>
      </w:r>
      <w:r w:rsidR="00D63DCB" w:rsidDel="00D63DCB">
        <w:rPr>
          <w:lang w:eastAsia="en-GB"/>
        </w:rPr>
        <w:t xml:space="preserve"> </w:t>
      </w:r>
      <w:r w:rsidR="000171BD">
        <w:rPr>
          <w:lang w:eastAsia="en-GB"/>
        </w:rPr>
        <w:t>whānau and the wider community</w:t>
      </w:r>
      <w:r w:rsidR="000171BD" w:rsidDel="00D63DCB">
        <w:rPr>
          <w:lang w:eastAsia="en-GB"/>
        </w:rPr>
        <w:t xml:space="preserve"> </w:t>
      </w:r>
      <w:r>
        <w:rPr>
          <w:lang w:eastAsia="en-GB"/>
        </w:rPr>
        <w:t>both immediately and in the longer-term, ‘whole-of-life’ context</w:t>
      </w:r>
    </w:p>
    <w:p w14:paraId="12315F16" w14:textId="203F80A5" w:rsidR="00784905" w:rsidRDefault="00784905" w:rsidP="00784905">
      <w:pPr>
        <w:pStyle w:val="ListBullet"/>
        <w:tabs>
          <w:tab w:val="clear" w:pos="360"/>
          <w:tab w:val="num" w:pos="709"/>
        </w:tabs>
        <w:ind w:left="1985" w:hanging="284"/>
        <w:rPr>
          <w:lang w:eastAsia="en-GB"/>
        </w:rPr>
      </w:pPr>
      <w:r>
        <w:rPr>
          <w:lang w:eastAsia="en-GB"/>
        </w:rPr>
        <w:t>whether other providers or the community have the capacity to absorb demand</w:t>
      </w:r>
    </w:p>
    <w:p w14:paraId="0B1983D2" w14:textId="6F5E1045" w:rsidR="00784905" w:rsidRDefault="00784905" w:rsidP="00784905">
      <w:pPr>
        <w:pStyle w:val="ListBullet"/>
        <w:tabs>
          <w:tab w:val="clear" w:pos="360"/>
          <w:tab w:val="num" w:pos="709"/>
        </w:tabs>
        <w:ind w:left="1985" w:hanging="284"/>
        <w:rPr>
          <w:lang w:eastAsia="en-GB"/>
        </w:rPr>
      </w:pPr>
      <w:r>
        <w:rPr>
          <w:lang w:eastAsia="en-GB"/>
        </w:rPr>
        <w:t xml:space="preserve">how decommissioning would affect key stakeholder relationships, the provider market and </w:t>
      </w:r>
      <w:r w:rsidR="005D592A">
        <w:rPr>
          <w:lang w:eastAsia="en-GB"/>
        </w:rPr>
        <w:t xml:space="preserve">the </w:t>
      </w:r>
      <w:r>
        <w:rPr>
          <w:lang w:eastAsia="en-GB"/>
        </w:rPr>
        <w:t xml:space="preserve">community (ie, </w:t>
      </w:r>
      <w:r w:rsidR="005D592A">
        <w:rPr>
          <w:lang w:eastAsia="en-GB"/>
        </w:rPr>
        <w:t xml:space="preserve">what </w:t>
      </w:r>
      <w:r>
        <w:rPr>
          <w:lang w:eastAsia="en-GB"/>
        </w:rPr>
        <w:t xml:space="preserve">the risks of decommissioning </w:t>
      </w:r>
      <w:r w:rsidR="005D592A">
        <w:rPr>
          <w:lang w:eastAsia="en-GB"/>
        </w:rPr>
        <w:t xml:space="preserve">are </w:t>
      </w:r>
      <w:r>
        <w:rPr>
          <w:lang w:eastAsia="en-GB"/>
        </w:rPr>
        <w:t xml:space="preserve">and </w:t>
      </w:r>
      <w:r w:rsidR="005D592A">
        <w:rPr>
          <w:lang w:eastAsia="en-GB"/>
        </w:rPr>
        <w:t xml:space="preserve">what </w:t>
      </w:r>
      <w:r>
        <w:rPr>
          <w:lang w:eastAsia="en-GB"/>
        </w:rPr>
        <w:t>alternatives</w:t>
      </w:r>
      <w:r w:rsidR="005D592A">
        <w:rPr>
          <w:lang w:eastAsia="en-GB"/>
        </w:rPr>
        <w:t xml:space="preserve"> are available</w:t>
      </w:r>
      <w:r>
        <w:rPr>
          <w:lang w:eastAsia="en-GB"/>
        </w:rPr>
        <w:t>)</w:t>
      </w:r>
    </w:p>
    <w:p w14:paraId="6CE2C4EF" w14:textId="337E4C6C" w:rsidR="00784905" w:rsidRDefault="00784905" w:rsidP="00784905">
      <w:pPr>
        <w:pStyle w:val="ListBullet"/>
        <w:tabs>
          <w:tab w:val="clear" w:pos="360"/>
          <w:tab w:val="num" w:pos="709"/>
        </w:tabs>
        <w:ind w:left="1985" w:hanging="284"/>
        <w:rPr>
          <w:lang w:eastAsia="en-GB"/>
        </w:rPr>
      </w:pPr>
      <w:r>
        <w:rPr>
          <w:lang w:eastAsia="en-GB"/>
        </w:rPr>
        <w:t>what is needed to comply with legal, financial and statutory requirements</w:t>
      </w:r>
    </w:p>
    <w:p w14:paraId="52AA0720" w14:textId="2435322C" w:rsidR="00784905" w:rsidRDefault="005D592A" w:rsidP="00784905">
      <w:pPr>
        <w:pStyle w:val="ListBullet"/>
        <w:tabs>
          <w:tab w:val="clear" w:pos="360"/>
          <w:tab w:val="num" w:pos="709"/>
        </w:tabs>
        <w:ind w:left="1985" w:hanging="284"/>
        <w:rPr>
          <w:lang w:eastAsia="en-GB"/>
        </w:rPr>
      </w:pPr>
      <w:r>
        <w:rPr>
          <w:lang w:eastAsia="en-GB"/>
        </w:rPr>
        <w:lastRenderedPageBreak/>
        <w:t>whether the change could create a service gap and, if it does, how it could affect</w:t>
      </w:r>
      <w:r w:rsidR="00A80D56">
        <w:rPr>
          <w:lang w:eastAsia="en-GB"/>
        </w:rPr>
        <w:t xml:space="preserve"> </w:t>
      </w:r>
      <w:r w:rsidR="00784905">
        <w:rPr>
          <w:lang w:eastAsia="en-GB"/>
        </w:rPr>
        <w:t>equity of health outcomes.</w:t>
      </w:r>
    </w:p>
    <w:p w14:paraId="35F81F2E" w14:textId="49DB9800" w:rsidR="00784905" w:rsidRDefault="00784905" w:rsidP="00784905">
      <w:pPr>
        <w:pStyle w:val="NormalwIndent"/>
      </w:pPr>
      <w:r>
        <w:t>Ways of supporting decommissioning are to:</w:t>
      </w:r>
      <w:r w:rsidR="004D7920">
        <w:rPr>
          <w:rFonts w:ascii="ZWAdobeF" w:hAnsi="ZWAdobeF" w:cs="ZWAdobeF"/>
          <w:color w:val="auto"/>
          <w:sz w:val="2"/>
          <w:szCs w:val="2"/>
        </w:rPr>
        <w:t>43F</w:t>
      </w:r>
      <w:r>
        <w:rPr>
          <w:rStyle w:val="FootnoteReference"/>
        </w:rPr>
        <w:footnoteReference w:id="45"/>
      </w:r>
      <w:r>
        <w:t xml:space="preserve"> </w:t>
      </w:r>
    </w:p>
    <w:p w14:paraId="0AD0FC4F" w14:textId="5B29C76F" w:rsidR="00784905" w:rsidRDefault="00784905" w:rsidP="00784905">
      <w:pPr>
        <w:pStyle w:val="ListBullet"/>
        <w:tabs>
          <w:tab w:val="clear" w:pos="360"/>
          <w:tab w:val="num" w:pos="709"/>
        </w:tabs>
        <w:ind w:left="1985" w:hanging="284"/>
        <w:rPr>
          <w:lang w:eastAsia="en-GB"/>
        </w:rPr>
      </w:pPr>
      <w:r>
        <w:rPr>
          <w:lang w:eastAsia="en-GB"/>
        </w:rPr>
        <w:t xml:space="preserve">have a clear rationale </w:t>
      </w:r>
      <w:r w:rsidR="00D60D89">
        <w:rPr>
          <w:lang w:eastAsia="en-GB"/>
        </w:rPr>
        <w:t xml:space="preserve">for the change </w:t>
      </w:r>
      <w:r>
        <w:rPr>
          <w:lang w:eastAsia="en-GB"/>
        </w:rPr>
        <w:t xml:space="preserve">and seek consensus on the reasons why </w:t>
      </w:r>
      <w:r w:rsidR="00D60D89">
        <w:rPr>
          <w:lang w:eastAsia="en-GB"/>
        </w:rPr>
        <w:t xml:space="preserve">it </w:t>
      </w:r>
      <w:r>
        <w:rPr>
          <w:lang w:eastAsia="en-GB"/>
        </w:rPr>
        <w:t>is needed</w:t>
      </w:r>
    </w:p>
    <w:p w14:paraId="0E6C18F3" w14:textId="055C41DB" w:rsidR="00784905" w:rsidRDefault="00784905" w:rsidP="00784905">
      <w:pPr>
        <w:pStyle w:val="ListBullet"/>
        <w:tabs>
          <w:tab w:val="clear" w:pos="360"/>
          <w:tab w:val="num" w:pos="709"/>
        </w:tabs>
        <w:ind w:left="1985" w:hanging="284"/>
        <w:rPr>
          <w:lang w:eastAsia="en-GB"/>
        </w:rPr>
      </w:pPr>
      <w:r>
        <w:rPr>
          <w:lang w:eastAsia="en-GB"/>
        </w:rPr>
        <w:t xml:space="preserve">focus on public value (the need to direct funding to what produces outcomes) </w:t>
      </w:r>
    </w:p>
    <w:p w14:paraId="6405E93C" w14:textId="0AE45A6A" w:rsidR="00784905" w:rsidRDefault="00784905" w:rsidP="00784905">
      <w:pPr>
        <w:pStyle w:val="ListBullet"/>
        <w:tabs>
          <w:tab w:val="clear" w:pos="360"/>
          <w:tab w:val="num" w:pos="709"/>
        </w:tabs>
        <w:ind w:left="1985" w:hanging="284"/>
        <w:rPr>
          <w:lang w:eastAsia="en-GB"/>
        </w:rPr>
      </w:pPr>
      <w:r>
        <w:rPr>
          <w:lang w:eastAsia="en-GB"/>
        </w:rPr>
        <w:t>have good governance and clear decision-making processes</w:t>
      </w:r>
    </w:p>
    <w:p w14:paraId="51D17D29" w14:textId="06980816" w:rsidR="00784905" w:rsidRDefault="00784905" w:rsidP="00784905">
      <w:pPr>
        <w:pStyle w:val="ListBullet"/>
        <w:tabs>
          <w:tab w:val="clear" w:pos="360"/>
          <w:tab w:val="num" w:pos="709"/>
        </w:tabs>
        <w:ind w:left="1985" w:hanging="284"/>
        <w:rPr>
          <w:lang w:eastAsia="en-GB"/>
        </w:rPr>
      </w:pPr>
      <w:r>
        <w:rPr>
          <w:lang w:eastAsia="en-GB"/>
        </w:rPr>
        <w:t xml:space="preserve">signal the intention early to all stakeholders and </w:t>
      </w:r>
      <w:r w:rsidR="00D60D89">
        <w:rPr>
          <w:lang w:eastAsia="en-GB"/>
        </w:rPr>
        <w:t xml:space="preserve">communicate </w:t>
      </w:r>
      <w:r w:rsidR="00A80D56">
        <w:rPr>
          <w:lang w:eastAsia="en-GB"/>
        </w:rPr>
        <w:t>clearly and consistently</w:t>
      </w:r>
      <w:r>
        <w:rPr>
          <w:lang w:eastAsia="en-GB"/>
        </w:rPr>
        <w:t xml:space="preserve"> throughout the process</w:t>
      </w:r>
    </w:p>
    <w:p w14:paraId="6CBB69FB" w14:textId="76D970AE" w:rsidR="00784905" w:rsidRDefault="00784905" w:rsidP="00784905">
      <w:pPr>
        <w:pStyle w:val="ListBullet"/>
        <w:tabs>
          <w:tab w:val="clear" w:pos="360"/>
          <w:tab w:val="num" w:pos="709"/>
        </w:tabs>
        <w:ind w:left="1985" w:hanging="284"/>
        <w:rPr>
          <w:lang w:eastAsia="en-GB"/>
        </w:rPr>
      </w:pPr>
      <w:r>
        <w:rPr>
          <w:lang w:eastAsia="en-GB"/>
        </w:rPr>
        <w:t>practise robust risk management.</w:t>
      </w:r>
    </w:p>
    <w:p w14:paraId="4B70550B" w14:textId="79068053" w:rsidR="00BA5306" w:rsidRDefault="00784905" w:rsidP="00925E36">
      <w:pPr>
        <w:pStyle w:val="Heading4"/>
      </w:pPr>
      <w:r>
        <w:t>Key shifts in commissioning at the delivering, monitoring and evaluating stage</w:t>
      </w:r>
    </w:p>
    <w:p w14:paraId="0975E51E" w14:textId="64C94E69" w:rsidR="00784905" w:rsidRDefault="00784905" w:rsidP="00784905">
      <w:pPr>
        <w:rPr>
          <w:lang w:eastAsia="en-GB"/>
        </w:rPr>
      </w:pPr>
    </w:p>
    <w:tbl>
      <w:tblPr>
        <w:tblStyle w:val="TableGrid"/>
        <w:tblW w:w="8916"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560"/>
        <w:gridCol w:w="3402"/>
        <w:gridCol w:w="3954"/>
      </w:tblGrid>
      <w:tr w:rsidR="004E673D" w:rsidRPr="00784905" w14:paraId="1975A178" w14:textId="77777777" w:rsidTr="007A67AE">
        <w:trPr>
          <w:trHeight w:val="191"/>
          <w:tblHeader/>
        </w:trPr>
        <w:tc>
          <w:tcPr>
            <w:tcW w:w="1560" w:type="dxa"/>
            <w:shd w:val="clear" w:color="auto" w:fill="F2F2F2" w:themeFill="background1" w:themeFillShade="F2"/>
          </w:tcPr>
          <w:p w14:paraId="281454AA" w14:textId="77777777" w:rsidR="00784905" w:rsidRPr="00784905" w:rsidRDefault="00784905" w:rsidP="00E33A91">
            <w:pPr>
              <w:pStyle w:val="TableText"/>
              <w:spacing w:before="80" w:after="80"/>
              <w:rPr>
                <w:b/>
                <w:bCs/>
              </w:rPr>
            </w:pPr>
          </w:p>
        </w:tc>
        <w:tc>
          <w:tcPr>
            <w:tcW w:w="3402" w:type="dxa"/>
            <w:shd w:val="clear" w:color="auto" w:fill="F2F2F2" w:themeFill="background1" w:themeFillShade="F2"/>
          </w:tcPr>
          <w:p w14:paraId="2F00CF0E" w14:textId="77777777" w:rsidR="00784905" w:rsidRPr="00784905" w:rsidRDefault="00784905" w:rsidP="00E33A91">
            <w:pPr>
              <w:pStyle w:val="TableText"/>
              <w:spacing w:before="80" w:after="80"/>
              <w:rPr>
                <w:b/>
                <w:bCs/>
              </w:rPr>
            </w:pPr>
            <w:r w:rsidRPr="00784905">
              <w:rPr>
                <w:b/>
                <w:bCs/>
              </w:rPr>
              <w:t>From conventional commissioning</w:t>
            </w:r>
          </w:p>
        </w:tc>
        <w:tc>
          <w:tcPr>
            <w:tcW w:w="3954" w:type="dxa"/>
            <w:shd w:val="clear" w:color="auto" w:fill="F2F2F2" w:themeFill="background1" w:themeFillShade="F2"/>
          </w:tcPr>
          <w:p w14:paraId="4D1428FF" w14:textId="053E4054" w:rsidR="00784905" w:rsidRPr="00784905" w:rsidRDefault="00784905" w:rsidP="00E33A91">
            <w:pPr>
              <w:pStyle w:val="TableText"/>
              <w:spacing w:before="80" w:after="80"/>
              <w:rPr>
                <w:b/>
                <w:bCs/>
              </w:rPr>
            </w:pPr>
            <w:r w:rsidRPr="00784905">
              <w:rPr>
                <w:b/>
                <w:bCs/>
              </w:rPr>
              <w:t>To whānau-</w:t>
            </w:r>
            <w:r w:rsidR="00D504FB">
              <w:rPr>
                <w:b/>
                <w:bCs/>
              </w:rPr>
              <w:t>led</w:t>
            </w:r>
            <w:r w:rsidR="00AD67AC">
              <w:rPr>
                <w:b/>
                <w:bCs/>
              </w:rPr>
              <w:t xml:space="preserve"> </w:t>
            </w:r>
            <w:r w:rsidRPr="00784905">
              <w:rPr>
                <w:b/>
                <w:bCs/>
              </w:rPr>
              <w:t>and Māori-led</w:t>
            </w:r>
          </w:p>
        </w:tc>
      </w:tr>
      <w:tr w:rsidR="004E673D" w:rsidRPr="00784905" w14:paraId="30FC6430" w14:textId="77777777" w:rsidTr="004E673D">
        <w:trPr>
          <w:trHeight w:val="709"/>
        </w:trPr>
        <w:tc>
          <w:tcPr>
            <w:tcW w:w="1560" w:type="dxa"/>
            <w:shd w:val="clear" w:color="auto" w:fill="F2F2F2" w:themeFill="background1" w:themeFillShade="F2"/>
            <w:vAlign w:val="center"/>
          </w:tcPr>
          <w:p w14:paraId="50C04279" w14:textId="77777777" w:rsidR="00784905" w:rsidRPr="00784905" w:rsidRDefault="00784905" w:rsidP="00E33A91">
            <w:pPr>
              <w:pStyle w:val="TableText"/>
              <w:spacing w:before="80" w:after="80"/>
              <w:rPr>
                <w:b/>
                <w:bCs/>
              </w:rPr>
            </w:pPr>
            <w:r w:rsidRPr="00784905">
              <w:rPr>
                <w:b/>
                <w:bCs/>
              </w:rPr>
              <w:t>People</w:t>
            </w:r>
          </w:p>
          <w:p w14:paraId="7AC2F98A" w14:textId="77777777" w:rsidR="00784905" w:rsidRPr="00784905" w:rsidRDefault="00784905" w:rsidP="00E33A91">
            <w:pPr>
              <w:pStyle w:val="TableText"/>
              <w:spacing w:before="80" w:after="80"/>
              <w:rPr>
                <w:b/>
                <w:bCs/>
              </w:rPr>
            </w:pPr>
            <w:r w:rsidRPr="00784905">
              <w:rPr>
                <w:b/>
                <w:bCs/>
              </w:rPr>
              <w:t>Whānau</w:t>
            </w:r>
          </w:p>
          <w:p w14:paraId="24EC1E51" w14:textId="77777777" w:rsidR="00784905" w:rsidRPr="00784905" w:rsidRDefault="00784905" w:rsidP="00E33A91">
            <w:pPr>
              <w:pStyle w:val="TableText"/>
              <w:spacing w:before="80" w:after="80"/>
              <w:rPr>
                <w:b/>
                <w:bCs/>
              </w:rPr>
            </w:pPr>
            <w:r w:rsidRPr="00784905">
              <w:rPr>
                <w:b/>
                <w:bCs/>
              </w:rPr>
              <w:t>Communities</w:t>
            </w:r>
          </w:p>
        </w:tc>
        <w:tc>
          <w:tcPr>
            <w:tcW w:w="3402" w:type="dxa"/>
            <w:shd w:val="clear" w:color="auto" w:fill="FFFFFF" w:themeFill="background1"/>
          </w:tcPr>
          <w:p w14:paraId="1153D495" w14:textId="77777777" w:rsidR="00784905" w:rsidRPr="00784905" w:rsidRDefault="00784905" w:rsidP="00E33A91">
            <w:pPr>
              <w:pStyle w:val="Tablebulletx"/>
              <w:spacing w:before="80" w:after="80"/>
            </w:pPr>
            <w:r w:rsidRPr="00784905">
              <w:t>System and services make assumptions about what matters and what works for whānau.</w:t>
            </w:r>
          </w:p>
        </w:tc>
        <w:tc>
          <w:tcPr>
            <w:tcW w:w="3954" w:type="dxa"/>
            <w:shd w:val="clear" w:color="auto" w:fill="FFFFFF" w:themeFill="background1"/>
          </w:tcPr>
          <w:p w14:paraId="580F12B9" w14:textId="2CDD280B" w:rsidR="00784905" w:rsidRPr="00784905" w:rsidRDefault="00784905" w:rsidP="00E33A91">
            <w:pPr>
              <w:pStyle w:val="Tablebulletx"/>
              <w:spacing w:before="80" w:after="80"/>
            </w:pPr>
            <w:r w:rsidRPr="00784905">
              <w:t xml:space="preserve">What </w:t>
            </w:r>
            <w:r w:rsidR="00D504FB">
              <w:t xml:space="preserve">actually </w:t>
            </w:r>
            <w:r w:rsidRPr="00784905">
              <w:t>matters to whānau shapes service design and delivery</w:t>
            </w:r>
            <w:r w:rsidR="00D772E9">
              <w:t>.</w:t>
            </w:r>
          </w:p>
          <w:p w14:paraId="554E1EB2" w14:textId="77777777" w:rsidR="00784905" w:rsidRPr="00784905" w:rsidRDefault="00784905" w:rsidP="00E33A91">
            <w:pPr>
              <w:pStyle w:val="Tablebulletx"/>
              <w:spacing w:before="80" w:after="80"/>
            </w:pPr>
            <w:r w:rsidRPr="00784905">
              <w:t>Outcome measures are meaningful to whānau.</w:t>
            </w:r>
          </w:p>
        </w:tc>
      </w:tr>
      <w:tr w:rsidR="004E673D" w:rsidRPr="00784905" w14:paraId="30C93EE5" w14:textId="77777777" w:rsidTr="004E673D">
        <w:trPr>
          <w:trHeight w:val="815"/>
        </w:trPr>
        <w:tc>
          <w:tcPr>
            <w:tcW w:w="1560" w:type="dxa"/>
            <w:shd w:val="clear" w:color="auto" w:fill="F2F2F2" w:themeFill="background1" w:themeFillShade="F2"/>
            <w:vAlign w:val="center"/>
          </w:tcPr>
          <w:p w14:paraId="5D9C50E4" w14:textId="77777777" w:rsidR="00784905" w:rsidRPr="00784905" w:rsidRDefault="00784905" w:rsidP="00E33A91">
            <w:pPr>
              <w:pStyle w:val="TableText"/>
              <w:spacing w:before="80" w:after="80"/>
              <w:rPr>
                <w:b/>
                <w:bCs/>
              </w:rPr>
            </w:pPr>
            <w:r w:rsidRPr="00784905">
              <w:rPr>
                <w:b/>
                <w:bCs/>
              </w:rPr>
              <w:t>Delivery</w:t>
            </w:r>
          </w:p>
        </w:tc>
        <w:tc>
          <w:tcPr>
            <w:tcW w:w="3402" w:type="dxa"/>
            <w:shd w:val="clear" w:color="auto" w:fill="FFFFFF" w:themeFill="background1"/>
          </w:tcPr>
          <w:p w14:paraId="50D8114B" w14:textId="77777777" w:rsidR="00784905" w:rsidRPr="00784905" w:rsidRDefault="00784905" w:rsidP="00E33A91">
            <w:pPr>
              <w:pStyle w:val="Tablebulletx"/>
              <w:spacing w:before="80" w:after="80"/>
            </w:pPr>
            <w:r w:rsidRPr="00784905">
              <w:t>Monitoring and reporting requirements are often a burden, and the data does not add insights (Ministry of Social Development 2020).</w:t>
            </w:r>
          </w:p>
          <w:p w14:paraId="0C1C5B9E" w14:textId="3CCC203B" w:rsidR="00784905" w:rsidRPr="00784905" w:rsidRDefault="00784905" w:rsidP="00E33A91">
            <w:pPr>
              <w:pStyle w:val="Tablebulletx"/>
              <w:spacing w:before="80" w:after="80"/>
            </w:pPr>
            <w:r w:rsidRPr="00784905">
              <w:t xml:space="preserve">Monitoring can </w:t>
            </w:r>
            <w:r w:rsidR="005B3BBE">
              <w:t xml:space="preserve">reduce trust and </w:t>
            </w:r>
            <w:r w:rsidR="00CC71BD">
              <w:t xml:space="preserve">hold back </w:t>
            </w:r>
            <w:r w:rsidR="005B3BBE">
              <w:t>innovation</w:t>
            </w:r>
            <w:r w:rsidR="001421D6">
              <w:t>.</w:t>
            </w:r>
          </w:p>
        </w:tc>
        <w:tc>
          <w:tcPr>
            <w:tcW w:w="3954" w:type="dxa"/>
            <w:shd w:val="clear" w:color="auto" w:fill="FFFFFF" w:themeFill="background1"/>
          </w:tcPr>
          <w:p w14:paraId="36F3690E" w14:textId="77777777" w:rsidR="00784905" w:rsidRPr="00784905" w:rsidRDefault="00784905" w:rsidP="00E33A91">
            <w:pPr>
              <w:pStyle w:val="Tablebulletx"/>
              <w:spacing w:before="80" w:after="80"/>
            </w:pPr>
            <w:r w:rsidRPr="00784905">
              <w:t>Monitoring uses existing data wherever possible.</w:t>
            </w:r>
          </w:p>
          <w:p w14:paraId="331221D1" w14:textId="77777777" w:rsidR="00784905" w:rsidRPr="00784905" w:rsidRDefault="00784905" w:rsidP="00E33A91">
            <w:pPr>
              <w:pStyle w:val="Tablebulletx"/>
              <w:spacing w:before="80" w:after="80"/>
            </w:pPr>
            <w:r w:rsidRPr="00784905">
              <w:t>Providers seek out</w:t>
            </w:r>
            <w:r w:rsidRPr="00784905" w:rsidDel="00F56D9C">
              <w:t xml:space="preserve"> </w:t>
            </w:r>
            <w:r w:rsidRPr="00784905">
              <w:t>community experience.</w:t>
            </w:r>
          </w:p>
          <w:p w14:paraId="59A81FB2" w14:textId="77777777" w:rsidR="00784905" w:rsidRPr="00784905" w:rsidRDefault="00784905" w:rsidP="00E33A91">
            <w:pPr>
              <w:pStyle w:val="Tablebulletx"/>
              <w:spacing w:before="80" w:after="80"/>
            </w:pPr>
            <w:r w:rsidRPr="00784905">
              <w:t>Providers shape performance measures, so data creates insight on what needs to improve.</w:t>
            </w:r>
          </w:p>
          <w:p w14:paraId="21D4E887" w14:textId="77777777" w:rsidR="00784905" w:rsidRPr="00784905" w:rsidRDefault="00784905" w:rsidP="00E33A91">
            <w:pPr>
              <w:pStyle w:val="Tablebulletx"/>
              <w:spacing w:before="80" w:after="80"/>
            </w:pPr>
            <w:r w:rsidRPr="00784905">
              <w:t>Monitoring is more about learning together and supporting improvement.</w:t>
            </w:r>
          </w:p>
          <w:p w14:paraId="7FE935FE" w14:textId="72C519C6" w:rsidR="00784905" w:rsidRPr="00784905" w:rsidRDefault="00CC71BD" w:rsidP="00E33A91">
            <w:pPr>
              <w:pStyle w:val="Tablebulletx"/>
              <w:spacing w:before="80" w:after="80"/>
            </w:pPr>
            <w:r>
              <w:t>Providers and commissioners have a</w:t>
            </w:r>
            <w:r w:rsidR="00784905" w:rsidRPr="00784905">
              <w:t xml:space="preserve"> trust</w:t>
            </w:r>
            <w:r>
              <w:t>ing relationship.</w:t>
            </w:r>
            <w:r w:rsidR="00784905" w:rsidRPr="00784905">
              <w:t xml:space="preserve"> </w:t>
            </w:r>
            <w:r>
              <w:t>W</w:t>
            </w:r>
            <w:r w:rsidR="00784905" w:rsidRPr="00784905">
              <w:t xml:space="preserve">hen things don’t work as </w:t>
            </w:r>
            <w:r w:rsidR="001421D6">
              <w:t>planned</w:t>
            </w:r>
            <w:r w:rsidR="00784905" w:rsidRPr="00784905">
              <w:t xml:space="preserve">, </w:t>
            </w:r>
            <w:r>
              <w:t xml:space="preserve">they value </w:t>
            </w:r>
            <w:r w:rsidR="00784905" w:rsidRPr="00784905">
              <w:t xml:space="preserve">the insights and </w:t>
            </w:r>
            <w:r>
              <w:t xml:space="preserve">use them to </w:t>
            </w:r>
            <w:r w:rsidR="00784905" w:rsidRPr="00784905">
              <w:t>propel improvements.</w:t>
            </w:r>
          </w:p>
        </w:tc>
      </w:tr>
      <w:tr w:rsidR="004E673D" w:rsidRPr="00784905" w14:paraId="29F85D25" w14:textId="77777777" w:rsidTr="004E673D">
        <w:tc>
          <w:tcPr>
            <w:tcW w:w="1560" w:type="dxa"/>
            <w:shd w:val="clear" w:color="auto" w:fill="F2F2F2" w:themeFill="background1" w:themeFillShade="F2"/>
            <w:vAlign w:val="center"/>
          </w:tcPr>
          <w:p w14:paraId="337EA724" w14:textId="77777777" w:rsidR="00784905" w:rsidRPr="00784905" w:rsidRDefault="00784905" w:rsidP="00E33A91">
            <w:pPr>
              <w:pStyle w:val="TableText"/>
              <w:spacing w:before="80" w:after="80"/>
              <w:rPr>
                <w:b/>
                <w:bCs/>
              </w:rPr>
            </w:pPr>
            <w:r w:rsidRPr="00784905">
              <w:rPr>
                <w:b/>
                <w:bCs/>
              </w:rPr>
              <w:t>Commissioners</w:t>
            </w:r>
          </w:p>
        </w:tc>
        <w:tc>
          <w:tcPr>
            <w:tcW w:w="3402" w:type="dxa"/>
            <w:shd w:val="clear" w:color="auto" w:fill="FFFFFF" w:themeFill="background1"/>
          </w:tcPr>
          <w:p w14:paraId="1CDEE2A7" w14:textId="1C2BCF2F" w:rsidR="00784905" w:rsidRPr="00784905" w:rsidRDefault="00784905" w:rsidP="00E33A91">
            <w:pPr>
              <w:pStyle w:val="Tablebulletx"/>
              <w:spacing w:before="80" w:after="80"/>
            </w:pPr>
            <w:r w:rsidRPr="00784905">
              <w:t xml:space="preserve">Monitoring and evaluation focus on outputs, as it is </w:t>
            </w:r>
            <w:r w:rsidR="00B36455">
              <w:t>more straightforward</w:t>
            </w:r>
            <w:r w:rsidRPr="00784905">
              <w:t xml:space="preserve"> to assess them and find their causes.</w:t>
            </w:r>
          </w:p>
          <w:p w14:paraId="2DA9DA97" w14:textId="77777777" w:rsidR="00784905" w:rsidRPr="00784905" w:rsidRDefault="00784905" w:rsidP="00E33A91">
            <w:pPr>
              <w:pStyle w:val="Tablebulletx"/>
              <w:spacing w:before="80" w:after="80"/>
            </w:pPr>
            <w:r w:rsidRPr="00784905">
              <w:t>Commissioning lacks a clear purpose and an understanding of how the service will lead to outcomes.</w:t>
            </w:r>
          </w:p>
          <w:p w14:paraId="683395FD" w14:textId="613DA053" w:rsidR="00784905" w:rsidRPr="00784905" w:rsidRDefault="00784905" w:rsidP="00E33A91">
            <w:pPr>
              <w:pStyle w:val="Tablebulletx"/>
              <w:spacing w:before="80" w:after="80"/>
            </w:pPr>
            <w:r w:rsidRPr="00784905">
              <w:t xml:space="preserve">Outcome measures don’t </w:t>
            </w:r>
            <w:r w:rsidR="001421D6">
              <w:t>reflect the outcomes the</w:t>
            </w:r>
            <w:r w:rsidRPr="00784905">
              <w:t xml:space="preserve"> service could </w:t>
            </w:r>
            <w:r w:rsidRPr="00784905">
              <w:lastRenderedPageBreak/>
              <w:t>reasonably influence or measure before change occur</w:t>
            </w:r>
            <w:r w:rsidR="0022734E">
              <w:t>s</w:t>
            </w:r>
            <w:r w:rsidRPr="00784905">
              <w:t>.</w:t>
            </w:r>
          </w:p>
        </w:tc>
        <w:tc>
          <w:tcPr>
            <w:tcW w:w="3954" w:type="dxa"/>
            <w:shd w:val="clear" w:color="auto" w:fill="FFFFFF" w:themeFill="background1"/>
          </w:tcPr>
          <w:p w14:paraId="1E0E0186" w14:textId="54688E9C" w:rsidR="00784905" w:rsidRPr="00784905" w:rsidRDefault="001421D6" w:rsidP="00E33A91">
            <w:pPr>
              <w:pStyle w:val="Tablebulletx"/>
              <w:spacing w:before="80" w:after="80"/>
            </w:pPr>
            <w:r>
              <w:lastRenderedPageBreak/>
              <w:t>Agreed o</w:t>
            </w:r>
            <w:r w:rsidR="00784905" w:rsidRPr="00784905">
              <w:t xml:space="preserve">utcomes matter, and whānau and community views on what worked and why </w:t>
            </w:r>
            <w:r w:rsidR="00EB302A">
              <w:t xml:space="preserve">and for whom, </w:t>
            </w:r>
            <w:r w:rsidR="00784905" w:rsidRPr="00784905">
              <w:t>help shape service improvement and/or the development of other types of investment.</w:t>
            </w:r>
          </w:p>
          <w:p w14:paraId="1A5D39C3" w14:textId="37605962" w:rsidR="00784905" w:rsidRPr="00784905" w:rsidRDefault="00784905" w:rsidP="00E33A91">
            <w:pPr>
              <w:pStyle w:val="Tablebulletx"/>
              <w:spacing w:before="80" w:after="80"/>
            </w:pPr>
            <w:r w:rsidRPr="00784905">
              <w:t>The learning culture values qualitative data on why things worked or didn’t</w:t>
            </w:r>
            <w:r w:rsidR="006B2356">
              <w:t xml:space="preserve"> work</w:t>
            </w:r>
            <w:r w:rsidRPr="00784905">
              <w:t xml:space="preserve">, as it helps shape understanding of what’s needed to </w:t>
            </w:r>
            <w:r w:rsidR="00452262">
              <w:t>change</w:t>
            </w:r>
            <w:r w:rsidRPr="00784905">
              <w:t>.</w:t>
            </w:r>
          </w:p>
          <w:p w14:paraId="057DBDA4" w14:textId="77777777" w:rsidR="00784905" w:rsidRPr="00784905" w:rsidRDefault="00784905" w:rsidP="00E33A91">
            <w:pPr>
              <w:pStyle w:val="Tablebulletx"/>
              <w:spacing w:before="80" w:after="80"/>
            </w:pPr>
            <w:r w:rsidRPr="00784905">
              <w:lastRenderedPageBreak/>
              <w:t>Commissioners understand the mix of influences on outcomes.</w:t>
            </w:r>
          </w:p>
          <w:p w14:paraId="43E10136" w14:textId="4D10210C" w:rsidR="00784905" w:rsidRPr="00784905" w:rsidRDefault="00784905" w:rsidP="00E33A91">
            <w:pPr>
              <w:pStyle w:val="Tablebulletx"/>
              <w:spacing w:before="80" w:after="80"/>
            </w:pPr>
            <w:r w:rsidRPr="00784905">
              <w:t>A maturity model helps mark out the steps to</w:t>
            </w:r>
            <w:r w:rsidR="00E8653C">
              <w:t>wards</w:t>
            </w:r>
            <w:r w:rsidRPr="00784905">
              <w:t xml:space="preserve"> a mature system, track progress and inform areas for investment.</w:t>
            </w:r>
          </w:p>
        </w:tc>
      </w:tr>
      <w:tr w:rsidR="004E673D" w:rsidRPr="00784905" w14:paraId="3F7DDFF2" w14:textId="77777777" w:rsidTr="004E673D">
        <w:trPr>
          <w:trHeight w:val="946"/>
        </w:trPr>
        <w:tc>
          <w:tcPr>
            <w:tcW w:w="1560" w:type="dxa"/>
            <w:shd w:val="clear" w:color="auto" w:fill="F2F2F2" w:themeFill="background1" w:themeFillShade="F2"/>
            <w:vAlign w:val="center"/>
          </w:tcPr>
          <w:p w14:paraId="381A16D4" w14:textId="77777777" w:rsidR="00784905" w:rsidRPr="00784905" w:rsidRDefault="00784905" w:rsidP="00E33A91">
            <w:pPr>
              <w:pStyle w:val="TableText"/>
              <w:spacing w:before="80" w:after="80"/>
              <w:rPr>
                <w:b/>
                <w:bCs/>
              </w:rPr>
            </w:pPr>
            <w:r w:rsidRPr="00784905">
              <w:rPr>
                <w:b/>
                <w:bCs/>
              </w:rPr>
              <w:lastRenderedPageBreak/>
              <w:t>System conditions</w:t>
            </w:r>
          </w:p>
        </w:tc>
        <w:tc>
          <w:tcPr>
            <w:tcW w:w="3402" w:type="dxa"/>
            <w:shd w:val="clear" w:color="auto" w:fill="FFFFFF" w:themeFill="background1"/>
          </w:tcPr>
          <w:p w14:paraId="5BEA9A4E" w14:textId="07D26BFB" w:rsidR="00784905" w:rsidRPr="00784905" w:rsidRDefault="00784905" w:rsidP="00E33A91">
            <w:pPr>
              <w:pStyle w:val="Tablebulletx"/>
              <w:spacing w:before="80" w:after="80"/>
            </w:pPr>
            <w:r w:rsidRPr="00784905">
              <w:t xml:space="preserve">Monitoring and evaluation focus </w:t>
            </w:r>
            <w:r w:rsidR="00E8653C">
              <w:t xml:space="preserve">more </w:t>
            </w:r>
            <w:r w:rsidRPr="00784905">
              <w:t>on cost of delivery.</w:t>
            </w:r>
          </w:p>
          <w:p w14:paraId="522E93A0" w14:textId="7D41BB41" w:rsidR="00784905" w:rsidRPr="00784905" w:rsidRDefault="00784905" w:rsidP="00E33A91">
            <w:pPr>
              <w:pStyle w:val="Tablebulletx"/>
              <w:spacing w:before="80" w:after="80"/>
            </w:pPr>
            <w:r w:rsidRPr="00784905">
              <w:t xml:space="preserve">Lack of public value assessment </w:t>
            </w:r>
            <w:r w:rsidR="00972F9F">
              <w:t>makes</w:t>
            </w:r>
            <w:r w:rsidR="00972F9F" w:rsidRPr="00784905">
              <w:t xml:space="preserve"> </w:t>
            </w:r>
            <w:r w:rsidRPr="00784905">
              <w:t>it hard to know which service to re-invest in.</w:t>
            </w:r>
          </w:p>
        </w:tc>
        <w:tc>
          <w:tcPr>
            <w:tcW w:w="3954" w:type="dxa"/>
            <w:shd w:val="clear" w:color="auto" w:fill="FFFFFF" w:themeFill="background1"/>
          </w:tcPr>
          <w:p w14:paraId="5FE2538A" w14:textId="77777777" w:rsidR="00784905" w:rsidRPr="00784905" w:rsidRDefault="00784905" w:rsidP="00E33A91">
            <w:pPr>
              <w:pStyle w:val="Tablebulletx"/>
              <w:spacing w:before="80" w:after="80"/>
            </w:pPr>
            <w:r w:rsidRPr="00784905">
              <w:t>Te ao Māori framing shapes new ways of assessing public value.</w:t>
            </w:r>
          </w:p>
          <w:p w14:paraId="08ABBCFD" w14:textId="4564720B" w:rsidR="00784905" w:rsidRPr="00784905" w:rsidRDefault="00784905" w:rsidP="00E33A91">
            <w:pPr>
              <w:pStyle w:val="Tablebulletx"/>
              <w:spacing w:before="80" w:after="80"/>
            </w:pPr>
            <w:r w:rsidRPr="00784905">
              <w:t>Investment decisions to improve outcomes for Māori are increasingly sophisticated</w:t>
            </w:r>
            <w:r w:rsidR="00972F9F">
              <w:t>. They are</w:t>
            </w:r>
            <w:r w:rsidRPr="00784905">
              <w:t xml:space="preserve"> based on a growing body of evidence of what works, for whom</w:t>
            </w:r>
            <w:r w:rsidR="00243FA2">
              <w:t>, with whom</w:t>
            </w:r>
            <w:r w:rsidRPr="00784905">
              <w:t xml:space="preserve"> and under what circumstances.</w:t>
            </w:r>
          </w:p>
        </w:tc>
      </w:tr>
    </w:tbl>
    <w:p w14:paraId="2AC328FA" w14:textId="77777777" w:rsidR="00BA5306" w:rsidRDefault="00BA5306" w:rsidP="00BA5306">
      <w:pPr>
        <w:rPr>
          <w:lang w:eastAsia="en-GB"/>
        </w:rPr>
      </w:pPr>
    </w:p>
    <w:p w14:paraId="67D988C7" w14:textId="2F7B5D9D" w:rsidR="00BA5306" w:rsidRPr="00BA5306" w:rsidRDefault="00BA5306" w:rsidP="00BA5306">
      <w:pPr>
        <w:rPr>
          <w:lang w:eastAsia="en-GB"/>
        </w:rPr>
        <w:sectPr w:rsidR="00BA5306" w:rsidRPr="00BA5306" w:rsidSect="00C345BC">
          <w:pgSz w:w="11906" w:h="16838"/>
          <w:pgMar w:top="2778" w:right="1701" w:bottom="454" w:left="1701" w:header="567" w:footer="567" w:gutter="0"/>
          <w:cols w:space="708"/>
          <w:titlePg/>
          <w:docGrid w:linePitch="360"/>
        </w:sectPr>
      </w:pPr>
    </w:p>
    <w:p w14:paraId="4A586C4F" w14:textId="4A3E93DC" w:rsidR="004E673D" w:rsidRPr="005506BF" w:rsidRDefault="004E673D" w:rsidP="009055B4">
      <w:pPr>
        <w:pStyle w:val="Heading3-nonumbering"/>
        <w:spacing w:before="0"/>
      </w:pPr>
      <w:r w:rsidRPr="004E673D">
        <w:lastRenderedPageBreak/>
        <w:t>Delivering, monitoring and evaluating</w:t>
      </w:r>
      <w:r w:rsidRPr="007530B0">
        <w:t>: wha</w:t>
      </w:r>
      <w:r w:rsidR="00694DE2">
        <w:t>t</w:t>
      </w:r>
      <w:r w:rsidRPr="007530B0">
        <w:t xml:space="preserve"> and how</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4E673D" w:rsidRPr="000C72D2" w14:paraId="5B089D48" w14:textId="77777777" w:rsidTr="003D7A22">
        <w:trPr>
          <w:trHeight w:val="50"/>
        </w:trPr>
        <w:tc>
          <w:tcPr>
            <w:tcW w:w="567" w:type="dxa"/>
          </w:tcPr>
          <w:p w14:paraId="3D3FFE39" w14:textId="77777777" w:rsidR="004E673D" w:rsidRPr="000C72D2" w:rsidRDefault="004E673D" w:rsidP="009055B4">
            <w:pPr>
              <w:pStyle w:val="0RULE"/>
            </w:pPr>
          </w:p>
        </w:tc>
      </w:tr>
    </w:tbl>
    <w:p w14:paraId="71509A25" w14:textId="77777777" w:rsidR="004E673D" w:rsidRDefault="004E673D" w:rsidP="00925E36">
      <w:pPr>
        <w:pStyle w:val="Heading4"/>
      </w:pPr>
      <w:r>
        <w:t>Aim</w:t>
      </w:r>
    </w:p>
    <w:p w14:paraId="3C367C72" w14:textId="64FF4AF8" w:rsidR="004E673D" w:rsidRPr="00BE6C08" w:rsidRDefault="001E7736" w:rsidP="004E673D">
      <w:pPr>
        <w:pStyle w:val="NormalIndent1"/>
        <w:rPr>
          <w:color w:val="auto"/>
          <w:sz w:val="28"/>
          <w:szCs w:val="28"/>
        </w:rPr>
      </w:pPr>
      <w:r w:rsidRPr="00286EC2">
        <w:rPr>
          <w:color w:val="auto"/>
          <w:sz w:val="28"/>
          <w:szCs w:val="28"/>
        </w:rPr>
        <w:t>To achieve the best possible outcomes, implement the service, monitor how</w:t>
      </w:r>
      <w:r>
        <w:t xml:space="preserve"> </w:t>
      </w:r>
      <w:r w:rsidR="004E673D" w:rsidRPr="00BE6C08">
        <w:rPr>
          <w:color w:val="auto"/>
          <w:sz w:val="28"/>
          <w:szCs w:val="28"/>
        </w:rPr>
        <w:t xml:space="preserve">it delivers against intended operation and budget, and evaluate outcomes </w:t>
      </w:r>
      <w:r w:rsidR="00972F9F">
        <w:rPr>
          <w:rFonts w:ascii="Calibri" w:hAnsi="Calibri" w:cs="Calibri"/>
          <w:color w:val="auto"/>
          <w:sz w:val="28"/>
          <w:szCs w:val="28"/>
        </w:rPr>
        <w:t>—</w:t>
      </w:r>
      <w:r w:rsidR="004E673D" w:rsidRPr="00BE6C08">
        <w:rPr>
          <w:color w:val="auto"/>
          <w:sz w:val="28"/>
          <w:szCs w:val="28"/>
        </w:rPr>
        <w:t xml:space="preserve"> what worked well and lessons learnt </w:t>
      </w:r>
      <w:r w:rsidR="00972F9F">
        <w:rPr>
          <w:rFonts w:ascii="Calibri" w:hAnsi="Calibri" w:cs="Calibri"/>
          <w:color w:val="auto"/>
          <w:sz w:val="28"/>
          <w:szCs w:val="28"/>
        </w:rPr>
        <w:t>—</w:t>
      </w:r>
      <w:r w:rsidR="004E673D" w:rsidRPr="00BE6C08">
        <w:rPr>
          <w:color w:val="auto"/>
          <w:sz w:val="28"/>
          <w:szCs w:val="28"/>
        </w:rPr>
        <w:t xml:space="preserve"> and </w:t>
      </w:r>
      <w:r w:rsidR="00972F9F">
        <w:rPr>
          <w:color w:val="auto"/>
          <w:sz w:val="28"/>
          <w:szCs w:val="28"/>
        </w:rPr>
        <w:t>make</w:t>
      </w:r>
      <w:r w:rsidR="00972F9F" w:rsidRPr="00BE6C08">
        <w:rPr>
          <w:color w:val="auto"/>
          <w:sz w:val="28"/>
          <w:szCs w:val="28"/>
        </w:rPr>
        <w:t xml:space="preserve"> </w:t>
      </w:r>
      <w:r w:rsidR="004E673D" w:rsidRPr="00BE6C08">
        <w:rPr>
          <w:color w:val="auto"/>
          <w:sz w:val="28"/>
          <w:szCs w:val="28"/>
        </w:rPr>
        <w:t>improvements (or decommission).</w:t>
      </w:r>
    </w:p>
    <w:p w14:paraId="5E5869EC" w14:textId="33752ED0" w:rsidR="004E673D" w:rsidRDefault="004E673D" w:rsidP="004E673D"/>
    <w:tbl>
      <w:tblPr>
        <w:tblStyle w:val="TableGrid"/>
        <w:tblW w:w="8774"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831"/>
        <w:gridCol w:w="3131"/>
        <w:gridCol w:w="3812"/>
      </w:tblGrid>
      <w:tr w:rsidR="00E33A91" w:rsidRPr="004E673D" w14:paraId="6824D67E" w14:textId="77777777" w:rsidTr="00BE6C08">
        <w:trPr>
          <w:trHeight w:val="146"/>
          <w:tblHeader/>
        </w:trPr>
        <w:tc>
          <w:tcPr>
            <w:tcW w:w="1831" w:type="dxa"/>
            <w:shd w:val="clear" w:color="auto" w:fill="F2F2F2" w:themeFill="background1" w:themeFillShade="F2"/>
          </w:tcPr>
          <w:p w14:paraId="6CF1F83B" w14:textId="77777777" w:rsidR="004E673D" w:rsidRPr="004E673D" w:rsidRDefault="004E673D" w:rsidP="00E33A91">
            <w:pPr>
              <w:pStyle w:val="TableText"/>
              <w:spacing w:before="80" w:after="80"/>
              <w:rPr>
                <w:b/>
                <w:bCs/>
              </w:rPr>
            </w:pPr>
          </w:p>
        </w:tc>
        <w:tc>
          <w:tcPr>
            <w:tcW w:w="3131" w:type="dxa"/>
            <w:shd w:val="clear" w:color="auto" w:fill="F2F2F2" w:themeFill="background1" w:themeFillShade="F2"/>
          </w:tcPr>
          <w:p w14:paraId="19CCEE84" w14:textId="77777777" w:rsidR="004E673D" w:rsidRPr="00BE6C08" w:rsidRDefault="004E673D" w:rsidP="00E33A91">
            <w:pPr>
              <w:pStyle w:val="TableText"/>
              <w:spacing w:before="80" w:after="80"/>
              <w:rPr>
                <w:b/>
                <w:bCs/>
                <w:color w:val="auto"/>
              </w:rPr>
            </w:pPr>
            <w:r w:rsidRPr="00BE6C08">
              <w:rPr>
                <w:b/>
                <w:bCs/>
                <w:color w:val="auto"/>
              </w:rPr>
              <w:t>What we need to do</w:t>
            </w:r>
          </w:p>
        </w:tc>
        <w:tc>
          <w:tcPr>
            <w:tcW w:w="3812" w:type="dxa"/>
            <w:shd w:val="clear" w:color="auto" w:fill="F2F2F2" w:themeFill="background1" w:themeFillShade="F2"/>
          </w:tcPr>
          <w:p w14:paraId="65E6F3D3" w14:textId="3CB9A602" w:rsidR="004E673D" w:rsidRPr="00BE6C08" w:rsidRDefault="004E673D" w:rsidP="00E33A91">
            <w:pPr>
              <w:pStyle w:val="TableText"/>
              <w:spacing w:before="80" w:after="80"/>
              <w:rPr>
                <w:b/>
                <w:bCs/>
                <w:color w:val="auto"/>
              </w:rPr>
            </w:pPr>
            <w:r w:rsidRPr="00BE6C08">
              <w:rPr>
                <w:b/>
                <w:bCs/>
                <w:color w:val="auto"/>
              </w:rPr>
              <w:t xml:space="preserve">How </w:t>
            </w:r>
            <w:r w:rsidR="005A68B9">
              <w:rPr>
                <w:rFonts w:ascii="Calibri" w:hAnsi="Calibri" w:cs="Calibri"/>
                <w:b/>
                <w:bCs/>
                <w:color w:val="auto"/>
              </w:rPr>
              <w:t>—</w:t>
            </w:r>
            <w:r w:rsidRPr="00BE6C08">
              <w:rPr>
                <w:b/>
                <w:bCs/>
                <w:color w:val="auto"/>
              </w:rPr>
              <w:t xml:space="preserve"> methods, tools, resources</w:t>
            </w:r>
          </w:p>
        </w:tc>
      </w:tr>
      <w:tr w:rsidR="004E673D" w:rsidRPr="004E673D" w14:paraId="542D571E" w14:textId="77777777" w:rsidTr="00E33A91">
        <w:trPr>
          <w:trHeight w:val="709"/>
        </w:trPr>
        <w:tc>
          <w:tcPr>
            <w:tcW w:w="1831" w:type="dxa"/>
            <w:shd w:val="clear" w:color="auto" w:fill="F2F2F2" w:themeFill="background1" w:themeFillShade="F2"/>
            <w:vAlign w:val="center"/>
          </w:tcPr>
          <w:p w14:paraId="68458EBD" w14:textId="77777777" w:rsidR="004E673D" w:rsidRPr="004E673D" w:rsidRDefault="004E673D" w:rsidP="00E33A91">
            <w:pPr>
              <w:pStyle w:val="TableText"/>
              <w:spacing w:before="80" w:after="80"/>
              <w:rPr>
                <w:b/>
                <w:bCs/>
              </w:rPr>
            </w:pPr>
            <w:r w:rsidRPr="004E673D">
              <w:rPr>
                <w:b/>
                <w:bCs/>
              </w:rPr>
              <w:t>People</w:t>
            </w:r>
          </w:p>
          <w:p w14:paraId="4F81E93D" w14:textId="77777777" w:rsidR="004E673D" w:rsidRPr="004E673D" w:rsidRDefault="004E673D" w:rsidP="00E33A91">
            <w:pPr>
              <w:pStyle w:val="TableText"/>
              <w:spacing w:before="80" w:after="80"/>
              <w:rPr>
                <w:b/>
                <w:bCs/>
              </w:rPr>
            </w:pPr>
            <w:r w:rsidRPr="004E673D">
              <w:rPr>
                <w:b/>
                <w:bCs/>
              </w:rPr>
              <w:t>Whānau</w:t>
            </w:r>
          </w:p>
          <w:p w14:paraId="45DD974F" w14:textId="77777777" w:rsidR="004E673D" w:rsidRPr="004E673D" w:rsidRDefault="004E673D" w:rsidP="00E33A91">
            <w:pPr>
              <w:pStyle w:val="TableText"/>
              <w:spacing w:before="80" w:after="80"/>
              <w:rPr>
                <w:b/>
                <w:bCs/>
              </w:rPr>
            </w:pPr>
            <w:r w:rsidRPr="004E673D">
              <w:rPr>
                <w:b/>
                <w:bCs/>
              </w:rPr>
              <w:t>Communities</w:t>
            </w:r>
          </w:p>
        </w:tc>
        <w:tc>
          <w:tcPr>
            <w:tcW w:w="3131" w:type="dxa"/>
            <w:shd w:val="clear" w:color="auto" w:fill="FFFFFF" w:themeFill="background1"/>
          </w:tcPr>
          <w:p w14:paraId="61029CD8" w14:textId="77777777" w:rsidR="004E673D" w:rsidRPr="004E673D" w:rsidRDefault="004E673D" w:rsidP="00E33A91">
            <w:pPr>
              <w:pStyle w:val="Tablebulletx"/>
              <w:spacing w:before="80" w:after="80"/>
            </w:pPr>
            <w:r w:rsidRPr="004E673D">
              <w:t>Whānau shape system and service design.</w:t>
            </w:r>
          </w:p>
          <w:p w14:paraId="3C4800EE" w14:textId="77777777" w:rsidR="004E673D" w:rsidRPr="004E673D" w:rsidRDefault="004E673D" w:rsidP="00E33A91">
            <w:pPr>
              <w:pStyle w:val="Tablebulletx"/>
              <w:spacing w:before="80" w:after="80"/>
            </w:pPr>
            <w:r w:rsidRPr="004E673D">
              <w:t>Whānau develop measures of success that:</w:t>
            </w:r>
          </w:p>
          <w:p w14:paraId="31588AF8" w14:textId="77777777" w:rsidR="004E673D" w:rsidRPr="004E673D" w:rsidRDefault="004E673D" w:rsidP="00E33A91">
            <w:pPr>
              <w:pStyle w:val="Tablebulletx2"/>
              <w:spacing w:before="80" w:after="80"/>
            </w:pPr>
            <w:r w:rsidRPr="004E673D">
              <w:t>are meaningful to them</w:t>
            </w:r>
          </w:p>
          <w:p w14:paraId="2CD82423" w14:textId="77777777" w:rsidR="004E673D" w:rsidRPr="004E673D" w:rsidRDefault="004E673D" w:rsidP="00E33A91">
            <w:pPr>
              <w:pStyle w:val="Tablebulletx2"/>
              <w:spacing w:before="80" w:after="80"/>
            </w:pPr>
            <w:r w:rsidRPr="004E673D">
              <w:t>will support improvements at the service delivery and system levels.</w:t>
            </w:r>
          </w:p>
          <w:p w14:paraId="7AEF1699" w14:textId="77777777" w:rsidR="004E673D" w:rsidRPr="004E673D" w:rsidRDefault="004E673D" w:rsidP="00E33A91">
            <w:pPr>
              <w:pStyle w:val="Tablebulletx"/>
              <w:spacing w:before="80" w:after="80"/>
            </w:pPr>
            <w:r w:rsidRPr="004E673D">
              <w:t>Seek and act on whānau views on priorities for action.</w:t>
            </w:r>
          </w:p>
          <w:p w14:paraId="4142DB27" w14:textId="16C01C3A" w:rsidR="004E673D" w:rsidRPr="004E673D" w:rsidRDefault="004E673D" w:rsidP="00E33A91">
            <w:pPr>
              <w:pStyle w:val="Tablebulletx"/>
              <w:spacing w:before="80" w:after="80"/>
            </w:pPr>
            <w:r w:rsidRPr="004E673D">
              <w:t>Whānau shape strengths-based measures and whānau-level measures</w:t>
            </w:r>
            <w:r w:rsidR="00243FA2">
              <w:t>.</w:t>
            </w:r>
          </w:p>
        </w:tc>
        <w:tc>
          <w:tcPr>
            <w:tcW w:w="3812" w:type="dxa"/>
            <w:shd w:val="clear" w:color="auto" w:fill="FFFFFF" w:themeFill="background1"/>
          </w:tcPr>
          <w:p w14:paraId="3CDE2C7A" w14:textId="7D3776F7" w:rsidR="004E673D" w:rsidRPr="004E673D" w:rsidRDefault="004E673D" w:rsidP="00E33A91">
            <w:pPr>
              <w:pStyle w:val="Tablebulletx"/>
              <w:spacing w:before="80" w:after="80"/>
            </w:pPr>
            <w:r w:rsidRPr="004E673D">
              <w:t xml:space="preserve">Change system and service design and delivery in ways that reflect what matters and is meaningful to whānau. Document these changes in the purpose and </w:t>
            </w:r>
            <w:r w:rsidR="00515667">
              <w:t>understanding</w:t>
            </w:r>
            <w:r w:rsidR="00515667" w:rsidRPr="004E673D">
              <w:t xml:space="preserve"> </w:t>
            </w:r>
            <w:r w:rsidRPr="004E673D">
              <w:t>stage.</w:t>
            </w:r>
          </w:p>
          <w:p w14:paraId="325D1ED6" w14:textId="77777777" w:rsidR="004E673D" w:rsidRPr="004E673D" w:rsidRDefault="004E673D" w:rsidP="00E33A91">
            <w:pPr>
              <w:pStyle w:val="Tablebulletx"/>
              <w:spacing w:before="80" w:after="80"/>
            </w:pPr>
            <w:r w:rsidRPr="004E673D">
              <w:t>Enable, recognise and document whānau and community engagement and influence at every stage of the commissioning process.</w:t>
            </w:r>
          </w:p>
          <w:p w14:paraId="3974BB67" w14:textId="77777777" w:rsidR="004E673D" w:rsidRPr="004E673D" w:rsidRDefault="004E673D" w:rsidP="00E33A91">
            <w:pPr>
              <w:pStyle w:val="Tablebulletx"/>
              <w:spacing w:before="80" w:after="80"/>
            </w:pPr>
            <w:r w:rsidRPr="004E673D">
              <w:t>Whānau and community insights improve engagement and co-production approaches.</w:t>
            </w:r>
          </w:p>
          <w:p w14:paraId="4E463915" w14:textId="77777777" w:rsidR="004E673D" w:rsidRPr="004E673D" w:rsidRDefault="004E673D" w:rsidP="00E33A91">
            <w:pPr>
              <w:pStyle w:val="Tablebulletx"/>
              <w:spacing w:before="80" w:after="80"/>
            </w:pPr>
            <w:r w:rsidRPr="004E673D">
              <w:t>Use whānau and community feedback to improve system and service design and delivery.</w:t>
            </w:r>
          </w:p>
          <w:p w14:paraId="7708AC39" w14:textId="77777777" w:rsidR="004E673D" w:rsidRPr="004E673D" w:rsidRDefault="004E673D" w:rsidP="00E33A91">
            <w:pPr>
              <w:pStyle w:val="Tablebulletx"/>
              <w:spacing w:before="80" w:after="80"/>
            </w:pPr>
            <w:r w:rsidRPr="004E673D">
              <w:t>Improve the ability to report from a capability and strengths-based perspective.</w:t>
            </w:r>
          </w:p>
          <w:p w14:paraId="22C3FF7E" w14:textId="77777777" w:rsidR="004E673D" w:rsidRPr="004E673D" w:rsidRDefault="004E673D" w:rsidP="00E33A91">
            <w:pPr>
              <w:pStyle w:val="Tablebulletx"/>
              <w:spacing w:before="80" w:after="80"/>
            </w:pPr>
            <w:r w:rsidRPr="004E673D">
              <w:t>Develop whānau-level measures of success.</w:t>
            </w:r>
          </w:p>
        </w:tc>
      </w:tr>
      <w:tr w:rsidR="004E673D" w:rsidRPr="004E673D" w14:paraId="5DBB96F9" w14:textId="77777777" w:rsidTr="00E33A91">
        <w:trPr>
          <w:trHeight w:val="1017"/>
        </w:trPr>
        <w:tc>
          <w:tcPr>
            <w:tcW w:w="1831" w:type="dxa"/>
            <w:shd w:val="clear" w:color="auto" w:fill="F2F2F2" w:themeFill="background1" w:themeFillShade="F2"/>
            <w:vAlign w:val="center"/>
          </w:tcPr>
          <w:p w14:paraId="6A740BA3" w14:textId="77777777" w:rsidR="004E673D" w:rsidRPr="004E673D" w:rsidRDefault="004E673D" w:rsidP="00E33A91">
            <w:pPr>
              <w:pStyle w:val="TableText"/>
              <w:spacing w:before="80" w:after="80"/>
              <w:rPr>
                <w:b/>
                <w:bCs/>
              </w:rPr>
            </w:pPr>
            <w:r w:rsidRPr="004E673D">
              <w:rPr>
                <w:b/>
                <w:bCs/>
              </w:rPr>
              <w:t>Delivery</w:t>
            </w:r>
          </w:p>
        </w:tc>
        <w:tc>
          <w:tcPr>
            <w:tcW w:w="3131" w:type="dxa"/>
            <w:shd w:val="clear" w:color="auto" w:fill="FFFFFF" w:themeFill="background1"/>
          </w:tcPr>
          <w:p w14:paraId="00EF6215" w14:textId="77777777" w:rsidR="004E673D" w:rsidRPr="004E673D" w:rsidRDefault="004E673D" w:rsidP="00E33A91">
            <w:pPr>
              <w:pStyle w:val="TableText"/>
              <w:spacing w:before="80" w:after="80"/>
            </w:pPr>
            <w:r w:rsidRPr="004E673D">
              <w:t xml:space="preserve">Performance monitoring, which is co-designed with providers, adds insight on why outcomes vary and supports continuous improvement. </w:t>
            </w:r>
          </w:p>
        </w:tc>
        <w:tc>
          <w:tcPr>
            <w:tcW w:w="3812" w:type="dxa"/>
            <w:shd w:val="clear" w:color="auto" w:fill="FFFFFF" w:themeFill="background1"/>
          </w:tcPr>
          <w:p w14:paraId="7A926863" w14:textId="20DC713F" w:rsidR="004E673D" w:rsidRPr="004E673D" w:rsidRDefault="004E673D" w:rsidP="00E33A91">
            <w:pPr>
              <w:pStyle w:val="TableText"/>
              <w:spacing w:before="80" w:after="80"/>
            </w:pPr>
            <w:r w:rsidRPr="004E673D">
              <w:t>Encourage providers to report back to their communities</w:t>
            </w:r>
            <w:r w:rsidR="009F3BC5">
              <w:t>.</w:t>
            </w:r>
            <w:r w:rsidRPr="004E673D">
              <w:t xml:space="preserve"> </w:t>
            </w:r>
            <w:r w:rsidR="009F3BC5">
              <w:t>F</w:t>
            </w:r>
            <w:r w:rsidRPr="004E673D">
              <w:t>unders start to use th</w:t>
            </w:r>
            <w:r w:rsidR="009F3BC5">
              <w:t>ese reports</w:t>
            </w:r>
            <w:r w:rsidRPr="004E673D">
              <w:t xml:space="preserve"> as the main form of accountability.</w:t>
            </w:r>
          </w:p>
        </w:tc>
      </w:tr>
      <w:tr w:rsidR="004E673D" w:rsidRPr="004E673D" w14:paraId="1F20A4D7" w14:textId="77777777" w:rsidTr="00E33A91">
        <w:tc>
          <w:tcPr>
            <w:tcW w:w="1831" w:type="dxa"/>
            <w:shd w:val="clear" w:color="auto" w:fill="F2F2F2" w:themeFill="background1" w:themeFillShade="F2"/>
            <w:vAlign w:val="center"/>
          </w:tcPr>
          <w:p w14:paraId="009BC154" w14:textId="77777777" w:rsidR="004E673D" w:rsidRPr="004E673D" w:rsidRDefault="004E673D" w:rsidP="00E33A91">
            <w:pPr>
              <w:pStyle w:val="TableText"/>
              <w:spacing w:before="80" w:after="80"/>
              <w:rPr>
                <w:b/>
                <w:bCs/>
              </w:rPr>
            </w:pPr>
            <w:r w:rsidRPr="004E673D">
              <w:rPr>
                <w:b/>
                <w:bCs/>
              </w:rPr>
              <w:t>Commissioners</w:t>
            </w:r>
          </w:p>
        </w:tc>
        <w:tc>
          <w:tcPr>
            <w:tcW w:w="3131" w:type="dxa"/>
            <w:shd w:val="clear" w:color="auto" w:fill="FFFFFF" w:themeFill="background1"/>
          </w:tcPr>
          <w:p w14:paraId="72545215" w14:textId="77777777" w:rsidR="004E673D" w:rsidRPr="004E673D" w:rsidRDefault="004E673D" w:rsidP="00E33A91">
            <w:pPr>
              <w:pStyle w:val="Tablebulletx"/>
              <w:spacing w:before="80" w:after="80"/>
            </w:pPr>
            <w:r w:rsidRPr="004E673D">
              <w:t>Co-design reporting templates with providers, collecting the minimum data needed and using existing data wherever possible.</w:t>
            </w:r>
          </w:p>
          <w:p w14:paraId="27DDF408" w14:textId="77777777" w:rsidR="004E673D" w:rsidRPr="004E673D" w:rsidRDefault="004E673D" w:rsidP="00E33A91">
            <w:pPr>
              <w:pStyle w:val="Tablebulletx"/>
              <w:spacing w:before="80" w:after="80"/>
            </w:pPr>
            <w:r w:rsidRPr="004E673D">
              <w:t>Analyse data for providers and develop insights that help providers improve service delivery and understand ‘what works’ and for whom.</w:t>
            </w:r>
          </w:p>
          <w:p w14:paraId="08E7946D" w14:textId="2E8528EB" w:rsidR="004E673D" w:rsidRPr="004E673D" w:rsidRDefault="005F174B" w:rsidP="00E33A91">
            <w:pPr>
              <w:pStyle w:val="Tablebulletx"/>
              <w:spacing w:before="80" w:after="80"/>
            </w:pPr>
            <w:r>
              <w:lastRenderedPageBreak/>
              <w:t>Take</w:t>
            </w:r>
            <w:r w:rsidR="004E673D" w:rsidRPr="004E673D">
              <w:t xml:space="preserve"> a ‘critical friend’ approach</w:t>
            </w:r>
            <w:r>
              <w:t xml:space="preserve"> to evaluation</w:t>
            </w:r>
            <w:r w:rsidR="004E673D" w:rsidRPr="004E673D">
              <w:t>, focusing on improving service design and delivery.</w:t>
            </w:r>
          </w:p>
          <w:p w14:paraId="3735D1F2" w14:textId="43F133C3" w:rsidR="004E673D" w:rsidRPr="004E673D" w:rsidRDefault="004E673D" w:rsidP="00E33A91">
            <w:pPr>
              <w:pStyle w:val="Tablebulletx"/>
              <w:spacing w:before="80" w:after="80"/>
            </w:pPr>
            <w:r w:rsidRPr="004E673D">
              <w:t>Use Māori health evaluators wherever possible</w:t>
            </w:r>
            <w:r w:rsidR="009F3BC5">
              <w:t>. C</w:t>
            </w:r>
            <w:r w:rsidRPr="004E673D">
              <w:t>o-design outcome frameworks with te ao Māori framing.</w:t>
            </w:r>
          </w:p>
          <w:p w14:paraId="26C3FB2B" w14:textId="77777777" w:rsidR="004E673D" w:rsidRPr="004E673D" w:rsidRDefault="004E673D" w:rsidP="00E33A91">
            <w:pPr>
              <w:pStyle w:val="Tablebulletx"/>
              <w:spacing w:before="80" w:after="80"/>
            </w:pPr>
            <w:r w:rsidRPr="004E673D">
              <w:t>Use methods for assessing system costs and public value wherever possible and meaningful.</w:t>
            </w:r>
          </w:p>
        </w:tc>
        <w:tc>
          <w:tcPr>
            <w:tcW w:w="3812" w:type="dxa"/>
            <w:shd w:val="clear" w:color="auto" w:fill="FFFFFF" w:themeFill="background1"/>
          </w:tcPr>
          <w:p w14:paraId="47877AAF" w14:textId="5741D3C9" w:rsidR="004E673D" w:rsidRPr="004E673D" w:rsidRDefault="004E673D" w:rsidP="00E33A91">
            <w:pPr>
              <w:pStyle w:val="Tablebulletx"/>
              <w:spacing w:before="80" w:after="80"/>
            </w:pPr>
            <w:r w:rsidRPr="004E673D">
              <w:lastRenderedPageBreak/>
              <w:t>Co-design reporting tools with providers</w:t>
            </w:r>
            <w:r w:rsidR="00E265AB">
              <w:t xml:space="preserve"> </w:t>
            </w:r>
            <w:r w:rsidRPr="004E673D">
              <w:t xml:space="preserve"> </w:t>
            </w:r>
            <w:r w:rsidR="00E265AB">
              <w:t>(</w:t>
            </w:r>
            <w:r w:rsidRPr="004E673D">
              <w:t xml:space="preserve">eg, </w:t>
            </w:r>
            <w:r w:rsidR="008B3C23">
              <w:t>through</w:t>
            </w:r>
            <w:r w:rsidR="00AD67AC">
              <w:t xml:space="preserve"> </w:t>
            </w:r>
            <w:r w:rsidRPr="004E673D">
              <w:t>storytelling</w:t>
            </w:r>
            <w:r w:rsidR="009F3BC5">
              <w:t>,</w:t>
            </w:r>
            <w:r w:rsidRPr="004E673D">
              <w:t xml:space="preserve"> photos and videos</w:t>
            </w:r>
            <w:r w:rsidR="009F3BC5">
              <w:t>,</w:t>
            </w:r>
            <w:r w:rsidRPr="004E673D">
              <w:t xml:space="preserve"> graphs and trend data for providers without data management systems</w:t>
            </w:r>
            <w:r w:rsidR="000E27F8">
              <w:t>)</w:t>
            </w:r>
            <w:r w:rsidRPr="004E673D">
              <w:t>.</w:t>
            </w:r>
          </w:p>
          <w:p w14:paraId="337A7227" w14:textId="0954F26F" w:rsidR="004E673D" w:rsidRPr="004E673D" w:rsidRDefault="00AD67AC" w:rsidP="00E33A91">
            <w:pPr>
              <w:pStyle w:val="Tablebulletx"/>
              <w:spacing w:before="80" w:after="80"/>
            </w:pPr>
            <w:r>
              <w:t>P</w:t>
            </w:r>
            <w:r w:rsidR="004E673D" w:rsidRPr="004E673D">
              <w:t xml:space="preserve">osters </w:t>
            </w:r>
            <w:r w:rsidR="009F3BC5">
              <w:t>displaying</w:t>
            </w:r>
            <w:r w:rsidR="009F3BC5" w:rsidRPr="004E673D">
              <w:t xml:space="preserve"> </w:t>
            </w:r>
            <w:r w:rsidR="004E673D" w:rsidRPr="004E673D">
              <w:t xml:space="preserve">service purpose and contract details help other funders know </w:t>
            </w:r>
            <w:r w:rsidR="00482E43">
              <w:t>who is delivering what and opportunities for collaboration.</w:t>
            </w:r>
          </w:p>
          <w:p w14:paraId="7B7A0F31" w14:textId="7AEBC8ED" w:rsidR="004E673D" w:rsidRPr="004E673D" w:rsidRDefault="004E673D" w:rsidP="00E33A91">
            <w:pPr>
              <w:pStyle w:val="Tablebulletx"/>
              <w:spacing w:before="80" w:after="80"/>
            </w:pPr>
            <w:r w:rsidRPr="004E673D">
              <w:lastRenderedPageBreak/>
              <w:t>Use extracts from existing data system</w:t>
            </w:r>
            <w:r w:rsidR="0031161C">
              <w:t>s to reduce administrative burden on providers</w:t>
            </w:r>
            <w:r w:rsidR="00081965">
              <w:t>.</w:t>
            </w:r>
          </w:p>
          <w:p w14:paraId="14A5C084" w14:textId="086312F7" w:rsidR="004E673D" w:rsidRPr="004E673D" w:rsidRDefault="004E673D" w:rsidP="00E33A91">
            <w:pPr>
              <w:pStyle w:val="Tablebulletx"/>
              <w:spacing w:before="80" w:after="80"/>
            </w:pPr>
            <w:r w:rsidRPr="004E673D">
              <w:t>When assessing cost-effectiveness of services, include the commissioning overheads</w:t>
            </w:r>
            <w:r w:rsidR="00081965">
              <w:t>. These</w:t>
            </w:r>
            <w:r w:rsidRPr="004E673D">
              <w:t xml:space="preserve"> are </w:t>
            </w:r>
            <w:r w:rsidR="00081965">
              <w:t xml:space="preserve">an </w:t>
            </w:r>
            <w:r w:rsidRPr="004E673D">
              <w:t>estimated 15% of total contract price.</w:t>
            </w:r>
            <w:r w:rsidR="004D7920">
              <w:rPr>
                <w:rFonts w:ascii="ZWAdobeF" w:hAnsi="ZWAdobeF" w:cs="ZWAdobeF"/>
                <w:color w:val="auto"/>
                <w:spacing w:val="0"/>
                <w:sz w:val="2"/>
                <w:szCs w:val="2"/>
              </w:rPr>
              <w:t>44F</w:t>
            </w:r>
            <w:r w:rsidRPr="004E673D">
              <w:rPr>
                <w:rStyle w:val="FootnoteReference"/>
                <w:rFonts w:ascii="Portada" w:hAnsi="Portada"/>
                <w:color w:val="000000"/>
                <w:sz w:val="18"/>
              </w:rPr>
              <w:footnoteReference w:id="46"/>
            </w:r>
            <w:r w:rsidRPr="004E673D">
              <w:rPr>
                <w:vertAlign w:val="superscript"/>
              </w:rPr>
              <w:t xml:space="preserve"> </w:t>
            </w:r>
          </w:p>
          <w:p w14:paraId="35D74937" w14:textId="656B364C" w:rsidR="004E673D" w:rsidRPr="004E673D" w:rsidRDefault="004E673D" w:rsidP="00E33A91">
            <w:pPr>
              <w:pStyle w:val="Tablebulletx"/>
              <w:spacing w:before="80" w:after="80"/>
            </w:pPr>
            <w:r w:rsidRPr="004E673D">
              <w:t xml:space="preserve">For large-scale programmes, </w:t>
            </w:r>
            <w:r w:rsidR="0031161C">
              <w:t>consider</w:t>
            </w:r>
            <w:r w:rsidRPr="004E673D">
              <w:t xml:space="preserve"> comparing matched groups, people in similar areas or previous periods who did not receive the service. </w:t>
            </w:r>
            <w:r w:rsidR="000414D2">
              <w:t>C</w:t>
            </w:r>
            <w:r w:rsidRPr="004E673D">
              <w:t xml:space="preserve">omparisons in outcomes could show differences </w:t>
            </w:r>
            <w:r w:rsidR="009976F4">
              <w:t>that</w:t>
            </w:r>
            <w:r w:rsidR="000414D2">
              <w:t xml:space="preserve"> the service</w:t>
            </w:r>
            <w:r w:rsidR="009976F4">
              <w:t xml:space="preserve"> caused</w:t>
            </w:r>
            <w:r w:rsidR="000414D2">
              <w:t>.</w:t>
            </w:r>
          </w:p>
        </w:tc>
      </w:tr>
      <w:tr w:rsidR="004E673D" w:rsidRPr="004E673D" w14:paraId="4D315268" w14:textId="77777777" w:rsidTr="00E33A91">
        <w:trPr>
          <w:trHeight w:val="396"/>
        </w:trPr>
        <w:tc>
          <w:tcPr>
            <w:tcW w:w="1831" w:type="dxa"/>
            <w:shd w:val="clear" w:color="auto" w:fill="F2F2F2" w:themeFill="background1" w:themeFillShade="F2"/>
            <w:vAlign w:val="center"/>
          </w:tcPr>
          <w:p w14:paraId="42608820" w14:textId="77777777" w:rsidR="004E673D" w:rsidRPr="004E673D" w:rsidRDefault="004E673D" w:rsidP="00E33A91">
            <w:pPr>
              <w:pStyle w:val="TableText"/>
              <w:spacing w:before="80" w:after="80"/>
              <w:rPr>
                <w:b/>
                <w:bCs/>
              </w:rPr>
            </w:pPr>
            <w:r w:rsidRPr="004E673D">
              <w:rPr>
                <w:b/>
                <w:bCs/>
              </w:rPr>
              <w:lastRenderedPageBreak/>
              <w:t>System conditions</w:t>
            </w:r>
          </w:p>
        </w:tc>
        <w:tc>
          <w:tcPr>
            <w:tcW w:w="3131" w:type="dxa"/>
            <w:shd w:val="clear" w:color="auto" w:fill="FFFFFF" w:themeFill="background1"/>
          </w:tcPr>
          <w:p w14:paraId="0C52FA10" w14:textId="30CBF79A" w:rsidR="004E673D" w:rsidRPr="004E673D" w:rsidRDefault="000414D2" w:rsidP="00E33A91">
            <w:pPr>
              <w:pStyle w:val="Tablebulletx"/>
              <w:spacing w:before="80" w:after="80"/>
            </w:pPr>
            <w:r>
              <w:t>Include s</w:t>
            </w:r>
            <w:r w:rsidR="004E673D" w:rsidRPr="004E673D">
              <w:t xml:space="preserve">ystem costs and public value </w:t>
            </w:r>
            <w:r w:rsidR="00125C52">
              <w:t>when</w:t>
            </w:r>
            <w:r w:rsidR="004E673D" w:rsidRPr="004E673D">
              <w:t xml:space="preserve"> measuring investments. </w:t>
            </w:r>
          </w:p>
        </w:tc>
        <w:tc>
          <w:tcPr>
            <w:tcW w:w="3812" w:type="dxa"/>
            <w:shd w:val="clear" w:color="auto" w:fill="FFFFFF" w:themeFill="background1"/>
          </w:tcPr>
          <w:p w14:paraId="664FE165" w14:textId="78DDB019" w:rsidR="004E673D" w:rsidRPr="004E673D" w:rsidRDefault="00125C52" w:rsidP="00E33A91">
            <w:pPr>
              <w:pStyle w:val="Tablebulletx"/>
              <w:spacing w:before="80" w:after="80"/>
            </w:pPr>
            <w:r>
              <w:t>C</w:t>
            </w:r>
            <w:r w:rsidR="004E673D" w:rsidRPr="004E673D">
              <w:t>ontract and provider data infrastructure allow assessments of system costs and public value.</w:t>
            </w:r>
          </w:p>
          <w:p w14:paraId="2186D8A1" w14:textId="6BB9997A" w:rsidR="004E673D" w:rsidRPr="004E673D" w:rsidRDefault="00C55079" w:rsidP="00E33A91">
            <w:pPr>
              <w:pStyle w:val="Tablebulletx"/>
              <w:spacing w:before="80" w:after="80"/>
            </w:pPr>
            <w:r>
              <w:t>Include</w:t>
            </w:r>
            <w:r w:rsidR="004E673D" w:rsidRPr="004E673D">
              <w:t xml:space="preserve"> te ao Māori framing of public value.</w:t>
            </w:r>
          </w:p>
        </w:tc>
      </w:tr>
    </w:tbl>
    <w:p w14:paraId="09FBF610" w14:textId="77777777" w:rsidR="004E673D" w:rsidRDefault="004E673D" w:rsidP="004E673D"/>
    <w:p w14:paraId="0C2AD25E" w14:textId="435E0BEA" w:rsidR="004E673D" w:rsidRDefault="004E673D" w:rsidP="009055B4">
      <w:pPr>
        <w:pStyle w:val="Heading3-nonumbering"/>
        <w:sectPr w:rsidR="004E673D" w:rsidSect="00C345BC">
          <w:pgSz w:w="11906" w:h="16838"/>
          <w:pgMar w:top="2778" w:right="1701" w:bottom="454" w:left="1701" w:header="567" w:footer="567" w:gutter="0"/>
          <w:cols w:space="708"/>
          <w:titlePg/>
          <w:docGrid w:linePitch="360"/>
        </w:sectPr>
      </w:pPr>
    </w:p>
    <w:p w14:paraId="25D29DD8" w14:textId="4A9BF3DE" w:rsidR="007823EF" w:rsidRPr="002E2C0A" w:rsidRDefault="00E33A91" w:rsidP="003079E7">
      <w:pPr>
        <w:pStyle w:val="Heading1-nonumbering"/>
        <w:rPr>
          <w:rStyle w:val="1Orange"/>
          <w:b w:val="0"/>
          <w:bCs/>
          <w:spacing w:val="0"/>
        </w:rPr>
      </w:pPr>
      <w:bookmarkStart w:id="48" w:name="_Toc124933841"/>
      <w:bookmarkEnd w:id="33"/>
      <w:bookmarkEnd w:id="34"/>
      <w:bookmarkEnd w:id="35"/>
      <w:bookmarkEnd w:id="36"/>
      <w:r w:rsidRPr="008C0688">
        <w:rPr>
          <w:rStyle w:val="1Orange"/>
          <w:b w:val="0"/>
          <w:bCs/>
          <w:spacing w:val="0"/>
        </w:rPr>
        <w:lastRenderedPageBreak/>
        <w:t>Implementing Commissioning for Pae Ora</w:t>
      </w:r>
      <w:bookmarkEnd w:id="48"/>
    </w:p>
    <w:p w14:paraId="325E8B1E" w14:textId="64C0A7D6" w:rsidR="001547A6" w:rsidRDefault="00171699" w:rsidP="001547A6">
      <w:pPr>
        <w:pStyle w:val="NormalwIndent"/>
      </w:pPr>
      <w:r>
        <w:t xml:space="preserve">To be successful, </w:t>
      </w:r>
      <w:r w:rsidR="00E33A91">
        <w:t xml:space="preserve">Commissioning for Pae Ora requires </w:t>
      </w:r>
      <w:r w:rsidR="001547A6">
        <w:t>commissioners with the right skills and expertise</w:t>
      </w:r>
      <w:r w:rsidR="0020676C">
        <w:t>, along with</w:t>
      </w:r>
      <w:r w:rsidR="001547A6">
        <w:t xml:space="preserve"> access to resources, training and support for those delivering services</w:t>
      </w:r>
      <w:r w:rsidR="0020676C">
        <w:t>.</w:t>
      </w:r>
      <w:r w:rsidR="00F44D79">
        <w:t xml:space="preserve"> S</w:t>
      </w:r>
      <w:r w:rsidR="001547A6">
        <w:t xml:space="preserve">ervice users, whānau and community members will all play an active role at all stages of commissioning as part of </w:t>
      </w:r>
      <w:r w:rsidR="00574391">
        <w:t>implementation</w:t>
      </w:r>
      <w:r w:rsidR="001547A6">
        <w:t>.</w:t>
      </w:r>
    </w:p>
    <w:p w14:paraId="347500CD" w14:textId="4F0C41B2" w:rsidR="00E33A91" w:rsidRDefault="000C72D0" w:rsidP="00E33A91">
      <w:pPr>
        <w:pStyle w:val="NormalwIndent"/>
      </w:pPr>
      <w:r>
        <w:t>More</w:t>
      </w:r>
      <w:r w:rsidR="00E33A91">
        <w:t xml:space="preserve"> engagement and communication </w:t>
      </w:r>
      <w:r>
        <w:t xml:space="preserve">will be needed </w:t>
      </w:r>
      <w:r w:rsidR="00E33A91">
        <w:t xml:space="preserve">than </w:t>
      </w:r>
      <w:r>
        <w:t xml:space="preserve">for </w:t>
      </w:r>
      <w:r w:rsidR="00E33A91">
        <w:t>a standard procurement process. Commissioning agencies need resources, skilled staff and timeframes that enable collaboration, innovation, continuous improvement</w:t>
      </w:r>
      <w:r w:rsidR="00D971BB">
        <w:t xml:space="preserve"> </w:t>
      </w:r>
      <w:r w:rsidR="00B43EF2">
        <w:t>and the ability to stop</w:t>
      </w:r>
      <w:r w:rsidR="00D971BB">
        <w:t xml:space="preserve"> services that are no longer needed or </w:t>
      </w:r>
      <w:r w:rsidR="003542AB">
        <w:t xml:space="preserve">are not </w:t>
      </w:r>
      <w:r w:rsidR="00D971BB">
        <w:t>delivering</w:t>
      </w:r>
      <w:r w:rsidR="00B43EF2">
        <w:t xml:space="preserve"> the desired outcomes</w:t>
      </w:r>
      <w:r w:rsidR="00D971BB">
        <w:t>.</w:t>
      </w:r>
    </w:p>
    <w:p w14:paraId="498B2DEC" w14:textId="77777777" w:rsidR="00E33A91" w:rsidRDefault="00E33A91" w:rsidP="00E33A91">
      <w:pPr>
        <w:pStyle w:val="NormalwIndent"/>
      </w:pPr>
    </w:p>
    <w:p w14:paraId="7FD28806" w14:textId="2643C848" w:rsidR="00E33A91" w:rsidRDefault="00E33A91" w:rsidP="00E33A91">
      <w:pPr>
        <w:pStyle w:val="Heading2-nonumbering"/>
      </w:pPr>
      <w:bookmarkStart w:id="49" w:name="_Toc124933842"/>
      <w:r w:rsidRPr="00E942FE">
        <w:t xml:space="preserve">Summary of what’s needed </w:t>
      </w:r>
      <w:r w:rsidR="00574391" w:rsidRPr="00E942FE">
        <w:t>for</w:t>
      </w:r>
      <w:r w:rsidRPr="00E942FE">
        <w:t xml:space="preserve"> good commissioning</w:t>
      </w:r>
      <w:bookmarkEnd w:id="49"/>
      <w:r w:rsidRPr="00E33A91">
        <w:t xml:space="preserve"> </w:t>
      </w:r>
    </w:p>
    <w:p w14:paraId="416B5E13" w14:textId="77777777" w:rsidR="00E33A91" w:rsidRDefault="00E33A91" w:rsidP="00E33A91"/>
    <w:tbl>
      <w:tblPr>
        <w:tblStyle w:val="TableGrid"/>
        <w:tblW w:w="8647"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686"/>
        <w:gridCol w:w="3134"/>
        <w:gridCol w:w="3827"/>
      </w:tblGrid>
      <w:tr w:rsidR="00E33A91" w:rsidRPr="00E33A91" w14:paraId="004F392C" w14:textId="77777777" w:rsidTr="00BE6C08">
        <w:trPr>
          <w:trHeight w:val="146"/>
          <w:tblHeader/>
        </w:trPr>
        <w:tc>
          <w:tcPr>
            <w:tcW w:w="1686" w:type="dxa"/>
            <w:shd w:val="clear" w:color="auto" w:fill="F2F2F2" w:themeFill="background1" w:themeFillShade="F2"/>
            <w:vAlign w:val="center"/>
          </w:tcPr>
          <w:p w14:paraId="558ABF19" w14:textId="77777777" w:rsidR="00E33A91" w:rsidRPr="00E33A91" w:rsidRDefault="00E33A91" w:rsidP="00E33A91">
            <w:pPr>
              <w:pStyle w:val="TableText"/>
              <w:spacing w:before="80" w:after="80"/>
              <w:rPr>
                <w:b/>
                <w:bCs/>
              </w:rPr>
            </w:pPr>
            <w:bookmarkStart w:id="50" w:name="_Hlk80266307"/>
          </w:p>
        </w:tc>
        <w:tc>
          <w:tcPr>
            <w:tcW w:w="3134" w:type="dxa"/>
            <w:shd w:val="clear" w:color="auto" w:fill="F2F2F2" w:themeFill="background1" w:themeFillShade="F2"/>
          </w:tcPr>
          <w:p w14:paraId="46D21339" w14:textId="77777777" w:rsidR="00E33A91" w:rsidRPr="00E33A91" w:rsidRDefault="00E33A91" w:rsidP="00E33A91">
            <w:pPr>
              <w:pStyle w:val="TableText"/>
              <w:spacing w:before="80" w:after="80"/>
              <w:rPr>
                <w:b/>
                <w:bCs/>
              </w:rPr>
            </w:pPr>
            <w:r w:rsidRPr="00E33A91">
              <w:rPr>
                <w:b/>
                <w:bCs/>
              </w:rPr>
              <w:t>What’s needed</w:t>
            </w:r>
          </w:p>
        </w:tc>
        <w:tc>
          <w:tcPr>
            <w:tcW w:w="3827" w:type="dxa"/>
            <w:shd w:val="clear" w:color="auto" w:fill="F2F2F2" w:themeFill="background1" w:themeFillShade="F2"/>
          </w:tcPr>
          <w:p w14:paraId="04385631" w14:textId="77777777" w:rsidR="00E33A91" w:rsidRPr="00E33A91" w:rsidRDefault="00E33A91" w:rsidP="00E33A91">
            <w:pPr>
              <w:pStyle w:val="TableText"/>
              <w:spacing w:before="80" w:after="80"/>
              <w:rPr>
                <w:b/>
                <w:bCs/>
              </w:rPr>
            </w:pPr>
            <w:r w:rsidRPr="00E33A91">
              <w:rPr>
                <w:b/>
                <w:bCs/>
              </w:rPr>
              <w:t>Resources and activities</w:t>
            </w:r>
          </w:p>
        </w:tc>
      </w:tr>
      <w:tr w:rsidR="00E33A91" w:rsidRPr="003A6A50" w14:paraId="73A7D86C" w14:textId="77777777" w:rsidTr="00E33A91">
        <w:trPr>
          <w:trHeight w:val="709"/>
        </w:trPr>
        <w:tc>
          <w:tcPr>
            <w:tcW w:w="1686" w:type="dxa"/>
            <w:shd w:val="clear" w:color="auto" w:fill="F2F2F2" w:themeFill="background1" w:themeFillShade="F2"/>
            <w:vAlign w:val="center"/>
          </w:tcPr>
          <w:p w14:paraId="3B17B170" w14:textId="77777777" w:rsidR="003C13FA" w:rsidRDefault="00E33A91" w:rsidP="00E33A91">
            <w:pPr>
              <w:pStyle w:val="TableText"/>
              <w:spacing w:before="80" w:after="80"/>
              <w:rPr>
                <w:b/>
                <w:bCs/>
              </w:rPr>
            </w:pPr>
            <w:r w:rsidRPr="00E33A91">
              <w:rPr>
                <w:b/>
                <w:bCs/>
              </w:rPr>
              <w:t>People</w:t>
            </w:r>
          </w:p>
          <w:p w14:paraId="6A885C8B" w14:textId="04586348" w:rsidR="003C13FA" w:rsidRDefault="003C13FA" w:rsidP="00E33A91">
            <w:pPr>
              <w:pStyle w:val="TableText"/>
              <w:spacing w:before="80" w:after="80"/>
              <w:rPr>
                <w:b/>
                <w:bCs/>
              </w:rPr>
            </w:pPr>
            <w:r>
              <w:rPr>
                <w:b/>
                <w:bCs/>
              </w:rPr>
              <w:t>W</w:t>
            </w:r>
            <w:r w:rsidR="00E33A91" w:rsidRPr="00E33A91">
              <w:rPr>
                <w:b/>
                <w:bCs/>
              </w:rPr>
              <w:t>hānau</w:t>
            </w:r>
          </w:p>
          <w:p w14:paraId="7A50F644" w14:textId="4DE5789A" w:rsidR="00E33A91" w:rsidRPr="00E33A91" w:rsidRDefault="003C13FA" w:rsidP="00E33A91">
            <w:pPr>
              <w:pStyle w:val="TableText"/>
              <w:spacing w:before="80" w:after="80"/>
              <w:rPr>
                <w:b/>
                <w:bCs/>
              </w:rPr>
            </w:pPr>
            <w:r>
              <w:rPr>
                <w:b/>
                <w:bCs/>
              </w:rPr>
              <w:t>C</w:t>
            </w:r>
            <w:r w:rsidR="00E33A91" w:rsidRPr="00E33A91">
              <w:rPr>
                <w:b/>
                <w:bCs/>
              </w:rPr>
              <w:t>ommunities</w:t>
            </w:r>
          </w:p>
        </w:tc>
        <w:tc>
          <w:tcPr>
            <w:tcW w:w="3134" w:type="dxa"/>
            <w:shd w:val="clear" w:color="auto" w:fill="FFFFFF" w:themeFill="background1"/>
          </w:tcPr>
          <w:p w14:paraId="0F049222" w14:textId="77777777" w:rsidR="00E33A91" w:rsidRPr="003A6A50" w:rsidRDefault="00E33A91" w:rsidP="00E33A91">
            <w:pPr>
              <w:pStyle w:val="Tablebulletx"/>
              <w:spacing w:before="80" w:after="80"/>
            </w:pPr>
            <w:r w:rsidRPr="003A6A50">
              <w:t>Understand what matters to whānau and the community</w:t>
            </w:r>
            <w:r>
              <w:t>, as</w:t>
            </w:r>
            <w:r w:rsidRPr="003A6A50">
              <w:t xml:space="preserve"> the starting point for commissioning</w:t>
            </w:r>
            <w:r>
              <w:t>.</w:t>
            </w:r>
            <w:r w:rsidRPr="003A6A50">
              <w:t xml:space="preserve"> </w:t>
            </w:r>
          </w:p>
          <w:p w14:paraId="3D66D4C7" w14:textId="77777777" w:rsidR="00E33A91" w:rsidRPr="003A6A50" w:rsidRDefault="00E33A91" w:rsidP="00E33A91">
            <w:pPr>
              <w:pStyle w:val="Tablebulletx"/>
              <w:spacing w:before="80" w:after="80"/>
            </w:pPr>
            <w:r w:rsidRPr="003A6A50">
              <w:t>Understand the needs and strengths of the community</w:t>
            </w:r>
            <w:r>
              <w:t>.</w:t>
            </w:r>
          </w:p>
        </w:tc>
        <w:tc>
          <w:tcPr>
            <w:tcW w:w="3827" w:type="dxa"/>
            <w:shd w:val="clear" w:color="auto" w:fill="FFFFFF" w:themeFill="background1"/>
          </w:tcPr>
          <w:p w14:paraId="2CFDB980" w14:textId="77777777" w:rsidR="00E33A91" w:rsidRPr="003A6A50" w:rsidRDefault="00E33A91" w:rsidP="00E33A91">
            <w:pPr>
              <w:pStyle w:val="Tablebulletx"/>
              <w:spacing w:before="80" w:after="80"/>
            </w:pPr>
            <w:r w:rsidRPr="003A6A50">
              <w:t>Contextual data: demographics, social</w:t>
            </w:r>
            <w:r>
              <w:t xml:space="preserve"> and</w:t>
            </w:r>
            <w:r w:rsidRPr="003A6A50">
              <w:t xml:space="preserve"> economic indicators</w:t>
            </w:r>
          </w:p>
          <w:p w14:paraId="1CC229DC" w14:textId="77777777" w:rsidR="00E33A91" w:rsidRPr="003A6A50" w:rsidRDefault="00E33A91" w:rsidP="00E33A91">
            <w:pPr>
              <w:pStyle w:val="Tablebulletx"/>
              <w:spacing w:before="80" w:after="80"/>
            </w:pPr>
            <w:r w:rsidRPr="003A6A50">
              <w:t>Health and wellbeing data, overall and for specific groups</w:t>
            </w:r>
          </w:p>
          <w:p w14:paraId="5FCCA5E7" w14:textId="77777777" w:rsidR="00E33A91" w:rsidRPr="003A6A50" w:rsidRDefault="00E33A91" w:rsidP="00E33A91">
            <w:pPr>
              <w:pStyle w:val="Tablebulletx"/>
              <w:spacing w:before="80" w:after="80"/>
            </w:pPr>
            <w:r w:rsidRPr="003A6A50">
              <w:t>Service mix, coverage and uptake</w:t>
            </w:r>
          </w:p>
          <w:p w14:paraId="4905659C" w14:textId="77777777" w:rsidR="00E33A91" w:rsidRPr="003A6A50" w:rsidRDefault="00E33A91" w:rsidP="00E33A91">
            <w:pPr>
              <w:pStyle w:val="Tablebulletx"/>
              <w:spacing w:before="80" w:after="80"/>
            </w:pPr>
            <w:r w:rsidRPr="003A6A50">
              <w:t>Community assets and infrastructure</w:t>
            </w:r>
          </w:p>
          <w:p w14:paraId="6F17F194" w14:textId="77777777" w:rsidR="00E33A91" w:rsidRPr="003A6A50" w:rsidRDefault="00E33A91" w:rsidP="00E33A91">
            <w:pPr>
              <w:pStyle w:val="Tablebulletx"/>
              <w:spacing w:before="80" w:after="80"/>
            </w:pPr>
            <w:r w:rsidRPr="003A6A50">
              <w:t>Engagement and co-design</w:t>
            </w:r>
          </w:p>
          <w:p w14:paraId="049BA7CA" w14:textId="77777777" w:rsidR="00E33A91" w:rsidRPr="003A6A50" w:rsidRDefault="00E33A91" w:rsidP="00E33A91">
            <w:pPr>
              <w:pStyle w:val="Tablebulletx"/>
              <w:spacing w:before="80" w:after="80"/>
            </w:pPr>
            <w:r w:rsidRPr="003A6A50">
              <w:t>I</w:t>
            </w:r>
            <w:r>
              <w:t>nsights from i</w:t>
            </w:r>
            <w:r w:rsidRPr="003A6A50">
              <w:t>wi M</w:t>
            </w:r>
            <w:r>
              <w:rPr>
                <w:rFonts w:cstheme="minorHAnsi"/>
              </w:rPr>
              <w:t>ā</w:t>
            </w:r>
            <w:r w:rsidRPr="003A6A50">
              <w:t>ori</w:t>
            </w:r>
            <w:r>
              <w:t xml:space="preserve"> and</w:t>
            </w:r>
            <w:r w:rsidRPr="003A6A50">
              <w:t xml:space="preserve"> mana whenua</w:t>
            </w:r>
          </w:p>
          <w:p w14:paraId="6280AEF2" w14:textId="77777777" w:rsidR="00E33A91" w:rsidRPr="003A6A50" w:rsidRDefault="00E33A91" w:rsidP="00E33A91">
            <w:pPr>
              <w:pStyle w:val="Tablebulletx"/>
              <w:spacing w:before="80" w:after="80"/>
            </w:pPr>
            <w:r>
              <w:t>Insights from c</w:t>
            </w:r>
            <w:r w:rsidRPr="003A6A50">
              <w:t>urrent</w:t>
            </w:r>
            <w:r>
              <w:t xml:space="preserve"> and </w:t>
            </w:r>
            <w:r w:rsidRPr="003A6A50">
              <w:t>potential service users</w:t>
            </w:r>
          </w:p>
          <w:p w14:paraId="7DC46D73" w14:textId="77777777" w:rsidR="00E33A91" w:rsidRPr="003A6A50" w:rsidRDefault="00E33A91" w:rsidP="00E33A91">
            <w:pPr>
              <w:pStyle w:val="Tablebulletx"/>
              <w:spacing w:before="80" w:after="80"/>
            </w:pPr>
            <w:r w:rsidRPr="003A6A50">
              <w:t>Stakeholder and provider views</w:t>
            </w:r>
          </w:p>
        </w:tc>
      </w:tr>
      <w:tr w:rsidR="00E33A91" w:rsidRPr="003A6A50" w14:paraId="41A0CEB4" w14:textId="77777777" w:rsidTr="00E33A91">
        <w:tc>
          <w:tcPr>
            <w:tcW w:w="1686" w:type="dxa"/>
            <w:shd w:val="clear" w:color="auto" w:fill="F2F2F2" w:themeFill="background1" w:themeFillShade="F2"/>
            <w:vAlign w:val="center"/>
          </w:tcPr>
          <w:p w14:paraId="0926ACFC" w14:textId="77777777" w:rsidR="00E33A91" w:rsidRPr="00E33A91" w:rsidRDefault="00E33A91" w:rsidP="00E33A91">
            <w:pPr>
              <w:pStyle w:val="TableText"/>
              <w:spacing w:before="80" w:after="80"/>
              <w:rPr>
                <w:b/>
                <w:bCs/>
              </w:rPr>
            </w:pPr>
            <w:r w:rsidRPr="00E33A91">
              <w:rPr>
                <w:b/>
                <w:bCs/>
              </w:rPr>
              <w:t>Delivery</w:t>
            </w:r>
          </w:p>
        </w:tc>
        <w:tc>
          <w:tcPr>
            <w:tcW w:w="3134" w:type="dxa"/>
            <w:shd w:val="clear" w:color="auto" w:fill="FFFFFF" w:themeFill="background1"/>
          </w:tcPr>
          <w:p w14:paraId="2BC6FBDE" w14:textId="77777777" w:rsidR="00E33A91" w:rsidRPr="003A6A50" w:rsidRDefault="00E33A91" w:rsidP="00E33A91">
            <w:pPr>
              <w:pStyle w:val="Tablebulletx"/>
              <w:spacing w:before="80" w:after="80"/>
            </w:pPr>
            <w:r w:rsidRPr="003A6A50">
              <w:t xml:space="preserve">Establish good relationships with providers </w:t>
            </w:r>
            <w:r>
              <w:t>before</w:t>
            </w:r>
            <w:r w:rsidRPr="003A6A50">
              <w:t xml:space="preserve"> starting commissioning processes</w:t>
            </w:r>
            <w:r>
              <w:t>.</w:t>
            </w:r>
          </w:p>
          <w:p w14:paraId="0BB92F98" w14:textId="698AA646" w:rsidR="00E33A91" w:rsidRPr="003A6A50" w:rsidRDefault="00E33A91" w:rsidP="00E33A91">
            <w:pPr>
              <w:pStyle w:val="Tablebulletx"/>
              <w:spacing w:before="80" w:after="80"/>
            </w:pPr>
            <w:r w:rsidRPr="003A6A50">
              <w:t>Look wider than the health and disability sector</w:t>
            </w:r>
            <w:r w:rsidR="00347D10">
              <w:t>.</w:t>
            </w:r>
            <w:r w:rsidRPr="003A6A50">
              <w:t xml:space="preserve"> </w:t>
            </w:r>
            <w:r w:rsidR="00347D10">
              <w:t>I</w:t>
            </w:r>
            <w:r w:rsidRPr="003A6A50">
              <w:t>nclude social sector providers and mainstream services (eg</w:t>
            </w:r>
            <w:r>
              <w:t>,</w:t>
            </w:r>
            <w:r w:rsidRPr="003A6A50">
              <w:t xml:space="preserve"> education, housing)</w:t>
            </w:r>
            <w:r>
              <w:t>.</w:t>
            </w:r>
          </w:p>
          <w:p w14:paraId="5A6399AF" w14:textId="0719ADAA" w:rsidR="00E33A91" w:rsidRPr="003A6A50" w:rsidRDefault="00E33A91" w:rsidP="00E33A91">
            <w:pPr>
              <w:pStyle w:val="Tablebulletx"/>
              <w:spacing w:before="80" w:after="80"/>
            </w:pPr>
            <w:r w:rsidRPr="003A6A50">
              <w:lastRenderedPageBreak/>
              <w:t>Understand the provider market</w:t>
            </w:r>
            <w:r w:rsidR="00347D10">
              <w:t>.</w:t>
            </w:r>
            <w:r>
              <w:t xml:space="preserve"> </w:t>
            </w:r>
            <w:r w:rsidR="00347D10">
              <w:t>L</w:t>
            </w:r>
            <w:r>
              <w:t>earn about its</w:t>
            </w:r>
            <w:r w:rsidRPr="003A6A50">
              <w:t xml:space="preserve"> quality, accessibility, mix, breadth, capacity and capability</w:t>
            </w:r>
            <w:r>
              <w:t>.</w:t>
            </w:r>
          </w:p>
        </w:tc>
        <w:tc>
          <w:tcPr>
            <w:tcW w:w="3827" w:type="dxa"/>
            <w:shd w:val="clear" w:color="auto" w:fill="FFFFFF" w:themeFill="background1"/>
          </w:tcPr>
          <w:p w14:paraId="3A0BA2A5" w14:textId="77777777" w:rsidR="00E33A91" w:rsidRPr="003A6A50" w:rsidRDefault="00E33A91" w:rsidP="00E33A91">
            <w:pPr>
              <w:pStyle w:val="Tablebulletx"/>
              <w:spacing w:before="80" w:after="80"/>
            </w:pPr>
            <w:r w:rsidRPr="003A6A50">
              <w:lastRenderedPageBreak/>
              <w:t>Whanaungatanga</w:t>
            </w:r>
          </w:p>
          <w:p w14:paraId="6B6B6623" w14:textId="77777777" w:rsidR="00E33A91" w:rsidRPr="003A6A50" w:rsidRDefault="00E33A91" w:rsidP="00E33A91">
            <w:pPr>
              <w:pStyle w:val="Tablebulletx"/>
              <w:spacing w:before="80" w:after="80"/>
            </w:pPr>
            <w:r w:rsidRPr="003A6A50">
              <w:t>Time</w:t>
            </w:r>
          </w:p>
          <w:p w14:paraId="123A3086" w14:textId="77777777" w:rsidR="00E33A91" w:rsidRPr="003A6A50" w:rsidRDefault="00E33A91" w:rsidP="00E33A91">
            <w:pPr>
              <w:pStyle w:val="Tablebulletx"/>
              <w:spacing w:before="80" w:after="80"/>
            </w:pPr>
            <w:r w:rsidRPr="003A6A50">
              <w:t>Active relationship management</w:t>
            </w:r>
          </w:p>
          <w:p w14:paraId="5D64360E" w14:textId="77777777" w:rsidR="00E33A91" w:rsidRPr="003A6A50" w:rsidRDefault="00E33A91" w:rsidP="00E33A91">
            <w:pPr>
              <w:pStyle w:val="Tablebulletx"/>
              <w:spacing w:before="80" w:after="80"/>
            </w:pPr>
            <w:r w:rsidRPr="003A6A50">
              <w:t>Cross-sector collaboration</w:t>
            </w:r>
          </w:p>
          <w:p w14:paraId="687AABD2" w14:textId="77777777" w:rsidR="00E33A91" w:rsidRPr="003A6A50" w:rsidRDefault="00E33A91" w:rsidP="00E33A91">
            <w:pPr>
              <w:pStyle w:val="Tablebulletx"/>
              <w:spacing w:before="80" w:after="80"/>
            </w:pPr>
            <w:r w:rsidRPr="003A6A50">
              <w:t>Clear roles, decision-making and reporting processes</w:t>
            </w:r>
          </w:p>
          <w:p w14:paraId="451E9757" w14:textId="7F280B40" w:rsidR="00E33A91" w:rsidRPr="003A6A50" w:rsidRDefault="00E33A91" w:rsidP="00E33A91">
            <w:pPr>
              <w:pStyle w:val="Tablebulletx"/>
              <w:spacing w:before="80" w:after="80"/>
            </w:pPr>
            <w:r w:rsidRPr="003A6A50">
              <w:lastRenderedPageBreak/>
              <w:t>Analys</w:t>
            </w:r>
            <w:r w:rsidR="00347D10">
              <w:t>e</w:t>
            </w:r>
            <w:r w:rsidRPr="003A6A50">
              <w:t xml:space="preserve"> community leadership and capability, provider type and quality</w:t>
            </w:r>
            <w:r>
              <w:t>,</w:t>
            </w:r>
            <w:r w:rsidRPr="003A6A50">
              <w:t xml:space="preserve"> and diversity and reach of provider markets</w:t>
            </w:r>
            <w:r w:rsidR="0047226F">
              <w:t>.</w:t>
            </w:r>
          </w:p>
        </w:tc>
      </w:tr>
      <w:tr w:rsidR="00E33A91" w:rsidRPr="003A6A50" w14:paraId="7122C43C" w14:textId="77777777" w:rsidTr="00E33A91">
        <w:tc>
          <w:tcPr>
            <w:tcW w:w="1686" w:type="dxa"/>
            <w:shd w:val="clear" w:color="auto" w:fill="F2F2F2" w:themeFill="background1" w:themeFillShade="F2"/>
            <w:vAlign w:val="center"/>
          </w:tcPr>
          <w:p w14:paraId="5126B105" w14:textId="77777777" w:rsidR="00E33A91" w:rsidRPr="00E33A91" w:rsidRDefault="00E33A91" w:rsidP="00E33A91">
            <w:pPr>
              <w:pStyle w:val="TableText"/>
              <w:spacing w:before="80" w:after="80"/>
              <w:rPr>
                <w:b/>
                <w:bCs/>
              </w:rPr>
            </w:pPr>
            <w:r w:rsidRPr="00E33A91">
              <w:rPr>
                <w:b/>
                <w:bCs/>
              </w:rPr>
              <w:lastRenderedPageBreak/>
              <w:t>Commissioners</w:t>
            </w:r>
          </w:p>
        </w:tc>
        <w:tc>
          <w:tcPr>
            <w:tcW w:w="3134" w:type="dxa"/>
            <w:shd w:val="clear" w:color="auto" w:fill="FFFFFF" w:themeFill="background1"/>
          </w:tcPr>
          <w:p w14:paraId="546200A8" w14:textId="77777777" w:rsidR="00E33A91" w:rsidRPr="003A6A50" w:rsidRDefault="00E33A91" w:rsidP="00E33A91">
            <w:pPr>
              <w:pStyle w:val="Tablebulletx"/>
              <w:spacing w:before="80" w:after="80"/>
            </w:pPr>
            <w:r>
              <w:t>Understand h</w:t>
            </w:r>
            <w:r w:rsidRPr="003A6A50">
              <w:t>ow well current services and models of care improve health and wellbeing, and reduce inequities</w:t>
            </w:r>
            <w:r>
              <w:t>.</w:t>
            </w:r>
          </w:p>
          <w:p w14:paraId="4EBFFFD4" w14:textId="3E4494CE" w:rsidR="00E33A91" w:rsidRPr="003A6A50" w:rsidRDefault="00E33A91" w:rsidP="00E33A91">
            <w:pPr>
              <w:pStyle w:val="Tablebulletx"/>
              <w:spacing w:before="80" w:after="80"/>
            </w:pPr>
            <w:r>
              <w:t>Explore whether</w:t>
            </w:r>
            <w:r w:rsidRPr="003A6A50">
              <w:t xml:space="preserve"> better models of care</w:t>
            </w:r>
            <w:r>
              <w:t>,</w:t>
            </w:r>
            <w:r w:rsidRPr="003A6A50">
              <w:t xml:space="preserve"> services</w:t>
            </w:r>
            <w:r>
              <w:t xml:space="preserve"> or</w:t>
            </w:r>
            <w:r w:rsidRPr="003A6A50">
              <w:t xml:space="preserve"> </w:t>
            </w:r>
            <w:r w:rsidR="007A3DC6">
              <w:t>interventions</w:t>
            </w:r>
            <w:r w:rsidR="007A3DC6" w:rsidRPr="003A6A50">
              <w:t xml:space="preserve"> </w:t>
            </w:r>
            <w:r>
              <w:t>are available.</w:t>
            </w:r>
          </w:p>
          <w:p w14:paraId="36C636D7" w14:textId="77777777" w:rsidR="00E33A91" w:rsidRPr="003A6A50" w:rsidRDefault="00E33A91" w:rsidP="00E33A91">
            <w:pPr>
              <w:pStyle w:val="Tablebulletx"/>
              <w:spacing w:before="80" w:after="80"/>
            </w:pPr>
            <w:r>
              <w:t>Establish whether</w:t>
            </w:r>
            <w:r w:rsidRPr="003A6A50">
              <w:t xml:space="preserve"> existing providers have the capacity and capability to deliver new ways of working now</w:t>
            </w:r>
            <w:r>
              <w:t>.</w:t>
            </w:r>
          </w:p>
          <w:p w14:paraId="6D32B33D" w14:textId="77777777" w:rsidR="00E33A91" w:rsidRPr="003A6A50" w:rsidRDefault="00E33A91" w:rsidP="00E33A91">
            <w:pPr>
              <w:pStyle w:val="Tablebulletx"/>
              <w:spacing w:before="80" w:after="80"/>
            </w:pPr>
            <w:r>
              <w:t>Identify any</w:t>
            </w:r>
            <w:r w:rsidRPr="003A6A50">
              <w:t xml:space="preserve"> additional resources (funding, training, capability building, workforce) needed to deliver new services</w:t>
            </w:r>
            <w:r>
              <w:t>,</w:t>
            </w:r>
            <w:r w:rsidRPr="003A6A50">
              <w:t xml:space="preserve"> models of care</w:t>
            </w:r>
            <w:r>
              <w:t xml:space="preserve"> or</w:t>
            </w:r>
            <w:r w:rsidRPr="003A6A50">
              <w:t xml:space="preserve"> investments</w:t>
            </w:r>
            <w:r>
              <w:t>.</w:t>
            </w:r>
          </w:p>
          <w:p w14:paraId="4D1322E5" w14:textId="77777777" w:rsidR="00E33A91" w:rsidRPr="003A6A50" w:rsidRDefault="00E33A91" w:rsidP="00E33A91">
            <w:pPr>
              <w:pStyle w:val="Tablebulletx"/>
              <w:spacing w:before="80" w:after="80"/>
            </w:pPr>
            <w:r w:rsidRPr="003A6A50">
              <w:t>Ensure procurement processes are transparent and fair</w:t>
            </w:r>
            <w:r>
              <w:t>.</w:t>
            </w:r>
          </w:p>
          <w:p w14:paraId="722E8F38" w14:textId="6744183A" w:rsidR="00E33A91" w:rsidRPr="003A6A50" w:rsidRDefault="00E33A91" w:rsidP="00E33A91">
            <w:pPr>
              <w:pStyle w:val="Tablebulletx"/>
              <w:spacing w:before="80" w:after="80"/>
            </w:pPr>
            <w:r w:rsidRPr="003A6A50">
              <w:t>Ensure procurement process</w:t>
            </w:r>
            <w:r w:rsidR="00347D10">
              <w:t>es</w:t>
            </w:r>
            <w:r w:rsidRPr="003A6A50">
              <w:t xml:space="preserve"> support the best outcome and public value</w:t>
            </w:r>
            <w:r>
              <w:t>.</w:t>
            </w:r>
          </w:p>
        </w:tc>
        <w:tc>
          <w:tcPr>
            <w:tcW w:w="3827" w:type="dxa"/>
            <w:shd w:val="clear" w:color="auto" w:fill="FFFFFF" w:themeFill="background1"/>
          </w:tcPr>
          <w:p w14:paraId="7F3943FC" w14:textId="77777777" w:rsidR="00E33A91" w:rsidRPr="003A6A50" w:rsidRDefault="00E33A91" w:rsidP="00E33A91">
            <w:pPr>
              <w:pStyle w:val="Tablebulletx"/>
              <w:spacing w:before="80" w:after="80"/>
            </w:pPr>
            <w:r w:rsidRPr="003A6A50">
              <w:t>Identify advances in services</w:t>
            </w:r>
            <w:r>
              <w:t>,</w:t>
            </w:r>
            <w:r w:rsidRPr="003A6A50">
              <w:t xml:space="preserve"> models of care</w:t>
            </w:r>
            <w:r>
              <w:t xml:space="preserve"> or</w:t>
            </w:r>
            <w:r w:rsidRPr="003A6A50">
              <w:t xml:space="preserve"> investments </w:t>
            </w:r>
            <w:r>
              <w:t>that</w:t>
            </w:r>
            <w:r w:rsidRPr="003A6A50">
              <w:t xml:space="preserve"> improve outcomes</w:t>
            </w:r>
            <w:r>
              <w:t>.</w:t>
            </w:r>
          </w:p>
          <w:p w14:paraId="52F2296F" w14:textId="77777777" w:rsidR="00E33A91" w:rsidRPr="003A6A50" w:rsidRDefault="00E33A91" w:rsidP="00E33A91">
            <w:pPr>
              <w:pStyle w:val="Tablebulletx"/>
              <w:spacing w:before="80" w:after="80"/>
            </w:pPr>
            <w:r w:rsidRPr="003A6A50">
              <w:t>Change processes to support existing providers</w:t>
            </w:r>
            <w:r>
              <w:t xml:space="preserve"> to</w:t>
            </w:r>
            <w:r w:rsidRPr="003A6A50">
              <w:t xml:space="preserve"> adopt new approaches</w:t>
            </w:r>
            <w:r>
              <w:t>.</w:t>
            </w:r>
          </w:p>
          <w:p w14:paraId="2F2C7026" w14:textId="77777777" w:rsidR="00E33A91" w:rsidRPr="003A6A50" w:rsidRDefault="00E33A91" w:rsidP="00E33A91">
            <w:pPr>
              <w:pStyle w:val="Tablebulletx"/>
              <w:spacing w:before="80" w:after="80"/>
            </w:pPr>
            <w:r>
              <w:t>Build p</w:t>
            </w:r>
            <w:r w:rsidRPr="003A6A50">
              <w:t>rovider capability</w:t>
            </w:r>
            <w:r>
              <w:t>.</w:t>
            </w:r>
          </w:p>
          <w:p w14:paraId="56D74010" w14:textId="77777777" w:rsidR="00E33A91" w:rsidRPr="003A6A50" w:rsidRDefault="00E33A91" w:rsidP="00E33A91">
            <w:pPr>
              <w:pStyle w:val="Tablebulletx"/>
              <w:spacing w:before="80" w:after="80"/>
            </w:pPr>
            <w:r w:rsidRPr="003A6A50">
              <w:t>Identify and remov</w:t>
            </w:r>
            <w:r>
              <w:t>e</w:t>
            </w:r>
            <w:r w:rsidRPr="003A6A50">
              <w:t xml:space="preserve"> barriers to entry for new providers</w:t>
            </w:r>
            <w:r>
              <w:t>.</w:t>
            </w:r>
          </w:p>
          <w:p w14:paraId="1AC192FC" w14:textId="3A62514C" w:rsidR="00E33A91" w:rsidRPr="003A6A50" w:rsidRDefault="00E33A91" w:rsidP="00E33A91">
            <w:pPr>
              <w:pStyle w:val="Tablebulletx"/>
              <w:spacing w:before="80" w:after="80"/>
            </w:pPr>
            <w:r w:rsidRPr="003A6A50">
              <w:t>Enable collaboration and consorti</w:t>
            </w:r>
            <w:r w:rsidR="00C8253D">
              <w:t>um</w:t>
            </w:r>
            <w:r w:rsidRPr="003A6A50">
              <w:t xml:space="preserve"> building</w:t>
            </w:r>
            <w:r w:rsidR="00BD2B84">
              <w:t>.</w:t>
            </w:r>
          </w:p>
          <w:p w14:paraId="0F3099FA" w14:textId="77777777" w:rsidR="00E33A91" w:rsidRPr="003A6A50" w:rsidRDefault="00E33A91" w:rsidP="00E33A91">
            <w:pPr>
              <w:pStyle w:val="Tablebulletx"/>
              <w:spacing w:before="80" w:after="80"/>
            </w:pPr>
            <w:r w:rsidRPr="003A6A50">
              <w:t>Start from a position of high trust</w:t>
            </w:r>
            <w:r>
              <w:t>.</w:t>
            </w:r>
          </w:p>
          <w:p w14:paraId="568FC9C9" w14:textId="77777777" w:rsidR="00E33A91" w:rsidRPr="003A6A50" w:rsidRDefault="00E33A91" w:rsidP="00E33A91">
            <w:pPr>
              <w:pStyle w:val="Tablebulletx"/>
              <w:spacing w:before="80" w:after="80"/>
            </w:pPr>
            <w:r w:rsidRPr="003A6A50">
              <w:t>Devolve funding</w:t>
            </w:r>
            <w:r>
              <w:t>.</w:t>
            </w:r>
          </w:p>
          <w:p w14:paraId="653D062C" w14:textId="68D59D7C" w:rsidR="00E33A91" w:rsidRPr="003A6A50" w:rsidRDefault="00E33A91" w:rsidP="00E33A91">
            <w:pPr>
              <w:pStyle w:val="Tablebulletx"/>
              <w:spacing w:before="80" w:after="80"/>
              <w:rPr>
                <w:lang w:eastAsia="en-NZ"/>
              </w:rPr>
            </w:pPr>
            <w:r>
              <w:t>A</w:t>
            </w:r>
            <w:r w:rsidRPr="003A6A50">
              <w:t>ssess</w:t>
            </w:r>
            <w:r>
              <w:t xml:space="preserve"> </w:t>
            </w:r>
            <w:r w:rsidR="001440D8">
              <w:t>commissioners’</w:t>
            </w:r>
            <w:r>
              <w:t xml:space="preserve"> practice (eg</w:t>
            </w:r>
            <w:r w:rsidR="00C8253D">
              <w:t>,</w:t>
            </w:r>
            <w:r>
              <w:t xml:space="preserve"> do they build </w:t>
            </w:r>
            <w:r w:rsidRPr="003A6A50">
              <w:t>high trust</w:t>
            </w:r>
            <w:r>
              <w:t xml:space="preserve"> relationships</w:t>
            </w:r>
            <w:r w:rsidR="00EE61FC">
              <w:t>?</w:t>
            </w:r>
            <w:r>
              <w:t>).</w:t>
            </w:r>
          </w:p>
        </w:tc>
      </w:tr>
      <w:tr w:rsidR="00E33A91" w:rsidRPr="003A6A50" w14:paraId="345C4157" w14:textId="77777777" w:rsidTr="00E33A91">
        <w:tc>
          <w:tcPr>
            <w:tcW w:w="1686" w:type="dxa"/>
            <w:shd w:val="clear" w:color="auto" w:fill="F2F2F2" w:themeFill="background1" w:themeFillShade="F2"/>
            <w:vAlign w:val="center"/>
          </w:tcPr>
          <w:p w14:paraId="5DCF3478" w14:textId="77777777" w:rsidR="00E33A91" w:rsidRPr="00E33A91" w:rsidRDefault="00E33A91" w:rsidP="00E33A91">
            <w:pPr>
              <w:pStyle w:val="TableText"/>
              <w:spacing w:before="80" w:after="80"/>
              <w:rPr>
                <w:b/>
                <w:bCs/>
              </w:rPr>
            </w:pPr>
            <w:r w:rsidRPr="00E33A91">
              <w:rPr>
                <w:b/>
                <w:bCs/>
              </w:rPr>
              <w:t>System conditions</w:t>
            </w:r>
          </w:p>
        </w:tc>
        <w:tc>
          <w:tcPr>
            <w:tcW w:w="3134" w:type="dxa"/>
            <w:shd w:val="clear" w:color="auto" w:fill="FFFFFF" w:themeFill="background1"/>
          </w:tcPr>
          <w:p w14:paraId="711CD767" w14:textId="77777777" w:rsidR="00E33A91" w:rsidRPr="003A6A50" w:rsidRDefault="00E33A91" w:rsidP="00E33A91">
            <w:pPr>
              <w:pStyle w:val="Tablebulletx"/>
              <w:spacing w:before="80" w:after="80"/>
            </w:pPr>
            <w:r w:rsidRPr="003A6A50">
              <w:t>Lift the focus from unit cost to system cost</w:t>
            </w:r>
            <w:r>
              <w:t>.</w:t>
            </w:r>
          </w:p>
          <w:p w14:paraId="7A807543" w14:textId="77777777" w:rsidR="00E33A91" w:rsidRPr="003A6A50" w:rsidRDefault="00E33A91" w:rsidP="00E33A91">
            <w:pPr>
              <w:pStyle w:val="Tablebulletx"/>
              <w:spacing w:before="80" w:after="80"/>
            </w:pPr>
            <w:r w:rsidRPr="003A6A50">
              <w:t>Take a system approach to assessing public value</w:t>
            </w:r>
            <w:r>
              <w:t>.</w:t>
            </w:r>
            <w:r w:rsidRPr="003A6A50">
              <w:t xml:space="preserve"> </w:t>
            </w:r>
          </w:p>
          <w:p w14:paraId="2D1F8C71" w14:textId="77777777" w:rsidR="00E33A91" w:rsidRPr="003A6A50" w:rsidRDefault="00E33A91" w:rsidP="00E33A91">
            <w:pPr>
              <w:pStyle w:val="Tablebulletx"/>
              <w:spacing w:before="80" w:after="80"/>
            </w:pPr>
            <w:r w:rsidRPr="003A6A50">
              <w:t>Aim for broader, enduring outcomes</w:t>
            </w:r>
            <w:r>
              <w:t>.</w:t>
            </w:r>
          </w:p>
        </w:tc>
        <w:tc>
          <w:tcPr>
            <w:tcW w:w="3827" w:type="dxa"/>
            <w:shd w:val="clear" w:color="auto" w:fill="FFFFFF" w:themeFill="background1"/>
          </w:tcPr>
          <w:p w14:paraId="2E5BA3B1" w14:textId="77777777" w:rsidR="00E33A91" w:rsidRPr="003A6A50" w:rsidRDefault="00E33A91" w:rsidP="00E33A91">
            <w:pPr>
              <w:pStyle w:val="Tablebulletx"/>
              <w:spacing w:before="80" w:after="80"/>
            </w:pPr>
            <w:r>
              <w:t>Work with a</w:t>
            </w:r>
            <w:r w:rsidRPr="003A6A50">
              <w:t xml:space="preserve"> provider and contract management infrastructure that can track funding and outcomes</w:t>
            </w:r>
            <w:r>
              <w:t>.</w:t>
            </w:r>
          </w:p>
          <w:p w14:paraId="0CA39293" w14:textId="6EDF2F98" w:rsidR="00E33A91" w:rsidRPr="003A6A50" w:rsidRDefault="00E33A91" w:rsidP="00E33A91">
            <w:pPr>
              <w:pStyle w:val="Tablebulletx"/>
              <w:spacing w:before="80" w:after="80"/>
            </w:pPr>
            <w:r w:rsidRPr="003A6A50">
              <w:t>Track system performance</w:t>
            </w:r>
            <w:r>
              <w:t>, including</w:t>
            </w:r>
            <w:r w:rsidRPr="003A6A50">
              <w:t xml:space="preserve"> </w:t>
            </w:r>
            <w:r>
              <w:t>‘</w:t>
            </w:r>
            <w:r w:rsidRPr="003A6A50">
              <w:t>cost of late action</w:t>
            </w:r>
            <w:r>
              <w:t>’</w:t>
            </w:r>
            <w:r w:rsidRPr="003A6A50">
              <w:t xml:space="preserve"> measures (</w:t>
            </w:r>
            <w:r>
              <w:t>eg, Action for Smokefree 2025 (</w:t>
            </w:r>
            <w:r w:rsidRPr="003A6A50">
              <w:t>ASH</w:t>
            </w:r>
            <w:r>
              <w:t>)</w:t>
            </w:r>
            <w:r w:rsidRPr="003A6A50">
              <w:t>, childhood obesity, youth justice</w:t>
            </w:r>
            <w:r w:rsidR="00FE3EF1">
              <w:t>)</w:t>
            </w:r>
            <w:r w:rsidR="00F15D5D">
              <w:t>.</w:t>
            </w:r>
          </w:p>
          <w:p w14:paraId="7A3AB9A3" w14:textId="1FBA8F82" w:rsidR="00E33A91" w:rsidRPr="003A6A50" w:rsidRDefault="00E33A91" w:rsidP="00E33A91">
            <w:pPr>
              <w:pStyle w:val="Tablebulletx"/>
              <w:spacing w:before="80" w:after="80"/>
            </w:pPr>
            <w:r w:rsidRPr="003A6A50">
              <w:t xml:space="preserve">Shift </w:t>
            </w:r>
            <w:r w:rsidR="00FE3EF1">
              <w:t xml:space="preserve">more </w:t>
            </w:r>
            <w:r w:rsidRPr="003A6A50">
              <w:t>investment to prevention</w:t>
            </w:r>
            <w:r>
              <w:t>.</w:t>
            </w:r>
          </w:p>
          <w:p w14:paraId="39F090CF" w14:textId="77777777" w:rsidR="00E33A91" w:rsidRPr="003A6A50" w:rsidRDefault="00E33A91" w:rsidP="00E33A91">
            <w:pPr>
              <w:pStyle w:val="Tablebulletx"/>
              <w:spacing w:before="80" w:after="80"/>
            </w:pPr>
            <w:r w:rsidRPr="003A6A50">
              <w:t>Assess allocative efficiency</w:t>
            </w:r>
            <w:r>
              <w:t>.</w:t>
            </w:r>
          </w:p>
          <w:p w14:paraId="5CF032EF" w14:textId="2D0E3821" w:rsidR="00E33A91" w:rsidRPr="003A6A50" w:rsidRDefault="00E33A91" w:rsidP="00E33A91">
            <w:pPr>
              <w:pStyle w:val="Tablebulletx"/>
              <w:spacing w:before="80" w:after="80"/>
            </w:pPr>
            <w:r w:rsidRPr="003A6A50">
              <w:t xml:space="preserve">Build the ability to track </w:t>
            </w:r>
            <w:r>
              <w:t xml:space="preserve">the system’s </w:t>
            </w:r>
            <w:r w:rsidRPr="003A6A50">
              <w:t>contribution to broader outcomes (</w:t>
            </w:r>
            <w:r w:rsidR="00AE31EE">
              <w:t xml:space="preserve">eg, </w:t>
            </w:r>
            <w:r>
              <w:t xml:space="preserve">how well it follows </w:t>
            </w:r>
            <w:r w:rsidRPr="003A6A50">
              <w:t xml:space="preserve">evidence-based </w:t>
            </w:r>
            <w:r w:rsidR="008703A3">
              <w:t>intervention</w:t>
            </w:r>
            <w:r w:rsidRPr="003A6A50">
              <w:t xml:space="preserve"> logic</w:t>
            </w:r>
            <w:r>
              <w:t>).</w:t>
            </w:r>
          </w:p>
          <w:p w14:paraId="05DEDD95" w14:textId="77777777" w:rsidR="00E33A91" w:rsidRPr="003A6A50" w:rsidRDefault="00E33A91" w:rsidP="00E33A91">
            <w:pPr>
              <w:pStyle w:val="Tablebulletx"/>
              <w:spacing w:before="80" w:after="80"/>
            </w:pPr>
            <w:r w:rsidRPr="003A6A50">
              <w:t xml:space="preserve">Develop strengths-based measures (move away from </w:t>
            </w:r>
            <w:r>
              <w:t>a ‘</w:t>
            </w:r>
            <w:r w:rsidRPr="003A6A50">
              <w:t>disease and deficit</w:t>
            </w:r>
            <w:r>
              <w:t>’ approach</w:t>
            </w:r>
            <w:r w:rsidRPr="003A6A50">
              <w:t>)</w:t>
            </w:r>
            <w:r>
              <w:t>.</w:t>
            </w:r>
          </w:p>
          <w:p w14:paraId="51E7600A" w14:textId="07ED0280" w:rsidR="00E33A91" w:rsidRPr="003A6A50" w:rsidRDefault="00E33A91" w:rsidP="00E33A91">
            <w:pPr>
              <w:pStyle w:val="Tablebulletx"/>
              <w:spacing w:before="80" w:after="80"/>
            </w:pPr>
            <w:r w:rsidRPr="003A6A50">
              <w:t>Track drivers of system transformation</w:t>
            </w:r>
            <w:r w:rsidR="00A25769">
              <w:t>. They</w:t>
            </w:r>
            <w:r w:rsidRPr="003A6A50">
              <w:t xml:space="preserve"> includ</w:t>
            </w:r>
            <w:r w:rsidR="00A25769">
              <w:t>e</w:t>
            </w:r>
            <w:r w:rsidRPr="003A6A50">
              <w:t xml:space="preserve"> key </w:t>
            </w:r>
            <w:r w:rsidR="00DF56BB">
              <w:t xml:space="preserve">measures to counter </w:t>
            </w:r>
            <w:r w:rsidRPr="003A6A50">
              <w:t>racism</w:t>
            </w:r>
            <w:r>
              <w:t xml:space="preserve"> and</w:t>
            </w:r>
            <w:r w:rsidRPr="003A6A50">
              <w:t xml:space="preserve"> </w:t>
            </w:r>
            <w:r w:rsidR="00DF56BB">
              <w:t xml:space="preserve">increase </w:t>
            </w:r>
            <w:r>
              <w:t>w</w:t>
            </w:r>
            <w:r w:rsidRPr="003A6A50">
              <w:t>orkforce skills and diversity</w:t>
            </w:r>
            <w:r>
              <w:t>.</w:t>
            </w:r>
          </w:p>
        </w:tc>
      </w:tr>
      <w:bookmarkEnd w:id="50"/>
    </w:tbl>
    <w:p w14:paraId="2A75338B" w14:textId="77777777" w:rsidR="00E841AF" w:rsidRDefault="00E841AF" w:rsidP="00E33A91"/>
    <w:p w14:paraId="5F1422EE" w14:textId="77777777" w:rsidR="00E841AF" w:rsidRDefault="00E841AF" w:rsidP="00E841AF">
      <w:pPr>
        <w:pStyle w:val="Heading2-nonumbering"/>
        <w:sectPr w:rsidR="00E841AF" w:rsidSect="00C345BC">
          <w:pgSz w:w="11906" w:h="16838"/>
          <w:pgMar w:top="2778" w:right="1701" w:bottom="454" w:left="1701" w:header="567" w:footer="567" w:gutter="0"/>
          <w:cols w:space="708"/>
          <w:titlePg/>
          <w:docGrid w:linePitch="360"/>
        </w:sectPr>
      </w:pPr>
    </w:p>
    <w:p w14:paraId="48285D39" w14:textId="015744E2" w:rsidR="00E841AF" w:rsidRDefault="00E841AF" w:rsidP="00E841AF">
      <w:pPr>
        <w:pStyle w:val="Heading2-nonumbering"/>
      </w:pPr>
      <w:bookmarkStart w:id="51" w:name="_Toc124933843"/>
      <w:r>
        <w:lastRenderedPageBreak/>
        <w:t>What’s needed at national, regional and local levels</w:t>
      </w:r>
      <w:bookmarkEnd w:id="51"/>
    </w:p>
    <w:p w14:paraId="117B1EAC" w14:textId="5046C6D2" w:rsidR="00E841AF" w:rsidRDefault="00E841AF" w:rsidP="00E61CDB">
      <w:pPr>
        <w:pStyle w:val="NormalwIndent"/>
      </w:pPr>
    </w:p>
    <w:p w14:paraId="4F8D271A" w14:textId="17968D39" w:rsidR="00E841AF" w:rsidRDefault="00A25769" w:rsidP="00E841AF">
      <w:pPr>
        <w:pStyle w:val="NormalwIndent"/>
      </w:pPr>
      <w:r>
        <w:t>Those working at n</w:t>
      </w:r>
      <w:r w:rsidR="00E841AF">
        <w:t xml:space="preserve">ational, regional and local levels have different responsibilities, accountabilities and insights. The following table summarises </w:t>
      </w:r>
      <w:r w:rsidR="00DF2880">
        <w:t>what these could include in a Commissioning for Pae Ora approach.</w:t>
      </w:r>
    </w:p>
    <w:p w14:paraId="31EBEFC5" w14:textId="435A200C" w:rsidR="00E841AF" w:rsidRDefault="00E841AF" w:rsidP="00E841AF">
      <w:pPr>
        <w:pStyle w:val="NormalwIndent"/>
      </w:pPr>
    </w:p>
    <w:tbl>
      <w:tblPr>
        <w:tblStyle w:val="TableGrid"/>
        <w:tblW w:w="8364"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568"/>
        <w:gridCol w:w="1276"/>
        <w:gridCol w:w="3260"/>
        <w:gridCol w:w="3260"/>
      </w:tblGrid>
      <w:tr w:rsidR="00E841AF" w:rsidRPr="00E841AF" w14:paraId="2232020B" w14:textId="77777777" w:rsidTr="006E0D58">
        <w:trPr>
          <w:trHeight w:val="191"/>
          <w:tblHeader/>
        </w:trPr>
        <w:tc>
          <w:tcPr>
            <w:tcW w:w="568" w:type="dxa"/>
            <w:shd w:val="clear" w:color="auto" w:fill="F2F2F2" w:themeFill="background1" w:themeFillShade="F2"/>
          </w:tcPr>
          <w:p w14:paraId="0EB075FB" w14:textId="77777777" w:rsidR="00E841AF" w:rsidRPr="00E841AF" w:rsidRDefault="00E841AF" w:rsidP="00E841AF">
            <w:pPr>
              <w:pStyle w:val="TableText"/>
              <w:jc w:val="center"/>
              <w:rPr>
                <w:b/>
                <w:bCs/>
              </w:rPr>
            </w:pPr>
          </w:p>
        </w:tc>
        <w:tc>
          <w:tcPr>
            <w:tcW w:w="1276" w:type="dxa"/>
            <w:shd w:val="clear" w:color="auto" w:fill="F2F2F2" w:themeFill="background1" w:themeFillShade="F2"/>
            <w:vAlign w:val="center"/>
          </w:tcPr>
          <w:p w14:paraId="22AAE5AB" w14:textId="77777777" w:rsidR="00E841AF" w:rsidRPr="00E841AF" w:rsidRDefault="00E841AF" w:rsidP="00E841AF">
            <w:pPr>
              <w:pStyle w:val="TableText"/>
              <w:jc w:val="center"/>
              <w:rPr>
                <w:b/>
                <w:bCs/>
              </w:rPr>
            </w:pPr>
          </w:p>
        </w:tc>
        <w:tc>
          <w:tcPr>
            <w:tcW w:w="3260" w:type="dxa"/>
            <w:shd w:val="clear" w:color="auto" w:fill="F2F2F2" w:themeFill="background1" w:themeFillShade="F2"/>
          </w:tcPr>
          <w:p w14:paraId="11398F8A" w14:textId="77777777" w:rsidR="00E841AF" w:rsidRPr="00E841AF" w:rsidRDefault="00E841AF" w:rsidP="00E841AF">
            <w:pPr>
              <w:pStyle w:val="TableText"/>
              <w:rPr>
                <w:b/>
                <w:bCs/>
              </w:rPr>
            </w:pPr>
            <w:r w:rsidRPr="00E841AF">
              <w:rPr>
                <w:b/>
                <w:bCs/>
              </w:rPr>
              <w:t>National level</w:t>
            </w:r>
          </w:p>
        </w:tc>
        <w:tc>
          <w:tcPr>
            <w:tcW w:w="3260" w:type="dxa"/>
            <w:shd w:val="clear" w:color="auto" w:fill="F2F2F2" w:themeFill="background1" w:themeFillShade="F2"/>
          </w:tcPr>
          <w:p w14:paraId="6844605F" w14:textId="77777777" w:rsidR="00E841AF" w:rsidRPr="00E841AF" w:rsidRDefault="00E841AF" w:rsidP="00E841AF">
            <w:pPr>
              <w:pStyle w:val="TableText"/>
              <w:rPr>
                <w:b/>
                <w:bCs/>
              </w:rPr>
            </w:pPr>
            <w:r w:rsidRPr="00E841AF">
              <w:rPr>
                <w:b/>
                <w:bCs/>
              </w:rPr>
              <w:t>Regional and local levels</w:t>
            </w:r>
          </w:p>
        </w:tc>
      </w:tr>
      <w:tr w:rsidR="00E841AF" w:rsidRPr="003A6A50" w14:paraId="6E3D6029" w14:textId="77777777" w:rsidTr="006E0D58">
        <w:trPr>
          <w:cantSplit/>
          <w:trHeight w:val="1047"/>
        </w:trPr>
        <w:tc>
          <w:tcPr>
            <w:tcW w:w="568" w:type="dxa"/>
            <w:vMerge w:val="restart"/>
            <w:shd w:val="clear" w:color="auto" w:fill="F2F2F2" w:themeFill="background1" w:themeFillShade="F2"/>
            <w:textDirection w:val="btLr"/>
          </w:tcPr>
          <w:p w14:paraId="73851831" w14:textId="77777777" w:rsidR="00E841AF" w:rsidRPr="00E841AF" w:rsidRDefault="00E841AF" w:rsidP="00E841AF">
            <w:pPr>
              <w:pStyle w:val="TableText"/>
              <w:jc w:val="center"/>
              <w:rPr>
                <w:b/>
                <w:bCs/>
              </w:rPr>
            </w:pPr>
            <w:r w:rsidRPr="00E841AF">
              <w:rPr>
                <w:b/>
                <w:bCs/>
              </w:rPr>
              <w:t>People, whānau, communities</w:t>
            </w:r>
          </w:p>
        </w:tc>
        <w:tc>
          <w:tcPr>
            <w:tcW w:w="1276" w:type="dxa"/>
            <w:shd w:val="clear" w:color="auto" w:fill="F2F2F2" w:themeFill="background1" w:themeFillShade="F2"/>
            <w:vAlign w:val="center"/>
          </w:tcPr>
          <w:p w14:paraId="53FDF27B" w14:textId="77777777" w:rsidR="00E841AF" w:rsidRPr="00E841AF" w:rsidRDefault="00E841AF" w:rsidP="00E841AF">
            <w:pPr>
              <w:pStyle w:val="TableText"/>
              <w:jc w:val="center"/>
              <w:rPr>
                <w:b/>
                <w:bCs/>
              </w:rPr>
            </w:pPr>
            <w:r w:rsidRPr="00E841AF">
              <w:rPr>
                <w:b/>
                <w:bCs/>
              </w:rPr>
              <w:t>Designing</w:t>
            </w:r>
          </w:p>
        </w:tc>
        <w:tc>
          <w:tcPr>
            <w:tcW w:w="3260" w:type="dxa"/>
            <w:shd w:val="clear" w:color="auto" w:fill="FFFFFF" w:themeFill="background1"/>
          </w:tcPr>
          <w:p w14:paraId="504C3B10" w14:textId="7A48E8F1" w:rsidR="00E841AF" w:rsidRPr="003A6A50" w:rsidRDefault="00E841AF" w:rsidP="00E841AF">
            <w:pPr>
              <w:pStyle w:val="Tablebulletx"/>
            </w:pPr>
            <w:r w:rsidRPr="003A6A50">
              <w:t xml:space="preserve">Develop guides and tools to support whānau </w:t>
            </w:r>
            <w:r w:rsidR="00AC6E66">
              <w:t xml:space="preserve">in </w:t>
            </w:r>
            <w:r w:rsidRPr="003A6A50">
              <w:t>co-design</w:t>
            </w:r>
            <w:r w:rsidR="00AC6E66">
              <w:t>ing</w:t>
            </w:r>
            <w:r w:rsidRPr="003A6A50">
              <w:t xml:space="preserve"> system and service purpose, and design</w:t>
            </w:r>
            <w:r w:rsidR="00AC6E66">
              <w:t>ing services</w:t>
            </w:r>
            <w:r>
              <w:t>.</w:t>
            </w:r>
            <w:r w:rsidRPr="003A6A50">
              <w:t xml:space="preserve"> </w:t>
            </w:r>
          </w:p>
          <w:p w14:paraId="1782C19C" w14:textId="77777777" w:rsidR="00E841AF" w:rsidRPr="003A6A50" w:rsidRDefault="00E841AF" w:rsidP="00E47308">
            <w:pPr>
              <w:pStyle w:val="Tablebulletx"/>
              <w:numPr>
                <w:ilvl w:val="0"/>
                <w:numId w:val="0"/>
              </w:numPr>
              <w:ind w:left="360"/>
              <w:rPr>
                <w:color w:val="996633"/>
              </w:rPr>
            </w:pPr>
          </w:p>
        </w:tc>
        <w:tc>
          <w:tcPr>
            <w:tcW w:w="3260" w:type="dxa"/>
            <w:shd w:val="clear" w:color="auto" w:fill="FFFFFF" w:themeFill="background1"/>
          </w:tcPr>
          <w:p w14:paraId="0E4A4DA0" w14:textId="2C615553" w:rsidR="00E841AF" w:rsidRPr="003A6A50" w:rsidRDefault="00E841AF" w:rsidP="00E841AF">
            <w:pPr>
              <w:pStyle w:val="Tablebulletx"/>
            </w:pPr>
            <w:r w:rsidRPr="003A6A50">
              <w:t xml:space="preserve">Service users, potential service users, whānau and community engage in </w:t>
            </w:r>
            <w:r>
              <w:t>decisions on the purpose of</w:t>
            </w:r>
            <w:r w:rsidRPr="003A6A50">
              <w:t xml:space="preserve"> service</w:t>
            </w:r>
            <w:r>
              <w:t>s</w:t>
            </w:r>
            <w:r w:rsidRPr="003A6A50">
              <w:t xml:space="preserve"> and </w:t>
            </w:r>
            <w:r w:rsidR="00263F60">
              <w:t>interventions</w:t>
            </w:r>
            <w:r w:rsidR="00263F60" w:rsidRPr="003A6A50">
              <w:t xml:space="preserve"> </w:t>
            </w:r>
            <w:r w:rsidRPr="003A6A50">
              <w:t xml:space="preserve">and </w:t>
            </w:r>
            <w:r>
              <w:t xml:space="preserve">the </w:t>
            </w:r>
            <w:r w:rsidRPr="003A6A50">
              <w:t>outcomes that matter to them</w:t>
            </w:r>
            <w:r>
              <w:t>.</w:t>
            </w:r>
          </w:p>
          <w:p w14:paraId="53909F55" w14:textId="5B29E113" w:rsidR="00E841AF" w:rsidRPr="003A6A50" w:rsidRDefault="00E841AF" w:rsidP="00E841AF">
            <w:pPr>
              <w:pStyle w:val="Tablebulletx"/>
            </w:pPr>
            <w:r w:rsidRPr="000F0208">
              <w:rPr>
                <w:color w:val="auto"/>
              </w:rPr>
              <w:t>Iwi-Māori Partnership Boards</w:t>
            </w:r>
            <w:r w:rsidRPr="00BE6C08">
              <w:rPr>
                <w:color w:val="auto"/>
              </w:rPr>
              <w:t xml:space="preserve"> </w:t>
            </w:r>
            <w:r w:rsidRPr="003A6A50">
              <w:t>enable strong relationships and deep insights into local needs, opportunities, aspirations and expectations</w:t>
            </w:r>
            <w:r>
              <w:t>.</w:t>
            </w:r>
          </w:p>
        </w:tc>
      </w:tr>
      <w:tr w:rsidR="00E841AF" w:rsidRPr="003A6A50" w14:paraId="5E46D87F" w14:textId="77777777" w:rsidTr="006E0D58">
        <w:trPr>
          <w:cantSplit/>
          <w:trHeight w:val="710"/>
        </w:trPr>
        <w:tc>
          <w:tcPr>
            <w:tcW w:w="568" w:type="dxa"/>
            <w:vMerge/>
            <w:shd w:val="clear" w:color="auto" w:fill="F2F2F2" w:themeFill="background1" w:themeFillShade="F2"/>
            <w:textDirection w:val="btLr"/>
          </w:tcPr>
          <w:p w14:paraId="439EEE65" w14:textId="77777777" w:rsidR="00E841AF" w:rsidRPr="00E841AF" w:rsidRDefault="00E841AF" w:rsidP="00E841AF">
            <w:pPr>
              <w:pStyle w:val="TableText"/>
              <w:jc w:val="center"/>
              <w:rPr>
                <w:b/>
                <w:bCs/>
              </w:rPr>
            </w:pPr>
          </w:p>
        </w:tc>
        <w:tc>
          <w:tcPr>
            <w:tcW w:w="1276" w:type="dxa"/>
            <w:shd w:val="clear" w:color="auto" w:fill="F2F2F2" w:themeFill="background1" w:themeFillShade="F2"/>
            <w:vAlign w:val="center"/>
          </w:tcPr>
          <w:p w14:paraId="432C68F1" w14:textId="77777777" w:rsidR="00E841AF" w:rsidRPr="00E841AF" w:rsidRDefault="00E841AF" w:rsidP="00E841AF">
            <w:pPr>
              <w:pStyle w:val="TableText"/>
              <w:jc w:val="center"/>
              <w:rPr>
                <w:b/>
                <w:bCs/>
              </w:rPr>
            </w:pPr>
            <w:r w:rsidRPr="00E841AF">
              <w:rPr>
                <w:b/>
                <w:bCs/>
              </w:rPr>
              <w:t>Delivering</w:t>
            </w:r>
          </w:p>
        </w:tc>
        <w:tc>
          <w:tcPr>
            <w:tcW w:w="3260" w:type="dxa"/>
            <w:shd w:val="clear" w:color="auto" w:fill="FFFFFF" w:themeFill="background1"/>
          </w:tcPr>
          <w:p w14:paraId="19C2ADA2" w14:textId="77777777" w:rsidR="00E841AF" w:rsidRPr="003A6A50" w:rsidRDefault="00E841AF" w:rsidP="00E841AF">
            <w:pPr>
              <w:pStyle w:val="Tablebulletx"/>
              <w:rPr>
                <w:lang w:eastAsia="en-NZ"/>
              </w:rPr>
            </w:pPr>
            <w:r w:rsidRPr="003A6A50">
              <w:rPr>
                <w:lang w:eastAsia="en-NZ"/>
              </w:rPr>
              <w:t>Whānau voice helps shape services and support</w:t>
            </w:r>
            <w:r>
              <w:rPr>
                <w:lang w:eastAsia="en-NZ"/>
              </w:rPr>
              <w:t>.</w:t>
            </w:r>
          </w:p>
          <w:p w14:paraId="5C8BEFA6" w14:textId="77777777" w:rsidR="00E841AF" w:rsidRPr="003A6A50" w:rsidRDefault="00E841AF" w:rsidP="004A4C05">
            <w:pPr>
              <w:pStyle w:val="Tablebulletx"/>
              <w:numPr>
                <w:ilvl w:val="0"/>
                <w:numId w:val="0"/>
              </w:numPr>
              <w:ind w:left="360"/>
              <w:rPr>
                <w:b/>
                <w:bCs w:val="0"/>
                <w:lang w:eastAsia="en-NZ"/>
              </w:rPr>
            </w:pPr>
          </w:p>
        </w:tc>
        <w:tc>
          <w:tcPr>
            <w:tcW w:w="3260" w:type="dxa"/>
            <w:shd w:val="clear" w:color="auto" w:fill="FFFFFF" w:themeFill="background1"/>
          </w:tcPr>
          <w:p w14:paraId="7F759E4C" w14:textId="2D131244" w:rsidR="00E841AF" w:rsidRPr="003A6A50" w:rsidRDefault="00E841AF" w:rsidP="00E841AF">
            <w:pPr>
              <w:pStyle w:val="Tablebulletx"/>
            </w:pPr>
            <w:r>
              <w:rPr>
                <w:lang w:eastAsia="en-NZ"/>
              </w:rPr>
              <w:t>Feedback from s</w:t>
            </w:r>
            <w:r w:rsidRPr="003A6A50">
              <w:rPr>
                <w:lang w:eastAsia="en-NZ"/>
              </w:rPr>
              <w:t xml:space="preserve">ervice users, potential service users, whānau and </w:t>
            </w:r>
            <w:r w:rsidRPr="000F0208">
              <w:rPr>
                <w:color w:val="auto"/>
              </w:rPr>
              <w:t>Iwi</w:t>
            </w:r>
            <w:r w:rsidR="007A0A21">
              <w:rPr>
                <w:color w:val="auto"/>
              </w:rPr>
              <w:t>-</w:t>
            </w:r>
            <w:r w:rsidRPr="000F0208">
              <w:rPr>
                <w:color w:val="auto"/>
              </w:rPr>
              <w:t>Māori Partnership Board</w:t>
            </w:r>
            <w:r w:rsidR="00466403">
              <w:rPr>
                <w:color w:val="auto"/>
              </w:rPr>
              <w:t>s</w:t>
            </w:r>
            <w:r w:rsidRPr="00BE6C08">
              <w:rPr>
                <w:b/>
                <w:bCs w:val="0"/>
                <w:color w:val="auto"/>
              </w:rPr>
              <w:t xml:space="preserve"> </w:t>
            </w:r>
            <w:r w:rsidR="00466403">
              <w:rPr>
                <w:lang w:eastAsia="en-NZ"/>
              </w:rPr>
              <w:t xml:space="preserve">informs </w:t>
            </w:r>
            <w:r>
              <w:rPr>
                <w:lang w:eastAsia="en-NZ"/>
              </w:rPr>
              <w:t>the</w:t>
            </w:r>
            <w:r w:rsidRPr="003A6A50">
              <w:rPr>
                <w:lang w:eastAsia="en-NZ"/>
              </w:rPr>
              <w:t xml:space="preserve"> continuous improvement process</w:t>
            </w:r>
            <w:r>
              <w:rPr>
                <w:lang w:eastAsia="en-NZ"/>
              </w:rPr>
              <w:t>.</w:t>
            </w:r>
          </w:p>
        </w:tc>
      </w:tr>
      <w:tr w:rsidR="00E841AF" w:rsidRPr="003A6A50" w14:paraId="11659B9A" w14:textId="77777777" w:rsidTr="006E0D58">
        <w:trPr>
          <w:cantSplit/>
          <w:trHeight w:val="894"/>
        </w:trPr>
        <w:tc>
          <w:tcPr>
            <w:tcW w:w="568" w:type="dxa"/>
            <w:vMerge/>
            <w:shd w:val="clear" w:color="auto" w:fill="F2F2F2" w:themeFill="background1" w:themeFillShade="F2"/>
            <w:textDirection w:val="btLr"/>
          </w:tcPr>
          <w:p w14:paraId="5EEC68F6" w14:textId="77777777" w:rsidR="00E841AF" w:rsidRPr="00E841AF" w:rsidRDefault="00E841AF" w:rsidP="00E841AF">
            <w:pPr>
              <w:pStyle w:val="TableText"/>
              <w:jc w:val="center"/>
              <w:rPr>
                <w:b/>
                <w:bCs/>
              </w:rPr>
            </w:pPr>
          </w:p>
        </w:tc>
        <w:tc>
          <w:tcPr>
            <w:tcW w:w="1276" w:type="dxa"/>
            <w:shd w:val="clear" w:color="auto" w:fill="F2F2F2" w:themeFill="background1" w:themeFillShade="F2"/>
            <w:vAlign w:val="center"/>
          </w:tcPr>
          <w:p w14:paraId="2E8383A1" w14:textId="77777777" w:rsidR="00E841AF" w:rsidRPr="00E841AF" w:rsidRDefault="00E841AF" w:rsidP="00E841AF">
            <w:pPr>
              <w:pStyle w:val="TableText"/>
              <w:jc w:val="center"/>
              <w:rPr>
                <w:b/>
                <w:bCs/>
              </w:rPr>
            </w:pPr>
            <w:r w:rsidRPr="00E841AF">
              <w:rPr>
                <w:b/>
                <w:bCs/>
              </w:rPr>
              <w:t>Measuring</w:t>
            </w:r>
          </w:p>
        </w:tc>
        <w:tc>
          <w:tcPr>
            <w:tcW w:w="3260" w:type="dxa"/>
            <w:shd w:val="clear" w:color="auto" w:fill="FFFFFF" w:themeFill="background1"/>
          </w:tcPr>
          <w:p w14:paraId="065D7E4D" w14:textId="77777777" w:rsidR="00E841AF" w:rsidRPr="003A6A50" w:rsidRDefault="00E841AF" w:rsidP="00E841AF">
            <w:pPr>
              <w:pStyle w:val="Tablebulletx"/>
              <w:rPr>
                <w:b/>
                <w:bCs w:val="0"/>
                <w:lang w:eastAsia="en-NZ"/>
              </w:rPr>
            </w:pPr>
            <w:r>
              <w:rPr>
                <w:lang w:eastAsia="en-NZ"/>
              </w:rPr>
              <w:t>Feedback from s</w:t>
            </w:r>
            <w:r w:rsidRPr="003A6A50">
              <w:rPr>
                <w:lang w:eastAsia="en-NZ"/>
              </w:rPr>
              <w:t xml:space="preserve">ervice users and whānau is part of monitoring </w:t>
            </w:r>
            <w:r>
              <w:rPr>
                <w:lang w:eastAsia="en-NZ"/>
              </w:rPr>
              <w:t xml:space="preserve">work on </w:t>
            </w:r>
            <w:r w:rsidRPr="003A6A50">
              <w:rPr>
                <w:lang w:eastAsia="en-NZ"/>
              </w:rPr>
              <w:t xml:space="preserve">consumer </w:t>
            </w:r>
            <w:r>
              <w:rPr>
                <w:lang w:eastAsia="en-NZ"/>
              </w:rPr>
              <w:t xml:space="preserve">experience </w:t>
            </w:r>
            <w:r w:rsidRPr="003A6A50">
              <w:rPr>
                <w:lang w:eastAsia="en-NZ"/>
              </w:rPr>
              <w:t xml:space="preserve">and </w:t>
            </w:r>
            <w:r>
              <w:rPr>
                <w:lang w:eastAsia="en-NZ"/>
              </w:rPr>
              <w:t xml:space="preserve">service </w:t>
            </w:r>
            <w:r w:rsidRPr="003A6A50">
              <w:rPr>
                <w:lang w:eastAsia="en-NZ"/>
              </w:rPr>
              <w:t>quality (eg</w:t>
            </w:r>
            <w:r>
              <w:rPr>
                <w:lang w:eastAsia="en-NZ"/>
              </w:rPr>
              <w:t>,</w:t>
            </w:r>
            <w:r w:rsidRPr="003A6A50">
              <w:rPr>
                <w:lang w:eastAsia="en-NZ"/>
              </w:rPr>
              <w:t xml:space="preserve"> </w:t>
            </w:r>
            <w:r>
              <w:rPr>
                <w:lang w:eastAsia="en-NZ"/>
              </w:rPr>
              <w:t xml:space="preserve">by the </w:t>
            </w:r>
            <w:r w:rsidRPr="003A6A50">
              <w:rPr>
                <w:lang w:eastAsia="en-NZ"/>
              </w:rPr>
              <w:t xml:space="preserve">Health Quality </w:t>
            </w:r>
            <w:r>
              <w:rPr>
                <w:lang w:eastAsia="en-NZ"/>
              </w:rPr>
              <w:t xml:space="preserve">&amp; </w:t>
            </w:r>
            <w:r w:rsidRPr="003A6A50">
              <w:rPr>
                <w:lang w:eastAsia="en-NZ"/>
              </w:rPr>
              <w:t>Safety Co</w:t>
            </w:r>
            <w:r>
              <w:rPr>
                <w:lang w:eastAsia="en-NZ"/>
              </w:rPr>
              <w:t>mmission</w:t>
            </w:r>
            <w:r w:rsidRPr="003A6A50">
              <w:rPr>
                <w:lang w:eastAsia="en-NZ"/>
              </w:rPr>
              <w:t>)</w:t>
            </w:r>
            <w:r>
              <w:rPr>
                <w:lang w:eastAsia="en-NZ"/>
              </w:rPr>
              <w:t>.</w:t>
            </w:r>
          </w:p>
        </w:tc>
        <w:tc>
          <w:tcPr>
            <w:tcW w:w="3260" w:type="dxa"/>
            <w:shd w:val="clear" w:color="auto" w:fill="FFFFFF" w:themeFill="background1"/>
          </w:tcPr>
          <w:p w14:paraId="4BC2F609" w14:textId="77777777" w:rsidR="00E841AF" w:rsidRPr="003A6A50" w:rsidRDefault="00E841AF" w:rsidP="00E841AF">
            <w:pPr>
              <w:pStyle w:val="Tablebulletx"/>
              <w:rPr>
                <w:b/>
                <w:bCs w:val="0"/>
              </w:rPr>
            </w:pPr>
            <w:r>
              <w:rPr>
                <w:lang w:eastAsia="en-NZ"/>
              </w:rPr>
              <w:t>Feedback from s</w:t>
            </w:r>
            <w:r w:rsidRPr="003A6A50">
              <w:rPr>
                <w:lang w:eastAsia="en-NZ"/>
              </w:rPr>
              <w:t xml:space="preserve">ervice users, whānau and community </w:t>
            </w:r>
            <w:r>
              <w:rPr>
                <w:lang w:eastAsia="en-NZ"/>
              </w:rPr>
              <w:t>is included in</w:t>
            </w:r>
            <w:r w:rsidRPr="003A6A50">
              <w:rPr>
                <w:lang w:eastAsia="en-NZ"/>
              </w:rPr>
              <w:t xml:space="preserve"> evaluations of services and other investments</w:t>
            </w:r>
            <w:r>
              <w:rPr>
                <w:lang w:eastAsia="en-NZ"/>
              </w:rPr>
              <w:t>.</w:t>
            </w:r>
          </w:p>
        </w:tc>
      </w:tr>
      <w:tr w:rsidR="00E841AF" w:rsidRPr="003A6A50" w14:paraId="675AEB20" w14:textId="77777777" w:rsidTr="006E0D58">
        <w:trPr>
          <w:trHeight w:val="382"/>
        </w:trPr>
        <w:tc>
          <w:tcPr>
            <w:tcW w:w="568" w:type="dxa"/>
            <w:vMerge w:val="restart"/>
            <w:shd w:val="clear" w:color="auto" w:fill="F2F2F2" w:themeFill="background1" w:themeFillShade="F2"/>
            <w:textDirection w:val="btLr"/>
          </w:tcPr>
          <w:p w14:paraId="020F1EBE" w14:textId="77777777" w:rsidR="00E841AF" w:rsidRPr="00E841AF" w:rsidRDefault="00E841AF" w:rsidP="00E841AF">
            <w:pPr>
              <w:pStyle w:val="TableText"/>
              <w:jc w:val="center"/>
              <w:rPr>
                <w:b/>
                <w:bCs/>
              </w:rPr>
            </w:pPr>
            <w:r w:rsidRPr="00E841AF">
              <w:rPr>
                <w:b/>
                <w:bCs/>
              </w:rPr>
              <w:t>Delivery</w:t>
            </w:r>
          </w:p>
        </w:tc>
        <w:tc>
          <w:tcPr>
            <w:tcW w:w="1276" w:type="dxa"/>
            <w:shd w:val="clear" w:color="auto" w:fill="F2F2F2" w:themeFill="background1" w:themeFillShade="F2"/>
            <w:vAlign w:val="center"/>
          </w:tcPr>
          <w:p w14:paraId="191B108E" w14:textId="77777777" w:rsidR="00E841AF" w:rsidRPr="00E841AF" w:rsidRDefault="00E841AF" w:rsidP="00E841AF">
            <w:pPr>
              <w:pStyle w:val="TableText"/>
              <w:jc w:val="center"/>
              <w:rPr>
                <w:b/>
                <w:bCs/>
              </w:rPr>
            </w:pPr>
            <w:r w:rsidRPr="00E841AF">
              <w:rPr>
                <w:b/>
                <w:bCs/>
              </w:rPr>
              <w:t>Designing</w:t>
            </w:r>
          </w:p>
        </w:tc>
        <w:tc>
          <w:tcPr>
            <w:tcW w:w="3260" w:type="dxa"/>
            <w:shd w:val="clear" w:color="auto" w:fill="FFFFFF" w:themeFill="background1"/>
          </w:tcPr>
          <w:p w14:paraId="3E56CD89" w14:textId="77777777" w:rsidR="00E841AF" w:rsidRPr="003A6A50" w:rsidRDefault="00E841AF" w:rsidP="00E841AF">
            <w:pPr>
              <w:pStyle w:val="Tablebulletx"/>
              <w:rPr>
                <w:lang w:eastAsia="en-NZ"/>
              </w:rPr>
            </w:pPr>
            <w:r w:rsidRPr="003A6A50">
              <w:t>Help develop service design tools and processes</w:t>
            </w:r>
            <w:r>
              <w:t>.</w:t>
            </w:r>
          </w:p>
        </w:tc>
        <w:tc>
          <w:tcPr>
            <w:tcW w:w="3260" w:type="dxa"/>
            <w:shd w:val="clear" w:color="auto" w:fill="FFFFFF" w:themeFill="background1"/>
          </w:tcPr>
          <w:p w14:paraId="2317E939" w14:textId="4FB08E9F" w:rsidR="00E841AF" w:rsidRPr="003A6A50" w:rsidRDefault="00E841AF" w:rsidP="00E841AF">
            <w:pPr>
              <w:pStyle w:val="Tablebulletx"/>
            </w:pPr>
            <w:r w:rsidRPr="003A6A50">
              <w:t xml:space="preserve">Engage and involve providers and professionals in service and </w:t>
            </w:r>
            <w:r w:rsidR="00263F60">
              <w:t>intervention</w:t>
            </w:r>
            <w:r w:rsidR="00263F60" w:rsidRPr="003A6A50">
              <w:t xml:space="preserve"> </w:t>
            </w:r>
            <w:r w:rsidRPr="003A6A50">
              <w:t>design</w:t>
            </w:r>
            <w:r>
              <w:t>.</w:t>
            </w:r>
          </w:p>
        </w:tc>
      </w:tr>
      <w:tr w:rsidR="00E841AF" w:rsidRPr="003A6A50" w14:paraId="60B1738D" w14:textId="77777777" w:rsidTr="006E0D58">
        <w:trPr>
          <w:trHeight w:val="1048"/>
        </w:trPr>
        <w:tc>
          <w:tcPr>
            <w:tcW w:w="568" w:type="dxa"/>
            <w:vMerge/>
            <w:shd w:val="clear" w:color="auto" w:fill="F2F2F2" w:themeFill="background1" w:themeFillShade="F2"/>
            <w:textDirection w:val="btLr"/>
          </w:tcPr>
          <w:p w14:paraId="25FB060A" w14:textId="77777777" w:rsidR="00E841AF" w:rsidRPr="00E841AF" w:rsidRDefault="00E841AF" w:rsidP="00E841AF">
            <w:pPr>
              <w:pStyle w:val="TableText"/>
              <w:jc w:val="center"/>
              <w:rPr>
                <w:b/>
                <w:bCs/>
              </w:rPr>
            </w:pPr>
          </w:p>
        </w:tc>
        <w:tc>
          <w:tcPr>
            <w:tcW w:w="1276" w:type="dxa"/>
            <w:shd w:val="clear" w:color="auto" w:fill="F2F2F2" w:themeFill="background1" w:themeFillShade="F2"/>
            <w:vAlign w:val="center"/>
          </w:tcPr>
          <w:p w14:paraId="2A237830" w14:textId="77777777" w:rsidR="00E841AF" w:rsidRPr="00E841AF" w:rsidRDefault="00E841AF" w:rsidP="00E841AF">
            <w:pPr>
              <w:pStyle w:val="TableText"/>
              <w:jc w:val="center"/>
              <w:rPr>
                <w:b/>
                <w:bCs/>
              </w:rPr>
            </w:pPr>
            <w:r w:rsidRPr="00E841AF">
              <w:rPr>
                <w:b/>
                <w:bCs/>
              </w:rPr>
              <w:t>Delivering</w:t>
            </w:r>
          </w:p>
        </w:tc>
        <w:tc>
          <w:tcPr>
            <w:tcW w:w="3260" w:type="dxa"/>
            <w:shd w:val="clear" w:color="auto" w:fill="FFFFFF" w:themeFill="background1"/>
          </w:tcPr>
          <w:p w14:paraId="2DC69903" w14:textId="5DC22A95" w:rsidR="00E841AF" w:rsidRPr="003A6A50" w:rsidRDefault="00E841AF" w:rsidP="00E841AF">
            <w:pPr>
              <w:pStyle w:val="Tablebulletx"/>
              <w:rPr>
                <w:b/>
                <w:bCs w:val="0"/>
                <w:lang w:eastAsia="en-NZ"/>
              </w:rPr>
            </w:pPr>
            <w:r w:rsidRPr="003A6A50">
              <w:t>Provide insight on system-level issues from a provider perspective</w:t>
            </w:r>
            <w:r w:rsidR="0063671F">
              <w:t xml:space="preserve"> </w:t>
            </w:r>
            <w:r w:rsidRPr="003A6A50">
              <w:t xml:space="preserve"> </w:t>
            </w:r>
            <w:r w:rsidR="0063671F">
              <w:t>(</w:t>
            </w:r>
            <w:r w:rsidRPr="003A6A50">
              <w:t>eg</w:t>
            </w:r>
            <w:r>
              <w:t>, on</w:t>
            </w:r>
            <w:r w:rsidRPr="003A6A50">
              <w:t xml:space="preserve"> workforce pipeline</w:t>
            </w:r>
            <w:r w:rsidR="0098282C">
              <w:t xml:space="preserve"> and</w:t>
            </w:r>
            <w:r w:rsidRPr="003A6A50">
              <w:t xml:space="preserve"> funding processes</w:t>
            </w:r>
            <w:r w:rsidR="0063671F">
              <w:t>)</w:t>
            </w:r>
            <w:r>
              <w:t>.</w:t>
            </w:r>
          </w:p>
          <w:p w14:paraId="1EA07F9A" w14:textId="69246E2D" w:rsidR="00E841AF" w:rsidRPr="00067134" w:rsidRDefault="00E841AF" w:rsidP="00067134">
            <w:pPr>
              <w:pStyle w:val="Tablebulletx"/>
              <w:rPr>
                <w:b/>
                <w:bCs w:val="0"/>
                <w:lang w:eastAsia="en-NZ"/>
              </w:rPr>
            </w:pPr>
            <w:r w:rsidRPr="003A6A50">
              <w:t>Identify what’s needed to build provider capacity and capability</w:t>
            </w:r>
            <w:r>
              <w:t>.</w:t>
            </w:r>
          </w:p>
        </w:tc>
        <w:tc>
          <w:tcPr>
            <w:tcW w:w="3260" w:type="dxa"/>
            <w:shd w:val="clear" w:color="auto" w:fill="FFFFFF" w:themeFill="background1"/>
          </w:tcPr>
          <w:p w14:paraId="0E4BF836" w14:textId="77777777" w:rsidR="00E841AF" w:rsidRPr="003A6A50" w:rsidRDefault="00E841AF" w:rsidP="00E841AF">
            <w:pPr>
              <w:pStyle w:val="Tablebulletx"/>
            </w:pPr>
            <w:r w:rsidRPr="003A6A50">
              <w:t>Guide implementation timing and preconditions for success.</w:t>
            </w:r>
          </w:p>
          <w:p w14:paraId="137DEB1D" w14:textId="77777777" w:rsidR="00E841AF" w:rsidRPr="003A6A50" w:rsidRDefault="00E841AF" w:rsidP="00E841AF">
            <w:pPr>
              <w:pStyle w:val="Tablebulletx"/>
              <w:numPr>
                <w:ilvl w:val="0"/>
                <w:numId w:val="0"/>
              </w:numPr>
            </w:pPr>
          </w:p>
        </w:tc>
      </w:tr>
      <w:tr w:rsidR="00E841AF" w:rsidRPr="003A6A50" w14:paraId="68C6061D" w14:textId="77777777" w:rsidTr="00FB30ED">
        <w:trPr>
          <w:trHeight w:val="1213"/>
        </w:trPr>
        <w:tc>
          <w:tcPr>
            <w:tcW w:w="568" w:type="dxa"/>
            <w:vMerge/>
            <w:shd w:val="clear" w:color="auto" w:fill="F2F2F2" w:themeFill="background1" w:themeFillShade="F2"/>
            <w:textDirection w:val="btLr"/>
          </w:tcPr>
          <w:p w14:paraId="12AAD506" w14:textId="77777777" w:rsidR="00E841AF" w:rsidRPr="00E841AF" w:rsidRDefault="00E841AF" w:rsidP="00E841AF">
            <w:pPr>
              <w:pStyle w:val="TableText"/>
              <w:jc w:val="center"/>
              <w:rPr>
                <w:b/>
                <w:bCs/>
              </w:rPr>
            </w:pPr>
          </w:p>
        </w:tc>
        <w:tc>
          <w:tcPr>
            <w:tcW w:w="1276" w:type="dxa"/>
            <w:shd w:val="clear" w:color="auto" w:fill="F2F2F2" w:themeFill="background1" w:themeFillShade="F2"/>
            <w:vAlign w:val="center"/>
          </w:tcPr>
          <w:p w14:paraId="3EBAF0C4" w14:textId="77777777" w:rsidR="00E841AF" w:rsidRPr="00E841AF" w:rsidRDefault="00E841AF" w:rsidP="00E841AF">
            <w:pPr>
              <w:pStyle w:val="TableText"/>
              <w:jc w:val="center"/>
              <w:rPr>
                <w:b/>
                <w:bCs/>
              </w:rPr>
            </w:pPr>
            <w:r w:rsidRPr="00E841AF">
              <w:rPr>
                <w:b/>
                <w:bCs/>
              </w:rPr>
              <w:t>Measuring</w:t>
            </w:r>
          </w:p>
        </w:tc>
        <w:tc>
          <w:tcPr>
            <w:tcW w:w="3260" w:type="dxa"/>
            <w:shd w:val="clear" w:color="auto" w:fill="FFFFFF" w:themeFill="background1"/>
          </w:tcPr>
          <w:p w14:paraId="24B361C7" w14:textId="77777777" w:rsidR="00E841AF" w:rsidRPr="003A6A50" w:rsidRDefault="00E841AF" w:rsidP="00E841AF">
            <w:pPr>
              <w:pStyle w:val="Tablebulletx"/>
              <w:rPr>
                <w:lang w:eastAsia="en-NZ"/>
              </w:rPr>
            </w:pPr>
            <w:r w:rsidRPr="003A6A50">
              <w:rPr>
                <w:lang w:eastAsia="en-NZ"/>
              </w:rPr>
              <w:t>Shape performance measures that help drive continuous improvement</w:t>
            </w:r>
            <w:r>
              <w:rPr>
                <w:lang w:eastAsia="en-NZ"/>
              </w:rPr>
              <w:t>.</w:t>
            </w:r>
          </w:p>
        </w:tc>
        <w:tc>
          <w:tcPr>
            <w:tcW w:w="3260" w:type="dxa"/>
            <w:shd w:val="clear" w:color="auto" w:fill="FFFFFF" w:themeFill="background1"/>
          </w:tcPr>
          <w:p w14:paraId="10BAC937" w14:textId="1AD76BF6" w:rsidR="00E841AF" w:rsidRPr="003A6A50" w:rsidRDefault="00E841AF" w:rsidP="00E841AF">
            <w:pPr>
              <w:pStyle w:val="Tablebulletx"/>
            </w:pPr>
            <w:r w:rsidRPr="003A6A50">
              <w:t xml:space="preserve">Community, whānau and providers shape performance measures to generate insights that can support continuous improvement and </w:t>
            </w:r>
            <w:r w:rsidR="008A21C2">
              <w:t xml:space="preserve">inform </w:t>
            </w:r>
            <w:r w:rsidRPr="003A6A50">
              <w:t>future investment decisions</w:t>
            </w:r>
            <w:r>
              <w:t>.</w:t>
            </w:r>
          </w:p>
        </w:tc>
      </w:tr>
      <w:tr w:rsidR="00E841AF" w:rsidRPr="003A6A50" w14:paraId="6BC215D0" w14:textId="77777777" w:rsidTr="006E0D58">
        <w:trPr>
          <w:trHeight w:val="1047"/>
        </w:trPr>
        <w:tc>
          <w:tcPr>
            <w:tcW w:w="568" w:type="dxa"/>
            <w:vMerge w:val="restart"/>
            <w:shd w:val="clear" w:color="auto" w:fill="F2F2F2" w:themeFill="background1" w:themeFillShade="F2"/>
            <w:textDirection w:val="btLr"/>
          </w:tcPr>
          <w:p w14:paraId="0FE57D26" w14:textId="77777777" w:rsidR="00E841AF" w:rsidRPr="00E841AF" w:rsidRDefault="00E841AF" w:rsidP="0073350E">
            <w:pPr>
              <w:pStyle w:val="TableText"/>
              <w:keepNext/>
              <w:jc w:val="center"/>
              <w:rPr>
                <w:b/>
                <w:bCs/>
              </w:rPr>
            </w:pPr>
            <w:r w:rsidRPr="00E841AF">
              <w:rPr>
                <w:b/>
                <w:bCs/>
              </w:rPr>
              <w:lastRenderedPageBreak/>
              <w:t>Commissioners</w:t>
            </w:r>
          </w:p>
        </w:tc>
        <w:tc>
          <w:tcPr>
            <w:tcW w:w="1276" w:type="dxa"/>
            <w:shd w:val="clear" w:color="auto" w:fill="F2F2F2" w:themeFill="background1" w:themeFillShade="F2"/>
            <w:vAlign w:val="center"/>
          </w:tcPr>
          <w:p w14:paraId="71FEE2E2" w14:textId="77777777" w:rsidR="00E841AF" w:rsidRPr="00E841AF" w:rsidRDefault="00E841AF" w:rsidP="0073350E">
            <w:pPr>
              <w:pStyle w:val="TableText"/>
              <w:keepNext/>
              <w:jc w:val="center"/>
              <w:rPr>
                <w:b/>
                <w:bCs/>
              </w:rPr>
            </w:pPr>
          </w:p>
          <w:p w14:paraId="5A52EE43" w14:textId="77777777" w:rsidR="00E841AF" w:rsidRPr="00E841AF" w:rsidRDefault="00E841AF" w:rsidP="0073350E">
            <w:pPr>
              <w:pStyle w:val="TableText"/>
              <w:keepNext/>
              <w:jc w:val="center"/>
              <w:rPr>
                <w:b/>
                <w:bCs/>
              </w:rPr>
            </w:pPr>
            <w:r w:rsidRPr="00E841AF">
              <w:rPr>
                <w:b/>
                <w:bCs/>
              </w:rPr>
              <w:t>Designing</w:t>
            </w:r>
          </w:p>
        </w:tc>
        <w:tc>
          <w:tcPr>
            <w:tcW w:w="3260" w:type="dxa"/>
            <w:shd w:val="clear" w:color="auto" w:fill="FFFFFF" w:themeFill="background1"/>
          </w:tcPr>
          <w:p w14:paraId="26B79D9B" w14:textId="50D65E57" w:rsidR="00FB30ED" w:rsidRPr="00FB30ED" w:rsidRDefault="00E841AF" w:rsidP="0073350E">
            <w:pPr>
              <w:pStyle w:val="Tablebulletx"/>
              <w:keepNext/>
            </w:pPr>
            <w:r w:rsidRPr="003A6A50">
              <w:t>Develop guides and tools to support whānau co-design of services</w:t>
            </w:r>
            <w:r>
              <w:t>.</w:t>
            </w:r>
            <w:r w:rsidRPr="003A6A50">
              <w:t xml:space="preserve"> </w:t>
            </w:r>
          </w:p>
          <w:p w14:paraId="706773D7" w14:textId="5B46F076" w:rsidR="00E841AF" w:rsidRPr="00465E0D" w:rsidRDefault="00E841AF" w:rsidP="0073350E">
            <w:pPr>
              <w:pStyle w:val="Tablebulletx"/>
              <w:keepNext/>
              <w:rPr>
                <w:color w:val="EC643C"/>
              </w:rPr>
            </w:pPr>
            <w:r w:rsidRPr="00465E0D">
              <w:rPr>
                <w:color w:val="auto"/>
              </w:rPr>
              <w:t>Funding approvals require providers to demonstrate how whānau shaped service design.</w:t>
            </w:r>
          </w:p>
        </w:tc>
        <w:tc>
          <w:tcPr>
            <w:tcW w:w="3260" w:type="dxa"/>
            <w:shd w:val="clear" w:color="auto" w:fill="FFFFFF" w:themeFill="background1"/>
          </w:tcPr>
          <w:p w14:paraId="4BD3FD22" w14:textId="77777777" w:rsidR="00E841AF" w:rsidRPr="003A6A50" w:rsidRDefault="00E841AF" w:rsidP="0073350E">
            <w:pPr>
              <w:pStyle w:val="Tablebulletx"/>
              <w:keepNext/>
            </w:pPr>
            <w:r w:rsidRPr="003A6A50">
              <w:t>Service users, potential service users, whānau and community, providers and key stakeholders co-design services and other investments</w:t>
            </w:r>
            <w:r>
              <w:t>.</w:t>
            </w:r>
          </w:p>
          <w:p w14:paraId="1EA2EF46" w14:textId="77777777" w:rsidR="00E841AF" w:rsidRPr="003A6A50" w:rsidRDefault="00E841AF" w:rsidP="0073350E">
            <w:pPr>
              <w:pStyle w:val="Tablebulletx"/>
              <w:keepNext/>
            </w:pPr>
            <w:r w:rsidRPr="00465E0D">
              <w:rPr>
                <w:color w:val="auto"/>
              </w:rPr>
              <w:t>Iwi-Māori Partnership Boards</w:t>
            </w:r>
            <w:r w:rsidRPr="00BE6C08">
              <w:rPr>
                <w:color w:val="auto"/>
              </w:rPr>
              <w:t xml:space="preserve"> </w:t>
            </w:r>
            <w:r w:rsidRPr="003A6A50">
              <w:t>provide deep insights and priorities for action.</w:t>
            </w:r>
          </w:p>
        </w:tc>
      </w:tr>
      <w:tr w:rsidR="00E841AF" w:rsidRPr="003A6A50" w14:paraId="0B002FEA" w14:textId="77777777" w:rsidTr="006E0D58">
        <w:trPr>
          <w:trHeight w:val="1623"/>
        </w:trPr>
        <w:tc>
          <w:tcPr>
            <w:tcW w:w="568" w:type="dxa"/>
            <w:vMerge/>
            <w:shd w:val="clear" w:color="auto" w:fill="F2F2F2" w:themeFill="background1" w:themeFillShade="F2"/>
            <w:textDirection w:val="btLr"/>
          </w:tcPr>
          <w:p w14:paraId="0FCBAE0C" w14:textId="77777777" w:rsidR="00E841AF" w:rsidRPr="00E841AF" w:rsidRDefault="00E841AF" w:rsidP="00E841AF">
            <w:pPr>
              <w:pStyle w:val="TableText"/>
              <w:jc w:val="center"/>
              <w:rPr>
                <w:b/>
                <w:bCs/>
              </w:rPr>
            </w:pPr>
          </w:p>
        </w:tc>
        <w:tc>
          <w:tcPr>
            <w:tcW w:w="1276" w:type="dxa"/>
            <w:shd w:val="clear" w:color="auto" w:fill="F2F2F2" w:themeFill="background1" w:themeFillShade="F2"/>
            <w:vAlign w:val="center"/>
          </w:tcPr>
          <w:p w14:paraId="13E0C1FA" w14:textId="77777777" w:rsidR="00E841AF" w:rsidRPr="00E841AF" w:rsidRDefault="00E841AF" w:rsidP="00E841AF">
            <w:pPr>
              <w:pStyle w:val="TableText"/>
              <w:jc w:val="center"/>
              <w:rPr>
                <w:b/>
                <w:bCs/>
              </w:rPr>
            </w:pPr>
            <w:r w:rsidRPr="00E841AF">
              <w:rPr>
                <w:b/>
                <w:bCs/>
              </w:rPr>
              <w:t>Delivering</w:t>
            </w:r>
          </w:p>
        </w:tc>
        <w:tc>
          <w:tcPr>
            <w:tcW w:w="3260" w:type="dxa"/>
            <w:shd w:val="clear" w:color="auto" w:fill="FFFFFF" w:themeFill="background1"/>
          </w:tcPr>
          <w:p w14:paraId="78BB522E" w14:textId="59FD2170" w:rsidR="00E841AF" w:rsidRPr="00E841AF" w:rsidRDefault="00E841AF" w:rsidP="00E841AF">
            <w:pPr>
              <w:pStyle w:val="Tablebulletx"/>
              <w:rPr>
                <w:lang w:eastAsia="en-NZ"/>
              </w:rPr>
            </w:pPr>
            <w:r>
              <w:rPr>
                <w:lang w:eastAsia="en-NZ"/>
              </w:rPr>
              <w:t>C</w:t>
            </w:r>
            <w:r w:rsidRPr="003A6A50">
              <w:rPr>
                <w:lang w:eastAsia="en-NZ"/>
              </w:rPr>
              <w:t xml:space="preserve">ontracts </w:t>
            </w:r>
            <w:r w:rsidR="002F67A3">
              <w:rPr>
                <w:lang w:eastAsia="en-NZ"/>
              </w:rPr>
              <w:t>and/</w:t>
            </w:r>
            <w:r w:rsidRPr="003A6A50">
              <w:rPr>
                <w:lang w:eastAsia="en-NZ"/>
              </w:rPr>
              <w:t>or regulation</w:t>
            </w:r>
            <w:r>
              <w:rPr>
                <w:lang w:eastAsia="en-NZ"/>
              </w:rPr>
              <w:t xml:space="preserve"> protect choice.</w:t>
            </w:r>
          </w:p>
        </w:tc>
        <w:tc>
          <w:tcPr>
            <w:tcW w:w="3260" w:type="dxa"/>
            <w:shd w:val="clear" w:color="auto" w:fill="FFFFFF" w:themeFill="background1"/>
          </w:tcPr>
          <w:p w14:paraId="454CB9A1" w14:textId="77777777" w:rsidR="00E841AF" w:rsidRPr="003A6A50" w:rsidRDefault="00E841AF" w:rsidP="00E841AF">
            <w:pPr>
              <w:pStyle w:val="Tablebulletx"/>
              <w:rPr>
                <w:lang w:eastAsia="en-NZ"/>
              </w:rPr>
            </w:pPr>
            <w:r>
              <w:t>Support i</w:t>
            </w:r>
            <w:r w:rsidRPr="003A6A50">
              <w:t xml:space="preserve">ntegrated delivery </w:t>
            </w:r>
            <w:r>
              <w:t xml:space="preserve">with </w:t>
            </w:r>
            <w:r w:rsidRPr="003A6A50">
              <w:t>co-located teams and shared geographic boundaries</w:t>
            </w:r>
            <w:r>
              <w:t>.</w:t>
            </w:r>
          </w:p>
          <w:p w14:paraId="2B7A2656" w14:textId="77777777" w:rsidR="00E841AF" w:rsidRPr="003A6A50" w:rsidRDefault="00E841AF" w:rsidP="00E841AF">
            <w:pPr>
              <w:pStyle w:val="Tablebulletx"/>
              <w:rPr>
                <w:rFonts w:cs="Segoe UI"/>
                <w:lang w:eastAsia="en-AU"/>
              </w:rPr>
            </w:pPr>
            <w:r>
              <w:rPr>
                <w:rFonts w:cs="Segoe UI"/>
                <w:lang w:eastAsia="en-AU"/>
              </w:rPr>
              <w:t>Allow t</w:t>
            </w:r>
            <w:r w:rsidRPr="003A6A50">
              <w:rPr>
                <w:rFonts w:cs="Segoe UI"/>
                <w:lang w:eastAsia="en-AU"/>
              </w:rPr>
              <w:t>ime to engage with whānau, providers and professionals to create contracts that enable outcomes and support continuous improvement</w:t>
            </w:r>
            <w:r>
              <w:rPr>
                <w:rFonts w:cs="Segoe UI"/>
                <w:lang w:eastAsia="en-AU"/>
              </w:rPr>
              <w:t>.</w:t>
            </w:r>
          </w:p>
          <w:p w14:paraId="081D8AB6" w14:textId="701964B1" w:rsidR="00E841AF" w:rsidRPr="003A6A50" w:rsidRDefault="00E841AF" w:rsidP="00E841AF">
            <w:pPr>
              <w:pStyle w:val="Tablebulletx"/>
              <w:rPr>
                <w:rFonts w:cs="Segoe UI"/>
                <w:lang w:eastAsia="en-AU"/>
              </w:rPr>
            </w:pPr>
            <w:r w:rsidRPr="003A6A50">
              <w:rPr>
                <w:rFonts w:cs="Segoe UI"/>
                <w:lang w:eastAsia="en-AU"/>
              </w:rPr>
              <w:t>Have, or develop,</w:t>
            </w:r>
            <w:r>
              <w:rPr>
                <w:rFonts w:cs="Segoe UI"/>
                <w:lang w:eastAsia="en-AU"/>
              </w:rPr>
              <w:t xml:space="preserve"> staff capability and stability in</w:t>
            </w:r>
            <w:r w:rsidRPr="003A6A50">
              <w:rPr>
                <w:rFonts w:cs="Segoe UI"/>
                <w:lang w:eastAsia="en-AU"/>
              </w:rPr>
              <w:t xml:space="preserve"> </w:t>
            </w:r>
            <w:r w:rsidR="00154985">
              <w:rPr>
                <w:rFonts w:cs="Segoe UI"/>
                <w:lang w:eastAsia="en-AU"/>
              </w:rPr>
              <w:t xml:space="preserve">whanaungatanga, </w:t>
            </w:r>
            <w:r w:rsidRPr="003A6A50">
              <w:rPr>
                <w:rFonts w:cs="Segoe UI"/>
                <w:lang w:eastAsia="en-AU"/>
              </w:rPr>
              <w:t xml:space="preserve">management, technical and financial </w:t>
            </w:r>
            <w:r>
              <w:rPr>
                <w:rFonts w:cs="Segoe UI"/>
                <w:lang w:eastAsia="en-AU"/>
              </w:rPr>
              <w:t>skills needed</w:t>
            </w:r>
            <w:r w:rsidRPr="003A6A50">
              <w:rPr>
                <w:rFonts w:cs="Segoe UI"/>
                <w:lang w:eastAsia="en-AU"/>
              </w:rPr>
              <w:t xml:space="preserve"> to implement commissioning</w:t>
            </w:r>
            <w:r>
              <w:rPr>
                <w:rFonts w:cs="Segoe UI"/>
                <w:lang w:eastAsia="en-AU"/>
              </w:rPr>
              <w:t>.</w:t>
            </w:r>
          </w:p>
          <w:p w14:paraId="705F16F2" w14:textId="77777777" w:rsidR="00E841AF" w:rsidRPr="003A6A50" w:rsidRDefault="00E841AF" w:rsidP="00E841AF">
            <w:pPr>
              <w:pStyle w:val="Tablebulletx"/>
              <w:rPr>
                <w:rFonts w:cs="Segoe UI"/>
                <w:lang w:eastAsia="en-AU"/>
              </w:rPr>
            </w:pPr>
            <w:r w:rsidRPr="003A6A50">
              <w:rPr>
                <w:rFonts w:cs="Segoe UI"/>
                <w:lang w:eastAsia="en-AU"/>
              </w:rPr>
              <w:t xml:space="preserve">Support community leadership development, and the range of community supports needed for </w:t>
            </w:r>
            <w:r>
              <w:rPr>
                <w:rFonts w:cs="Segoe UI"/>
                <w:lang w:eastAsia="en-AU"/>
              </w:rPr>
              <w:t>C</w:t>
            </w:r>
            <w:r w:rsidRPr="003A6A50">
              <w:rPr>
                <w:rFonts w:cs="Segoe UI"/>
                <w:lang w:eastAsia="en-AU"/>
              </w:rPr>
              <w:t xml:space="preserve">ommissioning for </w:t>
            </w:r>
            <w:r>
              <w:rPr>
                <w:rFonts w:cs="Segoe UI"/>
                <w:lang w:eastAsia="en-AU"/>
              </w:rPr>
              <w:t>P</w:t>
            </w:r>
            <w:r w:rsidRPr="003A6A50">
              <w:rPr>
                <w:rFonts w:cs="Segoe UI"/>
                <w:lang w:eastAsia="en-AU"/>
              </w:rPr>
              <w:t xml:space="preserve">ae </w:t>
            </w:r>
            <w:r>
              <w:rPr>
                <w:rFonts w:cs="Segoe UI"/>
                <w:lang w:eastAsia="en-AU"/>
              </w:rPr>
              <w:t>O</w:t>
            </w:r>
            <w:r w:rsidRPr="003A6A50">
              <w:rPr>
                <w:rFonts w:cs="Segoe UI"/>
                <w:lang w:eastAsia="en-AU"/>
              </w:rPr>
              <w:t>ra</w:t>
            </w:r>
            <w:r>
              <w:rPr>
                <w:rFonts w:cs="Segoe UI"/>
                <w:lang w:eastAsia="en-AU"/>
              </w:rPr>
              <w:t>.</w:t>
            </w:r>
          </w:p>
        </w:tc>
      </w:tr>
      <w:tr w:rsidR="00E841AF" w:rsidRPr="003A6A50" w14:paraId="1C9366A7" w14:textId="77777777" w:rsidTr="006E0D58">
        <w:trPr>
          <w:trHeight w:val="1623"/>
        </w:trPr>
        <w:tc>
          <w:tcPr>
            <w:tcW w:w="568" w:type="dxa"/>
            <w:vMerge/>
            <w:shd w:val="clear" w:color="auto" w:fill="F2F2F2" w:themeFill="background1" w:themeFillShade="F2"/>
            <w:textDirection w:val="btLr"/>
          </w:tcPr>
          <w:p w14:paraId="213ACA00" w14:textId="77777777" w:rsidR="00E841AF" w:rsidRPr="00E841AF" w:rsidRDefault="00E841AF" w:rsidP="00E841AF">
            <w:pPr>
              <w:pStyle w:val="TableText"/>
              <w:jc w:val="center"/>
              <w:rPr>
                <w:b/>
                <w:bCs/>
              </w:rPr>
            </w:pPr>
          </w:p>
        </w:tc>
        <w:tc>
          <w:tcPr>
            <w:tcW w:w="1276" w:type="dxa"/>
            <w:shd w:val="clear" w:color="auto" w:fill="F2F2F2" w:themeFill="background1" w:themeFillShade="F2"/>
            <w:vAlign w:val="center"/>
          </w:tcPr>
          <w:p w14:paraId="676418FF" w14:textId="77777777" w:rsidR="00E841AF" w:rsidRPr="00E841AF" w:rsidRDefault="00E841AF" w:rsidP="00E841AF">
            <w:pPr>
              <w:pStyle w:val="TableText"/>
              <w:jc w:val="center"/>
              <w:rPr>
                <w:b/>
                <w:bCs/>
              </w:rPr>
            </w:pPr>
            <w:r w:rsidRPr="00E841AF">
              <w:rPr>
                <w:b/>
                <w:bCs/>
              </w:rPr>
              <w:t>Measuring</w:t>
            </w:r>
          </w:p>
        </w:tc>
        <w:tc>
          <w:tcPr>
            <w:tcW w:w="3260" w:type="dxa"/>
            <w:shd w:val="clear" w:color="auto" w:fill="FFFFFF" w:themeFill="background1"/>
          </w:tcPr>
          <w:p w14:paraId="061FD4EB" w14:textId="77777777" w:rsidR="00E841AF" w:rsidRPr="003A6A50" w:rsidRDefault="00E841AF" w:rsidP="00E841AF">
            <w:pPr>
              <w:pStyle w:val="Tablebulletx"/>
              <w:rPr>
                <w:lang w:eastAsia="en-NZ"/>
              </w:rPr>
            </w:pPr>
            <w:r>
              <w:rPr>
                <w:lang w:eastAsia="en-NZ"/>
              </w:rPr>
              <w:t>Gain feedback from s</w:t>
            </w:r>
            <w:r w:rsidRPr="003A6A50">
              <w:rPr>
                <w:lang w:eastAsia="en-NZ"/>
              </w:rPr>
              <w:t xml:space="preserve">ervice users and whānau as part of monitoring </w:t>
            </w:r>
            <w:r>
              <w:rPr>
                <w:lang w:eastAsia="en-NZ"/>
              </w:rPr>
              <w:t xml:space="preserve">work on </w:t>
            </w:r>
            <w:r w:rsidRPr="003A6A50">
              <w:rPr>
                <w:lang w:eastAsia="en-NZ"/>
              </w:rPr>
              <w:t xml:space="preserve">consumer </w:t>
            </w:r>
            <w:r>
              <w:rPr>
                <w:lang w:eastAsia="en-NZ"/>
              </w:rPr>
              <w:t xml:space="preserve">experience </w:t>
            </w:r>
            <w:r w:rsidRPr="003A6A50">
              <w:rPr>
                <w:lang w:eastAsia="en-NZ"/>
              </w:rPr>
              <w:t xml:space="preserve">and </w:t>
            </w:r>
            <w:r>
              <w:rPr>
                <w:lang w:eastAsia="en-NZ"/>
              </w:rPr>
              <w:t xml:space="preserve">service </w:t>
            </w:r>
            <w:r w:rsidRPr="003A6A50">
              <w:rPr>
                <w:lang w:eastAsia="en-NZ"/>
              </w:rPr>
              <w:t>quality (H</w:t>
            </w:r>
            <w:r>
              <w:rPr>
                <w:lang w:eastAsia="en-NZ"/>
              </w:rPr>
              <w:t>ealth Quality &amp; Safety Commission</w:t>
            </w:r>
            <w:r w:rsidRPr="003A6A50">
              <w:rPr>
                <w:lang w:eastAsia="en-NZ"/>
              </w:rPr>
              <w:t>)</w:t>
            </w:r>
            <w:r>
              <w:rPr>
                <w:lang w:eastAsia="en-NZ"/>
              </w:rPr>
              <w:t>.</w:t>
            </w:r>
          </w:p>
          <w:p w14:paraId="0E37EC87" w14:textId="77777777" w:rsidR="00E841AF" w:rsidRPr="003A6A50" w:rsidRDefault="00E841AF" w:rsidP="00E841AF">
            <w:pPr>
              <w:pStyle w:val="Tablebulletx"/>
              <w:rPr>
                <w:lang w:eastAsia="en-NZ"/>
              </w:rPr>
            </w:pPr>
            <w:r w:rsidRPr="003A6A50">
              <w:rPr>
                <w:lang w:eastAsia="en-NZ"/>
              </w:rPr>
              <w:t>Focus on accountability of providers for both cost and quality, including:</w:t>
            </w:r>
          </w:p>
          <w:p w14:paraId="1279B084" w14:textId="7F573131" w:rsidR="00E841AF" w:rsidRPr="009A56E5" w:rsidRDefault="007329F4" w:rsidP="00E841AF">
            <w:pPr>
              <w:pStyle w:val="Tablebulletx2"/>
              <w:rPr>
                <w:lang w:eastAsia="en-NZ"/>
              </w:rPr>
            </w:pPr>
            <w:r>
              <w:rPr>
                <w:lang w:eastAsia="en-NZ"/>
              </w:rPr>
              <w:t xml:space="preserve">achieving </w:t>
            </w:r>
            <w:r w:rsidR="00E841AF" w:rsidRPr="003A6A50">
              <w:rPr>
                <w:lang w:eastAsia="en-NZ"/>
              </w:rPr>
              <w:t>outcomes for service users</w:t>
            </w:r>
            <w:r w:rsidR="00E841AF">
              <w:rPr>
                <w:lang w:eastAsia="en-NZ"/>
              </w:rPr>
              <w:t xml:space="preserve"> and </w:t>
            </w:r>
            <w:r w:rsidR="00E841AF" w:rsidRPr="003A6A50">
              <w:rPr>
                <w:lang w:eastAsia="en-NZ"/>
              </w:rPr>
              <w:t>whānau</w:t>
            </w:r>
          </w:p>
          <w:p w14:paraId="617577A4" w14:textId="18A24066" w:rsidR="00E841AF" w:rsidRPr="003A6A50" w:rsidRDefault="00EC0B22" w:rsidP="00E841AF">
            <w:pPr>
              <w:pStyle w:val="Tablebulletx2"/>
              <w:rPr>
                <w:lang w:eastAsia="en-NZ"/>
              </w:rPr>
            </w:pPr>
            <w:r w:rsidRPr="003A6A50">
              <w:rPr>
                <w:lang w:eastAsia="en-NZ"/>
              </w:rPr>
              <w:t>reduc</w:t>
            </w:r>
            <w:r>
              <w:rPr>
                <w:lang w:eastAsia="en-NZ"/>
              </w:rPr>
              <w:t>ing</w:t>
            </w:r>
            <w:r w:rsidRPr="003A6A50">
              <w:rPr>
                <w:lang w:eastAsia="en-NZ"/>
              </w:rPr>
              <w:t xml:space="preserve"> </w:t>
            </w:r>
            <w:r w:rsidR="00E841AF" w:rsidRPr="003A6A50">
              <w:rPr>
                <w:lang w:eastAsia="en-NZ"/>
              </w:rPr>
              <w:t xml:space="preserve">inappropriate care </w:t>
            </w:r>
            <w:r w:rsidR="009F0B6B">
              <w:rPr>
                <w:lang w:eastAsia="en-NZ"/>
              </w:rPr>
              <w:t>that is not delivering for service users and wh</w:t>
            </w:r>
            <w:r w:rsidR="009F0B6B">
              <w:rPr>
                <w:lang w:val="mi-NZ" w:eastAsia="en-NZ"/>
              </w:rPr>
              <w:t>ānau</w:t>
            </w:r>
            <w:r w:rsidR="007329F4">
              <w:rPr>
                <w:lang w:val="mi-NZ" w:eastAsia="en-NZ"/>
              </w:rPr>
              <w:t>.</w:t>
            </w:r>
          </w:p>
        </w:tc>
        <w:tc>
          <w:tcPr>
            <w:tcW w:w="3260" w:type="dxa"/>
            <w:shd w:val="clear" w:color="auto" w:fill="FFFFFF" w:themeFill="background1"/>
          </w:tcPr>
          <w:p w14:paraId="727BB78D" w14:textId="65747A1B" w:rsidR="00E841AF" w:rsidRPr="003A6A50" w:rsidRDefault="00E841AF" w:rsidP="00E841AF">
            <w:pPr>
              <w:pStyle w:val="Tablebulletx"/>
            </w:pPr>
            <w:r w:rsidRPr="003A6A50">
              <w:t>G</w:t>
            </w:r>
            <w:r>
              <w:t>ather g</w:t>
            </w:r>
            <w:r w:rsidRPr="003A6A50">
              <w:t>ood information on pattern</w:t>
            </w:r>
            <w:r w:rsidR="007329F4">
              <w:t>s</w:t>
            </w:r>
            <w:r w:rsidRPr="003A6A50">
              <w:t xml:space="preserve"> of service use, quality and cost of services</w:t>
            </w:r>
            <w:r>
              <w:t>.</w:t>
            </w:r>
          </w:p>
          <w:p w14:paraId="0F3D886C" w14:textId="77777777" w:rsidR="00E841AF" w:rsidRPr="003A6A50" w:rsidRDefault="00E841AF" w:rsidP="00E841AF">
            <w:pPr>
              <w:pStyle w:val="Tablebulletx"/>
            </w:pPr>
            <w:r>
              <w:rPr>
                <w:rFonts w:cs="Segoe UI"/>
                <w:lang w:eastAsia="en-AU"/>
              </w:rPr>
              <w:t>Have g</w:t>
            </w:r>
            <w:r w:rsidRPr="003A6A50">
              <w:rPr>
                <w:rFonts w:cs="Segoe UI"/>
                <w:lang w:eastAsia="en-AU"/>
              </w:rPr>
              <w:t>ood data systems to monitor performance and outcomes at local levels</w:t>
            </w:r>
            <w:r>
              <w:rPr>
                <w:rFonts w:cs="Segoe UI"/>
                <w:lang w:eastAsia="en-AU"/>
              </w:rPr>
              <w:t>.</w:t>
            </w:r>
          </w:p>
          <w:p w14:paraId="46A755CD" w14:textId="77777777" w:rsidR="00E841AF" w:rsidRPr="003A6A50" w:rsidRDefault="00E841AF" w:rsidP="00E841AF">
            <w:pPr>
              <w:pStyle w:val="Tablebulletx"/>
            </w:pPr>
            <w:r w:rsidRPr="003A6A50">
              <w:rPr>
                <w:rFonts w:cs="Segoe UI"/>
                <w:lang w:eastAsia="en-AU"/>
              </w:rPr>
              <w:t>Understand the range of other investments, and where other levers (eg</w:t>
            </w:r>
            <w:r>
              <w:rPr>
                <w:rFonts w:cs="Segoe UI"/>
                <w:lang w:eastAsia="en-AU"/>
              </w:rPr>
              <w:t>,</w:t>
            </w:r>
            <w:r w:rsidRPr="003A6A50">
              <w:rPr>
                <w:rFonts w:cs="Segoe UI"/>
                <w:lang w:eastAsia="en-AU"/>
              </w:rPr>
              <w:t xml:space="preserve"> regulation) could support better outcomes than commissioning alone.</w:t>
            </w:r>
          </w:p>
        </w:tc>
      </w:tr>
      <w:tr w:rsidR="00E841AF" w:rsidRPr="003A6A50" w14:paraId="7F3003B0" w14:textId="77777777" w:rsidTr="006E0D58">
        <w:trPr>
          <w:trHeight w:val="1623"/>
        </w:trPr>
        <w:tc>
          <w:tcPr>
            <w:tcW w:w="568" w:type="dxa"/>
            <w:vMerge w:val="restart"/>
            <w:shd w:val="clear" w:color="auto" w:fill="F2F2F2" w:themeFill="background1" w:themeFillShade="F2"/>
            <w:textDirection w:val="btLr"/>
          </w:tcPr>
          <w:p w14:paraId="5DD5CB97" w14:textId="77777777" w:rsidR="00E841AF" w:rsidRPr="00E841AF" w:rsidRDefault="00E841AF" w:rsidP="00E841AF">
            <w:pPr>
              <w:pStyle w:val="TableText"/>
              <w:jc w:val="center"/>
              <w:rPr>
                <w:b/>
                <w:bCs/>
              </w:rPr>
            </w:pPr>
            <w:r w:rsidRPr="00E841AF">
              <w:rPr>
                <w:b/>
                <w:bCs/>
              </w:rPr>
              <w:t>System conditions</w:t>
            </w:r>
          </w:p>
        </w:tc>
        <w:tc>
          <w:tcPr>
            <w:tcW w:w="1276" w:type="dxa"/>
            <w:shd w:val="clear" w:color="auto" w:fill="F2F2F2" w:themeFill="background1" w:themeFillShade="F2"/>
            <w:vAlign w:val="center"/>
          </w:tcPr>
          <w:p w14:paraId="6DF03F29" w14:textId="77777777" w:rsidR="00E841AF" w:rsidRPr="00E841AF" w:rsidRDefault="00E841AF" w:rsidP="00E841AF">
            <w:pPr>
              <w:pStyle w:val="TableText"/>
              <w:jc w:val="center"/>
              <w:rPr>
                <w:b/>
                <w:bCs/>
              </w:rPr>
            </w:pPr>
          </w:p>
          <w:p w14:paraId="34B409E5" w14:textId="77777777" w:rsidR="00E841AF" w:rsidRPr="00E841AF" w:rsidRDefault="00E841AF" w:rsidP="00E841AF">
            <w:pPr>
              <w:pStyle w:val="TableText"/>
              <w:jc w:val="center"/>
              <w:rPr>
                <w:b/>
                <w:bCs/>
              </w:rPr>
            </w:pPr>
            <w:r w:rsidRPr="00E841AF">
              <w:rPr>
                <w:b/>
                <w:bCs/>
              </w:rPr>
              <w:t>Designing</w:t>
            </w:r>
          </w:p>
        </w:tc>
        <w:tc>
          <w:tcPr>
            <w:tcW w:w="3260" w:type="dxa"/>
            <w:shd w:val="clear" w:color="auto" w:fill="FFFFFF" w:themeFill="background1"/>
          </w:tcPr>
          <w:p w14:paraId="79EC75B9" w14:textId="77777777" w:rsidR="00E841AF" w:rsidRPr="003A6A50" w:rsidRDefault="00E841AF" w:rsidP="00E841AF">
            <w:pPr>
              <w:pStyle w:val="Tablebulletx"/>
              <w:rPr>
                <w:lang w:eastAsia="en-NZ"/>
              </w:rPr>
            </w:pPr>
            <w:r>
              <w:rPr>
                <w:lang w:eastAsia="en-NZ"/>
              </w:rPr>
              <w:t>Have c</w:t>
            </w:r>
            <w:r w:rsidRPr="003A6A50">
              <w:rPr>
                <w:lang w:eastAsia="en-NZ"/>
              </w:rPr>
              <w:t>lear legal frameworks for:</w:t>
            </w:r>
          </w:p>
          <w:p w14:paraId="7F6D2ABF" w14:textId="77777777" w:rsidR="00E841AF" w:rsidRPr="003A6A50" w:rsidRDefault="00E841AF" w:rsidP="00E841AF">
            <w:pPr>
              <w:pStyle w:val="Tablebulletx2"/>
              <w:rPr>
                <w:lang w:eastAsia="en-NZ"/>
              </w:rPr>
            </w:pPr>
            <w:r w:rsidRPr="003A6A50">
              <w:rPr>
                <w:lang w:eastAsia="en-NZ"/>
              </w:rPr>
              <w:t>joint commissioning</w:t>
            </w:r>
          </w:p>
          <w:p w14:paraId="1A0DDAFF" w14:textId="77777777" w:rsidR="00E841AF" w:rsidRPr="003A6A50" w:rsidRDefault="00E841AF" w:rsidP="00E841AF">
            <w:pPr>
              <w:pStyle w:val="Tablebulletx2"/>
              <w:rPr>
                <w:lang w:eastAsia="en-NZ"/>
              </w:rPr>
            </w:pPr>
            <w:r w:rsidRPr="003A6A50">
              <w:rPr>
                <w:lang w:eastAsia="en-NZ"/>
              </w:rPr>
              <w:t>pooling budgets</w:t>
            </w:r>
          </w:p>
          <w:p w14:paraId="20973AFC" w14:textId="77777777" w:rsidR="00E841AF" w:rsidRPr="003A6A50" w:rsidRDefault="00E841AF" w:rsidP="00E841AF">
            <w:pPr>
              <w:pStyle w:val="Tablebulletx2"/>
              <w:rPr>
                <w:lang w:eastAsia="en-NZ"/>
              </w:rPr>
            </w:pPr>
            <w:r w:rsidRPr="003A6A50">
              <w:rPr>
                <w:lang w:eastAsia="en-NZ"/>
              </w:rPr>
              <w:t>flexible use of budgets</w:t>
            </w:r>
            <w:r>
              <w:rPr>
                <w:lang w:eastAsia="en-NZ"/>
              </w:rPr>
              <w:t>.</w:t>
            </w:r>
          </w:p>
          <w:p w14:paraId="64BEA0EC" w14:textId="46F5CF7C" w:rsidR="00E841AF" w:rsidRPr="003A6A50" w:rsidRDefault="009F0B6B" w:rsidP="00E841AF">
            <w:pPr>
              <w:pStyle w:val="Tablebulletx"/>
              <w:rPr>
                <w:color w:val="996633"/>
              </w:rPr>
            </w:pPr>
            <w:r>
              <w:rPr>
                <w:lang w:eastAsia="en-NZ"/>
              </w:rPr>
              <w:t>Incentives</w:t>
            </w:r>
            <w:r w:rsidR="00E841AF" w:rsidRPr="003A6A50">
              <w:rPr>
                <w:lang w:eastAsia="en-NZ"/>
              </w:rPr>
              <w:t xml:space="preserve"> align with commissioning aims</w:t>
            </w:r>
            <w:r w:rsidR="00E841AF">
              <w:rPr>
                <w:lang w:eastAsia="en-NZ"/>
              </w:rPr>
              <w:t>.</w:t>
            </w:r>
          </w:p>
        </w:tc>
        <w:tc>
          <w:tcPr>
            <w:tcW w:w="3260" w:type="dxa"/>
            <w:shd w:val="clear" w:color="auto" w:fill="FFFFFF" w:themeFill="background1"/>
          </w:tcPr>
          <w:p w14:paraId="0030739A" w14:textId="77777777" w:rsidR="00E841AF" w:rsidRPr="003A6A50" w:rsidRDefault="00E841AF" w:rsidP="00E841AF">
            <w:pPr>
              <w:pStyle w:val="Tablebulletx"/>
              <w:rPr>
                <w:lang w:eastAsia="en-NZ"/>
              </w:rPr>
            </w:pPr>
            <w:r>
              <w:rPr>
                <w:lang w:eastAsia="en-NZ"/>
              </w:rPr>
              <w:t>Have c</w:t>
            </w:r>
            <w:r w:rsidRPr="003A6A50">
              <w:rPr>
                <w:lang w:eastAsia="en-NZ"/>
              </w:rPr>
              <w:t>lear roles and responsibilities</w:t>
            </w:r>
            <w:r>
              <w:rPr>
                <w:lang w:eastAsia="en-NZ"/>
              </w:rPr>
              <w:t>.</w:t>
            </w:r>
          </w:p>
          <w:p w14:paraId="7CFC8966" w14:textId="15B997CE" w:rsidR="00E841AF" w:rsidRPr="00E841AF" w:rsidRDefault="00E841AF" w:rsidP="00E841AF">
            <w:pPr>
              <w:pStyle w:val="Tablebulletx"/>
              <w:rPr>
                <w:lang w:eastAsia="en-NZ"/>
              </w:rPr>
            </w:pPr>
            <w:r>
              <w:rPr>
                <w:lang w:eastAsia="en-NZ"/>
              </w:rPr>
              <w:t>Have e</w:t>
            </w:r>
            <w:r w:rsidRPr="003A6A50">
              <w:rPr>
                <w:lang w:eastAsia="en-NZ"/>
              </w:rPr>
              <w:t>nabling governance structures</w:t>
            </w:r>
            <w:r>
              <w:rPr>
                <w:lang w:eastAsia="en-NZ"/>
              </w:rPr>
              <w:t>.</w:t>
            </w:r>
          </w:p>
        </w:tc>
      </w:tr>
      <w:tr w:rsidR="00E841AF" w:rsidRPr="003A6A50" w14:paraId="58AD376B" w14:textId="77777777" w:rsidTr="006E0D58">
        <w:trPr>
          <w:trHeight w:val="390"/>
        </w:trPr>
        <w:tc>
          <w:tcPr>
            <w:tcW w:w="568" w:type="dxa"/>
            <w:vMerge/>
            <w:shd w:val="clear" w:color="auto" w:fill="F2F2F2" w:themeFill="background1" w:themeFillShade="F2"/>
          </w:tcPr>
          <w:p w14:paraId="700A7E08" w14:textId="77777777" w:rsidR="00E841AF" w:rsidRPr="00E841AF" w:rsidRDefault="00E841AF" w:rsidP="00E841AF">
            <w:pPr>
              <w:pStyle w:val="TableText"/>
              <w:jc w:val="center"/>
              <w:rPr>
                <w:b/>
                <w:bCs/>
              </w:rPr>
            </w:pPr>
          </w:p>
        </w:tc>
        <w:tc>
          <w:tcPr>
            <w:tcW w:w="1276" w:type="dxa"/>
            <w:shd w:val="clear" w:color="auto" w:fill="F2F2F2" w:themeFill="background1" w:themeFillShade="F2"/>
            <w:vAlign w:val="center"/>
          </w:tcPr>
          <w:p w14:paraId="5D91E5ED" w14:textId="77777777" w:rsidR="00E841AF" w:rsidRPr="00E841AF" w:rsidRDefault="00E841AF" w:rsidP="00E841AF">
            <w:pPr>
              <w:pStyle w:val="TableText"/>
              <w:jc w:val="center"/>
              <w:rPr>
                <w:b/>
                <w:bCs/>
              </w:rPr>
            </w:pPr>
            <w:r w:rsidRPr="00E841AF">
              <w:rPr>
                <w:b/>
                <w:bCs/>
              </w:rPr>
              <w:t>Delivering</w:t>
            </w:r>
          </w:p>
        </w:tc>
        <w:tc>
          <w:tcPr>
            <w:tcW w:w="3260" w:type="dxa"/>
            <w:shd w:val="clear" w:color="auto" w:fill="FFFFFF" w:themeFill="background1"/>
          </w:tcPr>
          <w:p w14:paraId="412E9A07" w14:textId="565B6FD4" w:rsidR="00E841AF" w:rsidRPr="003A6A50" w:rsidRDefault="00E841AF" w:rsidP="00E841AF">
            <w:pPr>
              <w:pStyle w:val="Tablebulletx"/>
              <w:rPr>
                <w:lang w:eastAsia="en-NZ"/>
              </w:rPr>
            </w:pPr>
            <w:r w:rsidRPr="003A6A50">
              <w:rPr>
                <w:lang w:eastAsia="en-NZ"/>
              </w:rPr>
              <w:t xml:space="preserve">Address </w:t>
            </w:r>
            <w:r w:rsidR="002F555E">
              <w:rPr>
                <w:lang w:eastAsia="en-NZ"/>
              </w:rPr>
              <w:t xml:space="preserve">any </w:t>
            </w:r>
            <w:r w:rsidRPr="003A6A50">
              <w:rPr>
                <w:lang w:eastAsia="en-NZ"/>
              </w:rPr>
              <w:t xml:space="preserve">requirements that </w:t>
            </w:r>
            <w:r w:rsidR="002F555E">
              <w:rPr>
                <w:lang w:eastAsia="en-NZ"/>
              </w:rPr>
              <w:t xml:space="preserve">might </w:t>
            </w:r>
            <w:r w:rsidRPr="003A6A50">
              <w:rPr>
                <w:lang w:eastAsia="en-NZ"/>
              </w:rPr>
              <w:t>prevent cooperation between providers</w:t>
            </w:r>
            <w:r>
              <w:rPr>
                <w:lang w:eastAsia="en-NZ"/>
              </w:rPr>
              <w:t>.</w:t>
            </w:r>
          </w:p>
          <w:p w14:paraId="33D7CBB8" w14:textId="77777777" w:rsidR="00E841AF" w:rsidRPr="003A6A50" w:rsidRDefault="00E841AF" w:rsidP="00E841AF">
            <w:pPr>
              <w:pStyle w:val="Tablebulletx"/>
              <w:rPr>
                <w:lang w:eastAsia="en-NZ"/>
              </w:rPr>
            </w:pPr>
            <w:r w:rsidRPr="003A6A50">
              <w:rPr>
                <w:lang w:eastAsia="en-NZ"/>
              </w:rPr>
              <w:t>Assess barriers to:</w:t>
            </w:r>
          </w:p>
          <w:p w14:paraId="78AF2F20" w14:textId="77777777" w:rsidR="00E841AF" w:rsidRPr="003A6A50" w:rsidRDefault="00E841AF" w:rsidP="00E841AF">
            <w:pPr>
              <w:pStyle w:val="Tablebulletx2"/>
              <w:rPr>
                <w:lang w:eastAsia="en-NZ"/>
              </w:rPr>
            </w:pPr>
            <w:r w:rsidRPr="003A6A50">
              <w:rPr>
                <w:lang w:eastAsia="en-NZ"/>
              </w:rPr>
              <w:t>entry for potential Māori health providers</w:t>
            </w:r>
          </w:p>
          <w:p w14:paraId="73AFE44B" w14:textId="42EC7CCC" w:rsidR="00E841AF" w:rsidRPr="003A6A50" w:rsidRDefault="00E841AF" w:rsidP="00E841AF">
            <w:pPr>
              <w:pStyle w:val="Tablebulletx2"/>
              <w:rPr>
                <w:lang w:eastAsia="en-NZ"/>
              </w:rPr>
            </w:pPr>
            <w:r w:rsidRPr="003A6A50">
              <w:rPr>
                <w:lang w:eastAsia="en-NZ"/>
              </w:rPr>
              <w:t>funding</w:t>
            </w:r>
            <w:r>
              <w:rPr>
                <w:lang w:eastAsia="en-NZ"/>
              </w:rPr>
              <w:t xml:space="preserve"> and </w:t>
            </w:r>
            <w:r w:rsidRPr="003A6A50">
              <w:rPr>
                <w:lang w:eastAsia="en-NZ"/>
              </w:rPr>
              <w:t>tendering for kaupapa</w:t>
            </w:r>
            <w:r>
              <w:rPr>
                <w:lang w:eastAsia="en-NZ"/>
              </w:rPr>
              <w:t xml:space="preserve"> Māori services</w:t>
            </w:r>
            <w:r w:rsidR="007329F4">
              <w:rPr>
                <w:lang w:eastAsia="en-NZ"/>
              </w:rPr>
              <w:t>.</w:t>
            </w:r>
          </w:p>
        </w:tc>
        <w:tc>
          <w:tcPr>
            <w:tcW w:w="3260" w:type="dxa"/>
            <w:shd w:val="clear" w:color="auto" w:fill="FFFFFF" w:themeFill="background1"/>
          </w:tcPr>
          <w:p w14:paraId="3DD6133F" w14:textId="3FECE4E2" w:rsidR="00E841AF" w:rsidRPr="003A6A50" w:rsidRDefault="007329F4" w:rsidP="00E841AF">
            <w:pPr>
              <w:pStyle w:val="Tablebulletx"/>
            </w:pPr>
            <w:r>
              <w:t>I</w:t>
            </w:r>
            <w:r w:rsidR="00E841AF" w:rsidRPr="003A6A50">
              <w:t>ntegrat</w:t>
            </w:r>
            <w:r>
              <w:t>e services</w:t>
            </w:r>
            <w:r w:rsidR="00E841AF" w:rsidRPr="003A6A50">
              <w:t xml:space="preserve"> and collaborat</w:t>
            </w:r>
            <w:r>
              <w:t>e strategically</w:t>
            </w:r>
            <w:r w:rsidR="00E841AF" w:rsidRPr="003A6A50">
              <w:t xml:space="preserve"> across health and social sector agencies</w:t>
            </w:r>
            <w:r w:rsidR="00E841AF">
              <w:t>.</w:t>
            </w:r>
          </w:p>
        </w:tc>
      </w:tr>
      <w:tr w:rsidR="00E841AF" w:rsidRPr="003A6A50" w14:paraId="602A3309" w14:textId="77777777" w:rsidTr="006E0D58">
        <w:trPr>
          <w:trHeight w:val="1623"/>
        </w:trPr>
        <w:tc>
          <w:tcPr>
            <w:tcW w:w="568" w:type="dxa"/>
            <w:vMerge/>
            <w:shd w:val="clear" w:color="auto" w:fill="F2F2F2" w:themeFill="background1" w:themeFillShade="F2"/>
          </w:tcPr>
          <w:p w14:paraId="0833F46B" w14:textId="77777777" w:rsidR="00E841AF" w:rsidRPr="00E841AF" w:rsidRDefault="00E841AF" w:rsidP="00E841AF">
            <w:pPr>
              <w:pStyle w:val="TableText"/>
              <w:jc w:val="center"/>
              <w:rPr>
                <w:b/>
                <w:bCs/>
              </w:rPr>
            </w:pPr>
          </w:p>
        </w:tc>
        <w:tc>
          <w:tcPr>
            <w:tcW w:w="1276" w:type="dxa"/>
            <w:shd w:val="clear" w:color="auto" w:fill="F2F2F2" w:themeFill="background1" w:themeFillShade="F2"/>
            <w:vAlign w:val="center"/>
          </w:tcPr>
          <w:p w14:paraId="4C34599A" w14:textId="77777777" w:rsidR="00E841AF" w:rsidRPr="00E841AF" w:rsidRDefault="00E841AF" w:rsidP="00E841AF">
            <w:pPr>
              <w:pStyle w:val="TableText"/>
              <w:jc w:val="center"/>
              <w:rPr>
                <w:b/>
                <w:bCs/>
              </w:rPr>
            </w:pPr>
            <w:r w:rsidRPr="00E841AF">
              <w:rPr>
                <w:b/>
                <w:bCs/>
              </w:rPr>
              <w:t>Measuring</w:t>
            </w:r>
          </w:p>
        </w:tc>
        <w:tc>
          <w:tcPr>
            <w:tcW w:w="3260" w:type="dxa"/>
            <w:shd w:val="clear" w:color="auto" w:fill="FFFFFF" w:themeFill="background1"/>
          </w:tcPr>
          <w:p w14:paraId="0F5E53A6" w14:textId="77777777" w:rsidR="00E841AF" w:rsidRPr="003A6A50" w:rsidRDefault="00E841AF" w:rsidP="00E841AF">
            <w:pPr>
              <w:pStyle w:val="Tablebulletx"/>
            </w:pPr>
            <w:r>
              <w:t>Have c</w:t>
            </w:r>
            <w:r w:rsidRPr="003A6A50">
              <w:t>ommon performance measures that drive continuous improvement at the system and provider level</w:t>
            </w:r>
            <w:r>
              <w:t>s.</w:t>
            </w:r>
          </w:p>
          <w:p w14:paraId="30BBAD98" w14:textId="0489EF49" w:rsidR="00E841AF" w:rsidRPr="003A6A50" w:rsidRDefault="007329F4" w:rsidP="00E841AF">
            <w:pPr>
              <w:pStyle w:val="Tablebulletx"/>
            </w:pPr>
            <w:r>
              <w:t xml:space="preserve">Use </w:t>
            </w:r>
            <w:r w:rsidR="00497EF6">
              <w:t>c</w:t>
            </w:r>
            <w:r w:rsidR="00497EF6" w:rsidRPr="003A6A50">
              <w:t xml:space="preserve">ommon </w:t>
            </w:r>
            <w:r w:rsidRPr="003A6A50">
              <w:t xml:space="preserve">strengths-based </w:t>
            </w:r>
            <w:r w:rsidR="00E841AF" w:rsidRPr="003A6A50">
              <w:t>outcome measures</w:t>
            </w:r>
            <w:r>
              <w:t>.</w:t>
            </w:r>
            <w:r w:rsidR="00E841AF" w:rsidRPr="003A6A50">
              <w:t xml:space="preserve"> (</w:t>
            </w:r>
            <w:r>
              <w:t>A</w:t>
            </w:r>
            <w:r w:rsidR="00E841AF" w:rsidRPr="003A6A50">
              <w:t xml:space="preserve"> capability approach is enabling, </w:t>
            </w:r>
            <w:r>
              <w:t>whereas</w:t>
            </w:r>
            <w:r w:rsidRPr="003A6A50">
              <w:t xml:space="preserve"> </w:t>
            </w:r>
            <w:r w:rsidR="00E841AF" w:rsidRPr="003A6A50">
              <w:t>historic</w:t>
            </w:r>
            <w:r w:rsidR="00E841AF">
              <w:t>al</w:t>
            </w:r>
            <w:r w:rsidR="00E841AF" w:rsidRPr="003A6A50">
              <w:t xml:space="preserve"> deficit reporting stigmatis</w:t>
            </w:r>
            <w:r>
              <w:t>es</w:t>
            </w:r>
            <w:r w:rsidR="00E841AF" w:rsidRPr="003A6A50">
              <w:t xml:space="preserve"> some groups</w:t>
            </w:r>
            <w:r>
              <w:t>.</w:t>
            </w:r>
            <w:r w:rsidR="00E841AF" w:rsidRPr="003A6A50">
              <w:t>)</w:t>
            </w:r>
          </w:p>
        </w:tc>
        <w:tc>
          <w:tcPr>
            <w:tcW w:w="3260" w:type="dxa"/>
            <w:shd w:val="clear" w:color="auto" w:fill="FFFFFF" w:themeFill="background1"/>
          </w:tcPr>
          <w:p w14:paraId="2AFF7317" w14:textId="77777777" w:rsidR="00E841AF" w:rsidRPr="003A6A50" w:rsidRDefault="00E841AF" w:rsidP="00E841AF">
            <w:pPr>
              <w:pStyle w:val="Tablebulletx"/>
            </w:pPr>
            <w:r w:rsidRPr="003A6A50">
              <w:t>Us</w:t>
            </w:r>
            <w:r>
              <w:t>e</w:t>
            </w:r>
            <w:r w:rsidRPr="003A6A50">
              <w:t xml:space="preserve"> common performance and outcome measures across agencies</w:t>
            </w:r>
            <w:r>
              <w:t>.</w:t>
            </w:r>
          </w:p>
          <w:p w14:paraId="24EF0F26" w14:textId="2185764B" w:rsidR="00E841AF" w:rsidRPr="003A6A50" w:rsidRDefault="00E841AF" w:rsidP="00E841AF">
            <w:pPr>
              <w:pStyle w:val="Tablebulletx"/>
            </w:pPr>
            <w:r w:rsidRPr="003A6A50">
              <w:t xml:space="preserve">Develop measures </w:t>
            </w:r>
            <w:r w:rsidR="00DE30AD">
              <w:t xml:space="preserve">for </w:t>
            </w:r>
            <w:r w:rsidRPr="003A6A50">
              <w:t xml:space="preserve">the ‘big shifts’ </w:t>
            </w:r>
            <w:r>
              <w:t>that commissioning is seeking</w:t>
            </w:r>
            <w:r w:rsidR="007329F4">
              <w:t>.</w:t>
            </w:r>
            <w:r w:rsidR="00DC1A6B">
              <w:t xml:space="preserve"> This</w:t>
            </w:r>
            <w:r>
              <w:t xml:space="preserve"> </w:t>
            </w:r>
            <w:r w:rsidR="0081136C">
              <w:t>can move</w:t>
            </w:r>
            <w:r>
              <w:t xml:space="preserve"> </w:t>
            </w:r>
            <w:r w:rsidRPr="003A6A50">
              <w:t>funding and resources to prevention and capability building</w:t>
            </w:r>
            <w:r w:rsidR="0081136C">
              <w:t xml:space="preserve"> </w:t>
            </w:r>
            <w:r w:rsidRPr="003A6A50">
              <w:t xml:space="preserve">as </w:t>
            </w:r>
            <w:r w:rsidR="009F2AA3">
              <w:t>key contributors</w:t>
            </w:r>
            <w:r w:rsidRPr="003A6A50">
              <w:t xml:space="preserve"> to improved equity of outcomes.</w:t>
            </w:r>
          </w:p>
          <w:p w14:paraId="0224FDD3" w14:textId="77777777" w:rsidR="00E841AF" w:rsidRPr="003A6A50" w:rsidRDefault="00E841AF" w:rsidP="00E841AF">
            <w:pPr>
              <w:pStyle w:val="Tablebulletx"/>
            </w:pPr>
            <w:r w:rsidRPr="003A6A50">
              <w:t>Measur</w:t>
            </w:r>
            <w:r>
              <w:t>e</w:t>
            </w:r>
            <w:r w:rsidRPr="003A6A50">
              <w:t xml:space="preserve"> the cost of late action, or avoidable costs, to assess overall system performance.</w:t>
            </w:r>
          </w:p>
        </w:tc>
      </w:tr>
    </w:tbl>
    <w:p w14:paraId="738C5123" w14:textId="77777777" w:rsidR="00E841AF" w:rsidRDefault="00E841AF" w:rsidP="00E841AF"/>
    <w:p w14:paraId="43A30501" w14:textId="0A5BFFD9" w:rsidR="00E35F5A" w:rsidRPr="00E35F5A" w:rsidRDefault="00E35F5A" w:rsidP="00E35F5A">
      <w:pPr>
        <w:pStyle w:val="Heading1-nonumbering"/>
        <w:rPr>
          <w:color w:val="EC643C"/>
        </w:rPr>
      </w:pPr>
      <w:bookmarkStart w:id="52" w:name="_Toc107582592"/>
      <w:bookmarkStart w:id="53" w:name="_Toc124933844"/>
      <w:bookmarkStart w:id="54" w:name="_Hlk69112506"/>
      <w:r w:rsidRPr="00E35F5A">
        <w:rPr>
          <w:color w:val="EC643C"/>
        </w:rPr>
        <w:lastRenderedPageBreak/>
        <w:t>References</w:t>
      </w:r>
      <w:bookmarkEnd w:id="52"/>
      <w:bookmarkEnd w:id="53"/>
    </w:p>
    <w:p w14:paraId="1091D5A4" w14:textId="4C03E9F7" w:rsidR="00E35F5A" w:rsidRDefault="00E35F5A" w:rsidP="00E35F5A">
      <w:pPr>
        <w:pStyle w:val="NormalwIndent"/>
        <w:spacing w:line="240" w:lineRule="auto"/>
        <w:rPr>
          <w:rStyle w:val="CommentReference"/>
          <w:sz w:val="21"/>
          <w:szCs w:val="21"/>
        </w:rPr>
      </w:pPr>
      <w:r w:rsidRPr="0026484B">
        <w:rPr>
          <w:rStyle w:val="CommentReference"/>
          <w:sz w:val="21"/>
          <w:szCs w:val="21"/>
        </w:rPr>
        <w:t xml:space="preserve">Bolz-Johnson M, Meek J, Hoogerbrugge N. 2020. Patient </w:t>
      </w:r>
      <w:r w:rsidR="007614BC">
        <w:rPr>
          <w:rStyle w:val="CommentReference"/>
          <w:sz w:val="21"/>
          <w:szCs w:val="21"/>
        </w:rPr>
        <w:t>j</w:t>
      </w:r>
      <w:r w:rsidRPr="0026484B">
        <w:rPr>
          <w:rStyle w:val="CommentReference"/>
          <w:sz w:val="21"/>
          <w:szCs w:val="21"/>
        </w:rPr>
        <w:t>ourneys: improving care by patient involvement.</w:t>
      </w:r>
      <w:r w:rsidR="007614BC">
        <w:rPr>
          <w:rStyle w:val="CommentReference"/>
          <w:sz w:val="21"/>
          <w:szCs w:val="21"/>
        </w:rPr>
        <w:t xml:space="preserve"> </w:t>
      </w:r>
      <w:r w:rsidRPr="00CC4942">
        <w:rPr>
          <w:rStyle w:val="CommentReference"/>
          <w:i/>
          <w:iCs/>
          <w:sz w:val="21"/>
          <w:szCs w:val="21"/>
        </w:rPr>
        <w:t>European Journal of Human Genetics</w:t>
      </w:r>
      <w:r w:rsidR="007614BC">
        <w:rPr>
          <w:rStyle w:val="CommentReference"/>
          <w:sz w:val="21"/>
          <w:szCs w:val="21"/>
        </w:rPr>
        <w:t xml:space="preserve"> </w:t>
      </w:r>
      <w:r w:rsidRPr="0026484B">
        <w:rPr>
          <w:rStyle w:val="CommentReference"/>
          <w:sz w:val="21"/>
          <w:szCs w:val="21"/>
        </w:rPr>
        <w:t xml:space="preserve">28: 141–3. </w:t>
      </w:r>
      <w:r w:rsidR="007614BC">
        <w:rPr>
          <w:rStyle w:val="CommentReference"/>
          <w:sz w:val="21"/>
          <w:szCs w:val="21"/>
        </w:rPr>
        <w:t>DOI</w:t>
      </w:r>
      <w:r w:rsidRPr="0026484B">
        <w:rPr>
          <w:rStyle w:val="CommentReference"/>
          <w:sz w:val="21"/>
          <w:szCs w:val="21"/>
        </w:rPr>
        <w:t xml:space="preserve">: </w:t>
      </w:r>
      <w:hyperlink r:id="rId32" w:history="1">
        <w:r w:rsidRPr="0026484B">
          <w:rPr>
            <w:rStyle w:val="CommentReference"/>
            <w:sz w:val="21"/>
            <w:szCs w:val="21"/>
            <w:u w:val="single"/>
          </w:rPr>
          <w:t>10.1038/s41431-019-0555-6</w:t>
        </w:r>
      </w:hyperlink>
      <w:r w:rsidRPr="0026484B">
        <w:rPr>
          <w:rStyle w:val="CommentReference"/>
          <w:sz w:val="21"/>
          <w:szCs w:val="21"/>
        </w:rPr>
        <w:t xml:space="preserve"> </w:t>
      </w:r>
      <w:r w:rsidR="007614BC">
        <w:rPr>
          <w:rStyle w:val="CommentReference"/>
          <w:sz w:val="21"/>
          <w:szCs w:val="21"/>
        </w:rPr>
        <w:t>(accessed 15 September 2022).</w:t>
      </w:r>
    </w:p>
    <w:p w14:paraId="65667937" w14:textId="13AA90FF" w:rsidR="0006109D" w:rsidRDefault="0006109D" w:rsidP="00E35F5A">
      <w:pPr>
        <w:pStyle w:val="NormalwIndent"/>
        <w:spacing w:line="240" w:lineRule="auto"/>
        <w:rPr>
          <w:bCs w:val="0"/>
        </w:rPr>
      </w:pPr>
      <w:r>
        <w:t>Connell JP, Kubisch AC. 1998.</w:t>
      </w:r>
      <w:r w:rsidR="00161174" w:rsidRPr="00CC4942">
        <w:rPr>
          <w:bCs w:val="0"/>
          <w:i/>
          <w:iCs/>
        </w:rPr>
        <w:t xml:space="preserve"> Applying a Theory of Change Approach to the Evaluation of Comprehensive Community Initiatives: Progress, </w:t>
      </w:r>
      <w:r w:rsidR="007614BC" w:rsidRPr="00CC4942">
        <w:rPr>
          <w:bCs w:val="0"/>
          <w:i/>
          <w:iCs/>
        </w:rPr>
        <w:t>p</w:t>
      </w:r>
      <w:r w:rsidR="00161174" w:rsidRPr="00CC4942">
        <w:rPr>
          <w:bCs w:val="0"/>
          <w:i/>
          <w:iCs/>
        </w:rPr>
        <w:t xml:space="preserve">rospects, and </w:t>
      </w:r>
      <w:r w:rsidR="007614BC" w:rsidRPr="00CC4942">
        <w:rPr>
          <w:bCs w:val="0"/>
          <w:i/>
          <w:iCs/>
        </w:rPr>
        <w:t>p</w:t>
      </w:r>
      <w:r w:rsidR="00161174" w:rsidRPr="00CC4942">
        <w:rPr>
          <w:bCs w:val="0"/>
          <w:i/>
          <w:iCs/>
        </w:rPr>
        <w:t>roblems</w:t>
      </w:r>
      <w:r w:rsidR="00161174">
        <w:rPr>
          <w:bCs w:val="0"/>
        </w:rPr>
        <w:t>.</w:t>
      </w:r>
      <w:r w:rsidR="005208CA">
        <w:rPr>
          <w:bCs w:val="0"/>
        </w:rPr>
        <w:t xml:space="preserve"> Washington, DC:</w:t>
      </w:r>
      <w:r w:rsidR="00161174">
        <w:rPr>
          <w:bCs w:val="0"/>
        </w:rPr>
        <w:t xml:space="preserve"> Aspen Institute.</w:t>
      </w:r>
    </w:p>
    <w:p w14:paraId="6AF54295" w14:textId="3A43E247" w:rsidR="00C04B0A" w:rsidRPr="00CC4942" w:rsidRDefault="00C04B0A" w:rsidP="00E35F5A">
      <w:pPr>
        <w:pStyle w:val="NormalwIndent"/>
        <w:spacing w:line="240" w:lineRule="auto"/>
      </w:pPr>
      <w:r>
        <w:rPr>
          <w:bCs w:val="0"/>
        </w:rPr>
        <w:t xml:space="preserve">de la Mata </w:t>
      </w:r>
      <w:r w:rsidR="00730087">
        <w:rPr>
          <w:bCs w:val="0"/>
        </w:rPr>
        <w:t>G</w:t>
      </w:r>
      <w:r>
        <w:rPr>
          <w:bCs w:val="0"/>
        </w:rPr>
        <w:t xml:space="preserve">. 2018. </w:t>
      </w:r>
      <w:r w:rsidR="00730087">
        <w:rPr>
          <w:bCs w:val="0"/>
        </w:rPr>
        <w:t>A tool to develop your theory of change</w:t>
      </w:r>
      <w:r w:rsidR="000A6D39">
        <w:rPr>
          <w:bCs w:val="0"/>
        </w:rPr>
        <w:t>:</w:t>
      </w:r>
      <w:r w:rsidR="00155589">
        <w:rPr>
          <w:bCs w:val="0"/>
        </w:rPr>
        <w:t xml:space="preserve"> Innovation for Social Change. URL: </w:t>
      </w:r>
      <w:hyperlink r:id="rId33" w:history="1">
        <w:r w:rsidR="00155589" w:rsidRPr="00CC4942">
          <w:rPr>
            <w:rStyle w:val="Hyperlink"/>
            <w:spacing w:val="-4"/>
            <w:szCs w:val="21"/>
          </w:rPr>
          <w:t>innovationforsocialchange.org/en/a-tool-to-develop-your-theory-of-change/</w:t>
        </w:r>
      </w:hyperlink>
      <w:r w:rsidR="00155589">
        <w:t xml:space="preserve"> (accessed 9 September 2022).</w:t>
      </w:r>
    </w:p>
    <w:p w14:paraId="45BD9D57" w14:textId="383ECCF4"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Doyle</w:t>
      </w:r>
      <w:r w:rsidR="007614BC">
        <w:rPr>
          <w:rStyle w:val="CommentReference"/>
          <w:sz w:val="21"/>
          <w:szCs w:val="21"/>
        </w:rPr>
        <w:t xml:space="preserve"> </w:t>
      </w:r>
      <w:r w:rsidRPr="0026484B">
        <w:rPr>
          <w:rStyle w:val="CommentReference"/>
          <w:sz w:val="21"/>
          <w:szCs w:val="21"/>
        </w:rPr>
        <w:t>C,</w:t>
      </w:r>
      <w:r w:rsidR="007614BC">
        <w:rPr>
          <w:rStyle w:val="CommentReference"/>
          <w:sz w:val="21"/>
          <w:szCs w:val="21"/>
        </w:rPr>
        <w:t xml:space="preserve"> </w:t>
      </w:r>
      <w:r w:rsidRPr="0026484B">
        <w:rPr>
          <w:rStyle w:val="CommentReference"/>
          <w:sz w:val="21"/>
          <w:szCs w:val="21"/>
        </w:rPr>
        <w:t>Lennox</w:t>
      </w:r>
      <w:r w:rsidR="007614BC">
        <w:rPr>
          <w:rStyle w:val="CommentReference"/>
          <w:sz w:val="21"/>
          <w:szCs w:val="21"/>
        </w:rPr>
        <w:t xml:space="preserve"> </w:t>
      </w:r>
      <w:r w:rsidRPr="0026484B">
        <w:rPr>
          <w:rStyle w:val="CommentReference"/>
          <w:sz w:val="21"/>
          <w:szCs w:val="21"/>
        </w:rPr>
        <w:t>L,</w:t>
      </w:r>
      <w:r w:rsidR="007614BC">
        <w:rPr>
          <w:rStyle w:val="CommentReference"/>
          <w:sz w:val="21"/>
          <w:szCs w:val="21"/>
        </w:rPr>
        <w:t xml:space="preserve"> </w:t>
      </w:r>
      <w:r w:rsidRPr="0026484B">
        <w:rPr>
          <w:rStyle w:val="CommentReference"/>
          <w:sz w:val="21"/>
          <w:szCs w:val="21"/>
        </w:rPr>
        <w:t>Bell</w:t>
      </w:r>
      <w:r w:rsidR="007614BC">
        <w:rPr>
          <w:rStyle w:val="CommentReference"/>
          <w:sz w:val="21"/>
          <w:szCs w:val="21"/>
        </w:rPr>
        <w:t xml:space="preserve"> </w:t>
      </w:r>
      <w:r w:rsidRPr="0026484B">
        <w:rPr>
          <w:rStyle w:val="CommentReference"/>
          <w:sz w:val="21"/>
          <w:szCs w:val="21"/>
        </w:rPr>
        <w:t xml:space="preserve">D. 2013. A systematic review of evidence on the links between patient experience and clinical safety and effectiveness. </w:t>
      </w:r>
      <w:r w:rsidRPr="00CC4942">
        <w:rPr>
          <w:rStyle w:val="CommentReference"/>
          <w:i/>
          <w:iCs/>
          <w:sz w:val="21"/>
          <w:szCs w:val="21"/>
        </w:rPr>
        <w:t>BMJ Open</w:t>
      </w:r>
      <w:r w:rsidRPr="0026484B">
        <w:rPr>
          <w:rStyle w:val="CommentReference"/>
          <w:sz w:val="21"/>
          <w:szCs w:val="21"/>
        </w:rPr>
        <w:t xml:space="preserve"> 3(1). </w:t>
      </w:r>
      <w:r w:rsidR="00FE1C07">
        <w:rPr>
          <w:rStyle w:val="CommentReference"/>
          <w:sz w:val="21"/>
          <w:szCs w:val="21"/>
        </w:rPr>
        <w:t>DOI</w:t>
      </w:r>
      <w:r w:rsidRPr="0026484B">
        <w:rPr>
          <w:rStyle w:val="CommentReference"/>
          <w:sz w:val="21"/>
          <w:szCs w:val="21"/>
        </w:rPr>
        <w:t xml:space="preserve">: </w:t>
      </w:r>
      <w:hyperlink r:id="rId34" w:tgtFrame="_new" w:history="1">
        <w:r w:rsidRPr="0026484B">
          <w:rPr>
            <w:rStyle w:val="CommentReference"/>
            <w:sz w:val="21"/>
            <w:szCs w:val="21"/>
            <w:u w:val="single"/>
          </w:rPr>
          <w:t>10.1136/bmjopen-2012-001570</w:t>
        </w:r>
      </w:hyperlink>
      <w:r w:rsidRPr="0026484B">
        <w:rPr>
          <w:rStyle w:val="CommentReference"/>
          <w:sz w:val="21"/>
          <w:szCs w:val="21"/>
        </w:rPr>
        <w:t xml:space="preserve"> </w:t>
      </w:r>
      <w:r w:rsidR="00FE1C07">
        <w:rPr>
          <w:rStyle w:val="CommentReference"/>
          <w:sz w:val="21"/>
          <w:szCs w:val="21"/>
        </w:rPr>
        <w:t>(accessed 15 September 2022).</w:t>
      </w:r>
    </w:p>
    <w:p w14:paraId="1649E541" w14:textId="25B4042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Fry J. 2022. Together </w:t>
      </w:r>
      <w:r w:rsidR="00FE1C07">
        <w:rPr>
          <w:rStyle w:val="CommentReference"/>
          <w:sz w:val="21"/>
          <w:szCs w:val="21"/>
        </w:rPr>
        <w:t>a</w:t>
      </w:r>
      <w:r w:rsidRPr="0026484B">
        <w:rPr>
          <w:rStyle w:val="CommentReference"/>
          <w:sz w:val="21"/>
          <w:szCs w:val="21"/>
        </w:rPr>
        <w:t xml:space="preserve">lone: </w:t>
      </w:r>
      <w:r w:rsidR="00FE1C07">
        <w:rPr>
          <w:rStyle w:val="CommentReference"/>
          <w:sz w:val="21"/>
          <w:szCs w:val="21"/>
        </w:rPr>
        <w:t>a</w:t>
      </w:r>
      <w:r w:rsidRPr="0026484B">
        <w:rPr>
          <w:rStyle w:val="CommentReference"/>
          <w:sz w:val="21"/>
          <w:szCs w:val="21"/>
        </w:rPr>
        <w:t xml:space="preserve"> review of joined-up social services. Wellington: Productivity Commission. URL: </w:t>
      </w:r>
      <w:hyperlink r:id="rId35" w:history="1">
        <w:r w:rsidRPr="0026484B">
          <w:rPr>
            <w:rStyle w:val="Hyperlink"/>
            <w:szCs w:val="21"/>
          </w:rPr>
          <w:t>productivity.govt.nz/inquiries/a-fair-chance-for-all/</w:t>
        </w:r>
      </w:hyperlink>
      <w:r w:rsidRPr="0026484B">
        <w:rPr>
          <w:rStyle w:val="CommentReference"/>
          <w:sz w:val="21"/>
          <w:szCs w:val="21"/>
        </w:rPr>
        <w:t xml:space="preserve"> (accessed 3 June 2022).</w:t>
      </w:r>
    </w:p>
    <w:p w14:paraId="2BECAF81" w14:textId="7777777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Goodwin S, Stears M, Riboldi M, et al. 2020. </w:t>
      </w:r>
      <w:r w:rsidRPr="00CC4942">
        <w:rPr>
          <w:rStyle w:val="CommentReference"/>
          <w:i/>
          <w:iCs/>
          <w:sz w:val="21"/>
          <w:szCs w:val="21"/>
        </w:rPr>
        <w:t>All Together: A new future for commissioning human services in New South Wales</w:t>
      </w:r>
      <w:r w:rsidRPr="0026484B">
        <w:rPr>
          <w:rStyle w:val="CommentReference"/>
          <w:sz w:val="21"/>
          <w:szCs w:val="21"/>
        </w:rPr>
        <w:t xml:space="preserve">. Sydney: Sydney Policy Lab, University of Sydney. </w:t>
      </w:r>
    </w:p>
    <w:p w14:paraId="3215A6E1" w14:textId="7777777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Gorski P. 2019. Avoiding racial equity detours. </w:t>
      </w:r>
      <w:r w:rsidRPr="00CC4942">
        <w:rPr>
          <w:rStyle w:val="CommentReference"/>
          <w:i/>
          <w:iCs/>
          <w:sz w:val="21"/>
          <w:szCs w:val="21"/>
        </w:rPr>
        <w:t>Educational Leadership</w:t>
      </w:r>
      <w:r w:rsidRPr="0026484B">
        <w:rPr>
          <w:rStyle w:val="CommentReference"/>
          <w:sz w:val="21"/>
          <w:szCs w:val="21"/>
        </w:rPr>
        <w:t xml:space="preserve"> 76(6): 56–61.</w:t>
      </w:r>
    </w:p>
    <w:p w14:paraId="0BBF7259" w14:textId="7C6E5B72"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Harris M, Gardner K, Powell Davies G, et al. 2015. </w:t>
      </w:r>
      <w:r w:rsidRPr="0070568A">
        <w:rPr>
          <w:rStyle w:val="CommentReference"/>
          <w:i/>
          <w:iCs/>
          <w:sz w:val="21"/>
          <w:szCs w:val="21"/>
        </w:rPr>
        <w:t>Commissioning Primary Health Care: An evidence base for best practice investment in chronic disease at the primary-acute interface</w:t>
      </w:r>
      <w:r w:rsidRPr="0026484B">
        <w:rPr>
          <w:rStyle w:val="CommentReference"/>
          <w:sz w:val="21"/>
          <w:szCs w:val="21"/>
        </w:rPr>
        <w:t xml:space="preserve">. </w:t>
      </w:r>
      <w:r w:rsidR="00BC533E">
        <w:rPr>
          <w:rStyle w:val="CommentReference"/>
          <w:sz w:val="21"/>
          <w:szCs w:val="21"/>
        </w:rPr>
        <w:t xml:space="preserve">Glebe, NSW: </w:t>
      </w:r>
      <w:r w:rsidRPr="0026484B">
        <w:rPr>
          <w:rStyle w:val="CommentReference"/>
          <w:sz w:val="21"/>
          <w:szCs w:val="21"/>
        </w:rPr>
        <w:t xml:space="preserve">Sax Institute. URL: </w:t>
      </w:r>
      <w:hyperlink r:id="rId36" w:history="1">
        <w:r w:rsidRPr="0026484B">
          <w:rPr>
            <w:rStyle w:val="CommentReference"/>
            <w:sz w:val="21"/>
            <w:szCs w:val="21"/>
            <w:u w:val="single"/>
          </w:rPr>
          <w:t>saxinstitute.org.au/wp-content/uploads/Commissioning-primary-health-care.pdf</w:t>
        </w:r>
      </w:hyperlink>
      <w:r w:rsidRPr="0026484B">
        <w:rPr>
          <w:rStyle w:val="CommentReference"/>
          <w:sz w:val="21"/>
          <w:szCs w:val="21"/>
        </w:rPr>
        <w:t xml:space="preserve"> (accessed 10 June 2022).</w:t>
      </w:r>
    </w:p>
    <w:p w14:paraId="7099B08C" w14:textId="74B782B6"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Health and Disability System Review. 2019. </w:t>
      </w:r>
      <w:r w:rsidRPr="0070568A">
        <w:rPr>
          <w:rStyle w:val="CommentReference"/>
          <w:i/>
          <w:iCs/>
          <w:sz w:val="21"/>
          <w:szCs w:val="21"/>
        </w:rPr>
        <w:t>Health and Disability System Review: Interim report. Hauora Manaaki ki Aotearoa Wh</w:t>
      </w:r>
      <w:r w:rsidRPr="0070568A">
        <w:rPr>
          <w:rStyle w:val="CommentReference"/>
          <w:rFonts w:hint="eastAsia"/>
          <w:i/>
          <w:iCs/>
          <w:sz w:val="21"/>
          <w:szCs w:val="21"/>
        </w:rPr>
        <w:t>ā</w:t>
      </w:r>
      <w:r w:rsidRPr="0070568A">
        <w:rPr>
          <w:rStyle w:val="CommentReference"/>
          <w:i/>
          <w:iCs/>
          <w:sz w:val="21"/>
          <w:szCs w:val="21"/>
        </w:rPr>
        <w:t xml:space="preserve">nui </w:t>
      </w:r>
      <w:r w:rsidR="000A6D39">
        <w:rPr>
          <w:rStyle w:val="CommentReference"/>
          <w:rFonts w:asciiTheme="minorHAnsi" w:hAnsiTheme="minorHAnsi" w:cstheme="minorHAnsi"/>
          <w:i/>
          <w:iCs/>
          <w:sz w:val="21"/>
          <w:szCs w:val="21"/>
        </w:rPr>
        <w:t>—</w:t>
      </w:r>
      <w:r w:rsidRPr="0070568A">
        <w:rPr>
          <w:rStyle w:val="CommentReference"/>
          <w:i/>
          <w:iCs/>
          <w:sz w:val="21"/>
          <w:szCs w:val="21"/>
        </w:rPr>
        <w:t xml:space="preserve"> P</w:t>
      </w:r>
      <w:r w:rsidRPr="0070568A">
        <w:rPr>
          <w:rStyle w:val="CommentReference"/>
          <w:rFonts w:hint="eastAsia"/>
          <w:i/>
          <w:iCs/>
          <w:sz w:val="21"/>
          <w:szCs w:val="21"/>
        </w:rPr>
        <w:t>ū</w:t>
      </w:r>
      <w:r w:rsidRPr="0070568A">
        <w:rPr>
          <w:rStyle w:val="CommentReference"/>
          <w:i/>
          <w:iCs/>
          <w:sz w:val="21"/>
          <w:szCs w:val="21"/>
        </w:rPr>
        <w:t>rongo m</w:t>
      </w:r>
      <w:r w:rsidRPr="0070568A">
        <w:rPr>
          <w:rStyle w:val="CommentReference"/>
          <w:rFonts w:hint="eastAsia"/>
          <w:i/>
          <w:iCs/>
          <w:sz w:val="21"/>
          <w:szCs w:val="21"/>
        </w:rPr>
        <w:t>ō</w:t>
      </w:r>
      <w:r w:rsidRPr="0070568A">
        <w:rPr>
          <w:rStyle w:val="CommentReference"/>
          <w:i/>
          <w:iCs/>
          <w:sz w:val="21"/>
          <w:szCs w:val="21"/>
        </w:rPr>
        <w:t xml:space="preserve"> T</w:t>
      </w:r>
      <w:r w:rsidRPr="0070568A">
        <w:rPr>
          <w:rStyle w:val="CommentReference"/>
          <w:rFonts w:hint="eastAsia"/>
          <w:i/>
          <w:iCs/>
          <w:sz w:val="21"/>
          <w:szCs w:val="21"/>
        </w:rPr>
        <w:t>ē</w:t>
      </w:r>
      <w:r w:rsidRPr="0070568A">
        <w:rPr>
          <w:rStyle w:val="CommentReference"/>
          <w:i/>
          <w:iCs/>
          <w:sz w:val="21"/>
          <w:szCs w:val="21"/>
        </w:rPr>
        <w:t>nei W</w:t>
      </w:r>
      <w:r w:rsidRPr="0070568A">
        <w:rPr>
          <w:rStyle w:val="CommentReference"/>
          <w:rFonts w:hint="eastAsia"/>
          <w:i/>
          <w:iCs/>
          <w:sz w:val="21"/>
          <w:szCs w:val="21"/>
        </w:rPr>
        <w:t>ā</w:t>
      </w:r>
      <w:r w:rsidRPr="0026484B">
        <w:rPr>
          <w:rStyle w:val="CommentReference"/>
          <w:sz w:val="21"/>
          <w:szCs w:val="21"/>
        </w:rPr>
        <w:t>. Wellington: Health and Disability System Review.</w:t>
      </w:r>
    </w:p>
    <w:p w14:paraId="5316E823" w14:textId="25B9C6C9"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Health Quality &amp; Safety Commission. 2019. </w:t>
      </w:r>
      <w:r w:rsidRPr="0070568A">
        <w:rPr>
          <w:rStyle w:val="CommentReference"/>
          <w:i/>
          <w:iCs/>
          <w:sz w:val="21"/>
          <w:szCs w:val="21"/>
        </w:rPr>
        <w:t xml:space="preserve">A Window on the Quality of Aotearoa New </w:t>
      </w:r>
      <w:r w:rsidR="008D1793" w:rsidRPr="0070568A">
        <w:rPr>
          <w:rStyle w:val="CommentReference"/>
          <w:i/>
          <w:iCs/>
          <w:sz w:val="21"/>
          <w:szCs w:val="21"/>
        </w:rPr>
        <w:t>Zealand</w:t>
      </w:r>
      <w:r w:rsidR="008D1793">
        <w:rPr>
          <w:rStyle w:val="CommentReference"/>
          <w:i/>
          <w:iCs/>
          <w:sz w:val="21"/>
          <w:szCs w:val="21"/>
        </w:rPr>
        <w:t>’</w:t>
      </w:r>
      <w:r w:rsidR="008D1793" w:rsidRPr="0070568A">
        <w:rPr>
          <w:rStyle w:val="CommentReference"/>
          <w:i/>
          <w:iCs/>
          <w:sz w:val="21"/>
          <w:szCs w:val="21"/>
        </w:rPr>
        <w:t xml:space="preserve">s </w:t>
      </w:r>
      <w:r w:rsidRPr="0070568A">
        <w:rPr>
          <w:rStyle w:val="CommentReference"/>
          <w:i/>
          <w:iCs/>
          <w:sz w:val="21"/>
          <w:szCs w:val="21"/>
        </w:rPr>
        <w:t>Health Care 2019. He matapihi ki te kounga o ng</w:t>
      </w:r>
      <w:r w:rsidRPr="0070568A">
        <w:rPr>
          <w:rStyle w:val="CommentReference"/>
          <w:rFonts w:hint="eastAsia"/>
          <w:i/>
          <w:iCs/>
          <w:sz w:val="21"/>
          <w:szCs w:val="21"/>
        </w:rPr>
        <w:t>ā</w:t>
      </w:r>
      <w:r w:rsidRPr="0070568A">
        <w:rPr>
          <w:rStyle w:val="CommentReference"/>
          <w:i/>
          <w:iCs/>
          <w:sz w:val="21"/>
          <w:szCs w:val="21"/>
        </w:rPr>
        <w:t xml:space="preserve"> manaakitanga </w:t>
      </w:r>
      <w:r w:rsidRPr="0070568A">
        <w:rPr>
          <w:rStyle w:val="CommentReference"/>
          <w:rFonts w:hint="eastAsia"/>
          <w:i/>
          <w:iCs/>
          <w:sz w:val="21"/>
          <w:szCs w:val="21"/>
        </w:rPr>
        <w:t>ā</w:t>
      </w:r>
      <w:r w:rsidRPr="0070568A">
        <w:rPr>
          <w:rStyle w:val="CommentReference"/>
          <w:i/>
          <w:iCs/>
          <w:sz w:val="21"/>
          <w:szCs w:val="21"/>
        </w:rPr>
        <w:t>-hauora o Aotearoa 2019</w:t>
      </w:r>
      <w:r w:rsidRPr="0026484B">
        <w:rPr>
          <w:rStyle w:val="CommentReference"/>
          <w:sz w:val="21"/>
          <w:szCs w:val="21"/>
        </w:rPr>
        <w:t>. Wellington: Health Quality &amp; Safety Commission.</w:t>
      </w:r>
    </w:p>
    <w:p w14:paraId="5013BCEA" w14:textId="4D9AC7EF" w:rsidR="003075A1" w:rsidRPr="0026484B" w:rsidDel="003075A1" w:rsidRDefault="003075A1" w:rsidP="00E35F5A">
      <w:pPr>
        <w:pStyle w:val="NormalwIndent"/>
        <w:spacing w:line="240" w:lineRule="auto"/>
        <w:rPr>
          <w:rStyle w:val="CommentReference"/>
          <w:sz w:val="21"/>
          <w:szCs w:val="21"/>
        </w:rPr>
      </w:pPr>
      <w:r>
        <w:t>Health Quality &amp; Safety Commission. 2022. Code of expectations for health entities’ engagement with consumers and wh</w:t>
      </w:r>
      <w:r>
        <w:rPr>
          <w:rFonts w:ascii="Calibri" w:hAnsi="Calibri" w:cs="Calibri"/>
        </w:rPr>
        <w:t>ā</w:t>
      </w:r>
      <w:r>
        <w:t>nau.</w:t>
      </w:r>
      <w:r w:rsidRPr="003075A1">
        <w:rPr>
          <w:rStyle w:val="CommentReference"/>
          <w:sz w:val="21"/>
          <w:szCs w:val="21"/>
        </w:rPr>
        <w:t xml:space="preserve"> </w:t>
      </w:r>
      <w:r w:rsidRPr="0026484B">
        <w:rPr>
          <w:rStyle w:val="CommentReference"/>
          <w:sz w:val="21"/>
          <w:szCs w:val="21"/>
        </w:rPr>
        <w:t>Wellington: Health Quality &amp; Safety Commission.</w:t>
      </w:r>
      <w:r>
        <w:t xml:space="preserve"> URL: </w:t>
      </w:r>
      <w:hyperlink r:id="rId37" w:history="1">
        <w:r w:rsidRPr="00B96AB6">
          <w:rPr>
            <w:rStyle w:val="Hyperlink"/>
          </w:rPr>
          <w:t>hqsc.govt.nz/consumer-hub/engaging-consumers-and-whanau/code-of-expectations-for-health-entities-engagement-with-consumers-and-whanau/</w:t>
        </w:r>
      </w:hyperlink>
      <w:r>
        <w:t xml:space="preserve"> (accessed 9 September 2022).</w:t>
      </w:r>
    </w:p>
    <w:p w14:paraId="6293CAB3" w14:textId="31530038"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Korman HTN, McNamee L, O’Keefe B. 2021. </w:t>
      </w:r>
      <w:r w:rsidRPr="0070568A">
        <w:rPr>
          <w:rStyle w:val="CommentReference"/>
          <w:i/>
          <w:iCs/>
          <w:sz w:val="21"/>
          <w:szCs w:val="21"/>
        </w:rPr>
        <w:t>Designing from the Margins: Tools and examples for practitioners to address fragmentation and build equity into systems design</w:t>
      </w:r>
      <w:r w:rsidRPr="0026484B">
        <w:rPr>
          <w:rStyle w:val="CommentReference"/>
          <w:sz w:val="21"/>
          <w:szCs w:val="21"/>
        </w:rPr>
        <w:t xml:space="preserve">. </w:t>
      </w:r>
      <w:r w:rsidR="002170B6">
        <w:rPr>
          <w:rStyle w:val="CommentReference"/>
          <w:sz w:val="21"/>
          <w:szCs w:val="21"/>
        </w:rPr>
        <w:t xml:space="preserve">Washington, DC: </w:t>
      </w:r>
      <w:r w:rsidRPr="0026484B">
        <w:rPr>
          <w:rStyle w:val="CommentReference"/>
          <w:sz w:val="21"/>
          <w:szCs w:val="21"/>
        </w:rPr>
        <w:t>Bellwether Education Partners.</w:t>
      </w:r>
    </w:p>
    <w:p w14:paraId="0C3F9AA1" w14:textId="014D11C7" w:rsidR="0067251C" w:rsidRPr="0070568A" w:rsidRDefault="0067251C" w:rsidP="00E35F5A">
      <w:pPr>
        <w:pStyle w:val="NormalwIndent"/>
        <w:spacing w:line="240" w:lineRule="auto"/>
      </w:pPr>
      <w:r>
        <w:rPr>
          <w:rStyle w:val="CommentReference"/>
          <w:sz w:val="21"/>
          <w:szCs w:val="21"/>
        </w:rPr>
        <w:lastRenderedPageBreak/>
        <w:t>McLiesh C. 2022.</w:t>
      </w:r>
      <w:r w:rsidR="000A26AD" w:rsidRPr="0070568A">
        <w:rPr>
          <w:rStyle w:val="CommentReference"/>
          <w:i/>
          <w:iCs/>
          <w:sz w:val="21"/>
          <w:szCs w:val="21"/>
        </w:rPr>
        <w:t xml:space="preserve"> Wellbeing in Aotearoa New Zealand 2022</w:t>
      </w:r>
      <w:r w:rsidR="000A40E5" w:rsidRPr="0070568A">
        <w:rPr>
          <w:rStyle w:val="CommentReference"/>
          <w:i/>
          <w:iCs/>
          <w:sz w:val="21"/>
          <w:szCs w:val="21"/>
        </w:rPr>
        <w:t xml:space="preserve">: </w:t>
      </w:r>
      <w:r w:rsidR="000A40E5" w:rsidRPr="0070568A">
        <w:rPr>
          <w:i/>
          <w:iCs/>
          <w:lang w:eastAsia="en-NZ"/>
        </w:rPr>
        <w:t>Work towards Te Tai Waiora (the Wellbeing Report)</w:t>
      </w:r>
      <w:r w:rsidR="000A26AD" w:rsidRPr="0070568A">
        <w:rPr>
          <w:rStyle w:val="CommentReference"/>
          <w:i/>
          <w:iCs/>
          <w:sz w:val="21"/>
          <w:szCs w:val="21"/>
        </w:rPr>
        <w:t>.</w:t>
      </w:r>
      <w:r w:rsidR="00864E83">
        <w:rPr>
          <w:rStyle w:val="CommentReference"/>
          <w:sz w:val="21"/>
          <w:szCs w:val="21"/>
        </w:rPr>
        <w:t xml:space="preserve"> </w:t>
      </w:r>
      <w:r w:rsidR="004C518F">
        <w:rPr>
          <w:rStyle w:val="CommentReference"/>
          <w:sz w:val="21"/>
          <w:szCs w:val="21"/>
        </w:rPr>
        <w:t>Wellington: The Treasury</w:t>
      </w:r>
      <w:r w:rsidR="00864E83">
        <w:rPr>
          <w:rStyle w:val="CommentReference"/>
          <w:sz w:val="21"/>
          <w:szCs w:val="21"/>
        </w:rPr>
        <w:t xml:space="preserve">. URL: </w:t>
      </w:r>
      <w:hyperlink r:id="rId38" w:history="1">
        <w:r w:rsidR="004C518F">
          <w:rPr>
            <w:rStyle w:val="Hyperlink"/>
          </w:rPr>
          <w:t>treasury.govt.nz/sites/default/files/2022-04/sp-wellbeing-aotearoa-new-zealand-12apr22.pdf</w:t>
        </w:r>
      </w:hyperlink>
      <w:r w:rsidR="00864E83">
        <w:t xml:space="preserve"> (accessed 9 September 2022).</w:t>
      </w:r>
    </w:p>
    <w:p w14:paraId="6B7F2177" w14:textId="14786A7C" w:rsidR="00E35F5A" w:rsidRPr="0070568A" w:rsidRDefault="00E35F5A" w:rsidP="00E35F5A">
      <w:pPr>
        <w:pStyle w:val="NormalwIndent"/>
        <w:spacing w:line="240" w:lineRule="auto"/>
      </w:pPr>
      <w:r w:rsidRPr="0026484B">
        <w:rPr>
          <w:rStyle w:val="CommentReference"/>
          <w:sz w:val="21"/>
          <w:szCs w:val="21"/>
        </w:rPr>
        <w:t>Ministerial Advisory Committee on a Māori Perspective for the Department of Social Welfare. 1988.</w:t>
      </w:r>
      <w:r w:rsidRPr="0070568A">
        <w:rPr>
          <w:rStyle w:val="CommentReference"/>
          <w:i/>
          <w:iCs/>
          <w:sz w:val="21"/>
          <w:szCs w:val="21"/>
        </w:rPr>
        <w:t xml:space="preserve"> Puao-te-Ata-tu: The report of the Ministerial Advisory Committee on a M</w:t>
      </w:r>
      <w:r w:rsidRPr="0070568A">
        <w:rPr>
          <w:rStyle w:val="CommentReference"/>
          <w:rFonts w:hint="eastAsia"/>
          <w:i/>
          <w:iCs/>
          <w:sz w:val="21"/>
          <w:szCs w:val="21"/>
        </w:rPr>
        <w:t>ā</w:t>
      </w:r>
      <w:r w:rsidRPr="0070568A">
        <w:rPr>
          <w:rStyle w:val="CommentReference"/>
          <w:i/>
          <w:iCs/>
          <w:sz w:val="21"/>
          <w:szCs w:val="21"/>
        </w:rPr>
        <w:t>ori Perspective for the Department of Social Welfare</w:t>
      </w:r>
      <w:r w:rsidRPr="0026484B">
        <w:rPr>
          <w:rStyle w:val="CommentReference"/>
          <w:sz w:val="21"/>
          <w:szCs w:val="21"/>
        </w:rPr>
        <w:t>. Wellington: Department of Social Welfare.</w:t>
      </w:r>
      <w:r w:rsidR="00BA428D">
        <w:rPr>
          <w:rStyle w:val="CommentReference"/>
          <w:sz w:val="21"/>
          <w:szCs w:val="21"/>
        </w:rPr>
        <w:t xml:space="preserve"> URL: </w:t>
      </w:r>
      <w:hyperlink r:id="rId39" w:history="1">
        <w:r w:rsidR="00BA428D" w:rsidRPr="00BA428D">
          <w:rPr>
            <w:rStyle w:val="Hyperlink"/>
          </w:rPr>
          <w:t>msd.govt.nz/documents/about-msd-and-our-work/publications-resources/archive/1988-puaoteatatu.pdf</w:t>
        </w:r>
      </w:hyperlink>
      <w:r w:rsidR="00BA428D">
        <w:t xml:space="preserve"> (accessed 5 September 2022).</w:t>
      </w:r>
    </w:p>
    <w:p w14:paraId="0733B6CA" w14:textId="462DB928"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Ministry of Business, Innovation and Employment</w:t>
      </w:r>
      <w:r w:rsidR="004C518F">
        <w:rPr>
          <w:rStyle w:val="CommentReference"/>
          <w:sz w:val="21"/>
          <w:szCs w:val="21"/>
        </w:rPr>
        <w:t>.</w:t>
      </w:r>
      <w:r w:rsidRPr="0026484B">
        <w:rPr>
          <w:rStyle w:val="CommentReference"/>
          <w:sz w:val="21"/>
          <w:szCs w:val="21"/>
        </w:rPr>
        <w:t xml:space="preserve"> 2019</w:t>
      </w:r>
      <w:r w:rsidR="004C518F">
        <w:rPr>
          <w:rStyle w:val="CommentReference"/>
          <w:sz w:val="21"/>
          <w:szCs w:val="21"/>
        </w:rPr>
        <w:t>.</w:t>
      </w:r>
      <w:r w:rsidRPr="0026484B">
        <w:rPr>
          <w:rStyle w:val="CommentReference"/>
          <w:sz w:val="21"/>
          <w:szCs w:val="21"/>
        </w:rPr>
        <w:t xml:space="preserve"> </w:t>
      </w:r>
      <w:r w:rsidRPr="0070568A">
        <w:rPr>
          <w:rStyle w:val="CommentReference"/>
          <w:i/>
          <w:iCs/>
          <w:sz w:val="21"/>
          <w:szCs w:val="21"/>
        </w:rPr>
        <w:t>Government Procurement</w:t>
      </w:r>
      <w:r w:rsidR="00B548B6">
        <w:rPr>
          <w:rStyle w:val="CommentReference"/>
          <w:i/>
          <w:iCs/>
          <w:sz w:val="21"/>
          <w:szCs w:val="21"/>
        </w:rPr>
        <w:t xml:space="preserve"> </w:t>
      </w:r>
      <w:r w:rsidRPr="0070568A">
        <w:rPr>
          <w:rStyle w:val="CommentReference"/>
          <w:i/>
          <w:iCs/>
          <w:sz w:val="21"/>
          <w:szCs w:val="21"/>
        </w:rPr>
        <w:t>Rules: Rules for sustainable and inclusive procurement</w:t>
      </w:r>
      <w:r w:rsidR="00B548B6">
        <w:rPr>
          <w:rStyle w:val="CommentReference"/>
          <w:i/>
          <w:iCs/>
          <w:sz w:val="21"/>
          <w:szCs w:val="21"/>
        </w:rPr>
        <w:t xml:space="preserve"> </w:t>
      </w:r>
      <w:r w:rsidR="00B548B6">
        <w:rPr>
          <w:rStyle w:val="CommentReference"/>
          <w:sz w:val="21"/>
          <w:szCs w:val="21"/>
        </w:rPr>
        <w:t>(4th ed)</w:t>
      </w:r>
      <w:r w:rsidR="004C518F">
        <w:rPr>
          <w:rStyle w:val="CommentReference"/>
          <w:sz w:val="21"/>
          <w:szCs w:val="21"/>
        </w:rPr>
        <w:t>. Wellington:</w:t>
      </w:r>
      <w:r w:rsidR="004C518F" w:rsidRPr="004C518F">
        <w:rPr>
          <w:rStyle w:val="CommentReference"/>
          <w:sz w:val="21"/>
          <w:szCs w:val="21"/>
        </w:rPr>
        <w:t xml:space="preserve"> </w:t>
      </w:r>
      <w:r w:rsidR="004C518F" w:rsidRPr="0026484B">
        <w:rPr>
          <w:rStyle w:val="CommentReference"/>
          <w:sz w:val="21"/>
          <w:szCs w:val="21"/>
        </w:rPr>
        <w:t>Ministry of Business, Innovation and Employment</w:t>
      </w:r>
      <w:r w:rsidR="004C518F">
        <w:rPr>
          <w:rStyle w:val="CommentReference"/>
          <w:sz w:val="21"/>
          <w:szCs w:val="21"/>
        </w:rPr>
        <w:t>.</w:t>
      </w:r>
    </w:p>
    <w:p w14:paraId="65F80DDD" w14:textId="63250ECB"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Ministry of Health. 2016.</w:t>
      </w:r>
      <w:r w:rsidRPr="0070568A">
        <w:rPr>
          <w:rStyle w:val="CommentReference"/>
          <w:i/>
          <w:iCs/>
          <w:sz w:val="21"/>
          <w:szCs w:val="21"/>
        </w:rPr>
        <w:t xml:space="preserve"> Commissioning Framework for Mental Health and Addiction: A New Zealand guide</w:t>
      </w:r>
      <w:r w:rsidRPr="0026484B">
        <w:rPr>
          <w:rStyle w:val="CommentReference"/>
          <w:sz w:val="21"/>
          <w:szCs w:val="21"/>
        </w:rPr>
        <w:t xml:space="preserve">. Wellington: Ministry of Health. URL: </w:t>
      </w:r>
      <w:hyperlink r:id="rId40" w:history="1">
        <w:r w:rsidRPr="0026484B">
          <w:rPr>
            <w:rStyle w:val="CommentReference"/>
            <w:sz w:val="21"/>
            <w:szCs w:val="21"/>
            <w:u w:val="single"/>
          </w:rPr>
          <w:t>health.govt.nz/publication/commissioning-framework-mental-health-and-addiction-new-zealand-guide</w:t>
        </w:r>
      </w:hyperlink>
      <w:r w:rsidRPr="0026484B">
        <w:rPr>
          <w:rStyle w:val="CommentReference"/>
          <w:sz w:val="21"/>
          <w:szCs w:val="21"/>
        </w:rPr>
        <w:t xml:space="preserve"> (accessed 7 June 2022).</w:t>
      </w:r>
    </w:p>
    <w:p w14:paraId="7838D71C" w14:textId="704FAA4E" w:rsidR="00E35F5A" w:rsidRPr="0026484B" w:rsidRDefault="00E35F5A" w:rsidP="00E35F5A">
      <w:pPr>
        <w:pStyle w:val="NormalwIndent"/>
        <w:spacing w:line="240" w:lineRule="auto"/>
        <w:rPr>
          <w:rStyle w:val="CommentReference"/>
          <w:sz w:val="21"/>
          <w:szCs w:val="21"/>
        </w:rPr>
      </w:pPr>
      <w:r w:rsidRPr="0070568A">
        <w:rPr>
          <w:rStyle w:val="CommentReference"/>
          <w:sz w:val="21"/>
          <w:szCs w:val="21"/>
        </w:rPr>
        <w:t>Ministry of Health. 2020a.</w:t>
      </w:r>
      <w:r w:rsidRPr="0070568A">
        <w:rPr>
          <w:rStyle w:val="CommentReference"/>
          <w:i/>
          <w:iCs/>
          <w:sz w:val="21"/>
          <w:szCs w:val="21"/>
        </w:rPr>
        <w:t xml:space="preserve"> </w:t>
      </w:r>
      <w:r w:rsidR="000A6D39" w:rsidRPr="0070568A">
        <w:rPr>
          <w:i/>
          <w:iCs/>
        </w:rPr>
        <w:t>’</w:t>
      </w:r>
      <w:r w:rsidR="000A6D39" w:rsidRPr="0070568A">
        <w:rPr>
          <w:rStyle w:val="CommentReference"/>
          <w:i/>
          <w:iCs/>
          <w:sz w:val="21"/>
          <w:szCs w:val="21"/>
        </w:rPr>
        <w:t xml:space="preserve">Ola </w:t>
      </w:r>
      <w:r w:rsidRPr="0070568A">
        <w:rPr>
          <w:rStyle w:val="CommentReference"/>
          <w:i/>
          <w:iCs/>
          <w:sz w:val="21"/>
          <w:szCs w:val="21"/>
        </w:rPr>
        <w:t>Manuia: Pacific Health and Wellbeing Action Plan 2020</w:t>
      </w:r>
      <w:r w:rsidR="000A6D39" w:rsidRPr="0070568A">
        <w:rPr>
          <w:rStyle w:val="CommentReference"/>
          <w:rFonts w:ascii="Courier New" w:hAnsi="Courier New" w:cs="Courier New"/>
          <w:i/>
          <w:iCs/>
          <w:sz w:val="21"/>
          <w:szCs w:val="21"/>
        </w:rPr>
        <w:t>-</w:t>
      </w:r>
      <w:r w:rsidRPr="0070568A">
        <w:rPr>
          <w:rStyle w:val="CommentReference"/>
          <w:i/>
          <w:iCs/>
          <w:sz w:val="21"/>
          <w:szCs w:val="21"/>
        </w:rPr>
        <w:t>2025</w:t>
      </w:r>
      <w:r w:rsidRPr="0070568A">
        <w:rPr>
          <w:rStyle w:val="CommentReference"/>
          <w:sz w:val="21"/>
          <w:szCs w:val="21"/>
        </w:rPr>
        <w:t>. Wellington: Ministry of Health.</w:t>
      </w:r>
    </w:p>
    <w:p w14:paraId="37A148BB" w14:textId="7777777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Ministry of Health. 2020b. </w:t>
      </w:r>
      <w:r w:rsidRPr="0070568A">
        <w:rPr>
          <w:rStyle w:val="CommentReference"/>
          <w:i/>
          <w:iCs/>
          <w:sz w:val="21"/>
          <w:szCs w:val="21"/>
        </w:rPr>
        <w:t>Whakamaua: M</w:t>
      </w:r>
      <w:r w:rsidRPr="0070568A">
        <w:rPr>
          <w:rStyle w:val="CommentReference"/>
          <w:rFonts w:hint="eastAsia"/>
          <w:i/>
          <w:iCs/>
          <w:sz w:val="21"/>
          <w:szCs w:val="21"/>
        </w:rPr>
        <w:t>ā</w:t>
      </w:r>
      <w:r w:rsidRPr="0070568A">
        <w:rPr>
          <w:rStyle w:val="CommentReference"/>
          <w:i/>
          <w:iCs/>
          <w:sz w:val="21"/>
          <w:szCs w:val="21"/>
        </w:rPr>
        <w:t>ori Health Action Plan 2020</w:t>
      </w:r>
      <w:r w:rsidRPr="0070568A">
        <w:rPr>
          <w:rStyle w:val="CommentReference"/>
          <w:rFonts w:hint="eastAsia"/>
          <w:i/>
          <w:iCs/>
          <w:sz w:val="21"/>
          <w:szCs w:val="21"/>
        </w:rPr>
        <w:t>–</w:t>
      </w:r>
      <w:r w:rsidRPr="0070568A">
        <w:rPr>
          <w:rStyle w:val="CommentReference"/>
          <w:i/>
          <w:iCs/>
          <w:sz w:val="21"/>
          <w:szCs w:val="21"/>
        </w:rPr>
        <w:t>2025</w:t>
      </w:r>
      <w:r w:rsidRPr="0026484B">
        <w:rPr>
          <w:rStyle w:val="CommentReference"/>
          <w:sz w:val="21"/>
          <w:szCs w:val="21"/>
        </w:rPr>
        <w:t>. Wellington: Ministry of Health.</w:t>
      </w:r>
    </w:p>
    <w:p w14:paraId="416FF5A4" w14:textId="3B456E45"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Ministry of Health. 2020c. </w:t>
      </w:r>
      <w:r w:rsidRPr="0070568A">
        <w:rPr>
          <w:rStyle w:val="CommentReference"/>
          <w:i/>
          <w:iCs/>
          <w:sz w:val="21"/>
          <w:szCs w:val="21"/>
        </w:rPr>
        <w:t xml:space="preserve">Whatua </w:t>
      </w:r>
      <w:r w:rsidR="00340C10">
        <w:rPr>
          <w:rStyle w:val="CommentReference"/>
          <w:rFonts w:ascii="Calibri" w:hAnsi="Calibri" w:cs="Calibri"/>
          <w:i/>
          <w:iCs/>
          <w:sz w:val="21"/>
          <w:szCs w:val="21"/>
        </w:rPr>
        <w:t>—</w:t>
      </w:r>
      <w:r w:rsidRPr="0070568A">
        <w:rPr>
          <w:rStyle w:val="CommentReference"/>
          <w:i/>
          <w:iCs/>
          <w:sz w:val="21"/>
          <w:szCs w:val="21"/>
        </w:rPr>
        <w:t xml:space="preserve"> Summary Report: Engagement for the development of Whakamaua: M</w:t>
      </w:r>
      <w:r w:rsidRPr="0070568A">
        <w:rPr>
          <w:rStyle w:val="CommentReference"/>
          <w:rFonts w:hint="eastAsia"/>
          <w:i/>
          <w:iCs/>
          <w:sz w:val="21"/>
          <w:szCs w:val="21"/>
        </w:rPr>
        <w:t>ā</w:t>
      </w:r>
      <w:r w:rsidRPr="0070568A">
        <w:rPr>
          <w:rStyle w:val="CommentReference"/>
          <w:i/>
          <w:iCs/>
          <w:sz w:val="21"/>
          <w:szCs w:val="21"/>
        </w:rPr>
        <w:t>ori Health Action Plan 2020</w:t>
      </w:r>
      <w:r w:rsidRPr="0070568A">
        <w:rPr>
          <w:rStyle w:val="CommentReference"/>
          <w:rFonts w:hint="eastAsia"/>
          <w:i/>
          <w:iCs/>
          <w:sz w:val="21"/>
          <w:szCs w:val="21"/>
        </w:rPr>
        <w:t>–</w:t>
      </w:r>
      <w:r w:rsidRPr="0070568A">
        <w:rPr>
          <w:rStyle w:val="CommentReference"/>
          <w:i/>
          <w:iCs/>
          <w:sz w:val="21"/>
          <w:szCs w:val="21"/>
        </w:rPr>
        <w:t>2025</w:t>
      </w:r>
      <w:r w:rsidRPr="0026484B">
        <w:rPr>
          <w:rStyle w:val="CommentReference"/>
          <w:sz w:val="21"/>
          <w:szCs w:val="21"/>
        </w:rPr>
        <w:t>. Wellington: Ministry of Health.</w:t>
      </w:r>
    </w:p>
    <w:p w14:paraId="58B1BBCB" w14:textId="00289FB2" w:rsidR="00E35F5A" w:rsidRPr="0070568A" w:rsidRDefault="00E35F5A" w:rsidP="00E35F5A">
      <w:pPr>
        <w:pStyle w:val="NormalwIndent"/>
        <w:spacing w:line="240" w:lineRule="auto"/>
      </w:pPr>
      <w:r w:rsidRPr="0026484B">
        <w:rPr>
          <w:rStyle w:val="CommentReference"/>
          <w:sz w:val="21"/>
          <w:szCs w:val="21"/>
        </w:rPr>
        <w:t xml:space="preserve">Ministry of Health. 2021. </w:t>
      </w:r>
      <w:r w:rsidRPr="0070568A">
        <w:rPr>
          <w:rStyle w:val="CommentReference"/>
          <w:i/>
          <w:iCs/>
          <w:sz w:val="21"/>
          <w:szCs w:val="21"/>
        </w:rPr>
        <w:t>Hui Whakaoranga 2021: Summary report</w:t>
      </w:r>
      <w:r w:rsidRPr="0026484B">
        <w:rPr>
          <w:rStyle w:val="CommentReference"/>
          <w:sz w:val="21"/>
          <w:szCs w:val="21"/>
        </w:rPr>
        <w:t>. Wellington: Ministry of Health.</w:t>
      </w:r>
      <w:r w:rsidR="002C4A4E">
        <w:rPr>
          <w:rStyle w:val="CommentReference"/>
          <w:sz w:val="21"/>
          <w:szCs w:val="21"/>
        </w:rPr>
        <w:t xml:space="preserve"> URL: </w:t>
      </w:r>
      <w:hyperlink r:id="rId41" w:history="1">
        <w:r w:rsidR="00D93657" w:rsidRPr="00D93657">
          <w:rPr>
            <w:rStyle w:val="Hyperlink"/>
          </w:rPr>
          <w:t>health.govt.nz/publication/hui-whakaoranga-2021-summary-report</w:t>
        </w:r>
      </w:hyperlink>
      <w:r w:rsidR="002C4A4E">
        <w:t xml:space="preserve"> (accessed 5 September 2022).</w:t>
      </w:r>
    </w:p>
    <w:p w14:paraId="47A299EB" w14:textId="27759478" w:rsidR="00E35F5A" w:rsidRDefault="00E35F5A" w:rsidP="00E35F5A">
      <w:pPr>
        <w:pStyle w:val="NormalwIndent"/>
        <w:spacing w:line="240" w:lineRule="auto"/>
        <w:rPr>
          <w:rStyle w:val="CommentReference"/>
          <w:sz w:val="21"/>
          <w:szCs w:val="21"/>
        </w:rPr>
      </w:pPr>
      <w:r w:rsidRPr="0026484B">
        <w:rPr>
          <w:rStyle w:val="CommentReference"/>
          <w:sz w:val="21"/>
          <w:szCs w:val="21"/>
        </w:rPr>
        <w:t xml:space="preserve">Ministry of Social Development. 2020. </w:t>
      </w:r>
      <w:r w:rsidRPr="0070568A">
        <w:rPr>
          <w:rStyle w:val="CommentReference"/>
          <w:i/>
          <w:iCs/>
          <w:sz w:val="21"/>
          <w:szCs w:val="21"/>
        </w:rPr>
        <w:t>Social Sector Commissioning Progress, Principles and Next Steps</w:t>
      </w:r>
      <w:r w:rsidRPr="0026484B">
        <w:rPr>
          <w:rStyle w:val="CommentReference"/>
          <w:sz w:val="21"/>
          <w:szCs w:val="21"/>
        </w:rPr>
        <w:t>. Wellington: Ministry of Social Development.</w:t>
      </w:r>
    </w:p>
    <w:p w14:paraId="64CD7EC2" w14:textId="008F6B77" w:rsidR="008A302A" w:rsidRPr="008A302A" w:rsidRDefault="008A302A" w:rsidP="008A302A">
      <w:pPr>
        <w:pStyle w:val="NormalwIndent"/>
        <w:spacing w:line="240" w:lineRule="auto"/>
        <w:rPr>
          <w:rStyle w:val="CommentReference"/>
          <w:sz w:val="21"/>
          <w:szCs w:val="22"/>
        </w:rPr>
      </w:pPr>
      <w:r>
        <w:t xml:space="preserve">Ministry of Transport. 2021. Introducing intervention logic mapping. Wellington: Ministry of Transport. URL: </w:t>
      </w:r>
      <w:hyperlink r:id="rId42" w:history="1">
        <w:r w:rsidR="00D21B16" w:rsidRPr="0070568A">
          <w:rPr>
            <w:rStyle w:val="Hyperlink"/>
            <w:szCs w:val="21"/>
          </w:rPr>
          <w:t>transport.govt.nz/assets/Uploads/Intervention-Logic-Mapping.pdf</w:t>
        </w:r>
      </w:hyperlink>
      <w:r w:rsidR="0016433B">
        <w:rPr>
          <w:sz w:val="18"/>
          <w:szCs w:val="18"/>
        </w:rPr>
        <w:t xml:space="preserve"> </w:t>
      </w:r>
      <w:r w:rsidR="0016433B" w:rsidRPr="0026484B">
        <w:rPr>
          <w:rStyle w:val="CommentReference"/>
          <w:sz w:val="21"/>
          <w:szCs w:val="21"/>
        </w:rPr>
        <w:t>(accessed 1</w:t>
      </w:r>
      <w:r w:rsidR="0016433B">
        <w:rPr>
          <w:rStyle w:val="CommentReference"/>
          <w:sz w:val="21"/>
          <w:szCs w:val="21"/>
        </w:rPr>
        <w:t>5 September</w:t>
      </w:r>
      <w:r w:rsidR="0016433B" w:rsidRPr="0026484B">
        <w:rPr>
          <w:rStyle w:val="CommentReference"/>
          <w:sz w:val="21"/>
          <w:szCs w:val="21"/>
        </w:rPr>
        <w:t xml:space="preserve"> 2022).</w:t>
      </w:r>
    </w:p>
    <w:p w14:paraId="0A79BFC9" w14:textId="7777777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New Zealand Productivity Commission. 2013.</w:t>
      </w:r>
      <w:r w:rsidRPr="0070568A">
        <w:rPr>
          <w:rStyle w:val="CommentReference"/>
          <w:i/>
          <w:iCs/>
          <w:sz w:val="21"/>
          <w:szCs w:val="21"/>
        </w:rPr>
        <w:t xml:space="preserve"> Towards Better Local Regulation</w:t>
      </w:r>
      <w:r w:rsidRPr="0026484B">
        <w:rPr>
          <w:rStyle w:val="CommentReference"/>
          <w:sz w:val="21"/>
          <w:szCs w:val="21"/>
        </w:rPr>
        <w:t>. Wellington: New Zealand Productivity Commission.</w:t>
      </w:r>
    </w:p>
    <w:p w14:paraId="1DCB3351" w14:textId="77777777" w:rsidR="004E0FA1" w:rsidRPr="00145430" w:rsidRDefault="004E0FA1" w:rsidP="004E0FA1">
      <w:pPr>
        <w:pStyle w:val="NormalwIndent"/>
        <w:spacing w:line="240" w:lineRule="auto"/>
      </w:pPr>
      <w:r w:rsidRPr="00145430">
        <w:t>Office of the Auditor-General</w:t>
      </w:r>
      <w:r w:rsidRPr="0026484B">
        <w:rPr>
          <w:rStyle w:val="CommentReference"/>
          <w:sz w:val="21"/>
          <w:szCs w:val="21"/>
        </w:rPr>
        <w:t xml:space="preserve">. 2008. </w:t>
      </w:r>
      <w:r w:rsidRPr="00145430">
        <w:rPr>
          <w:rStyle w:val="CommentReference"/>
          <w:i/>
          <w:iCs/>
          <w:sz w:val="21"/>
          <w:szCs w:val="21"/>
        </w:rPr>
        <w:t>Procurement Guidance for Public Entities</w:t>
      </w:r>
      <w:r w:rsidRPr="0026484B">
        <w:rPr>
          <w:rStyle w:val="CommentReference"/>
          <w:sz w:val="21"/>
          <w:szCs w:val="21"/>
        </w:rPr>
        <w:t>. Wellington:</w:t>
      </w:r>
      <w:r w:rsidRPr="0026484B" w:rsidDel="003C17E6">
        <w:rPr>
          <w:rStyle w:val="CommentReference"/>
          <w:sz w:val="21"/>
          <w:szCs w:val="21"/>
        </w:rPr>
        <w:t xml:space="preserve"> </w:t>
      </w:r>
      <w:r w:rsidRPr="0026484B">
        <w:rPr>
          <w:rStyle w:val="CommentReference"/>
          <w:sz w:val="21"/>
          <w:szCs w:val="21"/>
        </w:rPr>
        <w:t>Office of the Auditor-General.</w:t>
      </w:r>
      <w:r>
        <w:t xml:space="preserve"> URL: </w:t>
      </w:r>
      <w:hyperlink r:id="rId43" w:history="1">
        <w:r>
          <w:rPr>
            <w:rStyle w:val="Hyperlink"/>
          </w:rPr>
          <w:t>oag.parliament.nz/2008/procurement-guide</w:t>
        </w:r>
      </w:hyperlink>
      <w:r>
        <w:t xml:space="preserve"> (accessed 13 September 2022).</w:t>
      </w:r>
    </w:p>
    <w:p w14:paraId="177C5F8E" w14:textId="52A3BC84" w:rsidR="004E0FA1" w:rsidRPr="0026484B" w:rsidRDefault="004E0FA1" w:rsidP="004E0FA1">
      <w:pPr>
        <w:pStyle w:val="NormalwIndent"/>
        <w:spacing w:line="240" w:lineRule="auto"/>
        <w:rPr>
          <w:rStyle w:val="CommentReference"/>
          <w:sz w:val="21"/>
          <w:szCs w:val="21"/>
        </w:rPr>
      </w:pPr>
      <w:r>
        <w:rPr>
          <w:bCs w:val="0"/>
        </w:rPr>
        <w:t>Office of the Minister for Crown Māori Relations.</w:t>
      </w:r>
      <w:r>
        <w:t xml:space="preserve"> 2021.</w:t>
      </w:r>
      <w:r w:rsidRPr="00D44CCC">
        <w:rPr>
          <w:bCs w:val="0"/>
        </w:rPr>
        <w:t xml:space="preserve"> </w:t>
      </w:r>
      <w:r>
        <w:rPr>
          <w:bCs w:val="0"/>
        </w:rPr>
        <w:t>COVID-19 response: responding to community need through wh</w:t>
      </w:r>
      <w:r>
        <w:rPr>
          <w:rFonts w:hint="eastAsia"/>
          <w:bCs w:val="0"/>
        </w:rPr>
        <w:t>ā</w:t>
      </w:r>
      <w:r>
        <w:rPr>
          <w:bCs w:val="0"/>
        </w:rPr>
        <w:t xml:space="preserve">nau ora commissioning agencies and iwi connections. Cabinet Paper. URL: </w:t>
      </w:r>
      <w:hyperlink r:id="rId44" w:history="1">
        <w:r w:rsidRPr="00630815">
          <w:rPr>
            <w:rStyle w:val="Hyperlink"/>
            <w:bCs w:val="0"/>
          </w:rPr>
          <w:t>tpk.govt.nz/en/mo-te-puni-kokiri/corporate-documents/cabinet-papers/all-cabinet-papers/covid19-response-responding-to-community-need</w:t>
        </w:r>
      </w:hyperlink>
      <w:r>
        <w:rPr>
          <w:bCs w:val="0"/>
        </w:rPr>
        <w:t xml:space="preserve"> (accessed 12 September 2022).</w:t>
      </w:r>
    </w:p>
    <w:p w14:paraId="25F411E7" w14:textId="0B2CA1BC" w:rsidR="0031265A" w:rsidRPr="0070568A" w:rsidRDefault="004E0FA1" w:rsidP="00E35F5A">
      <w:pPr>
        <w:pStyle w:val="NormalwIndent"/>
        <w:spacing w:line="240" w:lineRule="auto"/>
      </w:pPr>
      <w:r w:rsidRPr="0026484B">
        <w:rPr>
          <w:rStyle w:val="CommentReference"/>
          <w:sz w:val="21"/>
          <w:szCs w:val="21"/>
        </w:rPr>
        <w:lastRenderedPageBreak/>
        <w:t>O</w:t>
      </w:r>
      <w:r>
        <w:rPr>
          <w:rStyle w:val="CommentReference"/>
          <w:sz w:val="21"/>
          <w:szCs w:val="21"/>
        </w:rPr>
        <w:t>rganisation for Economic Co-operation and Development</w:t>
      </w:r>
      <w:r w:rsidR="00D44CCC">
        <w:rPr>
          <w:rStyle w:val="CommentReference"/>
          <w:sz w:val="21"/>
          <w:szCs w:val="21"/>
        </w:rPr>
        <w:t>.</w:t>
      </w:r>
      <w:r w:rsidR="00E35F5A" w:rsidRPr="0026484B">
        <w:rPr>
          <w:rStyle w:val="CommentReference"/>
          <w:sz w:val="21"/>
          <w:szCs w:val="21"/>
        </w:rPr>
        <w:t xml:space="preserve"> 2017</w:t>
      </w:r>
      <w:r w:rsidR="00D44CCC">
        <w:rPr>
          <w:rStyle w:val="CommentReference"/>
          <w:sz w:val="21"/>
          <w:szCs w:val="21"/>
        </w:rPr>
        <w:t>.</w:t>
      </w:r>
      <w:r w:rsidR="00E35F5A" w:rsidRPr="0026484B">
        <w:rPr>
          <w:rStyle w:val="CommentReference"/>
          <w:sz w:val="21"/>
          <w:szCs w:val="21"/>
        </w:rPr>
        <w:t xml:space="preserve"> </w:t>
      </w:r>
      <w:r w:rsidR="00E35F5A" w:rsidRPr="0070568A">
        <w:rPr>
          <w:rStyle w:val="CommentReference"/>
          <w:i/>
          <w:iCs/>
          <w:sz w:val="21"/>
          <w:szCs w:val="21"/>
        </w:rPr>
        <w:t xml:space="preserve">Systems Approaches to Public Sector Challenges: Working with </w:t>
      </w:r>
      <w:r w:rsidR="00D92478" w:rsidRPr="0070568A">
        <w:rPr>
          <w:rStyle w:val="CommentReference"/>
          <w:i/>
          <w:iCs/>
          <w:sz w:val="21"/>
          <w:szCs w:val="21"/>
        </w:rPr>
        <w:t>c</w:t>
      </w:r>
      <w:r w:rsidR="00E35F5A" w:rsidRPr="0070568A">
        <w:rPr>
          <w:rStyle w:val="CommentReference"/>
          <w:i/>
          <w:iCs/>
          <w:sz w:val="21"/>
          <w:szCs w:val="21"/>
        </w:rPr>
        <w:t>hange</w:t>
      </w:r>
      <w:r w:rsidR="00D92478">
        <w:rPr>
          <w:rStyle w:val="CommentReference"/>
          <w:sz w:val="21"/>
          <w:szCs w:val="21"/>
        </w:rPr>
        <w:t>. Paris:</w:t>
      </w:r>
      <w:r w:rsidR="00E35F5A" w:rsidRPr="0026484B">
        <w:rPr>
          <w:rStyle w:val="CommentReference"/>
          <w:sz w:val="21"/>
          <w:szCs w:val="21"/>
        </w:rPr>
        <w:t xml:space="preserve"> OECD Publishing. </w:t>
      </w:r>
      <w:r w:rsidR="00D92478">
        <w:rPr>
          <w:rStyle w:val="CommentReference"/>
          <w:sz w:val="21"/>
          <w:szCs w:val="21"/>
        </w:rPr>
        <w:t xml:space="preserve">DOI: </w:t>
      </w:r>
      <w:hyperlink r:id="rId45" w:history="1">
        <w:r w:rsidR="00D92478" w:rsidRPr="00D92478">
          <w:rPr>
            <w:rStyle w:val="Hyperlink"/>
            <w:szCs w:val="21"/>
          </w:rPr>
          <w:t>10.1787/9789264279865-en</w:t>
        </w:r>
      </w:hyperlink>
      <w:r w:rsidR="00D92478">
        <w:t xml:space="preserve"> (accessed 15 September 2011).</w:t>
      </w:r>
    </w:p>
    <w:p w14:paraId="6F12B639" w14:textId="033845A4"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PHARMAC. 2019.</w:t>
      </w:r>
      <w:r w:rsidRPr="0070568A">
        <w:rPr>
          <w:rStyle w:val="CommentReference"/>
          <w:i/>
          <w:iCs/>
          <w:sz w:val="21"/>
          <w:szCs w:val="21"/>
        </w:rPr>
        <w:t xml:space="preserve"> Achieving Medicine Access Equity in Aotearoa New Zealand: Towards a theory of change</w:t>
      </w:r>
      <w:r w:rsidRPr="0026484B">
        <w:rPr>
          <w:rStyle w:val="CommentReference"/>
          <w:sz w:val="21"/>
          <w:szCs w:val="21"/>
        </w:rPr>
        <w:t xml:space="preserve">. Wellington: PHARMAC. URL: </w:t>
      </w:r>
      <w:hyperlink r:id="rId46" w:history="1">
        <w:r w:rsidRPr="0026484B">
          <w:rPr>
            <w:rStyle w:val="CommentReference"/>
            <w:sz w:val="21"/>
            <w:szCs w:val="21"/>
            <w:u w:val="single"/>
          </w:rPr>
          <w:t>pharmac.govt.nz/about/access-equity/achieving-medicine-access-equity-in-aotearoa-new-zealand-towards-a-theory-of-change/</w:t>
        </w:r>
      </w:hyperlink>
      <w:r w:rsidRPr="0026484B">
        <w:rPr>
          <w:rStyle w:val="CommentReference"/>
          <w:sz w:val="21"/>
          <w:szCs w:val="21"/>
        </w:rPr>
        <w:t xml:space="preserve"> (accessed 10 June 2022).</w:t>
      </w:r>
    </w:p>
    <w:p w14:paraId="63A0BF3D" w14:textId="6CFC4EED"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Slay J, Penny J. 2014. </w:t>
      </w:r>
      <w:r w:rsidRPr="0070568A">
        <w:rPr>
          <w:rStyle w:val="CommentReference"/>
          <w:i/>
          <w:iCs/>
          <w:sz w:val="21"/>
          <w:szCs w:val="21"/>
        </w:rPr>
        <w:t>Commissioning for Outcomes and Co-production: A new model for commissioning public services</w:t>
      </w:r>
      <w:r w:rsidRPr="0026484B">
        <w:rPr>
          <w:rStyle w:val="CommentReference"/>
          <w:sz w:val="21"/>
          <w:szCs w:val="21"/>
        </w:rPr>
        <w:t xml:space="preserve">. London: New Economics Foundation. URL: </w:t>
      </w:r>
      <w:hyperlink r:id="rId47" w:history="1">
        <w:r w:rsidRPr="0026484B">
          <w:rPr>
            <w:rStyle w:val="CommentReference"/>
            <w:sz w:val="21"/>
            <w:szCs w:val="21"/>
            <w:u w:val="single"/>
          </w:rPr>
          <w:t>neweconomics.org/2014/06/commissioning-outcomes-co-production</w:t>
        </w:r>
      </w:hyperlink>
      <w:r w:rsidRPr="0026484B">
        <w:rPr>
          <w:rStyle w:val="CommentReference"/>
          <w:sz w:val="21"/>
          <w:szCs w:val="21"/>
        </w:rPr>
        <w:t xml:space="preserve"> (accessed 10 June 2022).</w:t>
      </w:r>
    </w:p>
    <w:p w14:paraId="1DF1236C" w14:textId="1911C6DD"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Sneddon R. 2014.</w:t>
      </w:r>
      <w:r w:rsidRPr="0070568A">
        <w:rPr>
          <w:rStyle w:val="CommentReference"/>
          <w:i/>
          <w:iCs/>
          <w:sz w:val="21"/>
          <w:szCs w:val="21"/>
        </w:rPr>
        <w:t xml:space="preserve"> Saving Money by Doing the Right Thing: Why </w:t>
      </w:r>
      <w:r w:rsidR="002E3B9F">
        <w:rPr>
          <w:rStyle w:val="CommentReference"/>
          <w:i/>
          <w:iCs/>
          <w:sz w:val="21"/>
          <w:szCs w:val="21"/>
        </w:rPr>
        <w:t>‘</w:t>
      </w:r>
      <w:r w:rsidRPr="0070568A">
        <w:rPr>
          <w:rStyle w:val="CommentReference"/>
          <w:i/>
          <w:iCs/>
          <w:sz w:val="21"/>
          <w:szCs w:val="21"/>
        </w:rPr>
        <w:t>local by default</w:t>
      </w:r>
      <w:r w:rsidR="002E3B9F">
        <w:rPr>
          <w:rStyle w:val="CommentReference"/>
          <w:i/>
          <w:iCs/>
          <w:sz w:val="21"/>
          <w:szCs w:val="21"/>
        </w:rPr>
        <w:t>’</w:t>
      </w:r>
      <w:r w:rsidRPr="0070568A">
        <w:rPr>
          <w:rStyle w:val="CommentReference"/>
          <w:i/>
          <w:iCs/>
          <w:sz w:val="21"/>
          <w:szCs w:val="21"/>
        </w:rPr>
        <w:t xml:space="preserve"> must replace </w:t>
      </w:r>
      <w:r w:rsidR="002E3B9F">
        <w:rPr>
          <w:rStyle w:val="CommentReference"/>
          <w:i/>
          <w:iCs/>
          <w:sz w:val="21"/>
          <w:szCs w:val="21"/>
        </w:rPr>
        <w:t>‘</w:t>
      </w:r>
      <w:r w:rsidRPr="0070568A">
        <w:rPr>
          <w:rStyle w:val="CommentReference"/>
          <w:i/>
          <w:iCs/>
          <w:sz w:val="21"/>
          <w:szCs w:val="21"/>
        </w:rPr>
        <w:t>diseconomies of scale</w:t>
      </w:r>
      <w:r w:rsidR="002E3B9F">
        <w:rPr>
          <w:rStyle w:val="CommentReference"/>
          <w:i/>
          <w:iCs/>
          <w:sz w:val="21"/>
          <w:szCs w:val="21"/>
        </w:rPr>
        <w:t>’</w:t>
      </w:r>
      <w:r w:rsidRPr="0026484B">
        <w:rPr>
          <w:rStyle w:val="CommentReference"/>
          <w:sz w:val="21"/>
          <w:szCs w:val="21"/>
        </w:rPr>
        <w:t xml:space="preserve">. London: Locality in partnership with Vanguard. URL: </w:t>
      </w:r>
      <w:hyperlink r:id="rId48" w:history="1">
        <w:r w:rsidRPr="0026484B">
          <w:rPr>
            <w:rStyle w:val="CommentReference"/>
            <w:sz w:val="21"/>
            <w:szCs w:val="21"/>
            <w:u w:val="single"/>
          </w:rPr>
          <w:t>locality.org.uk/wp-content/uploads/2018/03/Locality-Report-Diseconomies-updated-single-pages-Jan-2017.pdf</w:t>
        </w:r>
      </w:hyperlink>
      <w:r w:rsidRPr="0026484B">
        <w:rPr>
          <w:rStyle w:val="CommentReference"/>
          <w:sz w:val="21"/>
          <w:szCs w:val="21"/>
        </w:rPr>
        <w:t xml:space="preserve"> (accessed 12 June 2022).</w:t>
      </w:r>
    </w:p>
    <w:p w14:paraId="680F623D" w14:textId="7777777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Te Pou Matakana. 2014. </w:t>
      </w:r>
      <w:r w:rsidRPr="0070568A">
        <w:rPr>
          <w:rStyle w:val="CommentReference"/>
          <w:i/>
          <w:iCs/>
          <w:sz w:val="21"/>
          <w:szCs w:val="21"/>
        </w:rPr>
        <w:t>M</w:t>
      </w:r>
      <w:r w:rsidRPr="0070568A">
        <w:rPr>
          <w:rStyle w:val="CommentReference"/>
          <w:rFonts w:hint="eastAsia"/>
          <w:i/>
          <w:iCs/>
          <w:sz w:val="21"/>
          <w:szCs w:val="21"/>
        </w:rPr>
        <w:t>ā</w:t>
      </w:r>
      <w:r w:rsidRPr="0070568A">
        <w:rPr>
          <w:rStyle w:val="CommentReference"/>
          <w:i/>
          <w:iCs/>
          <w:sz w:val="21"/>
          <w:szCs w:val="21"/>
        </w:rPr>
        <w:t>ori Commissioning Report</w:t>
      </w:r>
      <w:r w:rsidRPr="0026484B">
        <w:rPr>
          <w:rStyle w:val="CommentReference"/>
          <w:sz w:val="21"/>
          <w:szCs w:val="21"/>
        </w:rPr>
        <w:t>. Auckland: Te Pou Matakana.</w:t>
      </w:r>
    </w:p>
    <w:p w14:paraId="3138B0CD" w14:textId="7777777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Te Puni Kōkiri. 2013.</w:t>
      </w:r>
      <w:r w:rsidRPr="0070568A">
        <w:rPr>
          <w:rStyle w:val="CommentReference"/>
          <w:i/>
          <w:iCs/>
          <w:sz w:val="21"/>
          <w:szCs w:val="21"/>
        </w:rPr>
        <w:t xml:space="preserve"> Request for Proposals: Wh</w:t>
      </w:r>
      <w:r w:rsidRPr="0070568A">
        <w:rPr>
          <w:rStyle w:val="CommentReference"/>
          <w:rFonts w:hint="eastAsia"/>
          <w:i/>
          <w:iCs/>
          <w:sz w:val="21"/>
          <w:szCs w:val="21"/>
        </w:rPr>
        <w:t>ā</w:t>
      </w:r>
      <w:r w:rsidRPr="0070568A">
        <w:rPr>
          <w:rStyle w:val="CommentReference"/>
          <w:i/>
          <w:iCs/>
          <w:sz w:val="21"/>
          <w:szCs w:val="21"/>
        </w:rPr>
        <w:t>nau Ora commissioning agencies for the North Island and South Island</w:t>
      </w:r>
      <w:r w:rsidRPr="0026484B">
        <w:rPr>
          <w:rStyle w:val="CommentReference"/>
          <w:sz w:val="21"/>
          <w:szCs w:val="21"/>
        </w:rPr>
        <w:t>. Wellington: Te Puni Kōkiri.</w:t>
      </w:r>
    </w:p>
    <w:p w14:paraId="66E37EDD" w14:textId="7777777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Te Puni Kōkiri. 2015.</w:t>
      </w:r>
      <w:r w:rsidRPr="0070568A">
        <w:rPr>
          <w:rStyle w:val="CommentReference"/>
          <w:i/>
          <w:iCs/>
          <w:sz w:val="21"/>
          <w:szCs w:val="21"/>
        </w:rPr>
        <w:t xml:space="preserve"> Understanding Wh</w:t>
      </w:r>
      <w:r w:rsidRPr="0070568A">
        <w:rPr>
          <w:rStyle w:val="CommentReference"/>
          <w:rFonts w:hint="eastAsia"/>
          <w:i/>
          <w:iCs/>
          <w:sz w:val="21"/>
          <w:szCs w:val="21"/>
        </w:rPr>
        <w:t>ā</w:t>
      </w:r>
      <w:r w:rsidRPr="0070568A">
        <w:rPr>
          <w:rStyle w:val="CommentReference"/>
          <w:i/>
          <w:iCs/>
          <w:sz w:val="21"/>
          <w:szCs w:val="21"/>
        </w:rPr>
        <w:t>nau-centred Approaches: Analysis of Phase One Wh</w:t>
      </w:r>
      <w:r w:rsidRPr="0070568A">
        <w:rPr>
          <w:rStyle w:val="CommentReference"/>
          <w:rFonts w:hint="eastAsia"/>
          <w:i/>
          <w:iCs/>
          <w:sz w:val="21"/>
          <w:szCs w:val="21"/>
        </w:rPr>
        <w:t>ā</w:t>
      </w:r>
      <w:r w:rsidRPr="0070568A">
        <w:rPr>
          <w:rStyle w:val="CommentReference"/>
          <w:i/>
          <w:iCs/>
          <w:sz w:val="21"/>
          <w:szCs w:val="21"/>
        </w:rPr>
        <w:t>nau Ora research and monitoring results</w:t>
      </w:r>
      <w:r w:rsidRPr="0026484B">
        <w:rPr>
          <w:rStyle w:val="CommentReference"/>
          <w:sz w:val="21"/>
          <w:szCs w:val="21"/>
        </w:rPr>
        <w:t>. Wellington: Te Puni Kōkiri.</w:t>
      </w:r>
    </w:p>
    <w:p w14:paraId="4086CEAF" w14:textId="7777777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Te Puni Kōkiri. 2016. </w:t>
      </w:r>
      <w:r w:rsidRPr="0070568A">
        <w:rPr>
          <w:rStyle w:val="CommentReference"/>
          <w:i/>
          <w:iCs/>
          <w:sz w:val="21"/>
          <w:szCs w:val="21"/>
        </w:rPr>
        <w:t>Formative Evaluation of the Wh</w:t>
      </w:r>
      <w:r w:rsidRPr="0070568A">
        <w:rPr>
          <w:rStyle w:val="CommentReference"/>
          <w:rFonts w:hint="eastAsia"/>
          <w:i/>
          <w:iCs/>
          <w:sz w:val="21"/>
          <w:szCs w:val="21"/>
        </w:rPr>
        <w:t>ā</w:t>
      </w:r>
      <w:r w:rsidRPr="0070568A">
        <w:rPr>
          <w:rStyle w:val="CommentReference"/>
          <w:i/>
          <w:iCs/>
          <w:sz w:val="21"/>
          <w:szCs w:val="21"/>
        </w:rPr>
        <w:t>nau Ora Commissioning Agency Model</w:t>
      </w:r>
      <w:r w:rsidRPr="0026484B">
        <w:rPr>
          <w:rStyle w:val="CommentReference"/>
          <w:sz w:val="21"/>
          <w:szCs w:val="21"/>
        </w:rPr>
        <w:t>. Wellington: Te Puni Kōkiri.</w:t>
      </w:r>
    </w:p>
    <w:p w14:paraId="0EB3E6B8" w14:textId="7777777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Te Puni Kōkiri. 2018. </w:t>
      </w:r>
      <w:r w:rsidRPr="0070568A">
        <w:rPr>
          <w:rStyle w:val="CommentReference"/>
          <w:i/>
          <w:iCs/>
          <w:sz w:val="21"/>
          <w:szCs w:val="21"/>
        </w:rPr>
        <w:t>Wh</w:t>
      </w:r>
      <w:r w:rsidRPr="0070568A">
        <w:rPr>
          <w:rStyle w:val="CommentReference"/>
          <w:rFonts w:hint="eastAsia"/>
          <w:i/>
          <w:iCs/>
          <w:sz w:val="21"/>
          <w:szCs w:val="21"/>
        </w:rPr>
        <w:t>ā</w:t>
      </w:r>
      <w:r w:rsidRPr="0070568A">
        <w:rPr>
          <w:rStyle w:val="CommentReference"/>
          <w:i/>
          <w:iCs/>
          <w:sz w:val="21"/>
          <w:szCs w:val="21"/>
        </w:rPr>
        <w:t>nau Ora Annual Summary Report.</w:t>
      </w:r>
      <w:r w:rsidRPr="0026484B">
        <w:rPr>
          <w:rStyle w:val="CommentReference"/>
          <w:sz w:val="21"/>
          <w:szCs w:val="21"/>
        </w:rPr>
        <w:t xml:space="preserve"> Wellington: Te Puni Kōkiri.</w:t>
      </w:r>
    </w:p>
    <w:p w14:paraId="26A6DDD6" w14:textId="4E5453B6" w:rsidR="00E35F5A" w:rsidRDefault="00E35F5A" w:rsidP="00E35F5A">
      <w:pPr>
        <w:pStyle w:val="NormalwIndent"/>
        <w:spacing w:line="240" w:lineRule="auto"/>
        <w:rPr>
          <w:rStyle w:val="CommentReference"/>
          <w:sz w:val="21"/>
          <w:szCs w:val="21"/>
        </w:rPr>
      </w:pPr>
      <w:r w:rsidRPr="0026484B">
        <w:rPr>
          <w:rStyle w:val="CommentReference"/>
          <w:sz w:val="21"/>
          <w:szCs w:val="21"/>
        </w:rPr>
        <w:t xml:space="preserve">Te Puni Kōkiri. 2020. </w:t>
      </w:r>
      <w:r w:rsidRPr="0070568A">
        <w:rPr>
          <w:rStyle w:val="CommentReference"/>
          <w:i/>
          <w:iCs/>
          <w:sz w:val="21"/>
          <w:szCs w:val="21"/>
        </w:rPr>
        <w:t>Te Piringa: Insights into ensuring effective wh</w:t>
      </w:r>
      <w:r w:rsidRPr="0070568A">
        <w:rPr>
          <w:rStyle w:val="CommentReference"/>
          <w:rFonts w:hint="eastAsia"/>
          <w:i/>
          <w:iCs/>
          <w:sz w:val="21"/>
          <w:szCs w:val="21"/>
        </w:rPr>
        <w:t>ā</w:t>
      </w:r>
      <w:r w:rsidRPr="0070568A">
        <w:rPr>
          <w:rStyle w:val="CommentReference"/>
          <w:i/>
          <w:iCs/>
          <w:sz w:val="21"/>
          <w:szCs w:val="21"/>
        </w:rPr>
        <w:t>nau-centred primary health care services and support. Results from a preliminary integrated literature review</w:t>
      </w:r>
      <w:r w:rsidRPr="0026484B">
        <w:rPr>
          <w:rStyle w:val="CommentReference"/>
          <w:sz w:val="21"/>
          <w:szCs w:val="21"/>
        </w:rPr>
        <w:t>. Wellington: Te Puni Kōkiri.</w:t>
      </w:r>
    </w:p>
    <w:p w14:paraId="141C3ECB" w14:textId="76D18E85" w:rsidR="00DF3ECD" w:rsidRPr="0070568A" w:rsidRDefault="00DF3ECD" w:rsidP="00E35F5A">
      <w:pPr>
        <w:pStyle w:val="NormalwIndent"/>
        <w:spacing w:line="240" w:lineRule="auto"/>
      </w:pPr>
      <w:r>
        <w:rPr>
          <w:rStyle w:val="CommentReference"/>
          <w:sz w:val="21"/>
          <w:szCs w:val="21"/>
        </w:rPr>
        <w:t xml:space="preserve">The Treasury. 2015. </w:t>
      </w:r>
      <w:r>
        <w:rPr>
          <w:rStyle w:val="CommentReference"/>
          <w:i/>
          <w:iCs/>
          <w:sz w:val="21"/>
          <w:szCs w:val="21"/>
        </w:rPr>
        <w:t xml:space="preserve">Guide to Social Cost Benefit Analysis. </w:t>
      </w:r>
      <w:r>
        <w:t xml:space="preserve">Wellington: The Treasury. </w:t>
      </w:r>
      <w:r>
        <w:rPr>
          <w:rStyle w:val="CommentReference"/>
          <w:sz w:val="21"/>
          <w:szCs w:val="21"/>
        </w:rPr>
        <w:t xml:space="preserve">URL: </w:t>
      </w:r>
      <w:hyperlink r:id="rId49" w:history="1">
        <w:r w:rsidRPr="00253908">
          <w:rPr>
            <w:rStyle w:val="Hyperlink"/>
          </w:rPr>
          <w:t>treasury.govt.nz/sites/default/files/2015-07/cba-guide-jul15.pdf</w:t>
        </w:r>
      </w:hyperlink>
      <w:r>
        <w:t xml:space="preserve"> (accessed 13 September 2022).</w:t>
      </w:r>
    </w:p>
    <w:p w14:paraId="6A992F09" w14:textId="7E5DC9D7" w:rsidR="00E35F5A" w:rsidRPr="0070568A" w:rsidRDefault="00E35F5A" w:rsidP="00E35F5A">
      <w:pPr>
        <w:pStyle w:val="NormalwIndent"/>
        <w:spacing w:line="240" w:lineRule="auto"/>
      </w:pPr>
      <w:r w:rsidRPr="0026484B">
        <w:rPr>
          <w:rStyle w:val="CommentReference"/>
          <w:sz w:val="21"/>
          <w:szCs w:val="21"/>
        </w:rPr>
        <w:t xml:space="preserve">Thorstensen-Woll C, Wellings D, Crump H, </w:t>
      </w:r>
      <w:r w:rsidR="005843A2">
        <w:rPr>
          <w:rStyle w:val="CommentReference"/>
          <w:sz w:val="21"/>
          <w:szCs w:val="21"/>
        </w:rPr>
        <w:t>et al</w:t>
      </w:r>
      <w:r w:rsidRPr="0026484B">
        <w:rPr>
          <w:rStyle w:val="CommentReference"/>
          <w:sz w:val="21"/>
          <w:szCs w:val="21"/>
        </w:rPr>
        <w:t xml:space="preserve">. 2021. </w:t>
      </w:r>
      <w:r w:rsidRPr="0070568A">
        <w:rPr>
          <w:rStyle w:val="CommentReference"/>
          <w:i/>
          <w:iCs/>
          <w:sz w:val="21"/>
          <w:szCs w:val="21"/>
        </w:rPr>
        <w:t xml:space="preserve">Understanding </w:t>
      </w:r>
      <w:r w:rsidR="005843A2" w:rsidRPr="0070568A">
        <w:rPr>
          <w:rStyle w:val="CommentReference"/>
          <w:i/>
          <w:iCs/>
          <w:sz w:val="21"/>
          <w:szCs w:val="21"/>
        </w:rPr>
        <w:t>I</w:t>
      </w:r>
      <w:r w:rsidRPr="0070568A">
        <w:rPr>
          <w:rStyle w:val="CommentReference"/>
          <w:i/>
          <w:iCs/>
          <w:sz w:val="21"/>
          <w:szCs w:val="21"/>
        </w:rPr>
        <w:t>ntegration: How to listen to and learn from people and communities</w:t>
      </w:r>
      <w:r w:rsidRPr="0026484B">
        <w:rPr>
          <w:rStyle w:val="CommentReference"/>
          <w:sz w:val="21"/>
          <w:szCs w:val="21"/>
        </w:rPr>
        <w:t>.</w:t>
      </w:r>
      <w:r w:rsidR="00BF294D">
        <w:rPr>
          <w:rStyle w:val="CommentReference"/>
          <w:sz w:val="21"/>
          <w:szCs w:val="21"/>
        </w:rPr>
        <w:t xml:space="preserve"> London: The King’s Fund.</w:t>
      </w:r>
      <w:r w:rsidRPr="0026484B">
        <w:rPr>
          <w:rStyle w:val="CommentReference"/>
          <w:sz w:val="21"/>
          <w:szCs w:val="21"/>
        </w:rPr>
        <w:t xml:space="preserve"> URL: </w:t>
      </w:r>
      <w:hyperlink r:id="rId50" w:history="1">
        <w:r w:rsidR="00BF294D" w:rsidRPr="007418D2">
          <w:rPr>
            <w:rStyle w:val="Hyperlink"/>
            <w:szCs w:val="21"/>
          </w:rPr>
          <w:t>kingsfund.org.uk/sites/default/files/2021-07/Understanding_integration_2021_guide_2.pdf</w:t>
        </w:r>
      </w:hyperlink>
      <w:r w:rsidR="00BF294D">
        <w:t xml:space="preserve"> (accessed 15 September 2022).</w:t>
      </w:r>
    </w:p>
    <w:p w14:paraId="11AE5360" w14:textId="77777777"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Villeneuve-Smith F, Blake J. 2016.</w:t>
      </w:r>
      <w:r w:rsidRPr="0070568A">
        <w:rPr>
          <w:rStyle w:val="CommentReference"/>
          <w:i/>
          <w:iCs/>
          <w:sz w:val="21"/>
          <w:szCs w:val="21"/>
        </w:rPr>
        <w:t xml:space="preserve"> The Art of the Possible in Public Procurement</w:t>
      </w:r>
      <w:r w:rsidRPr="0026484B">
        <w:rPr>
          <w:rStyle w:val="CommentReference"/>
          <w:sz w:val="21"/>
          <w:szCs w:val="21"/>
        </w:rPr>
        <w:t>. London: Bates Wells &amp; Braithwaite London LLP, HCT Group, E3M.</w:t>
      </w:r>
    </w:p>
    <w:p w14:paraId="67C13AF3" w14:textId="529999C1" w:rsidR="00E35F5A" w:rsidRDefault="00E35F5A" w:rsidP="00E35F5A">
      <w:pPr>
        <w:pStyle w:val="NormalwIndent"/>
        <w:spacing w:line="240" w:lineRule="auto"/>
      </w:pPr>
      <w:r w:rsidRPr="0026484B">
        <w:rPr>
          <w:rStyle w:val="CommentReference"/>
          <w:sz w:val="21"/>
          <w:szCs w:val="21"/>
        </w:rPr>
        <w:t xml:space="preserve">Waitangi Tribunal. 2019. </w:t>
      </w:r>
      <w:r w:rsidRPr="0070568A">
        <w:rPr>
          <w:rStyle w:val="CommentReference"/>
          <w:i/>
          <w:iCs/>
          <w:sz w:val="21"/>
          <w:szCs w:val="21"/>
        </w:rPr>
        <w:t>Report on Stage One of the</w:t>
      </w:r>
      <w:r w:rsidRPr="0070568A" w:rsidDel="006310B9">
        <w:rPr>
          <w:rStyle w:val="CommentReference"/>
          <w:i/>
          <w:iCs/>
          <w:sz w:val="21"/>
          <w:szCs w:val="21"/>
        </w:rPr>
        <w:t xml:space="preserve"> </w:t>
      </w:r>
      <w:r w:rsidRPr="0070568A">
        <w:rPr>
          <w:rStyle w:val="CommentReference"/>
          <w:i/>
          <w:iCs/>
          <w:sz w:val="21"/>
          <w:szCs w:val="21"/>
        </w:rPr>
        <w:t>Health Services and Outcomes Kaupapa Inquiry. Wai 2575.</w:t>
      </w:r>
      <w:r w:rsidRPr="0026484B">
        <w:rPr>
          <w:rStyle w:val="CommentReference"/>
          <w:sz w:val="21"/>
          <w:szCs w:val="21"/>
        </w:rPr>
        <w:t xml:space="preserve"> Wellington: Waitangi Tribunal.</w:t>
      </w:r>
      <w:r w:rsidR="004B740C">
        <w:rPr>
          <w:rStyle w:val="CommentReference"/>
          <w:sz w:val="21"/>
          <w:szCs w:val="21"/>
        </w:rPr>
        <w:t xml:space="preserve"> URL: </w:t>
      </w:r>
      <w:hyperlink r:id="rId51" w:history="1">
        <w:r w:rsidR="004B740C" w:rsidRPr="00805ACB">
          <w:rPr>
            <w:rStyle w:val="Hyperlink"/>
          </w:rPr>
          <w:t>waitangitribunal.govt.nz/inquiries/kaupapa-inquiries/health-services-and-outcomes-inquiry/</w:t>
        </w:r>
      </w:hyperlink>
      <w:r w:rsidR="004B740C">
        <w:t xml:space="preserve"> (accessed 5 September 2022).</w:t>
      </w:r>
    </w:p>
    <w:p w14:paraId="69AC5FAC" w14:textId="2B60C1FD" w:rsidR="00C544C7" w:rsidRPr="0070568A" w:rsidRDefault="00C544C7" w:rsidP="00E35F5A">
      <w:pPr>
        <w:pStyle w:val="NormalwIndent"/>
        <w:spacing w:line="240" w:lineRule="auto"/>
      </w:pPr>
      <w:r>
        <w:lastRenderedPageBreak/>
        <w:t>Walker T. 2017. Contemporary understandings of wh</w:t>
      </w:r>
      <w:r>
        <w:rPr>
          <w:rFonts w:ascii="Calibri" w:hAnsi="Calibri" w:cs="Calibri"/>
        </w:rPr>
        <w:t>ā</w:t>
      </w:r>
      <w:r>
        <w:t xml:space="preserve">nau. In </w:t>
      </w:r>
      <w:r w:rsidRPr="0070568A">
        <w:rPr>
          <w:i/>
          <w:iCs/>
        </w:rPr>
        <w:t xml:space="preserve">Te Ara </w:t>
      </w:r>
      <w:r w:rsidR="00132493">
        <w:rPr>
          <w:rFonts w:asciiTheme="minorHAnsi" w:hAnsiTheme="minorHAnsi" w:cstheme="minorHAnsi"/>
          <w:i/>
          <w:iCs/>
        </w:rPr>
        <w:t>—</w:t>
      </w:r>
      <w:r w:rsidRPr="0070568A">
        <w:rPr>
          <w:i/>
          <w:iCs/>
        </w:rPr>
        <w:t xml:space="preserve"> The Encyclopedia of New Zealand</w:t>
      </w:r>
      <w:r>
        <w:t xml:space="preserve">. URL: </w:t>
      </w:r>
      <w:hyperlink r:id="rId52" w:history="1">
        <w:r w:rsidRPr="00924974">
          <w:rPr>
            <w:rStyle w:val="Hyperlink"/>
          </w:rPr>
          <w:t>teara.govt.nz/en/whanau-Māori-and-family/page-1</w:t>
        </w:r>
      </w:hyperlink>
      <w:r>
        <w:t xml:space="preserve"> (accessed 5 September 2022).</w:t>
      </w:r>
    </w:p>
    <w:p w14:paraId="7AFF7B81" w14:textId="1EDF0682" w:rsidR="00E35F5A" w:rsidRPr="0026484B" w:rsidRDefault="00E35F5A" w:rsidP="00E35F5A">
      <w:pPr>
        <w:pStyle w:val="NormalwIndent"/>
        <w:spacing w:line="240" w:lineRule="auto"/>
        <w:rPr>
          <w:rStyle w:val="CommentReference"/>
          <w:sz w:val="21"/>
          <w:szCs w:val="21"/>
        </w:rPr>
      </w:pPr>
      <w:r w:rsidRPr="0026484B">
        <w:rPr>
          <w:rStyle w:val="CommentReference"/>
          <w:sz w:val="21"/>
          <w:szCs w:val="21"/>
        </w:rPr>
        <w:t xml:space="preserve">Williams I, Bovaird T, Brown H, et al. 2012. Designing whole-systems commissioning: lessons from the English experience. </w:t>
      </w:r>
      <w:r w:rsidRPr="0070568A">
        <w:rPr>
          <w:rStyle w:val="CommentReference"/>
          <w:i/>
          <w:iCs/>
          <w:sz w:val="21"/>
          <w:szCs w:val="21"/>
        </w:rPr>
        <w:t xml:space="preserve">Journal of Care Services Management </w:t>
      </w:r>
      <w:r w:rsidRPr="0026484B">
        <w:rPr>
          <w:rStyle w:val="CommentReference"/>
          <w:sz w:val="21"/>
          <w:szCs w:val="21"/>
        </w:rPr>
        <w:t>6(2): 83–92</w:t>
      </w:r>
      <w:r w:rsidR="00094502">
        <w:rPr>
          <w:rStyle w:val="CommentReference"/>
          <w:sz w:val="21"/>
          <w:szCs w:val="21"/>
        </w:rPr>
        <w:t>.</w:t>
      </w:r>
    </w:p>
    <w:p w14:paraId="3485B7F2" w14:textId="77777777" w:rsidR="00E35F5A" w:rsidRPr="009574BB" w:rsidRDefault="00E35F5A" w:rsidP="00E35F5A">
      <w:pPr>
        <w:spacing w:after="0" w:line="240" w:lineRule="auto"/>
        <w:rPr>
          <w:rFonts w:asciiTheme="minorHAnsi" w:hAnsiTheme="minorHAnsi" w:cs="Segoe UI"/>
          <w:b/>
          <w:color w:val="996600"/>
          <w:kern w:val="28"/>
          <w:sz w:val="20"/>
          <w:szCs w:val="20"/>
        </w:rPr>
      </w:pPr>
      <w:r w:rsidRPr="009574BB">
        <w:rPr>
          <w:rFonts w:asciiTheme="minorHAnsi" w:hAnsiTheme="minorHAnsi" w:cs="Segoe UI"/>
          <w:b/>
          <w:bCs w:val="0"/>
          <w:sz w:val="20"/>
          <w:szCs w:val="20"/>
        </w:rPr>
        <w:br w:type="page"/>
      </w:r>
    </w:p>
    <w:p w14:paraId="3A6A4AF9" w14:textId="77777777" w:rsidR="008A51FB" w:rsidRPr="008A51FB" w:rsidRDefault="008A51FB" w:rsidP="008A51FB">
      <w:pPr>
        <w:pStyle w:val="Heading1-nonumbering"/>
        <w:rPr>
          <w:color w:val="EC643C"/>
        </w:rPr>
      </w:pPr>
      <w:bookmarkStart w:id="55" w:name="_Toc124933845"/>
      <w:bookmarkEnd w:id="54"/>
      <w:r w:rsidRPr="008A51FB">
        <w:rPr>
          <w:color w:val="EC643C"/>
        </w:rPr>
        <w:lastRenderedPageBreak/>
        <w:t>Appendices</w:t>
      </w:r>
      <w:bookmarkEnd w:id="55"/>
    </w:p>
    <w:p w14:paraId="1ACAF539" w14:textId="77777777" w:rsidR="008A51FB" w:rsidRDefault="008A51FB" w:rsidP="008A51FB">
      <w:pPr>
        <w:pStyle w:val="Heading2-nonumbering"/>
      </w:pPr>
      <w:bookmarkStart w:id="56" w:name="_Toc124933846"/>
      <w:r>
        <w:t>Appendix 1: What needs to change</w:t>
      </w:r>
      <w:bookmarkEnd w:id="56"/>
    </w:p>
    <w:p w14:paraId="364CAEB8" w14:textId="77777777" w:rsidR="008A51FB" w:rsidRDefault="008A51FB" w:rsidP="008A51FB">
      <w:pPr>
        <w:pStyle w:val="NormalwIndent"/>
      </w:pPr>
    </w:p>
    <w:p w14:paraId="1537ED33" w14:textId="467A7A64" w:rsidR="00E35F5A" w:rsidRDefault="008A51FB" w:rsidP="008A51FB">
      <w:pPr>
        <w:pStyle w:val="NormalwIndent"/>
      </w:pPr>
      <w:r>
        <w:t>Commissioning for Pae Ora means we need to change how we trust, think</w:t>
      </w:r>
      <w:r w:rsidR="002D1584">
        <w:t xml:space="preserve"> and</w:t>
      </w:r>
      <w:r>
        <w:t xml:space="preserve"> act</w:t>
      </w:r>
      <w:r w:rsidR="002D1584">
        <w:t xml:space="preserve"> in relation to commissioning</w:t>
      </w:r>
      <w:r>
        <w:t xml:space="preserve">, </w:t>
      </w:r>
      <w:r w:rsidR="002D1584">
        <w:t xml:space="preserve">as well as how we </w:t>
      </w:r>
      <w:r>
        <w:t>assess and improve what we do.</w:t>
      </w:r>
    </w:p>
    <w:p w14:paraId="63B62698" w14:textId="77777777" w:rsidR="00E61CDB" w:rsidRDefault="00E61CDB" w:rsidP="008A51FB">
      <w:pPr>
        <w:pStyle w:val="NormalwIndent"/>
      </w:pPr>
    </w:p>
    <w:tbl>
      <w:tblPr>
        <w:tblStyle w:val="TableGrid"/>
        <w:tblW w:w="8789" w:type="dxa"/>
        <w:tblInd w:w="-15"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575"/>
        <w:gridCol w:w="7214"/>
      </w:tblGrid>
      <w:tr w:rsidR="00E33AED" w:rsidRPr="008A51FB" w14:paraId="64172B6E" w14:textId="77777777" w:rsidTr="008A51FB">
        <w:trPr>
          <w:trHeight w:val="444"/>
          <w:tblHeader/>
        </w:trPr>
        <w:tc>
          <w:tcPr>
            <w:tcW w:w="1575" w:type="dxa"/>
            <w:shd w:val="clear" w:color="auto" w:fill="F2F2F2" w:themeFill="background1" w:themeFillShade="F2"/>
            <w:vAlign w:val="center"/>
          </w:tcPr>
          <w:p w14:paraId="263DB435" w14:textId="77777777" w:rsidR="008A51FB" w:rsidRPr="008A51FB" w:rsidRDefault="008A51FB" w:rsidP="008A51FB">
            <w:pPr>
              <w:pStyle w:val="TableText"/>
              <w:rPr>
                <w:b/>
                <w:bCs/>
              </w:rPr>
            </w:pPr>
            <w:r w:rsidRPr="008A51FB">
              <w:rPr>
                <w:b/>
                <w:bCs/>
              </w:rPr>
              <w:t>Focus for change</w:t>
            </w:r>
          </w:p>
        </w:tc>
        <w:tc>
          <w:tcPr>
            <w:tcW w:w="7214" w:type="dxa"/>
            <w:shd w:val="clear" w:color="auto" w:fill="F2F2F2" w:themeFill="background1" w:themeFillShade="F2"/>
            <w:vAlign w:val="center"/>
          </w:tcPr>
          <w:p w14:paraId="2837146C" w14:textId="77777777" w:rsidR="008A51FB" w:rsidRPr="008A51FB" w:rsidRDefault="008A51FB" w:rsidP="008A51FB">
            <w:pPr>
              <w:pStyle w:val="TableText"/>
              <w:rPr>
                <w:b/>
                <w:bCs/>
              </w:rPr>
            </w:pPr>
            <w:r w:rsidRPr="008A51FB">
              <w:rPr>
                <w:b/>
                <w:bCs/>
              </w:rPr>
              <w:t>Key changes</w:t>
            </w:r>
          </w:p>
        </w:tc>
      </w:tr>
      <w:tr w:rsidR="00E33AED" w:rsidRPr="003A6A50" w14:paraId="2EA4127E" w14:textId="77777777" w:rsidTr="008A51FB">
        <w:trPr>
          <w:trHeight w:val="444"/>
        </w:trPr>
        <w:tc>
          <w:tcPr>
            <w:tcW w:w="1575" w:type="dxa"/>
            <w:shd w:val="clear" w:color="auto" w:fill="F2F2F2" w:themeFill="background1" w:themeFillShade="F2"/>
            <w:vAlign w:val="center"/>
          </w:tcPr>
          <w:p w14:paraId="67E9FDA4" w14:textId="77777777" w:rsidR="008A51FB" w:rsidRPr="008A51FB" w:rsidRDefault="008A51FB" w:rsidP="008A51FB">
            <w:pPr>
              <w:pStyle w:val="TableText"/>
              <w:rPr>
                <w:b/>
              </w:rPr>
            </w:pPr>
            <w:r w:rsidRPr="008A51FB">
              <w:rPr>
                <w:b/>
              </w:rPr>
              <w:t>Trust</w:t>
            </w:r>
          </w:p>
        </w:tc>
        <w:tc>
          <w:tcPr>
            <w:tcW w:w="7214" w:type="dxa"/>
            <w:shd w:val="clear" w:color="auto" w:fill="FFFFFF" w:themeFill="background1"/>
          </w:tcPr>
          <w:p w14:paraId="16B45EE3" w14:textId="77777777" w:rsidR="008A51FB" w:rsidRPr="003A6A50" w:rsidRDefault="008A51FB" w:rsidP="008A51FB">
            <w:pPr>
              <w:pStyle w:val="Tablebulletx"/>
              <w:rPr>
                <w:b/>
                <w:bCs w:val="0"/>
              </w:rPr>
            </w:pPr>
            <w:r w:rsidRPr="003A6A50">
              <w:t>Commissioners need to invest in relationships with communities, providers and potential providers</w:t>
            </w:r>
            <w:r>
              <w:t>.</w:t>
            </w:r>
          </w:p>
          <w:p w14:paraId="20A8E9EE" w14:textId="77777777" w:rsidR="008A51FB" w:rsidRPr="003A6A50" w:rsidRDefault="008A51FB" w:rsidP="008A51FB">
            <w:pPr>
              <w:pStyle w:val="Tablebulletx"/>
              <w:rPr>
                <w:b/>
                <w:bCs w:val="0"/>
              </w:rPr>
            </w:pPr>
            <w:r>
              <w:t>We allow t</w:t>
            </w:r>
            <w:r w:rsidRPr="003A6A50">
              <w:t xml:space="preserve">ime </w:t>
            </w:r>
            <w:r>
              <w:t xml:space="preserve">for </w:t>
            </w:r>
            <w:r w:rsidRPr="003A6A50">
              <w:t xml:space="preserve">whanaungatanga </w:t>
            </w:r>
            <w:r>
              <w:t xml:space="preserve">to develop </w:t>
            </w:r>
            <w:r w:rsidRPr="003A6A50">
              <w:t xml:space="preserve">and </w:t>
            </w:r>
            <w:r>
              <w:t xml:space="preserve">to </w:t>
            </w:r>
            <w:r w:rsidRPr="003A6A50">
              <w:t>build relationships of trust</w:t>
            </w:r>
            <w:r>
              <w:t>.</w:t>
            </w:r>
          </w:p>
          <w:p w14:paraId="0B232389" w14:textId="29D87CF7" w:rsidR="008A51FB" w:rsidRPr="003A6A50" w:rsidRDefault="008A51FB" w:rsidP="008A51FB">
            <w:pPr>
              <w:pStyle w:val="Tablebulletx"/>
            </w:pPr>
            <w:r w:rsidRPr="003A6A50">
              <w:t>At the start,</w:t>
            </w:r>
            <w:r>
              <w:t xml:space="preserve"> we build</w:t>
            </w:r>
            <w:r w:rsidRPr="003A6A50">
              <w:t xml:space="preserve"> trust on a clear foundation of the purpose of the relationships, any non-negotiables and external requirements (eg, legislation, </w:t>
            </w:r>
            <w:r w:rsidR="00AD67AC">
              <w:t>b</w:t>
            </w:r>
            <w:r w:rsidRPr="003A6A50">
              <w:t xml:space="preserve">udget processes and requirements, </w:t>
            </w:r>
            <w:r>
              <w:t>m</w:t>
            </w:r>
            <w:r w:rsidRPr="003A6A50">
              <w:t>inisterial expectations)</w:t>
            </w:r>
            <w:r>
              <w:t>.</w:t>
            </w:r>
          </w:p>
          <w:p w14:paraId="5E16EA9A" w14:textId="5BDB54D6" w:rsidR="008A51FB" w:rsidRPr="003A6A50" w:rsidRDefault="008A51FB" w:rsidP="008A51FB">
            <w:pPr>
              <w:pStyle w:val="Tablebulletx"/>
            </w:pPr>
            <w:r>
              <w:t>We communicate o</w:t>
            </w:r>
            <w:r w:rsidRPr="003A6A50">
              <w:t>ther preconditions clearly</w:t>
            </w:r>
            <w:r>
              <w:t>.</w:t>
            </w:r>
            <w:r w:rsidR="004D7920">
              <w:rPr>
                <w:rFonts w:ascii="ZWAdobeF" w:hAnsi="ZWAdobeF" w:cs="ZWAdobeF"/>
                <w:color w:val="auto"/>
                <w:spacing w:val="0"/>
                <w:sz w:val="2"/>
                <w:szCs w:val="2"/>
              </w:rPr>
              <w:t>45F</w:t>
            </w:r>
            <w:r w:rsidRPr="008A51FB">
              <w:rPr>
                <w:rStyle w:val="FootnoteTextChar"/>
                <w:szCs w:val="16"/>
                <w:vertAlign w:val="superscript"/>
              </w:rPr>
              <w:footnoteReference w:id="47"/>
            </w:r>
          </w:p>
          <w:p w14:paraId="3032F9C0" w14:textId="77777777" w:rsidR="008A51FB" w:rsidRPr="003A6A50" w:rsidRDefault="008A51FB" w:rsidP="008A51FB">
            <w:pPr>
              <w:pStyle w:val="Tablebulletx"/>
              <w:rPr>
                <w:b/>
                <w:bCs w:val="0"/>
                <w:color w:val="996633"/>
              </w:rPr>
            </w:pPr>
            <w:r>
              <w:t>We maintain t</w:t>
            </w:r>
            <w:r w:rsidRPr="003A6A50">
              <w:t>rust with open and timely communication, respond</w:t>
            </w:r>
            <w:r>
              <w:t xml:space="preserve"> flexibly</w:t>
            </w:r>
            <w:r w:rsidRPr="003A6A50">
              <w:t xml:space="preserve"> to emerging issues or opportunities, and </w:t>
            </w:r>
            <w:r>
              <w:t>support</w:t>
            </w:r>
            <w:r w:rsidRPr="003A6A50">
              <w:t xml:space="preserve"> each other when things don’t go as well as planned. </w:t>
            </w:r>
          </w:p>
        </w:tc>
      </w:tr>
      <w:tr w:rsidR="00E33AED" w:rsidRPr="003A6A50" w14:paraId="14898D06" w14:textId="77777777" w:rsidTr="008A51FB">
        <w:trPr>
          <w:trHeight w:val="1291"/>
        </w:trPr>
        <w:tc>
          <w:tcPr>
            <w:tcW w:w="1575" w:type="dxa"/>
            <w:shd w:val="clear" w:color="auto" w:fill="F2F2F2" w:themeFill="background1" w:themeFillShade="F2"/>
            <w:vAlign w:val="center"/>
          </w:tcPr>
          <w:p w14:paraId="67663A25" w14:textId="77777777" w:rsidR="008A51FB" w:rsidRPr="008A51FB" w:rsidRDefault="008A51FB" w:rsidP="008A51FB">
            <w:pPr>
              <w:pStyle w:val="TableText"/>
              <w:rPr>
                <w:b/>
              </w:rPr>
            </w:pPr>
            <w:r w:rsidRPr="008A51FB">
              <w:rPr>
                <w:b/>
              </w:rPr>
              <w:t>Think</w:t>
            </w:r>
          </w:p>
        </w:tc>
        <w:tc>
          <w:tcPr>
            <w:tcW w:w="7214" w:type="dxa"/>
            <w:shd w:val="clear" w:color="auto" w:fill="FFFFFF" w:themeFill="background1"/>
          </w:tcPr>
          <w:p w14:paraId="57D19D7E" w14:textId="77777777" w:rsidR="008A51FB" w:rsidRPr="003A6A50" w:rsidRDefault="008A51FB" w:rsidP="008A51FB">
            <w:pPr>
              <w:pStyle w:val="Tablebulletx"/>
            </w:pPr>
            <w:r w:rsidRPr="00AD67AC">
              <w:rPr>
                <w:color w:val="auto"/>
              </w:rPr>
              <w:t>Te Tiriti principles</w:t>
            </w:r>
            <w:r w:rsidRPr="00BE6C08">
              <w:rPr>
                <w:color w:val="auto"/>
              </w:rPr>
              <w:t xml:space="preserve"> </w:t>
            </w:r>
            <w:r w:rsidRPr="003A6A50">
              <w:t>reflect what works when commissioning for better and enduring outcomes</w:t>
            </w:r>
            <w:r>
              <w:t>.</w:t>
            </w:r>
          </w:p>
          <w:p w14:paraId="1F93D4E0" w14:textId="77777777" w:rsidR="008A51FB" w:rsidRPr="003A6A50" w:rsidRDefault="008A51FB" w:rsidP="008A51FB">
            <w:pPr>
              <w:pStyle w:val="Tablebulletx"/>
            </w:pPr>
            <w:r w:rsidRPr="003A6A50">
              <w:t xml:space="preserve">Te </w:t>
            </w:r>
            <w:r>
              <w:t>a</w:t>
            </w:r>
            <w:r w:rsidRPr="003A6A50">
              <w:t>o Māori contains kawa (knowledge) and tikanga (ways of working) that will improve outcomes</w:t>
            </w:r>
            <w:r>
              <w:t>.</w:t>
            </w:r>
          </w:p>
          <w:p w14:paraId="055A50A6" w14:textId="77777777" w:rsidR="008A51FB" w:rsidRPr="003A6A50" w:rsidRDefault="008A51FB" w:rsidP="008A51FB">
            <w:pPr>
              <w:pStyle w:val="Tablebulletx"/>
            </w:pPr>
            <w:r w:rsidRPr="003A6A50">
              <w:t>W</w:t>
            </w:r>
            <w:r>
              <w:t>e see w</w:t>
            </w:r>
            <w:r w:rsidRPr="003A6A50">
              <w:t xml:space="preserve">hānau </w:t>
            </w:r>
            <w:r>
              <w:t xml:space="preserve">as having </w:t>
            </w:r>
            <w:r w:rsidRPr="003A6A50">
              <w:t>strengths and capabilities</w:t>
            </w:r>
            <w:r>
              <w:t>.</w:t>
            </w:r>
          </w:p>
          <w:p w14:paraId="74D4976A" w14:textId="77777777" w:rsidR="008A51FB" w:rsidRPr="003A6A50" w:rsidRDefault="008A51FB" w:rsidP="008A51FB">
            <w:pPr>
              <w:pStyle w:val="Tablebulletx"/>
            </w:pPr>
            <w:r w:rsidRPr="00AD67AC">
              <w:rPr>
                <w:color w:val="auto"/>
              </w:rPr>
              <w:t>‘What matters to whānau’</w:t>
            </w:r>
            <w:r w:rsidRPr="00BE6C08">
              <w:rPr>
                <w:color w:val="auto"/>
              </w:rPr>
              <w:t xml:space="preserve"> </w:t>
            </w:r>
            <w:r w:rsidRPr="003A6A50">
              <w:t>shapes system and service design, delivery and improvement</w:t>
            </w:r>
            <w:r>
              <w:t>.</w:t>
            </w:r>
          </w:p>
          <w:p w14:paraId="1AC1B6AB" w14:textId="77777777" w:rsidR="008A51FB" w:rsidRPr="003A6A50" w:rsidRDefault="008A51FB" w:rsidP="008A51FB">
            <w:pPr>
              <w:pStyle w:val="Tablebulletx"/>
            </w:pPr>
            <w:r w:rsidRPr="003A6A50">
              <w:t>We are accountable to Māori</w:t>
            </w:r>
            <w:r>
              <w:t>.</w:t>
            </w:r>
          </w:p>
        </w:tc>
      </w:tr>
      <w:tr w:rsidR="00E33AED" w:rsidRPr="003A6A50" w14:paraId="44FF78EC" w14:textId="77777777" w:rsidTr="008A51FB">
        <w:trPr>
          <w:trHeight w:val="460"/>
        </w:trPr>
        <w:tc>
          <w:tcPr>
            <w:tcW w:w="1575" w:type="dxa"/>
            <w:shd w:val="clear" w:color="auto" w:fill="F2F2F2" w:themeFill="background1" w:themeFillShade="F2"/>
            <w:vAlign w:val="center"/>
          </w:tcPr>
          <w:p w14:paraId="7BF3DCEB" w14:textId="77777777" w:rsidR="008A51FB" w:rsidRPr="008A51FB" w:rsidRDefault="008A51FB" w:rsidP="008A51FB">
            <w:pPr>
              <w:pStyle w:val="TableText"/>
              <w:rPr>
                <w:b/>
              </w:rPr>
            </w:pPr>
            <w:r w:rsidRPr="008A51FB">
              <w:rPr>
                <w:b/>
              </w:rPr>
              <w:t>Act</w:t>
            </w:r>
          </w:p>
        </w:tc>
        <w:tc>
          <w:tcPr>
            <w:tcW w:w="7214" w:type="dxa"/>
            <w:shd w:val="clear" w:color="auto" w:fill="FFFFFF" w:themeFill="background1"/>
          </w:tcPr>
          <w:p w14:paraId="556F16FC" w14:textId="77777777" w:rsidR="008A51FB" w:rsidRPr="003A6A50" w:rsidRDefault="008A51FB" w:rsidP="008A51FB">
            <w:pPr>
              <w:pStyle w:val="Tablebulletx"/>
            </w:pPr>
            <w:r w:rsidRPr="003A6A50">
              <w:t>We work together, and</w:t>
            </w:r>
            <w:r>
              <w:t xml:space="preserve"> rebuild</w:t>
            </w:r>
            <w:r w:rsidRPr="003A6A50">
              <w:t xml:space="preserve"> trust between whānau, communities, providers and funders</w:t>
            </w:r>
            <w:r>
              <w:t>.</w:t>
            </w:r>
          </w:p>
          <w:p w14:paraId="21D1A5E1" w14:textId="07C5B524" w:rsidR="008A51FB" w:rsidRPr="003A6A50" w:rsidRDefault="008A51FB" w:rsidP="008A51FB">
            <w:pPr>
              <w:pStyle w:val="Tablebulletx"/>
            </w:pPr>
            <w:r w:rsidRPr="003A6A50">
              <w:t>We will be learning partners and find out what we need to do better</w:t>
            </w:r>
            <w:r>
              <w:t>.</w:t>
            </w:r>
          </w:p>
          <w:p w14:paraId="02D56489" w14:textId="2E434FF6" w:rsidR="008A51FB" w:rsidRPr="003A6A50" w:rsidRDefault="008A51FB" w:rsidP="008A51FB">
            <w:pPr>
              <w:pStyle w:val="Tablebulletx"/>
            </w:pPr>
            <w:r w:rsidRPr="003A6A50">
              <w:t>We will challenge the status quo and do new things</w:t>
            </w:r>
            <w:r w:rsidR="002D1584">
              <w:t>.</w:t>
            </w:r>
            <w:r w:rsidRPr="003A6A50">
              <w:t xml:space="preserve"> </w:t>
            </w:r>
            <w:r w:rsidR="002D1584">
              <w:t>T</w:t>
            </w:r>
            <w:r w:rsidRPr="003A6A50">
              <w:t>his will feel uncomfortable for many and a relief to others as we finally do what Māori have been wanting for decades</w:t>
            </w:r>
            <w:r>
              <w:t>.</w:t>
            </w:r>
          </w:p>
          <w:p w14:paraId="4F7E8D4C" w14:textId="70C22CD3" w:rsidR="008A51FB" w:rsidRPr="003A6A50" w:rsidRDefault="008A51FB" w:rsidP="008A51FB">
            <w:pPr>
              <w:pStyle w:val="Tablebulletx"/>
            </w:pPr>
            <w:r w:rsidRPr="003A6A50">
              <w:t>We’ll work to manage risks and our leadership teams will have our backs</w:t>
            </w:r>
            <w:r>
              <w:t>.</w:t>
            </w:r>
          </w:p>
        </w:tc>
      </w:tr>
      <w:tr w:rsidR="00E33AED" w:rsidRPr="003A6A50" w14:paraId="5713EAB8" w14:textId="77777777" w:rsidTr="008A51FB">
        <w:trPr>
          <w:trHeight w:val="944"/>
        </w:trPr>
        <w:tc>
          <w:tcPr>
            <w:tcW w:w="1575" w:type="dxa"/>
            <w:shd w:val="clear" w:color="auto" w:fill="F2F2F2" w:themeFill="background1" w:themeFillShade="F2"/>
            <w:vAlign w:val="center"/>
          </w:tcPr>
          <w:p w14:paraId="17CEDE30" w14:textId="77777777" w:rsidR="008A51FB" w:rsidRPr="008A51FB" w:rsidRDefault="008A51FB" w:rsidP="008A51FB">
            <w:pPr>
              <w:pStyle w:val="TableText"/>
              <w:rPr>
                <w:b/>
              </w:rPr>
            </w:pPr>
            <w:r w:rsidRPr="008A51FB">
              <w:rPr>
                <w:b/>
              </w:rPr>
              <w:t>Fund</w:t>
            </w:r>
          </w:p>
        </w:tc>
        <w:tc>
          <w:tcPr>
            <w:tcW w:w="7214" w:type="dxa"/>
            <w:shd w:val="clear" w:color="auto" w:fill="FFFFFF" w:themeFill="background1"/>
          </w:tcPr>
          <w:p w14:paraId="762E92DA" w14:textId="4DBD51E6" w:rsidR="008A51FB" w:rsidRPr="00AD67AC" w:rsidRDefault="004C20C5" w:rsidP="008A51FB">
            <w:pPr>
              <w:pStyle w:val="Tablebulletx"/>
              <w:rPr>
                <w:color w:val="auto"/>
              </w:rPr>
            </w:pPr>
            <w:r>
              <w:rPr>
                <w:color w:val="auto"/>
              </w:rPr>
              <w:t xml:space="preserve">To make real </w:t>
            </w:r>
            <w:r w:rsidR="00915F94">
              <w:rPr>
                <w:color w:val="auto"/>
              </w:rPr>
              <w:t>change, f</w:t>
            </w:r>
            <w:r w:rsidR="008A51FB" w:rsidRPr="00AD67AC">
              <w:rPr>
                <w:color w:val="auto"/>
              </w:rPr>
              <w:t xml:space="preserve">unding shifts </w:t>
            </w:r>
            <w:r w:rsidR="00345F2E">
              <w:rPr>
                <w:color w:val="auto"/>
              </w:rPr>
              <w:t xml:space="preserve">to </w:t>
            </w:r>
            <w:r w:rsidR="008A51FB" w:rsidRPr="00AD67AC">
              <w:rPr>
                <w:color w:val="auto"/>
              </w:rPr>
              <w:t>focus on</w:t>
            </w:r>
            <w:r w:rsidR="00915F94">
              <w:rPr>
                <w:color w:val="auto"/>
              </w:rPr>
              <w:t xml:space="preserve"> both</w:t>
            </w:r>
            <w:r w:rsidR="008A51FB" w:rsidRPr="00AD67AC">
              <w:rPr>
                <w:color w:val="auto"/>
              </w:rPr>
              <w:t>:</w:t>
            </w:r>
          </w:p>
          <w:p w14:paraId="73C4B6F8" w14:textId="20BF6E20" w:rsidR="008A51FB" w:rsidRPr="00AD67AC" w:rsidRDefault="008A51FB" w:rsidP="008A51FB">
            <w:pPr>
              <w:pStyle w:val="Tablebulletx2"/>
            </w:pPr>
            <w:r w:rsidRPr="00AD67AC">
              <w:rPr>
                <w:color w:val="auto"/>
              </w:rPr>
              <w:t>‘what matters to whānau’</w:t>
            </w:r>
            <w:r w:rsidR="000F63F0">
              <w:rPr>
                <w:color w:val="auto"/>
              </w:rPr>
              <w:t xml:space="preserve"> and</w:t>
            </w:r>
          </w:p>
          <w:p w14:paraId="5CAC3902" w14:textId="3C20E809" w:rsidR="008A51FB" w:rsidRPr="003A6A50" w:rsidRDefault="008A51FB" w:rsidP="008A51FB">
            <w:pPr>
              <w:pStyle w:val="Tablebulletx2"/>
            </w:pPr>
            <w:r w:rsidRPr="00AD67AC">
              <w:rPr>
                <w:color w:val="auto"/>
              </w:rPr>
              <w:t>prevention (active protection) over time</w:t>
            </w:r>
            <w:r>
              <w:t>.</w:t>
            </w:r>
          </w:p>
          <w:p w14:paraId="5613F7BD" w14:textId="35A3A80A" w:rsidR="008A51FB" w:rsidRPr="003A6A50" w:rsidRDefault="008A51FB" w:rsidP="008A51FB">
            <w:pPr>
              <w:pStyle w:val="Tablebulletx"/>
            </w:pPr>
            <w:r w:rsidRPr="003A6A50">
              <w:t>We commission for a longer term</w:t>
            </w:r>
            <w:r w:rsidR="004C20C5">
              <w:t xml:space="preserve">. </w:t>
            </w:r>
          </w:p>
        </w:tc>
      </w:tr>
      <w:tr w:rsidR="00E33AED" w:rsidRPr="003A6A50" w14:paraId="1AF883A2" w14:textId="77777777" w:rsidTr="008A51FB">
        <w:trPr>
          <w:trHeight w:val="396"/>
        </w:trPr>
        <w:tc>
          <w:tcPr>
            <w:tcW w:w="1575" w:type="dxa"/>
            <w:shd w:val="clear" w:color="auto" w:fill="F2F2F2" w:themeFill="background1" w:themeFillShade="F2"/>
            <w:vAlign w:val="center"/>
          </w:tcPr>
          <w:p w14:paraId="3220859D" w14:textId="77777777" w:rsidR="008A51FB" w:rsidRPr="008A51FB" w:rsidRDefault="008A51FB" w:rsidP="0073350E">
            <w:pPr>
              <w:pStyle w:val="TableText"/>
              <w:keepNext/>
              <w:rPr>
                <w:b/>
              </w:rPr>
            </w:pPr>
            <w:r w:rsidRPr="008A51FB">
              <w:rPr>
                <w:b/>
              </w:rPr>
              <w:lastRenderedPageBreak/>
              <w:t>Deliver</w:t>
            </w:r>
          </w:p>
        </w:tc>
        <w:tc>
          <w:tcPr>
            <w:tcW w:w="7214" w:type="dxa"/>
            <w:shd w:val="clear" w:color="auto" w:fill="FFFFFF" w:themeFill="background1"/>
          </w:tcPr>
          <w:p w14:paraId="24B299AD" w14:textId="77777777" w:rsidR="008A51FB" w:rsidRPr="008A51FB" w:rsidRDefault="008A51FB" w:rsidP="0073350E">
            <w:pPr>
              <w:pStyle w:val="Tablebulletx"/>
              <w:keepNext/>
            </w:pPr>
            <w:r w:rsidRPr="008A51FB">
              <w:t>We enable services to become more holistic, collaborative and integrated.</w:t>
            </w:r>
          </w:p>
          <w:p w14:paraId="72BE39D1" w14:textId="77777777" w:rsidR="008A51FB" w:rsidRPr="008A51FB" w:rsidRDefault="008A51FB" w:rsidP="0073350E">
            <w:pPr>
              <w:pStyle w:val="Tablebulletx"/>
              <w:keepNext/>
            </w:pPr>
            <w:r w:rsidRPr="008A51FB">
              <w:t xml:space="preserve">We enable providers to practise </w:t>
            </w:r>
            <w:r w:rsidRPr="00AD67AC">
              <w:rPr>
                <w:color w:val="auto"/>
              </w:rPr>
              <w:t>mātauranga Māori and rongoā Māori</w:t>
            </w:r>
            <w:r w:rsidRPr="00AD67AC">
              <w:t>.</w:t>
            </w:r>
          </w:p>
          <w:p w14:paraId="06BCFB12" w14:textId="67EEA39B" w:rsidR="008A51FB" w:rsidRPr="008A51FB" w:rsidRDefault="008A51FB" w:rsidP="0073350E">
            <w:pPr>
              <w:pStyle w:val="Tablebulletx"/>
              <w:keepNext/>
            </w:pPr>
            <w:r w:rsidRPr="008A51FB">
              <w:t xml:space="preserve">Services deliver what matters to whānau and are enabled to stop doing </w:t>
            </w:r>
            <w:r w:rsidR="004C20C5">
              <w:t>work</w:t>
            </w:r>
            <w:r w:rsidR="004C20C5" w:rsidRPr="008A51FB">
              <w:t xml:space="preserve"> </w:t>
            </w:r>
            <w:r w:rsidRPr="008A51FB">
              <w:t xml:space="preserve">that </w:t>
            </w:r>
            <w:r w:rsidR="004C20C5">
              <w:t>does</w:t>
            </w:r>
            <w:r w:rsidRPr="008A51FB">
              <w:t>n’t.</w:t>
            </w:r>
          </w:p>
        </w:tc>
      </w:tr>
      <w:tr w:rsidR="00E33AED" w:rsidRPr="003A6A50" w14:paraId="5772B1CD" w14:textId="77777777" w:rsidTr="008A51FB">
        <w:trPr>
          <w:trHeight w:val="396"/>
        </w:trPr>
        <w:tc>
          <w:tcPr>
            <w:tcW w:w="1575" w:type="dxa"/>
            <w:shd w:val="clear" w:color="auto" w:fill="F2F2F2" w:themeFill="background1" w:themeFillShade="F2"/>
            <w:vAlign w:val="center"/>
          </w:tcPr>
          <w:p w14:paraId="4ADEAA21" w14:textId="77777777" w:rsidR="008A51FB" w:rsidRPr="008A51FB" w:rsidRDefault="008A51FB" w:rsidP="008A51FB">
            <w:pPr>
              <w:pStyle w:val="TableText"/>
              <w:rPr>
                <w:b/>
              </w:rPr>
            </w:pPr>
            <w:r w:rsidRPr="008A51FB">
              <w:rPr>
                <w:b/>
              </w:rPr>
              <w:t>Assess</w:t>
            </w:r>
          </w:p>
        </w:tc>
        <w:tc>
          <w:tcPr>
            <w:tcW w:w="7214" w:type="dxa"/>
            <w:shd w:val="clear" w:color="auto" w:fill="FFFFFF" w:themeFill="background1"/>
          </w:tcPr>
          <w:p w14:paraId="5B318A61" w14:textId="0300355E" w:rsidR="008A51FB" w:rsidRPr="008A51FB" w:rsidRDefault="008A51FB" w:rsidP="008A51FB">
            <w:pPr>
              <w:pStyle w:val="Tablebulletx"/>
            </w:pPr>
            <w:r w:rsidRPr="008A51FB">
              <w:t xml:space="preserve">Outcomes measure what is </w:t>
            </w:r>
            <w:r w:rsidRPr="00AD67AC">
              <w:rPr>
                <w:color w:val="auto"/>
              </w:rPr>
              <w:t>meaningful to whānau</w:t>
            </w:r>
            <w:r w:rsidRPr="00AD67AC">
              <w:t>.</w:t>
            </w:r>
          </w:p>
          <w:p w14:paraId="169695A4" w14:textId="5D52E1AE" w:rsidR="008A51FB" w:rsidRPr="008A51FB" w:rsidRDefault="008A51FB" w:rsidP="008A51FB">
            <w:pPr>
              <w:pStyle w:val="Tablebulletx"/>
            </w:pPr>
            <w:r w:rsidRPr="008A51FB">
              <w:t xml:space="preserve">Providers shape monitoring and accountability requirements with funders, so they report useful information that </w:t>
            </w:r>
            <w:r w:rsidR="00913648">
              <w:t>contributes to</w:t>
            </w:r>
            <w:r w:rsidRPr="008A51FB">
              <w:t xml:space="preserve"> continuous improvement.</w:t>
            </w:r>
          </w:p>
          <w:p w14:paraId="29F7655C" w14:textId="77777777" w:rsidR="008A51FB" w:rsidRPr="008A51FB" w:rsidRDefault="008A51FB" w:rsidP="008A51FB">
            <w:pPr>
              <w:pStyle w:val="Tablebulletx"/>
            </w:pPr>
            <w:r w:rsidRPr="00AD67AC">
              <w:rPr>
                <w:color w:val="auto"/>
              </w:rPr>
              <w:t>Te ao Māori outcomes framework and Māori health research</w:t>
            </w:r>
            <w:r w:rsidRPr="00BE6C08">
              <w:rPr>
                <w:color w:val="auto"/>
              </w:rPr>
              <w:t xml:space="preserve"> </w:t>
            </w:r>
            <w:r w:rsidRPr="008A51FB">
              <w:t>build understanding of what works and why.</w:t>
            </w:r>
          </w:p>
          <w:p w14:paraId="12F8376B" w14:textId="08527E0C" w:rsidR="008A51FB" w:rsidRPr="008A51FB" w:rsidRDefault="008A51FB" w:rsidP="008A51FB">
            <w:pPr>
              <w:pStyle w:val="Tablebulletx"/>
            </w:pPr>
            <w:r w:rsidRPr="008A51FB">
              <w:t>Investments are underpinned by evidence of what works (or what is promising) with clearly articulated reasons on what improvements can be expected and measured (for people and for public value)</w:t>
            </w:r>
            <w:r>
              <w:t>.</w:t>
            </w:r>
            <w:r w:rsidR="004D7920">
              <w:rPr>
                <w:rFonts w:ascii="ZWAdobeF" w:hAnsi="ZWAdobeF" w:cs="ZWAdobeF"/>
                <w:color w:val="auto"/>
                <w:spacing w:val="0"/>
                <w:sz w:val="2"/>
                <w:szCs w:val="2"/>
              </w:rPr>
              <w:t>46F</w:t>
            </w:r>
            <w:r w:rsidRPr="008A51FB">
              <w:rPr>
                <w:rStyle w:val="FootnoteReference"/>
                <w:rFonts w:ascii="Portada" w:hAnsi="Portada"/>
                <w:color w:val="000000"/>
                <w:sz w:val="18"/>
              </w:rPr>
              <w:footnoteReference w:id="48"/>
            </w:r>
            <w:r w:rsidRPr="008A51FB">
              <w:rPr>
                <w:vertAlign w:val="superscript"/>
              </w:rPr>
              <w:t xml:space="preserve"> </w:t>
            </w:r>
          </w:p>
        </w:tc>
      </w:tr>
      <w:tr w:rsidR="00E33AED" w:rsidRPr="003A6A50" w14:paraId="043CC003" w14:textId="77777777" w:rsidTr="008A51FB">
        <w:trPr>
          <w:trHeight w:val="946"/>
        </w:trPr>
        <w:tc>
          <w:tcPr>
            <w:tcW w:w="1575" w:type="dxa"/>
            <w:shd w:val="clear" w:color="auto" w:fill="F2F2F2" w:themeFill="background1" w:themeFillShade="F2"/>
            <w:vAlign w:val="center"/>
          </w:tcPr>
          <w:p w14:paraId="661BEC92" w14:textId="77777777" w:rsidR="008A51FB" w:rsidRPr="008A51FB" w:rsidRDefault="008A51FB" w:rsidP="008A51FB">
            <w:pPr>
              <w:pStyle w:val="TableText"/>
              <w:rPr>
                <w:b/>
              </w:rPr>
            </w:pPr>
            <w:r w:rsidRPr="008A51FB">
              <w:rPr>
                <w:b/>
              </w:rPr>
              <w:t>Improve</w:t>
            </w:r>
          </w:p>
        </w:tc>
        <w:tc>
          <w:tcPr>
            <w:tcW w:w="7214" w:type="dxa"/>
            <w:shd w:val="clear" w:color="auto" w:fill="FFFFFF" w:themeFill="background1"/>
          </w:tcPr>
          <w:p w14:paraId="584F9AD8" w14:textId="77777777" w:rsidR="008A51FB" w:rsidRPr="008A51FB" w:rsidRDefault="008A51FB" w:rsidP="008A51FB">
            <w:pPr>
              <w:pStyle w:val="Tablebulletx"/>
            </w:pPr>
            <w:r w:rsidRPr="008A51FB">
              <w:t xml:space="preserve">The evidence of </w:t>
            </w:r>
            <w:r w:rsidRPr="00AD67AC">
              <w:rPr>
                <w:color w:val="auto"/>
              </w:rPr>
              <w:t>‘what works for whānau’</w:t>
            </w:r>
            <w:r w:rsidRPr="00BE6C08">
              <w:rPr>
                <w:color w:val="auto"/>
              </w:rPr>
              <w:t xml:space="preserve"> </w:t>
            </w:r>
            <w:r w:rsidRPr="008A51FB">
              <w:t>reshapes services and other investments.</w:t>
            </w:r>
          </w:p>
          <w:p w14:paraId="00F42956" w14:textId="740263E1" w:rsidR="008A51FB" w:rsidRPr="008A51FB" w:rsidRDefault="008A51FB" w:rsidP="008A51FB">
            <w:pPr>
              <w:pStyle w:val="Tablebulletx"/>
            </w:pPr>
            <w:r w:rsidRPr="008A51FB">
              <w:t>We can reshape or stop services and other investments that no longer deliver what matters to whānau</w:t>
            </w:r>
            <w:r w:rsidR="00D21B16">
              <w:t>. We</w:t>
            </w:r>
            <w:r w:rsidRPr="008A51FB">
              <w:t xml:space="preserve"> use clear processes with good lead-in times so providers and communities are not put at risk. </w:t>
            </w:r>
          </w:p>
          <w:p w14:paraId="31E28C0E" w14:textId="77777777" w:rsidR="008A51FB" w:rsidRPr="008A51FB" w:rsidRDefault="008A51FB" w:rsidP="008A51FB">
            <w:pPr>
              <w:pStyle w:val="Tablebulletx"/>
            </w:pPr>
            <w:r w:rsidRPr="008A51FB">
              <w:t>Over time, funding moves upstream to prevention.</w:t>
            </w:r>
          </w:p>
          <w:p w14:paraId="5B23B753" w14:textId="31455D4C" w:rsidR="008A51FB" w:rsidRPr="008A51FB" w:rsidRDefault="008A51FB" w:rsidP="008A51FB">
            <w:pPr>
              <w:pStyle w:val="Tablebulletx"/>
            </w:pPr>
            <w:r w:rsidRPr="008A51FB">
              <w:t>We identify where other levers, such as regulation</w:t>
            </w:r>
            <w:r w:rsidR="00D21B16">
              <w:t>,</w:t>
            </w:r>
            <w:r w:rsidR="00D21B16" w:rsidRPr="008A51FB">
              <w:t xml:space="preserve"> are needed</w:t>
            </w:r>
            <w:r w:rsidRPr="008A51FB">
              <w:t xml:space="preserve"> (eg, to address food environments).</w:t>
            </w:r>
          </w:p>
        </w:tc>
      </w:tr>
      <w:tr w:rsidR="00E33AED" w:rsidRPr="003A6A50" w14:paraId="1EAEB86F" w14:textId="77777777" w:rsidTr="008A51FB">
        <w:trPr>
          <w:trHeight w:val="51"/>
        </w:trPr>
        <w:tc>
          <w:tcPr>
            <w:tcW w:w="1575" w:type="dxa"/>
            <w:shd w:val="clear" w:color="auto" w:fill="F2F2F2" w:themeFill="background1" w:themeFillShade="F2"/>
            <w:vAlign w:val="center"/>
          </w:tcPr>
          <w:p w14:paraId="299EEE96" w14:textId="77777777" w:rsidR="008A51FB" w:rsidRPr="008A51FB" w:rsidRDefault="008A51FB" w:rsidP="008A51FB">
            <w:pPr>
              <w:pStyle w:val="TableText"/>
              <w:rPr>
                <w:b/>
                <w:color w:val="538135" w:themeColor="accent6" w:themeShade="BF"/>
              </w:rPr>
            </w:pPr>
            <w:r w:rsidRPr="008A51FB">
              <w:rPr>
                <w:b/>
              </w:rPr>
              <w:t>Build</w:t>
            </w:r>
          </w:p>
        </w:tc>
        <w:tc>
          <w:tcPr>
            <w:tcW w:w="7214" w:type="dxa"/>
            <w:shd w:val="clear" w:color="auto" w:fill="FFFFFF" w:themeFill="background1"/>
          </w:tcPr>
          <w:p w14:paraId="5133AC82" w14:textId="5FBA3FD7" w:rsidR="008A51FB" w:rsidRPr="00AD67AC" w:rsidRDefault="008A51FB" w:rsidP="008A51FB">
            <w:pPr>
              <w:pStyle w:val="Tablebulletx"/>
              <w:rPr>
                <w:color w:val="auto"/>
              </w:rPr>
            </w:pPr>
            <w:r w:rsidRPr="008A51FB">
              <w:t>We build teams with the technical skills</w:t>
            </w:r>
            <w:r w:rsidR="004D7920">
              <w:rPr>
                <w:rFonts w:ascii="ZWAdobeF" w:hAnsi="ZWAdobeF" w:cs="ZWAdobeF"/>
                <w:color w:val="auto"/>
                <w:spacing w:val="0"/>
                <w:sz w:val="2"/>
                <w:szCs w:val="2"/>
              </w:rPr>
              <w:t>47F</w:t>
            </w:r>
            <w:r w:rsidRPr="008A51FB">
              <w:rPr>
                <w:rStyle w:val="FootnoteReference"/>
                <w:rFonts w:ascii="Portada" w:hAnsi="Portada"/>
                <w:color w:val="000000"/>
                <w:sz w:val="18"/>
              </w:rPr>
              <w:footnoteReference w:id="49"/>
            </w:r>
            <w:r w:rsidRPr="008A51FB">
              <w:t xml:space="preserve"> and </w:t>
            </w:r>
            <w:r w:rsidR="00D21B16" w:rsidRPr="008A51FB">
              <w:t xml:space="preserve">skills </w:t>
            </w:r>
            <w:r w:rsidR="00D21B16">
              <w:t xml:space="preserve">in </w:t>
            </w:r>
            <w:r w:rsidRPr="008A51FB">
              <w:t xml:space="preserve">whānau and community engagement to commission well, including understanding of </w:t>
            </w:r>
            <w:r w:rsidRPr="00AD67AC">
              <w:rPr>
                <w:color w:val="auto"/>
              </w:rPr>
              <w:t>te ao Māori, tikanga</w:t>
            </w:r>
            <w:r w:rsidR="002F76B4" w:rsidRPr="00AD67AC">
              <w:rPr>
                <w:color w:val="auto"/>
              </w:rPr>
              <w:t xml:space="preserve"> Māori</w:t>
            </w:r>
            <w:r w:rsidRPr="00AD67AC">
              <w:rPr>
                <w:color w:val="auto"/>
              </w:rPr>
              <w:t xml:space="preserve"> and te reo Māori.</w:t>
            </w:r>
          </w:p>
          <w:p w14:paraId="466DE406" w14:textId="54A6151C" w:rsidR="008A51FB" w:rsidRPr="00BE6C08" w:rsidRDefault="008A51FB" w:rsidP="008A51FB">
            <w:pPr>
              <w:pStyle w:val="Tablebulletx"/>
              <w:rPr>
                <w:color w:val="auto"/>
              </w:rPr>
            </w:pPr>
            <w:r w:rsidRPr="008A51FB">
              <w:t>We take time to build and maintain relationships</w:t>
            </w:r>
            <w:r w:rsidR="007443AC">
              <w:t>. We</w:t>
            </w:r>
            <w:r w:rsidRPr="008A51FB">
              <w:t xml:space="preserve"> budget for more </w:t>
            </w:r>
            <w:r w:rsidRPr="00AD67AC">
              <w:rPr>
                <w:color w:val="auto"/>
              </w:rPr>
              <w:t>kanohi ki te kanohi</w:t>
            </w:r>
            <w:r w:rsidRPr="00BE6C08">
              <w:rPr>
                <w:color w:val="auto"/>
              </w:rPr>
              <w:t xml:space="preserve"> meetings.</w:t>
            </w:r>
          </w:p>
          <w:p w14:paraId="00D18A22" w14:textId="3B188DC8" w:rsidR="008A51FB" w:rsidRPr="008A51FB" w:rsidRDefault="007443AC" w:rsidP="008A51FB">
            <w:pPr>
              <w:pStyle w:val="Tablebulletx"/>
            </w:pPr>
            <w:r>
              <w:t xml:space="preserve">Working </w:t>
            </w:r>
            <w:r w:rsidRPr="008A51FB">
              <w:t>with providers</w:t>
            </w:r>
            <w:r>
              <w:t>,</w:t>
            </w:r>
            <w:r w:rsidRPr="008A51FB">
              <w:t xml:space="preserve"> </w:t>
            </w:r>
            <w:r>
              <w:t>w</w:t>
            </w:r>
            <w:r w:rsidR="008A51FB" w:rsidRPr="008A51FB">
              <w:t>e develop tools and resources that help them meet accountability and reporting requirements with minimal effort.</w:t>
            </w:r>
          </w:p>
          <w:p w14:paraId="01ACE690" w14:textId="0F0046E4" w:rsidR="008A51FB" w:rsidRPr="008A51FB" w:rsidRDefault="008A51FB" w:rsidP="008A51FB">
            <w:pPr>
              <w:pStyle w:val="Tablebulletx"/>
            </w:pPr>
            <w:r w:rsidRPr="008A51FB">
              <w:t>We understand gaps in the provider market</w:t>
            </w:r>
            <w:r w:rsidR="007443AC">
              <w:t>. We</w:t>
            </w:r>
            <w:r w:rsidRPr="008A51FB">
              <w:t xml:space="preserve"> actively build</w:t>
            </w:r>
            <w:r w:rsidR="007443AC" w:rsidRPr="008A51FB">
              <w:t xml:space="preserve"> </w:t>
            </w:r>
            <w:r w:rsidR="007443AC">
              <w:t xml:space="preserve">the </w:t>
            </w:r>
            <w:r w:rsidR="007443AC" w:rsidRPr="008A51FB">
              <w:t>capacity and capability</w:t>
            </w:r>
            <w:r w:rsidRPr="008A51FB">
              <w:t xml:space="preserve"> </w:t>
            </w:r>
            <w:r w:rsidR="007443AC">
              <w:t xml:space="preserve">of </w:t>
            </w:r>
            <w:r w:rsidRPr="008A51FB">
              <w:t>existing Māori health providers, as well as support new providers as they set up.</w:t>
            </w:r>
          </w:p>
          <w:p w14:paraId="6115DC3B" w14:textId="77777777" w:rsidR="008A51FB" w:rsidRPr="008A51FB" w:rsidRDefault="008A51FB" w:rsidP="008A51FB">
            <w:pPr>
              <w:pStyle w:val="Tablebulletx"/>
            </w:pPr>
            <w:r w:rsidRPr="008A51FB">
              <w:t>We help build community leadership and capability to shape investments, influence decision-making and manage resources.</w:t>
            </w:r>
          </w:p>
        </w:tc>
      </w:tr>
    </w:tbl>
    <w:p w14:paraId="1D063010" w14:textId="5D6DE157" w:rsidR="008A51FB" w:rsidRDefault="008A51FB" w:rsidP="008A51FB">
      <w:pPr>
        <w:sectPr w:rsidR="008A51FB" w:rsidSect="00C345BC">
          <w:pgSz w:w="11906" w:h="16838"/>
          <w:pgMar w:top="2778" w:right="1701" w:bottom="454" w:left="1701" w:header="567" w:footer="567" w:gutter="0"/>
          <w:cols w:space="708"/>
          <w:titlePg/>
          <w:docGrid w:linePitch="360"/>
        </w:sectPr>
      </w:pPr>
    </w:p>
    <w:p w14:paraId="44450CA3" w14:textId="77777777" w:rsidR="008A51FB" w:rsidRDefault="008A51FB" w:rsidP="0008530E">
      <w:pPr>
        <w:pStyle w:val="Heading2-nonumbering"/>
      </w:pPr>
      <w:bookmarkStart w:id="57" w:name="_Toc124933847"/>
      <w:r>
        <w:lastRenderedPageBreak/>
        <w:t>Appendix 2: Using Commissioning for Pae Ora for investment planning</w:t>
      </w:r>
      <w:bookmarkEnd w:id="57"/>
    </w:p>
    <w:p w14:paraId="7F6B2EA4" w14:textId="77777777" w:rsidR="0008530E" w:rsidRDefault="0008530E" w:rsidP="008A51FB">
      <w:pPr>
        <w:rPr>
          <w:lang w:eastAsia="en-GB"/>
        </w:rPr>
      </w:pPr>
    </w:p>
    <w:p w14:paraId="28029C3D" w14:textId="13A836A3" w:rsidR="008A51FB" w:rsidRDefault="008A51FB" w:rsidP="0008530E">
      <w:pPr>
        <w:pStyle w:val="NormalwIndent"/>
      </w:pPr>
      <w:r>
        <w:t xml:space="preserve">As well as guiding commissioning, </w:t>
      </w:r>
      <w:r w:rsidR="00A26AFD">
        <w:t>Commissioning for Pae Ora</w:t>
      </w:r>
      <w:r>
        <w:t xml:space="preserve"> can support planning for investments across the life course, for different types of investments and across the broader social sector. </w:t>
      </w:r>
    </w:p>
    <w:p w14:paraId="07AF7E21" w14:textId="0A5FF22A" w:rsidR="008A51FB" w:rsidRDefault="008A51FB" w:rsidP="0008530E">
      <w:pPr>
        <w:pStyle w:val="NormalwIndent"/>
      </w:pPr>
      <w:r>
        <w:t xml:space="preserve">The templates below can </w:t>
      </w:r>
      <w:r w:rsidR="007443AC">
        <w:t xml:space="preserve">help </w:t>
      </w:r>
      <w:r>
        <w:t>with such planning.</w:t>
      </w:r>
    </w:p>
    <w:p w14:paraId="27D93288" w14:textId="2F37FA50" w:rsidR="0008530E" w:rsidRDefault="0008530E" w:rsidP="0008530E">
      <w:pPr>
        <w:pStyle w:val="NormalIndent1"/>
      </w:pPr>
      <w:r w:rsidRPr="008E2919">
        <w:rPr>
          <w:noProof/>
        </w:rPr>
        <w:drawing>
          <wp:inline distT="0" distB="0" distL="0" distR="0" wp14:anchorId="118A8DA1" wp14:editId="6ACA1C67">
            <wp:extent cx="3969716" cy="2977287"/>
            <wp:effectExtent l="0" t="0" r="0" b="0"/>
            <wp:docPr id="252" name="Picture 252" descr="P162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P1624#yIS1"/>
                    <pic:cNvPicPr/>
                  </pic:nvPicPr>
                  <pic:blipFill>
                    <a:blip r:embed="rId53"/>
                    <a:stretch>
                      <a:fillRect/>
                    </a:stretch>
                  </pic:blipFill>
                  <pic:spPr>
                    <a:xfrm>
                      <a:off x="0" y="0"/>
                      <a:ext cx="4003613" cy="3002709"/>
                    </a:xfrm>
                    <a:prstGeom prst="rect">
                      <a:avLst/>
                    </a:prstGeom>
                  </pic:spPr>
                </pic:pic>
              </a:graphicData>
            </a:graphic>
          </wp:inline>
        </w:drawing>
      </w:r>
    </w:p>
    <w:p w14:paraId="2CCF43A2" w14:textId="061A2BD0" w:rsidR="0008530E" w:rsidRDefault="0008530E" w:rsidP="0008530E">
      <w:pPr>
        <w:pStyle w:val="NormalwIndent"/>
      </w:pPr>
      <w:r w:rsidRPr="0008530E">
        <w:rPr>
          <w:noProof/>
        </w:rPr>
        <w:drawing>
          <wp:inline distT="0" distB="0" distL="0" distR="0" wp14:anchorId="350F7041" wp14:editId="179EE891">
            <wp:extent cx="3997782" cy="2998336"/>
            <wp:effectExtent l="0" t="0" r="3175" b="0"/>
            <wp:docPr id="254" name="Picture 254" descr="P162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P1625#yIS1"/>
                    <pic:cNvPicPr/>
                  </pic:nvPicPr>
                  <pic:blipFill>
                    <a:blip r:embed="rId54"/>
                    <a:stretch>
                      <a:fillRect/>
                    </a:stretch>
                  </pic:blipFill>
                  <pic:spPr>
                    <a:xfrm>
                      <a:off x="0" y="0"/>
                      <a:ext cx="4031625" cy="3023718"/>
                    </a:xfrm>
                    <a:prstGeom prst="rect">
                      <a:avLst/>
                    </a:prstGeom>
                  </pic:spPr>
                </pic:pic>
              </a:graphicData>
            </a:graphic>
          </wp:inline>
        </w:drawing>
      </w:r>
    </w:p>
    <w:p w14:paraId="455E0999" w14:textId="72867F51" w:rsidR="0008530E" w:rsidRPr="008A51FB" w:rsidRDefault="0008530E" w:rsidP="0008530E">
      <w:pPr>
        <w:sectPr w:rsidR="0008530E" w:rsidRPr="008A51FB" w:rsidSect="00C345BC">
          <w:pgSz w:w="11906" w:h="16838"/>
          <w:pgMar w:top="2778" w:right="1701" w:bottom="454" w:left="1701" w:header="567" w:footer="567" w:gutter="0"/>
          <w:cols w:space="708"/>
          <w:titlePg/>
          <w:docGrid w:linePitch="360"/>
        </w:sectPr>
      </w:pPr>
    </w:p>
    <w:p w14:paraId="59CC98C6" w14:textId="57549740" w:rsidR="00345F71" w:rsidRPr="009A37A8" w:rsidRDefault="00345F71" w:rsidP="009A37A8">
      <w:bookmarkStart w:id="58" w:name="_Toc89322753"/>
      <w:bookmarkEnd w:id="37"/>
    </w:p>
    <w:p w14:paraId="55E06C61" w14:textId="77777777" w:rsidR="009B3288" w:rsidRPr="001E7210" w:rsidRDefault="009B3288" w:rsidP="001E7210"/>
    <w:p w14:paraId="6DC07551" w14:textId="77777777" w:rsidR="0008530E" w:rsidRDefault="0008530E" w:rsidP="00345F71">
      <w:pPr>
        <w:sectPr w:rsidR="0008530E" w:rsidSect="00307C31">
          <w:headerReference w:type="even" r:id="rId55"/>
          <w:headerReference w:type="default" r:id="rId56"/>
          <w:headerReference w:type="first" r:id="rId57"/>
          <w:type w:val="continuous"/>
          <w:pgSz w:w="11906" w:h="16838"/>
          <w:pgMar w:top="2778" w:right="1701" w:bottom="454" w:left="1701" w:header="567" w:footer="567" w:gutter="0"/>
          <w:cols w:num="2" w:space="567"/>
          <w:titlePg/>
          <w:docGrid w:linePitch="360"/>
        </w:sectPr>
      </w:pPr>
    </w:p>
    <w:p w14:paraId="4FB36DC6" w14:textId="36056BF7" w:rsidR="0008530E" w:rsidRDefault="0008530E" w:rsidP="0008530E">
      <w:pPr>
        <w:pStyle w:val="Heading2-nonumbering"/>
      </w:pPr>
      <w:bookmarkStart w:id="59" w:name="_Toc124933848"/>
      <w:bookmarkEnd w:id="58"/>
      <w:r>
        <w:lastRenderedPageBreak/>
        <w:t>Appendix 3: Developing models of care</w:t>
      </w:r>
      <w:bookmarkEnd w:id="59"/>
      <w:r>
        <w:t xml:space="preserve"> </w:t>
      </w:r>
    </w:p>
    <w:p w14:paraId="5ED025EE" w14:textId="77777777" w:rsidR="00E61CDB" w:rsidRDefault="00E61CDB" w:rsidP="00E61CDB">
      <w:pPr>
        <w:pStyle w:val="NormalwIndent"/>
      </w:pPr>
    </w:p>
    <w:p w14:paraId="318715DA" w14:textId="3ADAA7F4" w:rsidR="0008530E" w:rsidRDefault="0008530E" w:rsidP="0008530E">
      <w:pPr>
        <w:pStyle w:val="NormalwIndent"/>
      </w:pPr>
      <w:r>
        <w:t xml:space="preserve">The model of care will </w:t>
      </w:r>
      <w:r w:rsidR="00E93BBE">
        <w:t xml:space="preserve">shape </w:t>
      </w:r>
      <w:r>
        <w:t xml:space="preserve">how the service is designed and delivered, so it must be an evidence-informed, agreed model that will meet the needs of the people, whānau and community </w:t>
      </w:r>
      <w:r w:rsidR="00E93BBE">
        <w:t xml:space="preserve">that the designing and planning stage of commissioning has </w:t>
      </w:r>
      <w:r>
        <w:t>identified. Given the health sector cannot solve complex health and social issues on its own, models of care need to have a broader wellbeing focus.</w:t>
      </w:r>
    </w:p>
    <w:p w14:paraId="27BB1CB8" w14:textId="15C892B4" w:rsidR="00345F71" w:rsidRDefault="0008530E" w:rsidP="0008530E">
      <w:pPr>
        <w:pStyle w:val="NormalwIndent"/>
      </w:pPr>
      <w:r>
        <w:t>The</w:t>
      </w:r>
      <w:r w:rsidRPr="00CF3A4D">
        <w:rPr>
          <w:i/>
          <w:iCs/>
        </w:rPr>
        <w:t xml:space="preserve"> Commissioning Framework for Mental Health and Addiction</w:t>
      </w:r>
      <w:r>
        <w:t xml:space="preserve"> (Ministry of Health 2016) developed a model of care where people and whānau are central to the health system, outcomes are equitable, and there are no artificial barriers between mental health, addiction, other parts of health and other parts of people’s lives. This means the approach is much broader, taking social determinants</w:t>
      </w:r>
      <w:r w:rsidR="000F7470">
        <w:t xml:space="preserve"> of health</w:t>
      </w:r>
      <w:r>
        <w:t xml:space="preserve"> into account</w:t>
      </w:r>
      <w:r w:rsidR="000F7470">
        <w:t>. It</w:t>
      </w:r>
      <w:r>
        <w:t xml:space="preserve"> is </w:t>
      </w:r>
      <w:r w:rsidR="000F7470">
        <w:t xml:space="preserve">also </w:t>
      </w:r>
      <w:r>
        <w:t xml:space="preserve">able to bring everyone together </w:t>
      </w:r>
      <w:r w:rsidR="000F7470">
        <w:rPr>
          <w:rFonts w:ascii="Calibri" w:hAnsi="Calibri" w:cs="Calibri"/>
        </w:rPr>
        <w:t>—</w:t>
      </w:r>
      <w:r>
        <w:t xml:space="preserve"> across whānau, iwi, hapū, communities, social networks and agencies, and across government.</w:t>
      </w:r>
    </w:p>
    <w:p w14:paraId="2F68464B" w14:textId="77777777" w:rsidR="0008530E" w:rsidRDefault="0008530E" w:rsidP="0008530E">
      <w:pPr>
        <w:pStyle w:val="NormalwIndent"/>
      </w:pPr>
    </w:p>
    <w:tbl>
      <w:tblPr>
        <w:tblStyle w:val="TableGrid"/>
        <w:tblW w:w="8349" w:type="dxa"/>
        <w:tblBorders>
          <w:top w:val="single" w:sz="2" w:space="0" w:color="EC643C"/>
          <w:left w:val="none" w:sz="0" w:space="0" w:color="auto"/>
          <w:bottom w:val="single" w:sz="2" w:space="0" w:color="EC643C"/>
          <w:right w:val="none" w:sz="0" w:space="0" w:color="auto"/>
          <w:insideH w:val="single" w:sz="2" w:space="0" w:color="EC643C"/>
          <w:insideV w:val="none" w:sz="0" w:space="0" w:color="auto"/>
        </w:tblBorders>
        <w:shd w:val="clear" w:color="auto" w:fill="FFFFFF" w:themeFill="background1"/>
        <w:tblLook w:val="04A0" w:firstRow="1" w:lastRow="0" w:firstColumn="1" w:lastColumn="0" w:noHBand="0" w:noVBand="1"/>
      </w:tblPr>
      <w:tblGrid>
        <w:gridCol w:w="1701"/>
        <w:gridCol w:w="6648"/>
      </w:tblGrid>
      <w:tr w:rsidR="0008530E" w:rsidRPr="004F7098" w14:paraId="2D59CB2D" w14:textId="77777777" w:rsidTr="0008530E">
        <w:trPr>
          <w:trHeight w:val="137"/>
          <w:tblHeader/>
        </w:trPr>
        <w:tc>
          <w:tcPr>
            <w:tcW w:w="1701" w:type="dxa"/>
            <w:shd w:val="clear" w:color="auto" w:fill="F2F2F2" w:themeFill="background1" w:themeFillShade="F2"/>
          </w:tcPr>
          <w:p w14:paraId="5CD79C7F" w14:textId="77777777" w:rsidR="0008530E" w:rsidRPr="004F7098" w:rsidRDefault="0008530E" w:rsidP="0008530E">
            <w:pPr>
              <w:pStyle w:val="TableText"/>
              <w:spacing w:before="80" w:after="80"/>
              <w:rPr>
                <w:b/>
                <w:szCs w:val="18"/>
              </w:rPr>
            </w:pPr>
          </w:p>
        </w:tc>
        <w:tc>
          <w:tcPr>
            <w:tcW w:w="6648" w:type="dxa"/>
            <w:shd w:val="clear" w:color="auto" w:fill="F2F2F2" w:themeFill="background1" w:themeFillShade="F2"/>
          </w:tcPr>
          <w:p w14:paraId="569BAD72" w14:textId="77777777" w:rsidR="0008530E" w:rsidRPr="004F7098" w:rsidRDefault="0008530E" w:rsidP="0008530E">
            <w:pPr>
              <w:pStyle w:val="TableText"/>
              <w:spacing w:before="80" w:after="80"/>
              <w:rPr>
                <w:rFonts w:asciiTheme="minorHAnsi" w:hAnsiTheme="minorHAnsi" w:cs="Segoe UI"/>
                <w:b/>
                <w:szCs w:val="18"/>
              </w:rPr>
            </w:pPr>
            <w:r w:rsidRPr="004F7098">
              <w:rPr>
                <w:rFonts w:asciiTheme="minorHAnsi" w:hAnsiTheme="minorHAnsi" w:cs="Segoe UI"/>
                <w:b/>
                <w:szCs w:val="18"/>
              </w:rPr>
              <w:t>To be successful, models of care need to:</w:t>
            </w:r>
          </w:p>
        </w:tc>
      </w:tr>
      <w:tr w:rsidR="0008530E" w:rsidRPr="003A6A50" w14:paraId="1C89D5AC" w14:textId="77777777" w:rsidTr="0008530E">
        <w:trPr>
          <w:trHeight w:val="626"/>
        </w:trPr>
        <w:tc>
          <w:tcPr>
            <w:tcW w:w="1701" w:type="dxa"/>
            <w:shd w:val="clear" w:color="auto" w:fill="F2F2F2" w:themeFill="background1" w:themeFillShade="F2"/>
            <w:vAlign w:val="center"/>
          </w:tcPr>
          <w:p w14:paraId="68D4523D" w14:textId="77777777" w:rsidR="0008530E" w:rsidRPr="0008530E" w:rsidRDefault="0008530E" w:rsidP="0008530E">
            <w:pPr>
              <w:pStyle w:val="TableText"/>
              <w:spacing w:before="80" w:after="80"/>
              <w:rPr>
                <w:b/>
                <w:bCs/>
              </w:rPr>
            </w:pPr>
            <w:r w:rsidRPr="0008530E">
              <w:rPr>
                <w:b/>
                <w:bCs/>
              </w:rPr>
              <w:t>People</w:t>
            </w:r>
          </w:p>
          <w:p w14:paraId="3463E6A5" w14:textId="77777777" w:rsidR="0008530E" w:rsidRPr="0008530E" w:rsidRDefault="0008530E" w:rsidP="0008530E">
            <w:pPr>
              <w:pStyle w:val="TableText"/>
              <w:spacing w:before="80" w:after="80"/>
              <w:rPr>
                <w:b/>
                <w:bCs/>
              </w:rPr>
            </w:pPr>
            <w:r w:rsidRPr="0008530E">
              <w:rPr>
                <w:b/>
                <w:bCs/>
              </w:rPr>
              <w:t>Whānau</w:t>
            </w:r>
          </w:p>
          <w:p w14:paraId="779424C6" w14:textId="77777777" w:rsidR="0008530E" w:rsidRPr="0008530E" w:rsidRDefault="0008530E" w:rsidP="0008530E">
            <w:pPr>
              <w:pStyle w:val="TableText"/>
              <w:spacing w:before="80" w:after="80"/>
              <w:rPr>
                <w:b/>
                <w:bCs/>
              </w:rPr>
            </w:pPr>
            <w:r w:rsidRPr="0008530E">
              <w:rPr>
                <w:b/>
                <w:bCs/>
              </w:rPr>
              <w:t>Communities</w:t>
            </w:r>
          </w:p>
        </w:tc>
        <w:tc>
          <w:tcPr>
            <w:tcW w:w="6648" w:type="dxa"/>
            <w:shd w:val="clear" w:color="auto" w:fill="FFFFFF" w:themeFill="background1"/>
          </w:tcPr>
          <w:p w14:paraId="0953C229" w14:textId="77777777" w:rsidR="0008530E" w:rsidRPr="003A6A50" w:rsidRDefault="0008530E" w:rsidP="0008530E">
            <w:pPr>
              <w:pStyle w:val="Tablebulletx"/>
              <w:spacing w:before="80" w:after="80"/>
            </w:pPr>
            <w:r w:rsidRPr="003A6A50">
              <w:t>ensure service users and whānau shape the purpose</w:t>
            </w:r>
          </w:p>
          <w:p w14:paraId="6D4C46AE" w14:textId="77777777" w:rsidR="0008530E" w:rsidRPr="003A6A50" w:rsidRDefault="0008530E" w:rsidP="0008530E">
            <w:pPr>
              <w:pStyle w:val="Tablebulletx"/>
              <w:spacing w:before="80" w:after="80"/>
            </w:pPr>
            <w:r w:rsidRPr="003A6A50">
              <w:t>take a holistic approach to</w:t>
            </w:r>
            <w:r>
              <w:t xml:space="preserve"> achieving</w:t>
            </w:r>
            <w:r w:rsidRPr="003A6A50">
              <w:t xml:space="preserve"> pae ora and include services outside the health sector</w:t>
            </w:r>
          </w:p>
          <w:p w14:paraId="22406C5C" w14:textId="77777777" w:rsidR="0008530E" w:rsidRPr="003A6A50" w:rsidRDefault="0008530E" w:rsidP="0008530E">
            <w:pPr>
              <w:pStyle w:val="Tablebulletx"/>
              <w:spacing w:before="80" w:after="80"/>
            </w:pPr>
            <w:r w:rsidRPr="003A6A50">
              <w:t>ensure services are accessible, affordable, high quality, culturally safe and effective</w:t>
            </w:r>
          </w:p>
        </w:tc>
      </w:tr>
      <w:tr w:rsidR="0008530E" w:rsidRPr="003A6A50" w14:paraId="06A3CFE7" w14:textId="77777777" w:rsidTr="0008530E">
        <w:trPr>
          <w:trHeight w:val="528"/>
        </w:trPr>
        <w:tc>
          <w:tcPr>
            <w:tcW w:w="1701" w:type="dxa"/>
            <w:shd w:val="clear" w:color="auto" w:fill="F2F2F2" w:themeFill="background1" w:themeFillShade="F2"/>
            <w:vAlign w:val="center"/>
          </w:tcPr>
          <w:p w14:paraId="6ED6EF90" w14:textId="77777777" w:rsidR="0008530E" w:rsidRPr="0008530E" w:rsidRDefault="0008530E" w:rsidP="0008530E">
            <w:pPr>
              <w:pStyle w:val="TableText"/>
              <w:spacing w:before="80" w:after="80"/>
              <w:rPr>
                <w:b/>
                <w:bCs/>
              </w:rPr>
            </w:pPr>
            <w:r w:rsidRPr="0008530E">
              <w:rPr>
                <w:b/>
                <w:bCs/>
              </w:rPr>
              <w:t>Delivery</w:t>
            </w:r>
          </w:p>
        </w:tc>
        <w:tc>
          <w:tcPr>
            <w:tcW w:w="6648" w:type="dxa"/>
            <w:shd w:val="clear" w:color="auto" w:fill="FFFFFF" w:themeFill="background1"/>
          </w:tcPr>
          <w:p w14:paraId="46B15D79" w14:textId="77777777" w:rsidR="0008530E" w:rsidRPr="003A6A50" w:rsidRDefault="0008530E" w:rsidP="0008530E">
            <w:pPr>
              <w:pStyle w:val="Tablebulletx"/>
              <w:spacing w:before="80" w:after="80"/>
            </w:pPr>
            <w:r>
              <w:t>underpin</w:t>
            </w:r>
            <w:r w:rsidRPr="003A6A50">
              <w:t xml:space="preserve"> service delivery </w:t>
            </w:r>
            <w:r>
              <w:t xml:space="preserve">with </w:t>
            </w:r>
            <w:r w:rsidRPr="003A6A50">
              <w:t>a robust framework that reflects clinical and non-clinical aspects of care</w:t>
            </w:r>
          </w:p>
          <w:p w14:paraId="1D5BD608" w14:textId="77777777" w:rsidR="0008530E" w:rsidRPr="003A6A50" w:rsidRDefault="0008530E" w:rsidP="0008530E">
            <w:pPr>
              <w:pStyle w:val="Tablebulletx"/>
              <w:spacing w:before="80" w:after="80"/>
            </w:pPr>
            <w:r w:rsidRPr="003A6A50">
              <w:t>focus on resilience and recovery</w:t>
            </w:r>
          </w:p>
          <w:p w14:paraId="672EBA09" w14:textId="77777777" w:rsidR="0008530E" w:rsidRPr="003A6A50" w:rsidRDefault="0008530E" w:rsidP="0008530E">
            <w:pPr>
              <w:pStyle w:val="Tablebulletx"/>
              <w:spacing w:before="80" w:after="80"/>
            </w:pPr>
            <w:r w:rsidRPr="003A6A50">
              <w:t>use data to inform practice</w:t>
            </w:r>
          </w:p>
        </w:tc>
      </w:tr>
      <w:tr w:rsidR="0008530E" w:rsidRPr="003A6A50" w14:paraId="1647A275" w14:textId="77777777" w:rsidTr="0008530E">
        <w:tc>
          <w:tcPr>
            <w:tcW w:w="1701" w:type="dxa"/>
            <w:shd w:val="clear" w:color="auto" w:fill="F2F2F2" w:themeFill="background1" w:themeFillShade="F2"/>
            <w:vAlign w:val="center"/>
          </w:tcPr>
          <w:p w14:paraId="556B8238" w14:textId="77777777" w:rsidR="0008530E" w:rsidRPr="0008530E" w:rsidRDefault="0008530E" w:rsidP="0008530E">
            <w:pPr>
              <w:pStyle w:val="TableText"/>
              <w:spacing w:before="80" w:after="80"/>
              <w:rPr>
                <w:b/>
                <w:bCs/>
              </w:rPr>
            </w:pPr>
            <w:r w:rsidRPr="0008530E">
              <w:rPr>
                <w:b/>
                <w:bCs/>
              </w:rPr>
              <w:t>Commissioners</w:t>
            </w:r>
          </w:p>
        </w:tc>
        <w:tc>
          <w:tcPr>
            <w:tcW w:w="6648" w:type="dxa"/>
            <w:shd w:val="clear" w:color="auto" w:fill="FFFFFF" w:themeFill="background1"/>
          </w:tcPr>
          <w:p w14:paraId="186F8C1E" w14:textId="49B647CA" w:rsidR="0008530E" w:rsidRPr="003A6A50" w:rsidRDefault="0008530E" w:rsidP="0008530E">
            <w:pPr>
              <w:pStyle w:val="Tablebulletx"/>
              <w:spacing w:before="80" w:after="80"/>
            </w:pPr>
            <w:r>
              <w:t>have</w:t>
            </w:r>
            <w:r w:rsidRPr="003A6A50">
              <w:t xml:space="preserve"> equitable funding models</w:t>
            </w:r>
            <w:r>
              <w:t xml:space="preserve"> that underpin them and</w:t>
            </w:r>
            <w:r w:rsidRPr="003A6A50">
              <w:t xml:space="preserve"> focus on shifting investment</w:t>
            </w:r>
            <w:r w:rsidR="007D7304">
              <w:t xml:space="preserve"> from</w:t>
            </w:r>
            <w:r w:rsidRPr="003A6A50">
              <w:t xml:space="preserve"> upstream </w:t>
            </w:r>
            <w:r w:rsidR="007D7304">
              <w:t xml:space="preserve">services </w:t>
            </w:r>
            <w:r w:rsidRPr="003A6A50">
              <w:t>to prevention over time</w:t>
            </w:r>
          </w:p>
          <w:p w14:paraId="0A5F1259" w14:textId="67D7E9A0" w:rsidR="0008530E" w:rsidRPr="003A6A50" w:rsidRDefault="0008530E" w:rsidP="0008530E">
            <w:pPr>
              <w:pStyle w:val="Tablebulletx"/>
              <w:spacing w:before="80" w:after="80"/>
            </w:pPr>
            <w:r w:rsidRPr="003A6A50">
              <w:t>prioritise services</w:t>
            </w:r>
            <w:r>
              <w:t xml:space="preserve"> and </w:t>
            </w:r>
            <w:r w:rsidRPr="003A6A50">
              <w:t xml:space="preserve">responses that reflect evidence and promote the development of best practice (defined as </w:t>
            </w:r>
            <w:r w:rsidR="007636F3">
              <w:t xml:space="preserve">practice that is </w:t>
            </w:r>
            <w:r w:rsidRPr="003A6A50">
              <w:t>dynamic, evidence-informed, innovative and open to change)</w:t>
            </w:r>
          </w:p>
          <w:p w14:paraId="7C4FA3B0" w14:textId="77777777" w:rsidR="0008530E" w:rsidRPr="003A6A50" w:rsidRDefault="0008530E" w:rsidP="0008530E">
            <w:pPr>
              <w:pStyle w:val="Tablebulletx"/>
              <w:spacing w:before="80" w:after="80"/>
            </w:pPr>
            <w:r w:rsidRPr="003A6A50">
              <w:t>prioritise services</w:t>
            </w:r>
            <w:r>
              <w:t xml:space="preserve"> and </w:t>
            </w:r>
            <w:r w:rsidRPr="003A6A50">
              <w:t>responses that are culturally competent as well as clinically competent and that reflect Whānau Ora</w:t>
            </w:r>
          </w:p>
        </w:tc>
      </w:tr>
      <w:tr w:rsidR="0008530E" w:rsidRPr="003A6A50" w14:paraId="45BBE8A3" w14:textId="77777777" w:rsidTr="0008530E">
        <w:trPr>
          <w:trHeight w:val="946"/>
        </w:trPr>
        <w:tc>
          <w:tcPr>
            <w:tcW w:w="1701" w:type="dxa"/>
            <w:shd w:val="clear" w:color="auto" w:fill="F2F2F2" w:themeFill="background1" w:themeFillShade="F2"/>
            <w:vAlign w:val="center"/>
          </w:tcPr>
          <w:p w14:paraId="55301E5F" w14:textId="77777777" w:rsidR="0008530E" w:rsidRPr="0008530E" w:rsidRDefault="0008530E" w:rsidP="0008530E">
            <w:pPr>
              <w:pStyle w:val="TableText"/>
              <w:spacing w:before="80" w:after="80"/>
              <w:rPr>
                <w:b/>
                <w:bCs/>
              </w:rPr>
            </w:pPr>
            <w:r w:rsidRPr="0008530E">
              <w:rPr>
                <w:b/>
                <w:bCs/>
              </w:rPr>
              <w:t>System conditions</w:t>
            </w:r>
          </w:p>
        </w:tc>
        <w:tc>
          <w:tcPr>
            <w:tcW w:w="6648" w:type="dxa"/>
            <w:shd w:val="clear" w:color="auto" w:fill="FFFFFF" w:themeFill="background1"/>
          </w:tcPr>
          <w:p w14:paraId="320A015F" w14:textId="77777777" w:rsidR="0008530E" w:rsidRPr="003A6A50" w:rsidRDefault="0008530E" w:rsidP="0008530E">
            <w:pPr>
              <w:pStyle w:val="Tablebulletx"/>
              <w:spacing w:before="80" w:after="80"/>
            </w:pPr>
            <w:r w:rsidRPr="003A6A50">
              <w:t>use surveillance of health and diseases to develop funding models, service planning and development, alongside broader demographics</w:t>
            </w:r>
          </w:p>
          <w:p w14:paraId="44E371B4" w14:textId="77777777" w:rsidR="0008530E" w:rsidRPr="003A6A50" w:rsidRDefault="0008530E" w:rsidP="0008530E">
            <w:pPr>
              <w:pStyle w:val="Tablebulletx"/>
              <w:spacing w:before="80" w:after="80"/>
            </w:pPr>
            <w:r w:rsidRPr="003A6A50">
              <w:t>be able to relate to other models of care across sectors and at different levels of operation (national, regional, local)</w:t>
            </w:r>
          </w:p>
          <w:p w14:paraId="648DD836" w14:textId="77777777" w:rsidR="0008530E" w:rsidRPr="003A6A50" w:rsidRDefault="0008530E" w:rsidP="0008530E">
            <w:pPr>
              <w:pStyle w:val="Tablebulletx"/>
              <w:spacing w:before="80" w:after="80"/>
            </w:pPr>
            <w:r w:rsidRPr="003A6A50">
              <w:lastRenderedPageBreak/>
              <w:t xml:space="preserve">span a range of services, including </w:t>
            </w:r>
            <w:r>
              <w:t xml:space="preserve">public health, </w:t>
            </w:r>
            <w:r w:rsidRPr="003A6A50">
              <w:t>primary, secondary and tertiary services, those provided by NGOs and those provided in the community</w:t>
            </w:r>
          </w:p>
          <w:p w14:paraId="30AC76F2" w14:textId="06F4E039" w:rsidR="0008530E" w:rsidRPr="003A6A50" w:rsidRDefault="0008530E" w:rsidP="0008530E">
            <w:pPr>
              <w:pStyle w:val="Tablebulletx"/>
              <w:spacing w:before="80" w:after="80"/>
            </w:pPr>
            <w:r w:rsidRPr="003A6A50">
              <w:t xml:space="preserve">be developed in partnership, </w:t>
            </w:r>
            <w:r w:rsidR="00D664DB">
              <w:t>using</w:t>
            </w:r>
            <w:r w:rsidR="00D664DB" w:rsidRPr="003A6A50">
              <w:t xml:space="preserve"> </w:t>
            </w:r>
            <w:r w:rsidRPr="003A6A50">
              <w:t>a multidisciplinary and inclusive approach, as all those who will be involved in service delivery need to understand both the model and the principles that underpin it</w:t>
            </w:r>
          </w:p>
          <w:p w14:paraId="635BE7E5" w14:textId="77777777" w:rsidR="0008530E" w:rsidRPr="003A6A50" w:rsidRDefault="0008530E" w:rsidP="0008530E">
            <w:pPr>
              <w:pStyle w:val="Tablebulletx"/>
              <w:spacing w:before="80" w:after="80"/>
            </w:pPr>
            <w:r w:rsidRPr="003A6A50">
              <w:t>have clear roles and responsibilities and</w:t>
            </w:r>
            <w:r>
              <w:t xml:space="preserve"> explore</w:t>
            </w:r>
            <w:r w:rsidRPr="003A6A50">
              <w:t xml:space="preserve"> philosophical differences, as these will have an impact on service delivery if not resolved.</w:t>
            </w:r>
          </w:p>
          <w:p w14:paraId="35061762" w14:textId="4A4D5C88" w:rsidR="0008530E" w:rsidRPr="003A6A50" w:rsidRDefault="007D7304" w:rsidP="0008530E">
            <w:pPr>
              <w:pStyle w:val="TableText"/>
              <w:spacing w:before="80" w:after="80"/>
            </w:pPr>
            <w:r>
              <w:t>Developing s</w:t>
            </w:r>
            <w:r w:rsidR="0008530E">
              <w:t>ome</w:t>
            </w:r>
            <w:r w:rsidR="0008530E" w:rsidRPr="003A6A50">
              <w:t xml:space="preserve"> type</w:t>
            </w:r>
            <w:r w:rsidR="0008530E">
              <w:t>s</w:t>
            </w:r>
            <w:r w:rsidR="0008530E" w:rsidRPr="003A6A50">
              <w:t xml:space="preserve"> of response may </w:t>
            </w:r>
            <w:r>
              <w:t xml:space="preserve">lead to </w:t>
            </w:r>
            <w:r w:rsidR="0008530E" w:rsidRPr="003A6A50">
              <w:t xml:space="preserve">an overarching model of care </w:t>
            </w:r>
            <w:r>
              <w:t xml:space="preserve">that </w:t>
            </w:r>
            <w:r w:rsidR="0008530E" w:rsidRPr="003A6A50">
              <w:t>reflect</w:t>
            </w:r>
            <w:r>
              <w:t>s</w:t>
            </w:r>
            <w:r w:rsidR="0008530E" w:rsidRPr="003A6A50">
              <w:t xml:space="preserve"> a whole-of-system approach</w:t>
            </w:r>
            <w:r>
              <w:t>. In</w:t>
            </w:r>
            <w:r w:rsidR="0008530E">
              <w:t xml:space="preserve"> other</w:t>
            </w:r>
            <w:r>
              <w:t xml:space="preserve"> cases</w:t>
            </w:r>
            <w:r w:rsidR="0008530E">
              <w:t>,</w:t>
            </w:r>
            <w:r w:rsidR="0008530E" w:rsidRPr="003A6A50">
              <w:t xml:space="preserve"> it may be more appropriate </w:t>
            </w:r>
            <w:r w:rsidR="0008530E">
              <w:t>to have a</w:t>
            </w:r>
            <w:r w:rsidR="0008530E" w:rsidRPr="003A6A50">
              <w:t xml:space="preserve"> model </w:t>
            </w:r>
            <w:r w:rsidR="0008530E">
              <w:t xml:space="preserve">that </w:t>
            </w:r>
            <w:r w:rsidR="0008530E" w:rsidRPr="003A6A50">
              <w:t>reflect</w:t>
            </w:r>
            <w:r w:rsidR="0008530E">
              <w:t>s</w:t>
            </w:r>
            <w:r w:rsidR="0008530E" w:rsidRPr="003A6A50">
              <w:t xml:space="preserve"> individual service-level expectations. </w:t>
            </w:r>
          </w:p>
        </w:tc>
      </w:tr>
    </w:tbl>
    <w:p w14:paraId="2C19588C" w14:textId="77777777" w:rsidR="0008530E" w:rsidRDefault="0008530E" w:rsidP="0008530E"/>
    <w:p w14:paraId="78243E0E" w14:textId="77777777" w:rsidR="0008530E" w:rsidRDefault="0008530E" w:rsidP="0008530E">
      <w:pPr>
        <w:sectPr w:rsidR="0008530E" w:rsidSect="0008530E">
          <w:type w:val="continuous"/>
          <w:pgSz w:w="11906" w:h="16838"/>
          <w:pgMar w:top="2778" w:right="1701" w:bottom="454" w:left="1701" w:header="567" w:footer="567" w:gutter="0"/>
          <w:cols w:space="567"/>
          <w:titlePg/>
          <w:docGrid w:linePitch="360"/>
        </w:sectPr>
      </w:pPr>
    </w:p>
    <w:p w14:paraId="158A77D1" w14:textId="77777777" w:rsidR="0008530E" w:rsidRDefault="0008530E" w:rsidP="0008530E">
      <w:pPr>
        <w:pStyle w:val="Heading2-nonumbering"/>
      </w:pPr>
      <w:bookmarkStart w:id="60" w:name="_Toc124933849"/>
      <w:r>
        <w:lastRenderedPageBreak/>
        <w:t>Appendix 4: Examples of other commissioning frameworks</w:t>
      </w:r>
      <w:bookmarkEnd w:id="60"/>
    </w:p>
    <w:p w14:paraId="0F35F7DD" w14:textId="77777777" w:rsidR="0008530E" w:rsidRDefault="0008530E" w:rsidP="0008530E">
      <w:pPr>
        <w:pStyle w:val="NormalwIndent"/>
      </w:pPr>
    </w:p>
    <w:p w14:paraId="7C2345CB" w14:textId="2B23BF9D" w:rsidR="0008530E" w:rsidRDefault="0008530E" w:rsidP="0008530E">
      <w:pPr>
        <w:pStyle w:val="NormalwIndent"/>
      </w:pPr>
      <w:r>
        <w:t>Whānau Ora commissioning agencies and district health boards have developed their own commissioning frameworks. A review o</w:t>
      </w:r>
      <w:r w:rsidR="00D664DB">
        <w:t>f</w:t>
      </w:r>
      <w:r>
        <w:t xml:space="preserve"> commissioning across the social sector is also addressing this area. This appendix gives an overview of this work in </w:t>
      </w:r>
      <w:r w:rsidR="0036039B">
        <w:t xml:space="preserve">Aotearoa </w:t>
      </w:r>
      <w:r>
        <w:t>New Zealand, as well as an Alaskan framework for Alaska Native and American Indian communities.</w:t>
      </w:r>
    </w:p>
    <w:p w14:paraId="6B3BB0C2" w14:textId="0422D579" w:rsidR="0008530E" w:rsidRPr="005506BF" w:rsidRDefault="0008530E" w:rsidP="009055B4">
      <w:pPr>
        <w:pStyle w:val="Heading3-nonumbering"/>
      </w:pPr>
      <w:r w:rsidRPr="0008530E">
        <w:t>Social Sector Commissioning</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08530E" w:rsidRPr="000C72D2" w14:paraId="477346CA" w14:textId="77777777" w:rsidTr="003D7A22">
        <w:trPr>
          <w:trHeight w:val="50"/>
        </w:trPr>
        <w:tc>
          <w:tcPr>
            <w:tcW w:w="567" w:type="dxa"/>
          </w:tcPr>
          <w:p w14:paraId="6BF8EB99" w14:textId="77777777" w:rsidR="0008530E" w:rsidRPr="000C72D2" w:rsidRDefault="0008530E" w:rsidP="009055B4">
            <w:pPr>
              <w:pStyle w:val="0RULE"/>
            </w:pPr>
          </w:p>
        </w:tc>
      </w:tr>
    </w:tbl>
    <w:p w14:paraId="67B4F105" w14:textId="7B82BCF6" w:rsidR="0008530E" w:rsidRDefault="0008530E" w:rsidP="0008530E">
      <w:pPr>
        <w:pStyle w:val="NormalwIndent"/>
      </w:pPr>
      <w:r>
        <w:t xml:space="preserve">The </w:t>
      </w:r>
      <w:r w:rsidR="004C7440">
        <w:t>S</w:t>
      </w:r>
      <w:r w:rsidR="00B915DB">
        <w:t xml:space="preserve">ocial </w:t>
      </w:r>
      <w:r w:rsidR="004C7440">
        <w:t>S</w:t>
      </w:r>
      <w:r w:rsidR="00B915DB">
        <w:t xml:space="preserve">ector </w:t>
      </w:r>
      <w:r w:rsidR="004C7440">
        <w:t>C</w:t>
      </w:r>
      <w:r w:rsidR="00B915DB">
        <w:t>ommissioning</w:t>
      </w:r>
      <w:r>
        <w:t xml:space="preserve"> work programme (jointly led by the Ministry of Social Development and Oranga Tamariki) reports to Cabinet on what is needed to improve the quality, effectiveness and integration of commissioning across the social sector. Both </w:t>
      </w:r>
      <w:r w:rsidR="00A26AFD">
        <w:t>Commissioning for Pae Ora</w:t>
      </w:r>
      <w:r>
        <w:t xml:space="preserve"> and the Commissioning for Equity and Wellbeing framework are aligned to, learning from and influencing the Social Sector Commissioning work.</w:t>
      </w:r>
    </w:p>
    <w:p w14:paraId="238F4408" w14:textId="63A3FE6F" w:rsidR="0008530E" w:rsidRDefault="0008530E" w:rsidP="0008530E">
      <w:pPr>
        <w:pStyle w:val="NormalwIndent"/>
      </w:pPr>
      <w:r>
        <w:t>For more information, see</w:t>
      </w:r>
      <w:r w:rsidR="00E47BAA" w:rsidRPr="00E47BAA">
        <w:t xml:space="preserve"> </w:t>
      </w:r>
      <w:r w:rsidR="0016156C" w:rsidRPr="002E5E47">
        <w:t>the</w:t>
      </w:r>
      <w:r w:rsidR="0016156C">
        <w:t xml:space="preserve"> </w:t>
      </w:r>
      <w:r w:rsidR="00E47BAA">
        <w:t>Ministry of Social Developmen</w:t>
      </w:r>
      <w:r w:rsidR="009C3FB9">
        <w:t>t’s u</w:t>
      </w:r>
      <w:r w:rsidR="00E47BAA">
        <w:t>pdate on the Future of Social Sector Commissioning work programme</w:t>
      </w:r>
      <w:r w:rsidR="007D7581">
        <w:t xml:space="preserve"> and the recently published Social Sector Commissioning </w:t>
      </w:r>
      <w:r w:rsidR="001576AC">
        <w:t>2022-2028 A</w:t>
      </w:r>
      <w:r w:rsidR="007D7581">
        <w:t xml:space="preserve">ction </w:t>
      </w:r>
      <w:r w:rsidR="001576AC">
        <w:t>P</w:t>
      </w:r>
      <w:r w:rsidR="007D7581">
        <w:t>lan</w:t>
      </w:r>
      <w:r w:rsidR="00D664DB">
        <w:t>. URL</w:t>
      </w:r>
      <w:r w:rsidR="00E47BAA">
        <w:t xml:space="preserve">: </w:t>
      </w:r>
      <w:hyperlink r:id="rId58" w:history="1">
        <w:r w:rsidRPr="00362A90">
          <w:rPr>
            <w:rStyle w:val="Hyperlink"/>
          </w:rPr>
          <w:t>msd.govt.nz/about-msd-and-our-work/publications-resources/planning-strategy/social-sector-commissioning</w:t>
        </w:r>
      </w:hyperlink>
      <w:r w:rsidR="00D664DB">
        <w:t xml:space="preserve"> (accessed </w:t>
      </w:r>
      <w:r w:rsidR="001576AC">
        <w:t>2 November</w:t>
      </w:r>
      <w:r w:rsidR="00D664DB">
        <w:t xml:space="preserve"> 2022).</w:t>
      </w:r>
    </w:p>
    <w:p w14:paraId="432867F5" w14:textId="72FC7446" w:rsidR="0008530E" w:rsidRPr="005506BF" w:rsidRDefault="0008530E" w:rsidP="009055B4">
      <w:pPr>
        <w:pStyle w:val="Heading3-nonumbering"/>
      </w:pPr>
      <w:r w:rsidRPr="0008530E">
        <w:t>Te Pou Matakana</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08530E" w:rsidRPr="000C72D2" w14:paraId="3D78147B" w14:textId="77777777" w:rsidTr="003D7A22">
        <w:trPr>
          <w:trHeight w:val="50"/>
        </w:trPr>
        <w:tc>
          <w:tcPr>
            <w:tcW w:w="567" w:type="dxa"/>
          </w:tcPr>
          <w:p w14:paraId="0028EF7C" w14:textId="77777777" w:rsidR="0008530E" w:rsidRPr="000C72D2" w:rsidRDefault="0008530E" w:rsidP="009055B4">
            <w:pPr>
              <w:pStyle w:val="0RULE"/>
            </w:pPr>
          </w:p>
        </w:tc>
      </w:tr>
    </w:tbl>
    <w:p w14:paraId="6BEE13EB" w14:textId="27BE65F1" w:rsidR="0008530E" w:rsidRDefault="0008530E" w:rsidP="0008530E">
      <w:pPr>
        <w:pStyle w:val="NormalwIndent"/>
      </w:pPr>
      <w:r>
        <w:t xml:space="preserve">The Māori Commissioning Report (Te Pou Matakana 2014) highlights the importance of looking at approaches that serve Māori and actively seek positive change within a Māori health framework. The review notes that although there is no definitive funding model designed specifically for Māori, </w:t>
      </w:r>
      <w:r w:rsidR="00AD67AC">
        <w:t>T</w:t>
      </w:r>
      <w:r w:rsidR="00AD67AC">
        <w:rPr>
          <w:lang w:val="mi-NZ"/>
        </w:rPr>
        <w:t xml:space="preserve">ā </w:t>
      </w:r>
      <w:r>
        <w:t>Mason Durie has proposed several frameworks and guiding principles that can inform funding and help define funding outcomes from a Māori health perspective.</w:t>
      </w:r>
    </w:p>
    <w:p w14:paraId="58DF8E66" w14:textId="77777777" w:rsidR="0008530E" w:rsidRDefault="0008530E" w:rsidP="0008530E">
      <w:pPr>
        <w:pStyle w:val="NormalwIndent"/>
      </w:pPr>
    </w:p>
    <w:p w14:paraId="229AE954" w14:textId="31AF6953" w:rsidR="0008530E" w:rsidRPr="005506BF" w:rsidRDefault="0008530E" w:rsidP="009055B4">
      <w:pPr>
        <w:pStyle w:val="Heading3-nonumbering"/>
      </w:pPr>
      <w:r w:rsidRPr="0008530E">
        <w:lastRenderedPageBreak/>
        <w:t>Whānau Ora commissioning</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08530E" w:rsidRPr="000C72D2" w14:paraId="188D2D87" w14:textId="77777777" w:rsidTr="003D7A22">
        <w:trPr>
          <w:trHeight w:val="50"/>
        </w:trPr>
        <w:tc>
          <w:tcPr>
            <w:tcW w:w="567" w:type="dxa"/>
          </w:tcPr>
          <w:p w14:paraId="2BF60792" w14:textId="77777777" w:rsidR="0008530E" w:rsidRPr="000C72D2" w:rsidRDefault="0008530E" w:rsidP="009055B4">
            <w:pPr>
              <w:pStyle w:val="0RULE"/>
            </w:pPr>
          </w:p>
        </w:tc>
      </w:tr>
    </w:tbl>
    <w:p w14:paraId="500A3E80" w14:textId="3FC68BE0" w:rsidR="0008530E" w:rsidRDefault="0008530E" w:rsidP="0008530E">
      <w:pPr>
        <w:pStyle w:val="NormalwIndent"/>
      </w:pPr>
      <w:r>
        <w:t xml:space="preserve">Te Puni Kōkiri (2013) presents its Whānau Ora Results Commissioning Framework on a one-page table that has </w:t>
      </w:r>
      <w:r w:rsidR="003F62DA">
        <w:t xml:space="preserve">5 </w:t>
      </w:r>
      <w:r>
        <w:t xml:space="preserve">high-level outcomes. Contracted commissioning agencies will </w:t>
      </w:r>
      <w:r w:rsidR="003F62DA">
        <w:t xml:space="preserve">decide on </w:t>
      </w:r>
      <w:r>
        <w:t xml:space="preserve">commissioned activities to develop and support initiatives </w:t>
      </w:r>
      <w:r w:rsidR="003F62DA">
        <w:t xml:space="preserve">that </w:t>
      </w:r>
      <w:r>
        <w:t xml:space="preserve">deliver measurable results for whānau and families </w:t>
      </w:r>
      <w:r w:rsidR="003F62DA">
        <w:t xml:space="preserve">in line </w:t>
      </w:r>
      <w:r>
        <w:t>with the Government’s high-level Whānau Ora outcomes.</w:t>
      </w:r>
    </w:p>
    <w:p w14:paraId="340C91DD" w14:textId="77777777" w:rsidR="0008530E" w:rsidRDefault="0008530E" w:rsidP="0008530E">
      <w:pPr>
        <w:pStyle w:val="NormalwIndent"/>
      </w:pPr>
      <w:r>
        <w:t>In the context of Whānau Ora, Te Puni Kōkiri (2013) describes commissioning as:</w:t>
      </w:r>
    </w:p>
    <w:p w14:paraId="61448B33" w14:textId="7B186470" w:rsidR="0008530E" w:rsidRPr="0008530E" w:rsidRDefault="0008530E" w:rsidP="0008530E">
      <w:pPr>
        <w:pStyle w:val="NormalIndent1"/>
        <w:ind w:left="2160" w:right="707"/>
      </w:pPr>
      <w:r w:rsidRPr="0008530E">
        <w:t xml:space="preserve">the process of identifying the aspirations of whānau and families and investing in a portfolio of new or existing programmes or initiatives expected to best deliver progress towards Whānau Ora outcomes, as well as the monitoring, evaluation and review of these investments. </w:t>
      </w:r>
    </w:p>
    <w:p w14:paraId="24188F19" w14:textId="05A502D2" w:rsidR="0008530E" w:rsidRPr="005506BF" w:rsidRDefault="0008530E" w:rsidP="009055B4">
      <w:pPr>
        <w:pStyle w:val="Heading3-nonumbering"/>
      </w:pPr>
      <w:r w:rsidRPr="0008530E">
        <w:t xml:space="preserve">Strategic </w:t>
      </w:r>
      <w:r w:rsidR="003F62DA">
        <w:t>p</w:t>
      </w:r>
      <w:r w:rsidRPr="0008530E">
        <w:t>artnerships between iwi and the Crown</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08530E" w:rsidRPr="000C72D2" w14:paraId="0D94D196" w14:textId="77777777" w:rsidTr="003D7A22">
        <w:trPr>
          <w:trHeight w:val="50"/>
        </w:trPr>
        <w:tc>
          <w:tcPr>
            <w:tcW w:w="567" w:type="dxa"/>
          </w:tcPr>
          <w:p w14:paraId="5D36778A" w14:textId="77777777" w:rsidR="0008530E" w:rsidRPr="000C72D2" w:rsidRDefault="0008530E" w:rsidP="009055B4">
            <w:pPr>
              <w:pStyle w:val="0RULE"/>
            </w:pPr>
          </w:p>
        </w:tc>
      </w:tr>
    </w:tbl>
    <w:p w14:paraId="2A57B4D5" w14:textId="0725B887" w:rsidR="0008530E" w:rsidRDefault="0008530E" w:rsidP="0008530E">
      <w:pPr>
        <w:pStyle w:val="NormalwIndent"/>
      </w:pPr>
      <w:r>
        <w:t>Te Rūnanga-Ā-Iwi-O-Ngāpuhi (TRAION) and Oranga Tamariki signed a Strategic Partnership Agreement in December 2018. The agreement formalises, records and promotes a strategic partnership and working relationship that meets the parties’ shared goals</w:t>
      </w:r>
      <w:r w:rsidR="00F5365B">
        <w:t>,</w:t>
      </w:r>
      <w:r>
        <w:t xml:space="preserve"> aspirations and visions. </w:t>
      </w:r>
    </w:p>
    <w:p w14:paraId="01C10F12" w14:textId="354FE581" w:rsidR="0008530E" w:rsidRDefault="0008530E" w:rsidP="0008530E">
      <w:pPr>
        <w:pStyle w:val="NormalwIndent"/>
      </w:pPr>
      <w:r w:rsidRPr="00856139">
        <w:t>Oranga Tamariki and TRAION have had a long working relationship in Tai Tokerau. Through TRAION</w:t>
      </w:r>
      <w:r w:rsidR="001E0FFB">
        <w:t>'</w:t>
      </w:r>
      <w:r w:rsidRPr="00856139">
        <w:t>s subsidiaries Ng</w:t>
      </w:r>
      <w:r w:rsidRPr="00856139">
        <w:rPr>
          <w:rFonts w:hint="eastAsia"/>
        </w:rPr>
        <w:t>ā</w:t>
      </w:r>
      <w:r w:rsidRPr="00856139">
        <w:t>puhi Iwi Social Services and Te Hau Ora o Ng</w:t>
      </w:r>
      <w:r w:rsidRPr="00856139">
        <w:rPr>
          <w:rFonts w:hint="eastAsia"/>
        </w:rPr>
        <w:t>ā</w:t>
      </w:r>
      <w:r w:rsidRPr="00856139">
        <w:t>puhi</w:t>
      </w:r>
      <w:r w:rsidR="003F62DA" w:rsidRPr="00856139">
        <w:t>,</w:t>
      </w:r>
      <w:r w:rsidRPr="00856139">
        <w:t xml:space="preserve"> it has been delivering frontline social services to tamariki and wh</w:t>
      </w:r>
      <w:r w:rsidRPr="00856139">
        <w:rPr>
          <w:rFonts w:hint="eastAsia"/>
        </w:rPr>
        <w:t>ā</w:t>
      </w:r>
      <w:r w:rsidRPr="00856139">
        <w:t xml:space="preserve">nau who live in </w:t>
      </w:r>
      <w:r w:rsidR="009C3FB9" w:rsidRPr="00856139">
        <w:t xml:space="preserve">the rohe of </w:t>
      </w:r>
      <w:r w:rsidRPr="00856139">
        <w:t>or whakapapa to Ng</w:t>
      </w:r>
      <w:r w:rsidRPr="00856139">
        <w:rPr>
          <w:rFonts w:hint="eastAsia"/>
        </w:rPr>
        <w:t>ā</w:t>
      </w:r>
      <w:r w:rsidRPr="00856139">
        <w:t>puhi.</w:t>
      </w:r>
      <w:r>
        <w:t xml:space="preserve"> </w:t>
      </w:r>
    </w:p>
    <w:p w14:paraId="666BE826" w14:textId="072FFEC4" w:rsidR="0008530E" w:rsidRDefault="0008530E" w:rsidP="0008530E">
      <w:pPr>
        <w:pStyle w:val="NormalwIndent"/>
      </w:pPr>
      <w:r>
        <w:t xml:space="preserve">Ngāpuhi Iwi Social Services provide the largest portion of contracted services for Ngāpuhi and are </w:t>
      </w:r>
      <w:r w:rsidR="007C5742">
        <w:t xml:space="preserve">Aotearoa </w:t>
      </w:r>
      <w:r>
        <w:t>New Zealand’s largest Māori social service provider. The Strategic Partnership Agreement has enhanced the already trust</w:t>
      </w:r>
      <w:r w:rsidR="007C5742">
        <w:t>ing</w:t>
      </w:r>
      <w:r>
        <w:t xml:space="preserve"> relationship and provides both parties with clear goals and direction. This has enabled TRAION to design, create and implement services that are specifically for whānau Māori, such as Mahuru.</w:t>
      </w:r>
      <w:r w:rsidR="004D7920">
        <w:rPr>
          <w:rFonts w:ascii="ZWAdobeF" w:hAnsi="ZWAdobeF" w:cs="ZWAdobeF"/>
          <w:color w:val="auto"/>
          <w:sz w:val="2"/>
          <w:szCs w:val="2"/>
        </w:rPr>
        <w:t>48F</w:t>
      </w:r>
      <w:r w:rsidRPr="0008530E">
        <w:rPr>
          <w:rStyle w:val="FootnoteReference"/>
          <w:sz w:val="18"/>
          <w:szCs w:val="24"/>
        </w:rPr>
        <w:footnoteReference w:id="50"/>
      </w:r>
      <w:r w:rsidRPr="0008530E">
        <w:rPr>
          <w:sz w:val="23"/>
          <w:szCs w:val="24"/>
        </w:rPr>
        <w:t xml:space="preserve"> </w:t>
      </w:r>
    </w:p>
    <w:p w14:paraId="54B5E601" w14:textId="4A469FA1" w:rsidR="0008530E" w:rsidRDefault="0008530E" w:rsidP="0008530E">
      <w:pPr>
        <w:pStyle w:val="NormalwIndent"/>
      </w:pPr>
      <w:r>
        <w:t xml:space="preserve">Mahuru has won </w:t>
      </w:r>
      <w:r w:rsidR="006B5550">
        <w:t xml:space="preserve">2 </w:t>
      </w:r>
      <w:r>
        <w:t>separate awards</w:t>
      </w:r>
      <w:r w:rsidR="006B5550">
        <w:t>:</w:t>
      </w:r>
      <w:r>
        <w:t xml:space="preserve"> an Indigenous Service Award </w:t>
      </w:r>
      <w:r w:rsidR="00604898">
        <w:t>from</w:t>
      </w:r>
      <w:r>
        <w:t xml:space="preserve"> the Australia and New Zealand School of Government in Melbourne and the Most Innovative Procurement Award at last year’s New Zealand Procurement Excellence Awards in Auckland.</w:t>
      </w:r>
    </w:p>
    <w:p w14:paraId="34C3AA01" w14:textId="6B2FBA04" w:rsidR="0008530E" w:rsidRPr="005506BF" w:rsidRDefault="0008530E" w:rsidP="009055B4">
      <w:pPr>
        <w:pStyle w:val="Heading3-nonumbering"/>
      </w:pPr>
      <w:r w:rsidRPr="0008530E">
        <w:lastRenderedPageBreak/>
        <w:t>Nuka System of Care, Alaska</w:t>
      </w:r>
    </w:p>
    <w:tbl>
      <w:tblPr>
        <w:tblStyle w:val="TableGrid"/>
        <w:tblW w:w="0" w:type="auto"/>
        <w:tblBorders>
          <w:top w:val="single" w:sz="8" w:space="0" w:color="EC643C"/>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tblGrid>
      <w:tr w:rsidR="0008530E" w:rsidRPr="000C72D2" w14:paraId="13664848" w14:textId="77777777" w:rsidTr="003D7A22">
        <w:trPr>
          <w:trHeight w:val="50"/>
        </w:trPr>
        <w:tc>
          <w:tcPr>
            <w:tcW w:w="567" w:type="dxa"/>
          </w:tcPr>
          <w:p w14:paraId="515DB7F0" w14:textId="77777777" w:rsidR="0008530E" w:rsidRPr="000C72D2" w:rsidRDefault="0008530E" w:rsidP="009055B4">
            <w:pPr>
              <w:pStyle w:val="0RULE"/>
            </w:pPr>
          </w:p>
        </w:tc>
      </w:tr>
    </w:tbl>
    <w:p w14:paraId="43C959EF" w14:textId="5744A405" w:rsidR="0008530E" w:rsidRDefault="0008530E" w:rsidP="0008530E">
      <w:pPr>
        <w:pStyle w:val="NormalwIndent"/>
      </w:pPr>
      <w:r>
        <w:t xml:space="preserve">Southcentral Foundation is a non-profit health care organisation serving a population of around 60,000 Alaska Native and American Indian people in Southcentral Alaska. It supports the community through the Nuka System of Care (where </w:t>
      </w:r>
      <w:r w:rsidR="00F638FE">
        <w:t>‘</w:t>
      </w:r>
      <w:r>
        <w:t>nuka</w:t>
      </w:r>
      <w:r w:rsidR="00F638FE">
        <w:t>’</w:t>
      </w:r>
      <w:r>
        <w:t xml:space="preserve"> is an Alaska Native word for strong, giant structures and living things).</w:t>
      </w:r>
    </w:p>
    <w:p w14:paraId="1E8C03F0" w14:textId="77777777" w:rsidR="0008530E" w:rsidRDefault="0008530E" w:rsidP="0008530E">
      <w:pPr>
        <w:pStyle w:val="NormalwIndent"/>
      </w:pPr>
      <w:r>
        <w:t xml:space="preserve">The Nuka System of Care incorporates </w:t>
      </w:r>
      <w:r w:rsidRPr="00AD67AC">
        <w:rPr>
          <w:color w:val="auto"/>
        </w:rPr>
        <w:t>key elements of the patient-centred medical home model</w:t>
      </w:r>
      <w:r>
        <w:t>, with multidisciplinary teams providing integrated health and care services in primary care centres and the community, coordinating with a range of other services. This work is combined with a broader approach to improving family and community wellbeing that extends well beyond the coordination of care services. For example, Nuka’s Family Wellness Warriors programme aims to tackle domestic violence, abuse and neglect across the population through education, training and community engagement.</w:t>
      </w:r>
    </w:p>
    <w:p w14:paraId="7C7FC70E" w14:textId="61C83D09" w:rsidR="0008530E" w:rsidRDefault="0008530E" w:rsidP="0008530E">
      <w:pPr>
        <w:pStyle w:val="NormalwIndent"/>
      </w:pPr>
      <w:r>
        <w:t>Nuka offers traditional Alaska Native healing alongside other health and care services, and all of its services aim to build on the culture of the Alaska Native community</w:t>
      </w:r>
      <w:r w:rsidR="00126B8A">
        <w:t>.</w:t>
      </w:r>
    </w:p>
    <w:p w14:paraId="76B9E3DF" w14:textId="592BA688" w:rsidR="0008530E" w:rsidRDefault="0008530E" w:rsidP="0008530E">
      <w:pPr>
        <w:pStyle w:val="NormalwIndent"/>
      </w:pPr>
      <w:r>
        <w:t xml:space="preserve">The Southcentral Foundation keeps listening to its community members, goes away to find ways of meeting their needs and then returns to feed back its progress. It has not always been able to achieve everything that members wanted, and has to be transparent and realistic about the limitations it is working with. But because it listens, feeds back and is honest with its members, the local community understands that they are core partners in the transformation and delivery of care </w:t>
      </w:r>
      <w:r w:rsidR="00F638FE">
        <w:rPr>
          <w:rFonts w:ascii="Calibri" w:hAnsi="Calibri" w:cs="Calibri"/>
        </w:rPr>
        <w:t>—</w:t>
      </w:r>
      <w:r>
        <w:t xml:space="preserve"> ‘walking with’ the Southcentral Foundation through some challenging decisions.</w:t>
      </w:r>
    </w:p>
    <w:p w14:paraId="4201EA0E" w14:textId="77777777" w:rsidR="00442363" w:rsidRDefault="00442363" w:rsidP="0008530E">
      <w:pPr>
        <w:pStyle w:val="NormalwIndent"/>
        <w:sectPr w:rsidR="00442363" w:rsidSect="0008530E">
          <w:pgSz w:w="11906" w:h="16838"/>
          <w:pgMar w:top="2778" w:right="1701" w:bottom="454" w:left="1701" w:header="567" w:footer="567" w:gutter="0"/>
          <w:cols w:space="567"/>
          <w:titlePg/>
          <w:docGrid w:linePitch="360"/>
        </w:sectPr>
      </w:pPr>
    </w:p>
    <w:p w14:paraId="5E7CF140" w14:textId="574D48A5" w:rsidR="00442363" w:rsidRDefault="00442363" w:rsidP="00442363">
      <w:pPr>
        <w:pStyle w:val="Heading2-nonumbering"/>
      </w:pPr>
      <w:bookmarkStart w:id="61" w:name="_Toc124933850"/>
      <w:r>
        <w:lastRenderedPageBreak/>
        <w:t xml:space="preserve">Appendix 5: </w:t>
      </w:r>
      <w:r w:rsidRPr="00442363">
        <w:t>Commissioning case studies</w:t>
      </w:r>
      <w:r w:rsidR="004D7920">
        <w:rPr>
          <w:rFonts w:ascii="ZWAdobeF" w:hAnsi="ZWAdobeF" w:cs="ZWAdobeF"/>
          <w:b w:val="0"/>
          <w:color w:val="auto"/>
          <w:spacing w:val="0"/>
          <w:sz w:val="2"/>
          <w:szCs w:val="2"/>
        </w:rPr>
        <w:t>49F</w:t>
      </w:r>
      <w:r w:rsidR="00B63F02">
        <w:rPr>
          <w:rStyle w:val="FootnoteReference"/>
        </w:rPr>
        <w:footnoteReference w:id="51"/>
      </w:r>
      <w:bookmarkEnd w:id="61"/>
    </w:p>
    <w:p w14:paraId="47208CF2" w14:textId="46CBF8EE" w:rsidR="00442363" w:rsidRDefault="00442363" w:rsidP="00442363"/>
    <w:tbl>
      <w:tblPr>
        <w:tblW w:w="8364" w:type="dxa"/>
        <w:tblBorders>
          <w:top w:val="single" w:sz="2" w:space="0" w:color="EC643C"/>
          <w:bottom w:val="single" w:sz="2" w:space="0" w:color="EC643C"/>
          <w:insideH w:val="single" w:sz="2" w:space="0" w:color="EC643C"/>
        </w:tblBorders>
        <w:shd w:val="clear" w:color="auto" w:fill="FFFFFF" w:themeFill="background1"/>
        <w:tblCellMar>
          <w:left w:w="0" w:type="dxa"/>
          <w:right w:w="0" w:type="dxa"/>
        </w:tblCellMar>
        <w:tblLook w:val="0420" w:firstRow="1" w:lastRow="0" w:firstColumn="0" w:lastColumn="0" w:noHBand="0" w:noVBand="1"/>
      </w:tblPr>
      <w:tblGrid>
        <w:gridCol w:w="1843"/>
        <w:gridCol w:w="2835"/>
        <w:gridCol w:w="3686"/>
      </w:tblGrid>
      <w:tr w:rsidR="00985C47" w:rsidRPr="00442363" w14:paraId="45FFE76C" w14:textId="77777777" w:rsidTr="0003715B">
        <w:tc>
          <w:tcPr>
            <w:tcW w:w="1843" w:type="dxa"/>
            <w:shd w:val="clear" w:color="auto" w:fill="F2F2F2" w:themeFill="background1" w:themeFillShade="F2"/>
            <w:tcMar>
              <w:top w:w="72" w:type="dxa"/>
              <w:left w:w="144" w:type="dxa"/>
              <w:bottom w:w="72" w:type="dxa"/>
              <w:right w:w="144" w:type="dxa"/>
            </w:tcMar>
            <w:vAlign w:val="center"/>
          </w:tcPr>
          <w:p w14:paraId="0C8C92C9" w14:textId="77777777" w:rsidR="00985C47" w:rsidRPr="00442363" w:rsidRDefault="00985C47" w:rsidP="00BE6C08">
            <w:pPr>
              <w:pStyle w:val="TableText"/>
              <w:rPr>
                <w:b/>
                <w:bCs w:val="0"/>
              </w:rPr>
            </w:pPr>
          </w:p>
        </w:tc>
        <w:tc>
          <w:tcPr>
            <w:tcW w:w="2835" w:type="dxa"/>
            <w:shd w:val="clear" w:color="auto" w:fill="F2F2F2" w:themeFill="background1" w:themeFillShade="F2"/>
            <w:tcMar>
              <w:top w:w="15" w:type="dxa"/>
              <w:left w:w="108" w:type="dxa"/>
              <w:bottom w:w="0" w:type="dxa"/>
              <w:right w:w="108" w:type="dxa"/>
            </w:tcMar>
          </w:tcPr>
          <w:p w14:paraId="07E7E378" w14:textId="52A27D8A" w:rsidR="00985C47" w:rsidRPr="0003715B" w:rsidRDefault="00985C47" w:rsidP="00442363">
            <w:pPr>
              <w:pStyle w:val="TableText"/>
              <w:rPr>
                <w:rFonts w:eastAsia="Calibri"/>
                <w:b/>
                <w:bCs w:val="0"/>
              </w:rPr>
            </w:pPr>
            <w:r>
              <w:rPr>
                <w:rFonts w:eastAsia="Calibri"/>
                <w:b/>
                <w:bCs w:val="0"/>
              </w:rPr>
              <w:t>Case study</w:t>
            </w:r>
            <w:r w:rsidR="00F638FE">
              <w:rPr>
                <w:rFonts w:eastAsia="Calibri"/>
                <w:b/>
                <w:bCs w:val="0"/>
              </w:rPr>
              <w:t xml:space="preserve"> name</w:t>
            </w:r>
          </w:p>
        </w:tc>
        <w:tc>
          <w:tcPr>
            <w:tcW w:w="3686" w:type="dxa"/>
            <w:shd w:val="clear" w:color="auto" w:fill="F2F2F2" w:themeFill="background1" w:themeFillShade="F2"/>
            <w:tcMar>
              <w:top w:w="15" w:type="dxa"/>
              <w:left w:w="108" w:type="dxa"/>
              <w:bottom w:w="0" w:type="dxa"/>
              <w:right w:w="108" w:type="dxa"/>
            </w:tcMar>
          </w:tcPr>
          <w:p w14:paraId="660E19C7" w14:textId="29BF910F" w:rsidR="00985C47" w:rsidRPr="0003715B" w:rsidRDefault="00985C47" w:rsidP="00442363">
            <w:pPr>
              <w:pStyle w:val="TableText"/>
              <w:rPr>
                <w:b/>
                <w:bCs w:val="0"/>
              </w:rPr>
            </w:pPr>
            <w:r>
              <w:rPr>
                <w:b/>
                <w:bCs w:val="0"/>
              </w:rPr>
              <w:t>Description</w:t>
            </w:r>
          </w:p>
        </w:tc>
      </w:tr>
      <w:tr w:rsidR="00442363" w:rsidRPr="00442363" w14:paraId="078C1FA5" w14:textId="77777777" w:rsidTr="00442363">
        <w:trPr>
          <w:trHeight w:val="889"/>
        </w:trPr>
        <w:tc>
          <w:tcPr>
            <w:tcW w:w="1843" w:type="dxa"/>
            <w:vMerge w:val="restart"/>
            <w:shd w:val="clear" w:color="auto" w:fill="F2F2F2" w:themeFill="background1" w:themeFillShade="F2"/>
            <w:tcMar>
              <w:top w:w="72" w:type="dxa"/>
              <w:left w:w="144" w:type="dxa"/>
              <w:bottom w:w="72" w:type="dxa"/>
              <w:right w:w="144" w:type="dxa"/>
            </w:tcMar>
            <w:vAlign w:val="center"/>
            <w:hideMark/>
          </w:tcPr>
          <w:p w14:paraId="0D19FA44" w14:textId="2ED8366A" w:rsidR="00442363" w:rsidRPr="00442363" w:rsidRDefault="00442363" w:rsidP="00BE6C08">
            <w:pPr>
              <w:pStyle w:val="TableText"/>
              <w:rPr>
                <w:b/>
                <w:bCs w:val="0"/>
                <w:lang w:val="en-AU"/>
              </w:rPr>
            </w:pPr>
            <w:r w:rsidRPr="00442363">
              <w:rPr>
                <w:b/>
                <w:bCs w:val="0"/>
              </w:rPr>
              <w:t xml:space="preserve">Purpose and understanding </w:t>
            </w:r>
          </w:p>
        </w:tc>
        <w:tc>
          <w:tcPr>
            <w:tcW w:w="2835" w:type="dxa"/>
            <w:shd w:val="clear" w:color="auto" w:fill="FFFFFF" w:themeFill="background1"/>
            <w:tcMar>
              <w:top w:w="15" w:type="dxa"/>
              <w:left w:w="108" w:type="dxa"/>
              <w:bottom w:w="0" w:type="dxa"/>
              <w:right w:w="108" w:type="dxa"/>
            </w:tcMar>
            <w:hideMark/>
          </w:tcPr>
          <w:p w14:paraId="38A2AC24" w14:textId="0B6EAC4B" w:rsidR="00442363" w:rsidRPr="00442363" w:rsidRDefault="00442363" w:rsidP="00442363">
            <w:pPr>
              <w:pStyle w:val="TableText"/>
              <w:rPr>
                <w:lang w:val="en-AU"/>
              </w:rPr>
            </w:pPr>
            <w:r w:rsidRPr="00442363">
              <w:rPr>
                <w:rFonts w:eastAsia="Calibri"/>
              </w:rPr>
              <w:t xml:space="preserve">Te Pūtahitanga o Te Waipounamu direct </w:t>
            </w:r>
            <w:r w:rsidR="00985C47">
              <w:rPr>
                <w:rFonts w:eastAsia="Calibri"/>
              </w:rPr>
              <w:t>w</w:t>
            </w:r>
            <w:r w:rsidRPr="00442363">
              <w:rPr>
                <w:rFonts w:eastAsia="Calibri"/>
              </w:rPr>
              <w:t xml:space="preserve">hānau commissioning </w:t>
            </w:r>
          </w:p>
        </w:tc>
        <w:tc>
          <w:tcPr>
            <w:tcW w:w="3686" w:type="dxa"/>
            <w:shd w:val="clear" w:color="auto" w:fill="FFFFFF" w:themeFill="background1"/>
            <w:tcMar>
              <w:top w:w="15" w:type="dxa"/>
              <w:left w:w="108" w:type="dxa"/>
              <w:bottom w:w="0" w:type="dxa"/>
              <w:right w:w="108" w:type="dxa"/>
            </w:tcMar>
            <w:hideMark/>
          </w:tcPr>
          <w:p w14:paraId="53B2A5B6" w14:textId="04D17612" w:rsidR="00442363" w:rsidRPr="00442363" w:rsidRDefault="00442363" w:rsidP="00442363">
            <w:pPr>
              <w:pStyle w:val="TableText"/>
              <w:rPr>
                <w:lang w:val="en-AU"/>
              </w:rPr>
            </w:pPr>
            <w:r w:rsidRPr="00442363">
              <w:t xml:space="preserve">This case study captures insights </w:t>
            </w:r>
            <w:r w:rsidR="00B25551">
              <w:t xml:space="preserve">from </w:t>
            </w:r>
            <w:r w:rsidRPr="00442363">
              <w:t>innovative commissioning approaches</w:t>
            </w:r>
            <w:r w:rsidR="00985C47">
              <w:t xml:space="preserve"> that support</w:t>
            </w:r>
            <w:r w:rsidRPr="00442363">
              <w:t xml:space="preserve"> whānau to develop their own solutions. </w:t>
            </w:r>
          </w:p>
        </w:tc>
      </w:tr>
      <w:tr w:rsidR="00442363" w:rsidRPr="00442363" w14:paraId="48C59E0A" w14:textId="77777777" w:rsidTr="00442363">
        <w:trPr>
          <w:trHeight w:val="853"/>
        </w:trPr>
        <w:tc>
          <w:tcPr>
            <w:tcW w:w="1843" w:type="dxa"/>
            <w:vMerge/>
            <w:shd w:val="clear" w:color="auto" w:fill="F2F2F2" w:themeFill="background1" w:themeFillShade="F2"/>
            <w:vAlign w:val="center"/>
            <w:hideMark/>
          </w:tcPr>
          <w:p w14:paraId="25A6BF54" w14:textId="77777777" w:rsidR="00442363" w:rsidRPr="00442363" w:rsidRDefault="00442363" w:rsidP="00442363">
            <w:pPr>
              <w:pStyle w:val="TableText"/>
              <w:rPr>
                <w:b/>
                <w:bCs w:val="0"/>
                <w:lang w:val="en-AU"/>
              </w:rPr>
            </w:pPr>
          </w:p>
        </w:tc>
        <w:tc>
          <w:tcPr>
            <w:tcW w:w="2835" w:type="dxa"/>
            <w:shd w:val="clear" w:color="auto" w:fill="FFFFFF" w:themeFill="background1"/>
            <w:tcMar>
              <w:top w:w="15" w:type="dxa"/>
              <w:left w:w="108" w:type="dxa"/>
              <w:bottom w:w="0" w:type="dxa"/>
              <w:right w:w="108" w:type="dxa"/>
            </w:tcMar>
            <w:hideMark/>
          </w:tcPr>
          <w:p w14:paraId="0906D0D0" w14:textId="72AB44E9" w:rsidR="00442363" w:rsidRPr="00442363" w:rsidRDefault="00442363" w:rsidP="00442363">
            <w:pPr>
              <w:pStyle w:val="TableText"/>
              <w:rPr>
                <w:lang w:val="en-AU"/>
              </w:rPr>
            </w:pPr>
            <w:r w:rsidRPr="00442363">
              <w:rPr>
                <w:rFonts w:eastAsia="Calibri"/>
              </w:rPr>
              <w:t>A community-led response to long-term conditions: Warm Exchange Plus (WE+) in Counties Manukau</w:t>
            </w:r>
          </w:p>
        </w:tc>
        <w:tc>
          <w:tcPr>
            <w:tcW w:w="3686" w:type="dxa"/>
            <w:shd w:val="clear" w:color="auto" w:fill="FFFFFF" w:themeFill="background1"/>
            <w:tcMar>
              <w:top w:w="15" w:type="dxa"/>
              <w:left w:w="108" w:type="dxa"/>
              <w:bottom w:w="0" w:type="dxa"/>
              <w:right w:w="108" w:type="dxa"/>
            </w:tcMar>
            <w:hideMark/>
          </w:tcPr>
          <w:p w14:paraId="65856020" w14:textId="57829EB3" w:rsidR="00442363" w:rsidRPr="00442363" w:rsidRDefault="00007BD3" w:rsidP="00442363">
            <w:pPr>
              <w:pStyle w:val="TableText"/>
              <w:rPr>
                <w:lang w:val="en-AU"/>
              </w:rPr>
            </w:pPr>
            <w:r>
              <w:t>The c</w:t>
            </w:r>
            <w:r w:rsidR="00442363" w:rsidRPr="00442363">
              <w:t>ommunity</w:t>
            </w:r>
            <w:r>
              <w:t xml:space="preserve"> </w:t>
            </w:r>
            <w:r w:rsidR="00442363" w:rsidRPr="00442363">
              <w:t xml:space="preserve">led </w:t>
            </w:r>
            <w:r>
              <w:t xml:space="preserve">the </w:t>
            </w:r>
            <w:r w:rsidR="00442363" w:rsidRPr="00442363">
              <w:t xml:space="preserve">development of WE+, one of the </w:t>
            </w:r>
            <w:r w:rsidR="00985C47">
              <w:t>5</w:t>
            </w:r>
            <w:r w:rsidR="00985C47" w:rsidRPr="00442363">
              <w:t xml:space="preserve"> </w:t>
            </w:r>
            <w:r w:rsidR="00442363" w:rsidRPr="00442363">
              <w:t>Te Ranga Ora prototype collectives in Counties Manukau</w:t>
            </w:r>
            <w:r>
              <w:t>. It aims</w:t>
            </w:r>
            <w:r w:rsidR="00442363" w:rsidRPr="00442363">
              <w:t xml:space="preserve"> to tackle long-term conditions, like diabetes and heart disease. </w:t>
            </w:r>
          </w:p>
        </w:tc>
      </w:tr>
      <w:tr w:rsidR="00442363" w:rsidRPr="00442363" w14:paraId="20F6F388" w14:textId="77777777" w:rsidTr="00442363">
        <w:trPr>
          <w:trHeight w:val="861"/>
        </w:trPr>
        <w:tc>
          <w:tcPr>
            <w:tcW w:w="1843" w:type="dxa"/>
            <w:vMerge w:val="restart"/>
            <w:shd w:val="clear" w:color="auto" w:fill="F2F2F2" w:themeFill="background1" w:themeFillShade="F2"/>
            <w:tcMar>
              <w:top w:w="72" w:type="dxa"/>
              <w:left w:w="144" w:type="dxa"/>
              <w:bottom w:w="72" w:type="dxa"/>
              <w:right w:w="144" w:type="dxa"/>
            </w:tcMar>
            <w:vAlign w:val="center"/>
            <w:hideMark/>
          </w:tcPr>
          <w:p w14:paraId="604CCD7B" w14:textId="77777777" w:rsidR="00442363" w:rsidRPr="00442363" w:rsidRDefault="00442363" w:rsidP="00442363">
            <w:pPr>
              <w:pStyle w:val="TableText"/>
              <w:rPr>
                <w:b/>
                <w:bCs w:val="0"/>
                <w:lang w:val="en-AU"/>
              </w:rPr>
            </w:pPr>
            <w:r w:rsidRPr="00442363">
              <w:rPr>
                <w:b/>
                <w:bCs w:val="0"/>
              </w:rPr>
              <w:t xml:space="preserve">Planning and designing </w:t>
            </w:r>
          </w:p>
          <w:p w14:paraId="6129916E" w14:textId="2FC8364F" w:rsidR="00442363" w:rsidRPr="00442363" w:rsidRDefault="00442363" w:rsidP="00BE6C08">
            <w:pPr>
              <w:pStyle w:val="TableText"/>
              <w:rPr>
                <w:b/>
                <w:bCs w:val="0"/>
                <w:lang w:val="en-AU"/>
              </w:rPr>
            </w:pPr>
            <w:r w:rsidRPr="00442363">
              <w:rPr>
                <w:b/>
                <w:bCs w:val="0"/>
              </w:rPr>
              <w:t>Sourcing and investing</w:t>
            </w:r>
          </w:p>
        </w:tc>
        <w:tc>
          <w:tcPr>
            <w:tcW w:w="2835" w:type="dxa"/>
            <w:shd w:val="clear" w:color="auto" w:fill="FFFFFF" w:themeFill="background1"/>
            <w:tcMar>
              <w:top w:w="15" w:type="dxa"/>
              <w:left w:w="108" w:type="dxa"/>
              <w:bottom w:w="0" w:type="dxa"/>
              <w:right w:w="108" w:type="dxa"/>
            </w:tcMar>
            <w:hideMark/>
          </w:tcPr>
          <w:p w14:paraId="12BD16E2" w14:textId="490F10B1" w:rsidR="00442363" w:rsidRPr="00442363" w:rsidRDefault="00442363" w:rsidP="00442363">
            <w:pPr>
              <w:pStyle w:val="TableText"/>
              <w:rPr>
                <w:lang w:val="en-AU"/>
              </w:rPr>
            </w:pPr>
            <w:r w:rsidRPr="00442363">
              <w:rPr>
                <w:rFonts w:eastAsia="Calibri"/>
              </w:rPr>
              <w:t xml:space="preserve">Mana Whaikaha: </w:t>
            </w:r>
            <w:r w:rsidR="00007BD3">
              <w:rPr>
                <w:rFonts w:eastAsia="Calibri"/>
              </w:rPr>
              <w:t>f</w:t>
            </w:r>
            <w:r w:rsidRPr="00442363">
              <w:rPr>
                <w:rFonts w:eastAsia="Calibri"/>
              </w:rPr>
              <w:t>lexible funding as part of a broader transformation</w:t>
            </w:r>
          </w:p>
        </w:tc>
        <w:tc>
          <w:tcPr>
            <w:tcW w:w="3686" w:type="dxa"/>
            <w:shd w:val="clear" w:color="auto" w:fill="FFFFFF" w:themeFill="background1"/>
            <w:tcMar>
              <w:top w:w="15" w:type="dxa"/>
              <w:left w:w="108" w:type="dxa"/>
              <w:bottom w:w="0" w:type="dxa"/>
              <w:right w:w="108" w:type="dxa"/>
            </w:tcMar>
            <w:hideMark/>
          </w:tcPr>
          <w:p w14:paraId="7B23A17B" w14:textId="3F40445A" w:rsidR="00442363" w:rsidRPr="00442363" w:rsidRDefault="00442363" w:rsidP="00442363">
            <w:pPr>
              <w:pStyle w:val="TableText"/>
              <w:rPr>
                <w:lang w:val="en-AU"/>
              </w:rPr>
            </w:pPr>
            <w:r w:rsidRPr="00442363">
              <w:rPr>
                <w:rFonts w:eastAsia="Calibri"/>
              </w:rPr>
              <w:t>This case study looks at how flexible funding options support the transformation of the disability support system to improve outcomes for disabled people and their whānau.</w:t>
            </w:r>
          </w:p>
        </w:tc>
      </w:tr>
      <w:tr w:rsidR="00442363" w:rsidRPr="00442363" w14:paraId="401557DD" w14:textId="77777777" w:rsidTr="00442363">
        <w:trPr>
          <w:trHeight w:val="1069"/>
        </w:trPr>
        <w:tc>
          <w:tcPr>
            <w:tcW w:w="1843" w:type="dxa"/>
            <w:vMerge/>
            <w:shd w:val="clear" w:color="auto" w:fill="F2F2F2" w:themeFill="background1" w:themeFillShade="F2"/>
            <w:vAlign w:val="center"/>
            <w:hideMark/>
          </w:tcPr>
          <w:p w14:paraId="3CE96805" w14:textId="77777777" w:rsidR="00442363" w:rsidRPr="00442363" w:rsidRDefault="00442363" w:rsidP="00442363">
            <w:pPr>
              <w:pStyle w:val="TableText"/>
              <w:rPr>
                <w:b/>
                <w:bCs w:val="0"/>
                <w:lang w:val="en-AU"/>
              </w:rPr>
            </w:pPr>
          </w:p>
        </w:tc>
        <w:tc>
          <w:tcPr>
            <w:tcW w:w="2835" w:type="dxa"/>
            <w:shd w:val="clear" w:color="auto" w:fill="FFFFFF" w:themeFill="background1"/>
            <w:tcMar>
              <w:top w:w="15" w:type="dxa"/>
              <w:left w:w="108" w:type="dxa"/>
              <w:bottom w:w="0" w:type="dxa"/>
              <w:right w:w="108" w:type="dxa"/>
            </w:tcMar>
            <w:hideMark/>
          </w:tcPr>
          <w:p w14:paraId="614869D2" w14:textId="1F8AF40F" w:rsidR="00442363" w:rsidRPr="00442363" w:rsidRDefault="00442363" w:rsidP="00442363">
            <w:pPr>
              <w:pStyle w:val="TableText"/>
              <w:rPr>
                <w:lang w:val="en-AU"/>
              </w:rPr>
            </w:pPr>
            <w:r w:rsidRPr="00442363">
              <w:t xml:space="preserve">Equity-focused commissioning in </w:t>
            </w:r>
            <w:r w:rsidR="00985C47">
              <w:t>3</w:t>
            </w:r>
            <w:r w:rsidR="00985C47" w:rsidRPr="00442363">
              <w:t xml:space="preserve"> </w:t>
            </w:r>
            <w:r w:rsidRPr="00442363">
              <w:t>areas: Lakes, Hawke’s Bay and Tairāwhiti</w:t>
            </w:r>
          </w:p>
        </w:tc>
        <w:tc>
          <w:tcPr>
            <w:tcW w:w="3686" w:type="dxa"/>
            <w:shd w:val="clear" w:color="auto" w:fill="FFFFFF" w:themeFill="background1"/>
            <w:tcMar>
              <w:top w:w="15" w:type="dxa"/>
              <w:left w:w="108" w:type="dxa"/>
              <w:bottom w:w="0" w:type="dxa"/>
              <w:right w:w="108" w:type="dxa"/>
            </w:tcMar>
            <w:hideMark/>
          </w:tcPr>
          <w:p w14:paraId="32108D9C" w14:textId="7B38A4D8" w:rsidR="00442363" w:rsidRPr="00442363" w:rsidRDefault="00141B41" w:rsidP="00442363">
            <w:pPr>
              <w:pStyle w:val="TableText"/>
              <w:rPr>
                <w:lang w:val="en-AU"/>
              </w:rPr>
            </w:pPr>
            <w:r>
              <w:t>These e</w:t>
            </w:r>
            <w:r w:rsidR="00442363" w:rsidRPr="00442363">
              <w:t xml:space="preserve">xamples of equity-focused commissioning of services </w:t>
            </w:r>
            <w:r>
              <w:t>have</w:t>
            </w:r>
            <w:r w:rsidR="00442363" w:rsidRPr="00442363">
              <w:t xml:space="preserve"> support</w:t>
            </w:r>
            <w:r>
              <w:t xml:space="preserve"> from</w:t>
            </w:r>
            <w:r w:rsidR="00442363" w:rsidRPr="00442363">
              <w:t xml:space="preserve"> the </w:t>
            </w:r>
            <w:r w:rsidR="00CA73F3">
              <w:t>d</w:t>
            </w:r>
            <w:r w:rsidR="00442363" w:rsidRPr="00442363">
              <w:t>istrict health boards in Lakes, Hawke’s Bay and Tairāwhiti</w:t>
            </w:r>
            <w:r>
              <w:t xml:space="preserve"> districts</w:t>
            </w:r>
            <w:r w:rsidR="00442363" w:rsidRPr="00442363">
              <w:t>.</w:t>
            </w:r>
          </w:p>
        </w:tc>
      </w:tr>
      <w:tr w:rsidR="00442363" w:rsidRPr="00442363" w14:paraId="7F5AE27C" w14:textId="77777777" w:rsidTr="00442363">
        <w:trPr>
          <w:trHeight w:val="1069"/>
        </w:trPr>
        <w:tc>
          <w:tcPr>
            <w:tcW w:w="1843" w:type="dxa"/>
            <w:vMerge/>
            <w:shd w:val="clear" w:color="auto" w:fill="F2F2F2" w:themeFill="background1" w:themeFillShade="F2"/>
            <w:vAlign w:val="center"/>
            <w:hideMark/>
          </w:tcPr>
          <w:p w14:paraId="0DD889FC" w14:textId="77777777" w:rsidR="00442363" w:rsidRPr="00442363" w:rsidRDefault="00442363" w:rsidP="00442363">
            <w:pPr>
              <w:pStyle w:val="TableText"/>
              <w:rPr>
                <w:b/>
                <w:bCs w:val="0"/>
                <w:lang w:val="en-AU"/>
              </w:rPr>
            </w:pPr>
          </w:p>
        </w:tc>
        <w:tc>
          <w:tcPr>
            <w:tcW w:w="2835" w:type="dxa"/>
            <w:shd w:val="clear" w:color="auto" w:fill="FFFFFF" w:themeFill="background1"/>
            <w:tcMar>
              <w:top w:w="15" w:type="dxa"/>
              <w:left w:w="108" w:type="dxa"/>
              <w:bottom w:w="0" w:type="dxa"/>
              <w:right w:w="108" w:type="dxa"/>
            </w:tcMar>
            <w:hideMark/>
          </w:tcPr>
          <w:p w14:paraId="47325413" w14:textId="77777777" w:rsidR="00442363" w:rsidRPr="00442363" w:rsidRDefault="00442363" w:rsidP="00442363">
            <w:pPr>
              <w:pStyle w:val="TableText"/>
              <w:rPr>
                <w:lang w:val="en-AU"/>
              </w:rPr>
            </w:pPr>
            <w:r w:rsidRPr="00442363">
              <w:rPr>
                <w:rFonts w:eastAsia="Calibri"/>
              </w:rPr>
              <w:t>Innovative procurement process to encourage diversity in kaupapa Māori mental health providers</w:t>
            </w:r>
          </w:p>
        </w:tc>
        <w:tc>
          <w:tcPr>
            <w:tcW w:w="3686" w:type="dxa"/>
            <w:shd w:val="clear" w:color="auto" w:fill="FFFFFF" w:themeFill="background1"/>
            <w:tcMar>
              <w:top w:w="15" w:type="dxa"/>
              <w:left w:w="108" w:type="dxa"/>
              <w:bottom w:w="0" w:type="dxa"/>
              <w:right w:w="108" w:type="dxa"/>
            </w:tcMar>
            <w:hideMark/>
          </w:tcPr>
          <w:p w14:paraId="70D03A56" w14:textId="362F30E2" w:rsidR="00442363" w:rsidRPr="00442363" w:rsidRDefault="00293670" w:rsidP="00442363">
            <w:pPr>
              <w:pStyle w:val="TableText"/>
              <w:rPr>
                <w:lang w:val="en-AU"/>
              </w:rPr>
            </w:pPr>
            <w:r>
              <w:t xml:space="preserve">The </w:t>
            </w:r>
            <w:r w:rsidR="00442363" w:rsidRPr="00442363">
              <w:t>Mental Health Directorate</w:t>
            </w:r>
            <w:r>
              <w:t xml:space="preserve"> at Manatū Hauora</w:t>
            </w:r>
            <w:r w:rsidR="00442363" w:rsidRPr="00442363">
              <w:t xml:space="preserve"> used innovative approaches to procurement to encourage new kaupapa Māori providers into the mental health sector. </w:t>
            </w:r>
            <w:r w:rsidR="00AE426C">
              <w:t>For example,</w:t>
            </w:r>
            <w:r w:rsidR="00AE426C" w:rsidRPr="00442363">
              <w:t xml:space="preserve"> </w:t>
            </w:r>
            <w:r w:rsidR="00AE426C">
              <w:t xml:space="preserve">providers could make </w:t>
            </w:r>
            <w:r w:rsidR="00AE426C" w:rsidRPr="00442363">
              <w:t>video applications in te reo Māor</w:t>
            </w:r>
            <w:r w:rsidR="00AE426C">
              <w:t>i.</w:t>
            </w:r>
          </w:p>
        </w:tc>
      </w:tr>
      <w:tr w:rsidR="004E589C" w:rsidRPr="00442363" w14:paraId="3181C0B6" w14:textId="77777777" w:rsidTr="004E589C">
        <w:trPr>
          <w:trHeight w:val="1038"/>
        </w:trPr>
        <w:tc>
          <w:tcPr>
            <w:tcW w:w="1843" w:type="dxa"/>
            <w:vMerge w:val="restart"/>
            <w:shd w:val="clear" w:color="auto" w:fill="F2F2F2" w:themeFill="background1" w:themeFillShade="F2"/>
            <w:tcMar>
              <w:top w:w="72" w:type="dxa"/>
              <w:left w:w="144" w:type="dxa"/>
              <w:bottom w:w="72" w:type="dxa"/>
              <w:right w:w="144" w:type="dxa"/>
            </w:tcMar>
            <w:vAlign w:val="center"/>
            <w:hideMark/>
          </w:tcPr>
          <w:p w14:paraId="5CAFA8F4" w14:textId="4618306C" w:rsidR="004E589C" w:rsidRPr="00442363" w:rsidRDefault="009C0A9B" w:rsidP="00963D0C">
            <w:pPr>
              <w:pStyle w:val="TableText"/>
              <w:widowControl w:val="0"/>
              <w:spacing w:before="0" w:after="0"/>
              <w:rPr>
                <w:b/>
                <w:bCs w:val="0"/>
                <w:lang w:val="en-AU"/>
              </w:rPr>
            </w:pPr>
            <w:r>
              <w:rPr>
                <w:b/>
                <w:bCs w:val="0"/>
                <w:lang w:val="en-AU"/>
              </w:rPr>
              <w:t>Delivering, m</w:t>
            </w:r>
            <w:r w:rsidR="00EF1FE3">
              <w:rPr>
                <w:b/>
                <w:bCs w:val="0"/>
                <w:lang w:val="en-AU"/>
              </w:rPr>
              <w:t xml:space="preserve">onitoring and </w:t>
            </w:r>
            <w:r>
              <w:rPr>
                <w:b/>
                <w:bCs w:val="0"/>
                <w:lang w:val="en-AU"/>
              </w:rPr>
              <w:t>evaluating</w:t>
            </w:r>
          </w:p>
        </w:tc>
        <w:tc>
          <w:tcPr>
            <w:tcW w:w="2835" w:type="dxa"/>
            <w:shd w:val="clear" w:color="auto" w:fill="FFFFFF" w:themeFill="background1"/>
            <w:tcMar>
              <w:top w:w="15" w:type="dxa"/>
              <w:left w:w="108" w:type="dxa"/>
              <w:bottom w:w="0" w:type="dxa"/>
              <w:right w:w="108" w:type="dxa"/>
            </w:tcMar>
          </w:tcPr>
          <w:p w14:paraId="59F186DC" w14:textId="2D39C386" w:rsidR="004E589C" w:rsidRPr="00442363" w:rsidRDefault="004E589C" w:rsidP="004E589C">
            <w:pPr>
              <w:pStyle w:val="TableText"/>
              <w:rPr>
                <w:lang w:val="en-AU"/>
              </w:rPr>
            </w:pPr>
            <w:r w:rsidRPr="00442363">
              <w:rPr>
                <w:rFonts w:eastAsia="Calibri"/>
              </w:rPr>
              <w:t>National Telehealth service: long-term and cross-sector commissioning</w:t>
            </w:r>
          </w:p>
        </w:tc>
        <w:tc>
          <w:tcPr>
            <w:tcW w:w="3686" w:type="dxa"/>
            <w:shd w:val="clear" w:color="auto" w:fill="FFFFFF" w:themeFill="background1"/>
            <w:tcMar>
              <w:top w:w="15" w:type="dxa"/>
              <w:left w:w="108" w:type="dxa"/>
              <w:bottom w:w="0" w:type="dxa"/>
              <w:right w:w="108" w:type="dxa"/>
            </w:tcMar>
          </w:tcPr>
          <w:p w14:paraId="21CF872E" w14:textId="1C0EA501" w:rsidR="004E589C" w:rsidRPr="00442363" w:rsidRDefault="004E589C" w:rsidP="004E589C">
            <w:pPr>
              <w:pStyle w:val="TableText"/>
              <w:rPr>
                <w:lang w:val="en-AU"/>
              </w:rPr>
            </w:pPr>
            <w:r w:rsidRPr="00442363">
              <w:t>The National Telehealth service is a long-term</w:t>
            </w:r>
            <w:r>
              <w:t>,</w:t>
            </w:r>
            <w:r w:rsidRPr="00442363">
              <w:t xml:space="preserve"> cross-sector contract to create a flexible telehealth environment that can evolve and respond to new opportunities and changing contexts (eg, COVID</w:t>
            </w:r>
            <w:r>
              <w:t>-</w:t>
            </w:r>
            <w:r w:rsidRPr="00442363">
              <w:t>19).</w:t>
            </w:r>
          </w:p>
        </w:tc>
      </w:tr>
      <w:tr w:rsidR="004E589C" w:rsidRPr="00442363" w14:paraId="655E5045" w14:textId="77777777" w:rsidTr="004E589C">
        <w:trPr>
          <w:trHeight w:val="897"/>
        </w:trPr>
        <w:tc>
          <w:tcPr>
            <w:tcW w:w="1843" w:type="dxa"/>
            <w:vMerge/>
            <w:shd w:val="clear" w:color="auto" w:fill="F2F2F2" w:themeFill="background1" w:themeFillShade="F2"/>
            <w:vAlign w:val="center"/>
            <w:hideMark/>
          </w:tcPr>
          <w:p w14:paraId="59CAC727" w14:textId="77777777" w:rsidR="004E589C" w:rsidRPr="00442363" w:rsidRDefault="004E589C" w:rsidP="004E589C">
            <w:pPr>
              <w:pStyle w:val="TableText"/>
              <w:rPr>
                <w:lang w:val="en-AU"/>
              </w:rPr>
            </w:pPr>
          </w:p>
        </w:tc>
        <w:tc>
          <w:tcPr>
            <w:tcW w:w="2835" w:type="dxa"/>
            <w:shd w:val="clear" w:color="auto" w:fill="FFFFFF" w:themeFill="background1"/>
            <w:tcMar>
              <w:top w:w="15" w:type="dxa"/>
              <w:left w:w="108" w:type="dxa"/>
              <w:bottom w:w="0" w:type="dxa"/>
              <w:right w:w="108" w:type="dxa"/>
            </w:tcMar>
          </w:tcPr>
          <w:p w14:paraId="5347167B" w14:textId="78DCC91D" w:rsidR="004E589C" w:rsidRPr="00442363" w:rsidRDefault="004E589C" w:rsidP="004E589C">
            <w:pPr>
              <w:pStyle w:val="TableText"/>
              <w:rPr>
                <w:lang w:val="en-AU"/>
              </w:rPr>
            </w:pPr>
            <w:r w:rsidRPr="00442363">
              <w:rPr>
                <w:rFonts w:eastAsiaTheme="minorEastAsia"/>
              </w:rPr>
              <w:t>Healthy Families: investing in communities to improve health and wellbeing</w:t>
            </w:r>
          </w:p>
        </w:tc>
        <w:tc>
          <w:tcPr>
            <w:tcW w:w="3686" w:type="dxa"/>
            <w:shd w:val="clear" w:color="auto" w:fill="FFFFFF" w:themeFill="background1"/>
            <w:tcMar>
              <w:top w:w="15" w:type="dxa"/>
              <w:left w:w="108" w:type="dxa"/>
              <w:bottom w:w="0" w:type="dxa"/>
              <w:right w:w="108" w:type="dxa"/>
            </w:tcMar>
          </w:tcPr>
          <w:p w14:paraId="69365B6D" w14:textId="491C4EC0" w:rsidR="004E589C" w:rsidRPr="00442363" w:rsidRDefault="004E589C" w:rsidP="004E589C">
            <w:pPr>
              <w:pStyle w:val="TableText"/>
              <w:rPr>
                <w:lang w:val="en-AU"/>
              </w:rPr>
            </w:pPr>
            <w:r w:rsidRPr="00442363">
              <w:t>Healthy Families NZ takes a cross-sector and community development approach to improving health and wellbeing. </w:t>
            </w:r>
          </w:p>
        </w:tc>
      </w:tr>
    </w:tbl>
    <w:p w14:paraId="5A9F9248" w14:textId="5467EA28" w:rsidR="0008530E" w:rsidRPr="0008530E" w:rsidRDefault="0008530E" w:rsidP="0008530E">
      <w:pPr>
        <w:sectPr w:rsidR="0008530E" w:rsidRPr="0008530E" w:rsidSect="0008530E">
          <w:pgSz w:w="11906" w:h="16838"/>
          <w:pgMar w:top="2778" w:right="1701" w:bottom="454" w:left="1701" w:header="567" w:footer="567" w:gutter="0"/>
          <w:cols w:space="567"/>
          <w:titlePg/>
          <w:docGrid w:linePitch="360"/>
        </w:sectPr>
      </w:pPr>
    </w:p>
    <w:p w14:paraId="39690385" w14:textId="77777777" w:rsidR="0008530E" w:rsidRDefault="0008530E" w:rsidP="00292E25">
      <w:pPr>
        <w:pStyle w:val="NormalIndent"/>
        <w:rPr>
          <w:lang w:eastAsia="en-GB"/>
        </w:rPr>
        <w:sectPr w:rsidR="0008530E" w:rsidSect="00292E25">
          <w:pgSz w:w="11906" w:h="16838"/>
          <w:pgMar w:top="2041" w:right="1701" w:bottom="454" w:left="1701" w:header="567" w:footer="567" w:gutter="0"/>
          <w:cols w:space="567"/>
          <w:titlePg/>
          <w:docGrid w:linePitch="360"/>
        </w:sectPr>
      </w:pPr>
    </w:p>
    <w:p w14:paraId="536FAB1E" w14:textId="0B61939F" w:rsidR="00292E25" w:rsidRDefault="00C06171" w:rsidP="00292E25">
      <w:pPr>
        <w:pStyle w:val="NormalIndent"/>
        <w:rPr>
          <w:lang w:eastAsia="en-GB"/>
        </w:rPr>
      </w:pPr>
      <w:r>
        <w:rPr>
          <w:noProof/>
        </w:rPr>
        <w:drawing>
          <wp:anchor distT="0" distB="0" distL="114300" distR="114300" simplePos="0" relativeHeight="251658241" behindDoc="0" locked="0" layoutInCell="1" allowOverlap="1" wp14:anchorId="295C522B" wp14:editId="6BED424A">
            <wp:simplePos x="0" y="0"/>
            <wp:positionH relativeFrom="page">
              <wp:posOffset>0</wp:posOffset>
            </wp:positionH>
            <wp:positionV relativeFrom="page">
              <wp:posOffset>0</wp:posOffset>
            </wp:positionV>
            <wp:extent cx="7559999" cy="10691587"/>
            <wp:effectExtent l="0" t="0" r="0" b="0"/>
            <wp:wrapNone/>
            <wp:docPr id="1993236905" name="Picture 4" descr="P1736#y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36905" name="Picture 4" descr="P1736#y1">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7559999" cy="1069158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7BB23D" w14:textId="62222844" w:rsidR="00292E25" w:rsidRPr="00292E25" w:rsidRDefault="00292E25" w:rsidP="00292E25">
      <w:pPr>
        <w:pStyle w:val="NormalIndent"/>
        <w:rPr>
          <w:lang w:eastAsia="en-GB"/>
        </w:rPr>
        <w:sectPr w:rsidR="00292E25" w:rsidRPr="00292E25" w:rsidSect="0008530E">
          <w:type w:val="continuous"/>
          <w:pgSz w:w="11906" w:h="16838"/>
          <w:pgMar w:top="2041" w:right="1701" w:bottom="454" w:left="1701" w:header="567" w:footer="567" w:gutter="0"/>
          <w:cols w:space="567"/>
          <w:titlePg/>
          <w:docGrid w:linePitch="360"/>
        </w:sectPr>
      </w:pPr>
    </w:p>
    <w:p w14:paraId="7571818F" w14:textId="21C10BF2" w:rsidR="007823EF" w:rsidRDefault="007823EF" w:rsidP="00925E36">
      <w:pPr>
        <w:pStyle w:val="Heading4"/>
      </w:pPr>
    </w:p>
    <w:sectPr w:rsidR="007823EF" w:rsidSect="00C76DBF">
      <w:type w:val="continuous"/>
      <w:pgSz w:w="11906" w:h="16838"/>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E8C934" w14:textId="77777777" w:rsidR="00DD7A05" w:rsidRDefault="00DD7A05" w:rsidP="007823EF">
      <w:pPr>
        <w:spacing w:after="0" w:line="240" w:lineRule="auto"/>
      </w:pPr>
      <w:r>
        <w:separator/>
      </w:r>
    </w:p>
  </w:endnote>
  <w:endnote w:type="continuationSeparator" w:id="0">
    <w:p w14:paraId="25EEB3D0" w14:textId="77777777" w:rsidR="00DD7A05" w:rsidRDefault="00DD7A05" w:rsidP="007823EF">
      <w:pPr>
        <w:spacing w:after="0" w:line="240" w:lineRule="auto"/>
      </w:pPr>
      <w:r>
        <w:continuationSeparator/>
      </w:r>
    </w:p>
  </w:endnote>
  <w:endnote w:type="continuationNotice" w:id="1">
    <w:p w14:paraId="1097F20B" w14:textId="77777777" w:rsidR="00DD7A05" w:rsidRDefault="00DD7A0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3248D74F-34CC-46AF-9B96-D5EEA586E857}"/>
    <w:embedBold r:id="rId2" w:fontKey="{306670BD-6B09-47AA-AAFA-042EE9DA2A54}"/>
    <w:embedItalic r:id="rId3" w:fontKey="{A57FB6CE-4917-4C00-8FBF-590D7645DD59}"/>
    <w:embedBoldItalic r:id="rId4" w:fontKey="{33B3D605-84FA-44EA-A4E3-27C8834F773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ortada">
    <w:altName w:val="Calibri"/>
    <w:panose1 w:val="00000000000000000000"/>
    <w:charset w:val="00"/>
    <w:family w:val="modern"/>
    <w:notTrueType/>
    <w:pitch w:val="variable"/>
    <w:sig w:usb0="A00000AF" w:usb1="5000204B" w:usb2="00000000" w:usb3="00000000" w:csb0="00000093" w:csb1="00000000"/>
  </w:font>
  <w:font w:name="Arial Mäori">
    <w:altName w:val="Arial"/>
    <w:charset w:val="00"/>
    <w:family w:val="swiss"/>
    <w:pitch w:val="variable"/>
    <w:sig w:usb0="20002A87" w:usb1="80000000" w:usb2="00000008" w:usb3="00000000" w:csb0="000001FF" w:csb1="00000000"/>
  </w:font>
  <w:font w:name="Segoe UI Semibold">
    <w:panose1 w:val="020B0702040204020203"/>
    <w:charset w:val="00"/>
    <w:family w:val="swiss"/>
    <w:pitch w:val="variable"/>
    <w:sig w:usb0="E4002EFF" w:usb1="C000E47F" w:usb2="00000009" w:usb3="00000000" w:csb0="000001FF" w:csb1="00000000"/>
    <w:embedRegular r:id="rId5" w:fontKey="{A9C7C95B-9DC3-404C-94D4-50F4E7277930}"/>
    <w:embedBold r:id="rId6" w:fontKey="{7931B24A-D4FE-4F47-835C-E1076B9AA988}"/>
  </w:font>
  <w:font w:name="Verdana">
    <w:panose1 w:val="020B0604030504040204"/>
    <w:charset w:val="00"/>
    <w:family w:val="swiss"/>
    <w:pitch w:val="variable"/>
    <w:sig w:usb0="A00006FF" w:usb1="4000205B" w:usb2="00000010" w:usb3="00000000" w:csb0="0000019F" w:csb1="00000000"/>
    <w:embedRegular r:id="rId7" w:fontKey="{5AFA0549-CF14-48C1-9B8C-7D4CF7140B39}"/>
    <w:embedBold r:id="rId8" w:fontKey="{A1245699-FE99-419E-925B-14B3E2D9D1F1}"/>
  </w:font>
  <w:font w:name="Segoe UI">
    <w:panose1 w:val="020B0502040204020203"/>
    <w:charset w:val="00"/>
    <w:family w:val="swiss"/>
    <w:pitch w:val="variable"/>
    <w:sig w:usb0="E4002EFF" w:usb1="C000E47F" w:usb2="00000009" w:usb3="00000000" w:csb0="000001FF" w:csb1="00000000"/>
    <w:embedRegular r:id="rId9" w:fontKey="{40166F92-A8C7-44B7-A977-E47E0873D50E}"/>
    <w:embedBold r:id="rId10" w:fontKey="{A8094F46-626D-4F48-95F6-47DF35D1D735}"/>
  </w:font>
  <w:font w:name="Cambria">
    <w:panose1 w:val="02040503050406030204"/>
    <w:charset w:val="00"/>
    <w:family w:val="roman"/>
    <w:pitch w:val="variable"/>
    <w:sig w:usb0="E00006FF" w:usb1="420024FF" w:usb2="02000000" w:usb3="00000000" w:csb0="0000019F" w:csb1="00000000"/>
    <w:embedRegular r:id="rId11" w:fontKey="{BF25BEA5-8D47-4FA8-BF2F-1C971AD9B598}"/>
  </w:font>
  <w:font w:name="Yu Mincho">
    <w:charset w:val="80"/>
    <w:family w:val="roman"/>
    <w:pitch w:val="variable"/>
    <w:sig w:usb0="800002E7" w:usb1="2AC7FCFF" w:usb2="00000012" w:usb3="00000000" w:csb0="0002009F" w:csb1="00000000"/>
  </w:font>
  <w:font w:name="Segoe UI Light">
    <w:panose1 w:val="020B0502040204020203"/>
    <w:charset w:val="00"/>
    <w:family w:val="swiss"/>
    <w:pitch w:val="variable"/>
    <w:sig w:usb0="E4002EFF" w:usb1="C000E47F" w:usb2="00000009" w:usb3="00000000" w:csb0="000001FF" w:csb1="00000000"/>
    <w:embedRegular r:id="rId12" w:fontKey="{1ACBDB3F-71EA-425F-BEF9-FB524B8D50E5}"/>
    <w:embedItalic r:id="rId13" w:fontKey="{823B8834-4E89-4BE5-A5F4-1E9C3C9E2F4F}"/>
  </w:font>
  <w:font w:name="Berling">
    <w:panose1 w:val="00000000000000000000"/>
    <w:charset w:val="00"/>
    <w:family w:val="modern"/>
    <w:notTrueType/>
    <w:pitch w:val="variable"/>
    <w:sig w:usb0="00000007" w:usb1="00000001" w:usb2="00000000" w:usb3="00000000" w:csb0="00000093" w:csb1="00000000"/>
  </w:font>
  <w:font w:name="Calibri Light">
    <w:panose1 w:val="020F0302020204030204"/>
    <w:charset w:val="00"/>
    <w:family w:val="swiss"/>
    <w:pitch w:val="variable"/>
    <w:sig w:usb0="E4002EFF" w:usb1="C000247B" w:usb2="00000009" w:usb3="00000000" w:csb0="000001FF" w:csb1="00000000"/>
    <w:embedRegular r:id="rId14" w:fontKey="{56E649DE-C193-4BE6-8DD8-5261F48F34A4}"/>
    <w:embedBold r:id="rId15" w:fontKey="{01AE3D6D-4C48-4DDC-A584-8CCF37A898CC}"/>
    <w:embedItalic r:id="rId16" w:fontKey="{B3577C90-7E6F-4ED4-A161-CAC98BF70905}"/>
  </w:font>
  <w:font w:name="Yu Gothic Light">
    <w:panose1 w:val="020B0300000000000000"/>
    <w:charset w:val="80"/>
    <w:family w:val="swiss"/>
    <w:pitch w:val="variable"/>
    <w:sig w:usb0="E00002FF" w:usb1="2AC7FDFF" w:usb2="00000016" w:usb3="00000000" w:csb0="0002009F" w:csb1="00000000"/>
  </w:font>
  <w:font w:name="Segoe UI Black">
    <w:panose1 w:val="020B0A02040204020203"/>
    <w:charset w:val="00"/>
    <w:family w:val="swiss"/>
    <w:pitch w:val="variable"/>
    <w:sig w:usb0="E00002FF" w:usb1="4000E47F" w:usb2="00000021" w:usb3="00000000" w:csb0="0000019F" w:csb1="00000000"/>
    <w:embedBold r:id="rId17" w:fontKey="{880D4510-68F7-4A77-B8A7-2FD465546453}"/>
  </w:font>
  <w:font w:name="Lucida Sans Unicode">
    <w:panose1 w:val="020B0602030504020204"/>
    <w:charset w:val="00"/>
    <w:family w:val="swiss"/>
    <w:pitch w:val="variable"/>
    <w:sig w:usb0="80000AFF" w:usb1="0000396B" w:usb2="00000000" w:usb3="00000000" w:csb0="000000BF" w:csb1="00000000"/>
    <w:embedBold r:id="rId18" w:fontKey="{F13985EF-796C-4497-9CCF-07F19EE49270}"/>
  </w:font>
  <w:font w:name="Times New Roman Mäori">
    <w:altName w:val="Times New Roman"/>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embedRegular r:id="rId19" w:fontKey="{3416E435-DB78-4429-AF76-393466D77A1A}"/>
  </w:font>
  <w:font w:name="Consolas">
    <w:panose1 w:val="020B0609020204030204"/>
    <w:charset w:val="00"/>
    <w:family w:val="modern"/>
    <w:pitch w:val="fixed"/>
    <w:sig w:usb0="E00006FF" w:usb1="0000FCFF" w:usb2="00000001" w:usb3="00000000" w:csb0="0000019F" w:csb1="00000000"/>
    <w:embedRegular r:id="rId20" w:fontKey="{68676CF0-46F5-46F6-BEF8-6AEA7F29BF55}"/>
  </w:font>
  <w:font w:name="ZWAdobeF">
    <w:panose1 w:val="00000000000000000000"/>
    <w:charset w:val="00"/>
    <w:family w:val="auto"/>
    <w:pitch w:val="variable"/>
    <w:sig w:usb0="20002A87" w:usb1="00000000" w:usb2="00000000" w:usb3="00000000" w:csb0="000001FF" w:csb1="00000000"/>
    <w:embedRegular r:id="rId21" w:fontKey="{62C228C8-1989-46FE-BC0B-F38D4A72606D}"/>
    <w:embedBold r:id="rId22" w:fontKey="{3236CA8E-A73B-4456-8CF1-C647B9BA2CDD}"/>
    <w:embedItalic r:id="rId23" w:fontKey="{AD997C35-697C-4D13-B4DA-A4C1903E351A}"/>
  </w:font>
  <w:font w:name="+mn-ea">
    <w:altName w:val="Cambri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314BB3" w14:textId="77777777" w:rsidR="00DC0F08" w:rsidRDefault="00DC0F08" w:rsidP="00C450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5918D" w14:textId="77777777" w:rsidR="00DC0F08" w:rsidRDefault="00DC0F08" w:rsidP="00C4502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41564" w14:textId="77777777" w:rsidR="00DC0F08" w:rsidRDefault="00DC0F08" w:rsidP="00C4502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3C7EB" w14:textId="77777777" w:rsidR="00DC0F08" w:rsidRPr="00C4502C" w:rsidRDefault="00DC0F08" w:rsidP="00C4502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FC4ABD" w14:textId="77777777" w:rsidR="00DD7A05" w:rsidRPr="00C345BC" w:rsidRDefault="00DD7A05" w:rsidP="00C4502C">
      <w:pPr>
        <w:pStyle w:val="FootnoteText"/>
        <w:framePr w:wrap="around"/>
        <w:rPr>
          <w:rStyle w:val="FootnoteReference"/>
        </w:rPr>
      </w:pPr>
    </w:p>
  </w:footnote>
  <w:footnote w:type="continuationSeparator" w:id="0">
    <w:p w14:paraId="4AB063FE" w14:textId="77777777" w:rsidR="00DD7A05" w:rsidRDefault="00DD7A05" w:rsidP="007823EF">
      <w:pPr>
        <w:spacing w:after="0" w:line="240" w:lineRule="auto"/>
      </w:pPr>
    </w:p>
  </w:footnote>
  <w:footnote w:type="continuationNotice" w:id="1">
    <w:p w14:paraId="47A712C6" w14:textId="77777777" w:rsidR="00DD7A05" w:rsidRDefault="00DD7A05">
      <w:pPr>
        <w:spacing w:after="0" w:line="240" w:lineRule="auto"/>
      </w:pPr>
    </w:p>
  </w:footnote>
  <w:footnote w:id="2">
    <w:p w14:paraId="1A031540" w14:textId="1F699683" w:rsidR="00DC0F08" w:rsidRPr="00194E5C" w:rsidRDefault="00DC0F08" w:rsidP="004F7098">
      <w:pPr>
        <w:pStyle w:val="FootnoteText"/>
        <w:ind w:right="-285"/>
      </w:pPr>
      <w:r>
        <w:rPr>
          <w:rStyle w:val="FootnoteReference"/>
        </w:rPr>
        <w:footnoteRef/>
      </w:r>
      <w:r>
        <w:t xml:space="preserve"> Ministry of Health. nd. Achieving equity. URL: </w:t>
      </w:r>
      <w:hyperlink r:id="rId1" w:history="1">
        <w:r w:rsidRPr="006F7248">
          <w:rPr>
            <w:rStyle w:val="Hyperlink"/>
          </w:rPr>
          <w:t>health.govt.nz/about-ministry/what-we-do/work-programme-2019-20/achieving-equity</w:t>
        </w:r>
      </w:hyperlink>
      <w:r>
        <w:t xml:space="preserve"> (accessed 15 September 2022)</w:t>
      </w:r>
      <w:r w:rsidR="00CE4246">
        <w:t>.</w:t>
      </w:r>
    </w:p>
  </w:footnote>
  <w:footnote w:id="3">
    <w:p w14:paraId="477839FD" w14:textId="25906F41" w:rsidR="00DC0F08" w:rsidRPr="00106D35" w:rsidRDefault="00DC0F08" w:rsidP="004F7098">
      <w:pPr>
        <w:pStyle w:val="FootnoteText"/>
        <w:ind w:right="-285"/>
        <w:rPr>
          <w:lang w:val="en-US"/>
        </w:rPr>
      </w:pPr>
      <w:r>
        <w:rPr>
          <w:rStyle w:val="FootnoteReference"/>
        </w:rPr>
        <w:footnoteRef/>
      </w:r>
      <w:r>
        <w:t xml:space="preserve"> </w:t>
      </w:r>
      <w:r w:rsidRPr="00106D35">
        <w:t>The determinants of health span social (including racism and discrimination), economic, cultural, commercial, environmental (including climate change), occupational and digital drivers.</w:t>
      </w:r>
    </w:p>
  </w:footnote>
  <w:footnote w:id="4">
    <w:p w14:paraId="2061DC3D" w14:textId="5B1FEE3F" w:rsidR="00DC0F08" w:rsidRPr="008E0770" w:rsidRDefault="00DC0F08" w:rsidP="004F7098">
      <w:pPr>
        <w:pStyle w:val="FootnoteText"/>
        <w:ind w:right="-285"/>
        <w:rPr>
          <w:lang w:val="en-US"/>
        </w:rPr>
      </w:pPr>
      <w:r>
        <w:rPr>
          <w:rStyle w:val="FootnoteReference"/>
        </w:rPr>
        <w:footnoteRef/>
      </w:r>
      <w:r>
        <w:t xml:space="preserve"> </w:t>
      </w:r>
      <w:r w:rsidRPr="00680740">
        <w:t>Ministry of Health NZ</w:t>
      </w:r>
      <w:r>
        <w:t>.</w:t>
      </w:r>
      <w:r w:rsidRPr="00215904">
        <w:t xml:space="preserve"> </w:t>
      </w:r>
      <w:r>
        <w:t xml:space="preserve">nd. </w:t>
      </w:r>
      <w:r w:rsidRPr="00400407">
        <w:t>He Korowai Oranga</w:t>
      </w:r>
      <w:r>
        <w:t xml:space="preserve">. URL: </w:t>
      </w:r>
      <w:hyperlink r:id="rId2" w:history="1">
        <w:r w:rsidRPr="00C235C8">
          <w:rPr>
            <w:rStyle w:val="Hyperlink"/>
          </w:rPr>
          <w:t>health.govt.nz/our-work/populations/maori-health/he-korowai-oranga</w:t>
        </w:r>
      </w:hyperlink>
      <w:r>
        <w:t xml:space="preserve"> (accessed 5 September 2022).</w:t>
      </w:r>
    </w:p>
  </w:footnote>
  <w:footnote w:id="5">
    <w:p w14:paraId="596FDEE7" w14:textId="7303C226" w:rsidR="00DC0F08" w:rsidRPr="008E0770" w:rsidRDefault="00DC0F08" w:rsidP="004F7098">
      <w:pPr>
        <w:pStyle w:val="FootnoteText"/>
        <w:ind w:right="-285"/>
        <w:rPr>
          <w:lang w:val="en-US"/>
        </w:rPr>
      </w:pPr>
      <w:r>
        <w:rPr>
          <w:rStyle w:val="FootnoteReference"/>
        </w:rPr>
        <w:footnoteRef/>
      </w:r>
      <w:r>
        <w:t xml:space="preserve"> Enabling Good Lives. nd. Vision. URL: </w:t>
      </w:r>
      <w:hyperlink r:id="rId3" w:history="1">
        <w:r w:rsidRPr="00805ACB">
          <w:rPr>
            <w:rStyle w:val="Hyperlink"/>
          </w:rPr>
          <w:t>enablinggoodlives.co.nz/about-egl/egl-approach/vision/</w:t>
        </w:r>
      </w:hyperlink>
      <w:r>
        <w:t xml:space="preserve"> (accessed 15 September 2022).</w:t>
      </w:r>
    </w:p>
  </w:footnote>
  <w:footnote w:id="6">
    <w:p w14:paraId="0DF7263E" w14:textId="723C0EC8" w:rsidR="00DC0F08" w:rsidRPr="008E0770" w:rsidRDefault="00DC0F08" w:rsidP="004F7098">
      <w:pPr>
        <w:pStyle w:val="FootnoteText"/>
        <w:ind w:right="-285"/>
        <w:rPr>
          <w:lang w:val="en-US"/>
        </w:rPr>
      </w:pPr>
      <w:r>
        <w:rPr>
          <w:rStyle w:val="FootnoteReference"/>
        </w:rPr>
        <w:footnoteRef/>
      </w:r>
      <w:r>
        <w:t xml:space="preserve"> Enabling Good Lives. nd. Principles. URL:</w:t>
      </w:r>
      <w:hyperlink r:id="rId4" w:history="1">
        <w:r w:rsidRPr="00805ACB">
          <w:rPr>
            <w:rStyle w:val="Hyperlink"/>
          </w:rPr>
          <w:t>enablinggoodlives.co.nz/about-egl/egl-approach/principles/</w:t>
        </w:r>
      </w:hyperlink>
      <w:r>
        <w:t xml:space="preserve"> (accessed 15 September 2022).</w:t>
      </w:r>
    </w:p>
  </w:footnote>
  <w:footnote w:id="7">
    <w:p w14:paraId="563828BB" w14:textId="082596F8" w:rsidR="00DC0F08" w:rsidRPr="00831CBA" w:rsidRDefault="00DC0F08" w:rsidP="00C975CF">
      <w:pPr>
        <w:pStyle w:val="FootnoteText"/>
        <w:ind w:right="-285"/>
        <w:rPr>
          <w:lang w:val="en-US"/>
        </w:rPr>
      </w:pPr>
      <w:r>
        <w:rPr>
          <w:rStyle w:val="FootnoteReference"/>
        </w:rPr>
        <w:footnoteRef/>
      </w:r>
      <w:r>
        <w:t xml:space="preserve"> Ministry of Health. nd. Treaty of Waitangi principles. URL: </w:t>
      </w:r>
      <w:hyperlink r:id="rId5" w:history="1">
        <w:r w:rsidRPr="00C235C8">
          <w:rPr>
            <w:rStyle w:val="Hyperlink"/>
          </w:rPr>
          <w:t>health.govt.nz/our-work/populations/maori-health/he-korowai-oranga/strengthening-he-korowai-oranga/treaty-waitangi-principles</w:t>
        </w:r>
      </w:hyperlink>
      <w:r>
        <w:t xml:space="preserve"> (accessed 5 September 2022)</w:t>
      </w:r>
      <w:r w:rsidRPr="00831CBA">
        <w:t>.</w:t>
      </w:r>
    </w:p>
  </w:footnote>
  <w:footnote w:id="8">
    <w:p w14:paraId="0563053D" w14:textId="1ABFF963" w:rsidR="00DC0F08" w:rsidRPr="00344280" w:rsidRDefault="00DC0F08" w:rsidP="00680740">
      <w:pPr>
        <w:pStyle w:val="FootnoteText"/>
      </w:pPr>
      <w:r>
        <w:rPr>
          <w:rStyle w:val="FootnoteReference"/>
        </w:rPr>
        <w:footnoteRef/>
      </w:r>
      <w:r>
        <w:t xml:space="preserve"> New Zealand Legislation.</w:t>
      </w:r>
      <w:r w:rsidRPr="00ED447D">
        <w:t xml:space="preserve"> </w:t>
      </w:r>
      <w:r>
        <w:t xml:space="preserve">Pae Ora (Healthy Futures) Act 2022. URL: </w:t>
      </w:r>
      <w:hyperlink r:id="rId6" w:history="1">
        <w:r w:rsidRPr="005108CC">
          <w:rPr>
            <w:rStyle w:val="Hyperlink"/>
          </w:rPr>
          <w:t>legislation.govt.nz/act/public/2022/0030/latest/versions.aspx</w:t>
        </w:r>
      </w:hyperlink>
      <w:r>
        <w:t xml:space="preserve"> (accessed 15 September 2022).</w:t>
      </w:r>
    </w:p>
  </w:footnote>
  <w:footnote w:id="9">
    <w:p w14:paraId="7A51CBDA" w14:textId="64DD8F17" w:rsidR="00DC0F08" w:rsidRPr="00680740" w:rsidRDefault="00DC0F08" w:rsidP="00680740">
      <w:pPr>
        <w:pStyle w:val="FootnoteText"/>
      </w:pPr>
      <w:r>
        <w:rPr>
          <w:rStyle w:val="FootnoteReference"/>
        </w:rPr>
        <w:footnoteRef/>
      </w:r>
      <w:r>
        <w:t xml:space="preserve"> Ministry of Social Development. nd. Social Sector Commissioning action plan and reform. URL: </w:t>
      </w:r>
      <w:hyperlink r:id="rId7" w:history="1">
        <w:r w:rsidRPr="00741E56">
          <w:rPr>
            <w:rStyle w:val="Hyperlink"/>
          </w:rPr>
          <w:t>msd.govt.nz/about-msd-and-our-work/publications-resources/planning-strategy/social-sector-commissioning</w:t>
        </w:r>
      </w:hyperlink>
      <w:r>
        <w:t xml:space="preserve"> (accessed 2 November 2022). </w:t>
      </w:r>
    </w:p>
  </w:footnote>
  <w:footnote w:id="10">
    <w:p w14:paraId="727F0E1E" w14:textId="4FE498C9" w:rsidR="00DC0F08" w:rsidRPr="00831CBA" w:rsidRDefault="00DC0F08" w:rsidP="00680740">
      <w:pPr>
        <w:pStyle w:val="FootnoteText"/>
        <w:rPr>
          <w:lang w:val="en-US"/>
        </w:rPr>
      </w:pPr>
      <w:r>
        <w:rPr>
          <w:rStyle w:val="FootnoteReference"/>
        </w:rPr>
        <w:footnoteRef/>
      </w:r>
      <w:r>
        <w:t xml:space="preserve"> </w:t>
      </w:r>
      <w:r w:rsidRPr="00831CBA">
        <w:t xml:space="preserve">The Productivity Commission report </w:t>
      </w:r>
      <w:r w:rsidRPr="00680740">
        <w:rPr>
          <w:i/>
          <w:iCs/>
        </w:rPr>
        <w:t>Together Alone</w:t>
      </w:r>
      <w:r w:rsidRPr="00831CBA">
        <w:t xml:space="preserve"> (Fry 2022) notes the New Zealand state sector reforms in the 1980s created a public management model with agency-focused accountability to deliver core business in line with Ministers’ expectations (vertical accountability). Agencies were structured to have clear and non</w:t>
      </w:r>
      <w:r>
        <w:t>-</w:t>
      </w:r>
      <w:r w:rsidRPr="00831CBA">
        <w:t>conflicting objectives. However</w:t>
      </w:r>
      <w:r>
        <w:t>,</w:t>
      </w:r>
      <w:r w:rsidRPr="00831CBA">
        <w:t xml:space="preserve"> this contributed to siloed approaches to investments; </w:t>
      </w:r>
      <w:r>
        <w:t>an issue</w:t>
      </w:r>
      <w:r w:rsidRPr="00831CBA">
        <w:t xml:space="preserve"> that the Public Sector Act 2020 and now the Pae Ora (Healthy Futures) Act 2022 seek to address. </w:t>
      </w:r>
      <w:r>
        <w:t xml:space="preserve">The </w:t>
      </w:r>
      <w:r w:rsidRPr="00831CBA">
        <w:t xml:space="preserve">Cabinet-mandated Social Sector Commissioning work programme </w:t>
      </w:r>
      <w:r>
        <w:t xml:space="preserve">also </w:t>
      </w:r>
      <w:r w:rsidRPr="00831CBA">
        <w:t xml:space="preserve">helps </w:t>
      </w:r>
      <w:r>
        <w:t xml:space="preserve">to </w:t>
      </w:r>
      <w:r w:rsidRPr="00831CBA">
        <w:t>address this.</w:t>
      </w:r>
    </w:p>
  </w:footnote>
  <w:footnote w:id="11">
    <w:p w14:paraId="6D292060" w14:textId="139A536E" w:rsidR="00DC0F08" w:rsidRPr="00E17697" w:rsidRDefault="00DC0F08" w:rsidP="004F7098">
      <w:pPr>
        <w:pStyle w:val="FootnoteText"/>
        <w:ind w:right="-285"/>
        <w:rPr>
          <w:lang w:val="en-US"/>
        </w:rPr>
      </w:pPr>
      <w:r>
        <w:rPr>
          <w:rStyle w:val="FootnoteReference"/>
        </w:rPr>
        <w:footnoteRef/>
      </w:r>
      <w:r>
        <w:t xml:space="preserve"> </w:t>
      </w:r>
      <w:r w:rsidRPr="00E17697">
        <w:t xml:space="preserve">See </w:t>
      </w:r>
      <w:r w:rsidR="00884118">
        <w:t>the Ministry of Health</w:t>
      </w:r>
      <w:r w:rsidRPr="00E17697">
        <w:t>’s Ao Mai te Rā | The Anti-Racism Kaupapa.</w:t>
      </w:r>
      <w:r>
        <w:t xml:space="preserve"> URL: </w:t>
      </w:r>
      <w:hyperlink r:id="rId8" w:history="1">
        <w:r w:rsidRPr="00FD695F">
          <w:rPr>
            <w:rStyle w:val="Hyperlink"/>
          </w:rPr>
          <w:t>https://www.health.govt.nz/publication/position-statement-and-working-definitions-racism-and-anti-racism-health-system-aotearoa-new-zealand</w:t>
        </w:r>
      </w:hyperlink>
      <w:r>
        <w:t xml:space="preserve"> (accessed 20 September 2022).</w:t>
      </w:r>
    </w:p>
  </w:footnote>
  <w:footnote w:id="12">
    <w:p w14:paraId="4FEE9588" w14:textId="75E293E9" w:rsidR="00DC0F08" w:rsidRPr="001D5B45" w:rsidRDefault="00DC0F08" w:rsidP="004F7098">
      <w:pPr>
        <w:pStyle w:val="FootnoteText"/>
        <w:ind w:right="-285"/>
        <w:rPr>
          <w:lang w:val="en-US"/>
        </w:rPr>
      </w:pPr>
      <w:r>
        <w:rPr>
          <w:rStyle w:val="FootnoteReference"/>
        </w:rPr>
        <w:footnoteRef/>
      </w:r>
      <w:r>
        <w:t xml:space="preserve"> </w:t>
      </w:r>
      <w:r w:rsidRPr="001D5B45">
        <w:t>See Appendix 3 for how to apply the Commissioning for Pae Ora approach when developing models of care.</w:t>
      </w:r>
    </w:p>
  </w:footnote>
  <w:footnote w:id="13">
    <w:p w14:paraId="1726C288" w14:textId="104308BD" w:rsidR="00DC0F08" w:rsidRPr="001D5B45" w:rsidRDefault="00DC0F08" w:rsidP="004F7098">
      <w:pPr>
        <w:pStyle w:val="FootnoteText"/>
        <w:ind w:right="-285"/>
        <w:rPr>
          <w:lang w:val="en-US"/>
        </w:rPr>
      </w:pPr>
      <w:r>
        <w:rPr>
          <w:rStyle w:val="FootnoteReference"/>
        </w:rPr>
        <w:footnoteRef/>
      </w:r>
      <w:r>
        <w:t xml:space="preserve"> </w:t>
      </w:r>
      <w:r w:rsidRPr="001D5B45">
        <w:t xml:space="preserve">See </w:t>
      </w:r>
      <w:r>
        <w:t>Nationwide Service Framework Library. nd.</w:t>
      </w:r>
      <w:r w:rsidRPr="001D5B45">
        <w:t xml:space="preserve"> National Asset Management Programme</w:t>
      </w:r>
      <w:r>
        <w:t>. URL</w:t>
      </w:r>
      <w:r w:rsidRPr="001D5B45">
        <w:t xml:space="preserve">: </w:t>
      </w:r>
      <w:hyperlink r:id="rId9" w:history="1">
        <w:r w:rsidRPr="00665E1E">
          <w:rPr>
            <w:rStyle w:val="Hyperlink"/>
          </w:rPr>
          <w:t>nsfl.health.govt.nz/accountability/national-asset-management-programme</w:t>
        </w:r>
      </w:hyperlink>
      <w:r>
        <w:t xml:space="preserve"> (accessed 15 September 2022).</w:t>
      </w:r>
    </w:p>
  </w:footnote>
  <w:footnote w:id="14">
    <w:p w14:paraId="77C0D3F3" w14:textId="77777777" w:rsidR="00DC0F08" w:rsidRDefault="00DC0F08" w:rsidP="004F7098">
      <w:pPr>
        <w:pStyle w:val="FootnoteText"/>
        <w:ind w:right="-285"/>
      </w:pPr>
      <w:r>
        <w:rPr>
          <w:rStyle w:val="FootnoteReference"/>
        </w:rPr>
        <w:footnoteRef/>
      </w:r>
      <w:r w:rsidRPr="006D6059">
        <w:rPr>
          <w:rStyle w:val="FootnoteReference"/>
        </w:rPr>
        <w:t xml:space="preserve"> </w:t>
      </w:r>
      <w:r w:rsidRPr="006D6059">
        <w:t>Regulations include those set out in the Health Practitioners Competence Assurance Act 2003.</w:t>
      </w:r>
      <w:r w:rsidRPr="00B226AF">
        <w:t xml:space="preserve">  </w:t>
      </w:r>
    </w:p>
  </w:footnote>
  <w:footnote w:id="15">
    <w:p w14:paraId="3B9004D1" w14:textId="776F50AF" w:rsidR="00DC0F08" w:rsidRDefault="00DC0F08" w:rsidP="004F7098">
      <w:pPr>
        <w:pStyle w:val="FootnoteText"/>
        <w:ind w:right="-285"/>
      </w:pPr>
      <w:r>
        <w:rPr>
          <w:rStyle w:val="FootnoteReference"/>
        </w:rPr>
        <w:footnoteRef/>
      </w:r>
      <w:r>
        <w:t xml:space="preserve"> </w:t>
      </w:r>
      <w:r w:rsidRPr="00B226AF">
        <w:t xml:space="preserve">General rules from the Public Finance Act 1989, Commerce Act 1986, Health and Safety at Work Act 2015, employment law and occupational requirements will apply, along with </w:t>
      </w:r>
      <w:r w:rsidRPr="0026484B">
        <w:t xml:space="preserve">government rules of sourcing and the principles of </w:t>
      </w:r>
      <w:r>
        <w:t>G</w:t>
      </w:r>
      <w:r w:rsidRPr="0026484B">
        <w:t xml:space="preserve">overnment </w:t>
      </w:r>
      <w:r>
        <w:t>P</w:t>
      </w:r>
      <w:r w:rsidRPr="0026484B">
        <w:t>rocurement.</w:t>
      </w:r>
    </w:p>
  </w:footnote>
  <w:footnote w:id="16">
    <w:p w14:paraId="1F15A35D" w14:textId="2C954FA2" w:rsidR="00DC0F08" w:rsidRDefault="00DC0F08" w:rsidP="004F7098">
      <w:pPr>
        <w:pStyle w:val="FootnoteText"/>
        <w:ind w:right="-285"/>
      </w:pPr>
      <w:r>
        <w:rPr>
          <w:rStyle w:val="FootnoteReference"/>
        </w:rPr>
        <w:footnoteRef/>
      </w:r>
      <w:r>
        <w:t xml:space="preserve"> </w:t>
      </w:r>
      <w:r w:rsidRPr="00C05CF9">
        <w:rPr>
          <w:rFonts w:cstheme="minorHAnsi"/>
          <w:szCs w:val="22"/>
        </w:rPr>
        <w:t xml:space="preserve">Where contracts do not cover the true cost of delivery, are small and/or are short term, providers seek additional contracts, often across multiple funders and funding pools. The resulting ‘patchwork’ of funding sources carries a high compliance burden to both apply for funding and then meet the </w:t>
      </w:r>
      <w:r>
        <w:rPr>
          <w:rFonts w:cstheme="minorHAnsi"/>
          <w:szCs w:val="22"/>
        </w:rPr>
        <w:t>range</w:t>
      </w:r>
      <w:r w:rsidRPr="00C05CF9">
        <w:rPr>
          <w:rFonts w:cstheme="minorHAnsi"/>
          <w:szCs w:val="22"/>
        </w:rPr>
        <w:t xml:space="preserve"> of accountability and reporting requirements.</w:t>
      </w:r>
    </w:p>
  </w:footnote>
  <w:footnote w:id="17">
    <w:p w14:paraId="1A996F9F" w14:textId="17081C22" w:rsidR="00DC0F08" w:rsidRPr="006D6059" w:rsidRDefault="00DC0F08" w:rsidP="004F7098">
      <w:pPr>
        <w:pStyle w:val="FootnoteText"/>
        <w:ind w:right="-285"/>
        <w:rPr>
          <w:lang w:val="en-US"/>
        </w:rPr>
      </w:pPr>
      <w:r>
        <w:rPr>
          <w:rStyle w:val="FootnoteReference"/>
        </w:rPr>
        <w:footnoteRef/>
      </w:r>
      <w:r>
        <w:t xml:space="preserve"> Ministry of Business, Innovation and Employment. nd. Principles, charter and rules. URL: </w:t>
      </w:r>
      <w:hyperlink r:id="rId10" w:history="1">
        <w:r w:rsidRPr="005108CC">
          <w:rPr>
            <w:rStyle w:val="Hyperlink"/>
          </w:rPr>
          <w:t>procurement.govt.nz/procurement/principles-charter-and-rules/</w:t>
        </w:r>
      </w:hyperlink>
      <w:r>
        <w:t xml:space="preserve"> (accessed 9 September 2022). </w:t>
      </w:r>
      <w:hyperlink r:id="rId11" w:history="1">
        <w:r w:rsidRPr="00FD695F">
          <w:rPr>
            <w:rStyle w:val="Hyperlink"/>
          </w:rPr>
          <w:t>https://www.procurement.govt.nz/</w:t>
        </w:r>
      </w:hyperlink>
      <w:r>
        <w:t xml:space="preserve"> (accessed 20 September 2022).</w:t>
      </w:r>
    </w:p>
  </w:footnote>
  <w:footnote w:id="18">
    <w:p w14:paraId="35D471C8" w14:textId="1C6E2B68" w:rsidR="00DC0F08" w:rsidRPr="006D6059" w:rsidRDefault="00DC0F08" w:rsidP="004F7098">
      <w:pPr>
        <w:pStyle w:val="FootnoteText"/>
        <w:ind w:right="-285"/>
        <w:rPr>
          <w:lang w:val="en-US"/>
        </w:rPr>
      </w:pPr>
      <w:r>
        <w:rPr>
          <w:rStyle w:val="FootnoteReference"/>
        </w:rPr>
        <w:footnoteRef/>
      </w:r>
      <w:r>
        <w:t xml:space="preserve"> The Treasury. nd. He Ara Waiora. URL: </w:t>
      </w:r>
      <w:hyperlink r:id="rId12" w:history="1">
        <w:r w:rsidRPr="00E3157B">
          <w:rPr>
            <w:rStyle w:val="Hyperlink"/>
          </w:rPr>
          <w:t>treasury.govt.nz/information-and-services/nz-economy/higher-living-standards/he-ara-waiora</w:t>
        </w:r>
      </w:hyperlink>
      <w:r>
        <w:t xml:space="preserve"> (accessed 9 September 2022).</w:t>
      </w:r>
    </w:p>
  </w:footnote>
  <w:footnote w:id="19">
    <w:p w14:paraId="4F0D3B11" w14:textId="54B7238B" w:rsidR="00DC0F08" w:rsidRPr="00F36113" w:rsidRDefault="00DC0F08" w:rsidP="004F7098">
      <w:pPr>
        <w:pStyle w:val="FootnoteText"/>
        <w:ind w:right="-285"/>
        <w:rPr>
          <w:lang w:val="en-US"/>
        </w:rPr>
      </w:pPr>
      <w:r>
        <w:rPr>
          <w:rStyle w:val="FootnoteReference"/>
        </w:rPr>
        <w:footnoteRef/>
      </w:r>
      <w:r>
        <w:t xml:space="preserve"> </w:t>
      </w:r>
      <w:r w:rsidRPr="00F36113">
        <w:t xml:space="preserve">Within </w:t>
      </w:r>
      <w:r>
        <w:t>Manat</w:t>
      </w:r>
      <w:r>
        <w:rPr>
          <w:rFonts w:ascii="Calibri" w:hAnsi="Calibri" w:cs="Calibri"/>
        </w:rPr>
        <w:t>ū</w:t>
      </w:r>
      <w:r>
        <w:t xml:space="preserve"> Hauora, </w:t>
      </w:r>
      <w:r w:rsidRPr="00F36113">
        <w:t xml:space="preserve">HealthCERT is responsible for ensuring hospitals, rest homes, residential disability care facilities and fertility providers provide safe and reasonable levels of service for consumers, as required under the Health and Disability Services (Safety) Act 2001. Other monitors of the health sector are </w:t>
      </w:r>
      <w:r>
        <w:t>Te Aka Whai Ora</w:t>
      </w:r>
      <w:r w:rsidRPr="00F36113">
        <w:t>, Health Quality &amp; Safety Commission and Te Puni Kōkiri.</w:t>
      </w:r>
    </w:p>
  </w:footnote>
  <w:footnote w:id="20">
    <w:p w14:paraId="25823FDF" w14:textId="44396BC5" w:rsidR="00DC0F08" w:rsidRPr="00F36113" w:rsidRDefault="00DC0F08" w:rsidP="004F7098">
      <w:pPr>
        <w:pStyle w:val="FootnoteText"/>
        <w:ind w:right="-285"/>
        <w:rPr>
          <w:lang w:val="en-US"/>
        </w:rPr>
      </w:pPr>
      <w:r>
        <w:rPr>
          <w:rStyle w:val="FootnoteReference"/>
        </w:rPr>
        <w:footnoteRef/>
      </w:r>
      <w:r>
        <w:t xml:space="preserve"> Ministry of Social Development. nd. Update on the Future of Social Sector Commissioning work programme. URL: </w:t>
      </w:r>
      <w:hyperlink r:id="rId13" w:history="1">
        <w:r w:rsidRPr="00C96266">
          <w:rPr>
            <w:rStyle w:val="Hyperlink"/>
          </w:rPr>
          <w:t>msd.govt.nz/about-msd-and-our-work/publications-resources/planning-strategy/social-sector-commissioning</w:t>
        </w:r>
      </w:hyperlink>
      <w:r>
        <w:t xml:space="preserve"> (accessed 5 September 2022).</w:t>
      </w:r>
    </w:p>
  </w:footnote>
  <w:footnote w:id="21">
    <w:p w14:paraId="1E0AE8A6" w14:textId="3EDCDFAD" w:rsidR="00DC0F08" w:rsidRPr="00815F49" w:rsidRDefault="00DC0F08">
      <w:pPr>
        <w:pStyle w:val="FootnoteText"/>
        <w:rPr>
          <w:lang w:val="mi-NZ"/>
        </w:rPr>
      </w:pPr>
      <w:r>
        <w:rPr>
          <w:rStyle w:val="FootnoteReference"/>
        </w:rPr>
        <w:footnoteRef/>
      </w:r>
      <w:r>
        <w:t xml:space="preserve"> Health Quality &amp; Safety Commission Code of expectations for health entities' engagement with consumers and </w:t>
      </w:r>
      <w:r w:rsidR="00AF00E6">
        <w:t>whanau.</w:t>
      </w:r>
      <w:r>
        <w:t xml:space="preserve"> </w:t>
      </w:r>
      <w:r w:rsidR="00AF00E6">
        <w:t xml:space="preserve">URL: </w:t>
      </w:r>
      <w:hyperlink r:id="rId14" w:history="1">
        <w:r w:rsidR="00F46F8B" w:rsidRPr="00C75101">
          <w:rPr>
            <w:rStyle w:val="Hyperlink"/>
          </w:rPr>
          <w:t>www.hqsc.govt.nz/resources/resource-library/code-of-expectations-for-health-entities-engagement-with-consumers-and-whanau/</w:t>
        </w:r>
      </w:hyperlink>
      <w:r>
        <w:t xml:space="preserve"> (accessed 2 November 2022)</w:t>
      </w:r>
      <w:r w:rsidR="0050183F" w:rsidRPr="0050183F">
        <w:t>.</w:t>
      </w:r>
    </w:p>
  </w:footnote>
  <w:footnote w:id="22">
    <w:p w14:paraId="54913F0D" w14:textId="3301CB1C" w:rsidR="00DC0F08" w:rsidRPr="00212D9F" w:rsidRDefault="00DC0F08" w:rsidP="004F7098">
      <w:pPr>
        <w:pStyle w:val="FootnoteText"/>
        <w:ind w:right="-285"/>
        <w:rPr>
          <w:rStyle w:val="FootnoteReference"/>
        </w:rPr>
      </w:pPr>
      <w:r w:rsidRPr="00212D9F">
        <w:rPr>
          <w:rStyle w:val="FootnoteReference"/>
        </w:rPr>
        <w:footnoteRef/>
      </w:r>
      <w:r w:rsidRPr="00212D9F">
        <w:rPr>
          <w:rStyle w:val="FootnoteReference"/>
        </w:rPr>
        <w:t xml:space="preserve"> </w:t>
      </w:r>
      <w:r>
        <w:t>T</w:t>
      </w:r>
      <w:r w:rsidRPr="00212D9F">
        <w:t>he case study</w:t>
      </w:r>
      <w:r>
        <w:t xml:space="preserve"> of</w:t>
      </w:r>
      <w:r w:rsidRPr="00212D9F">
        <w:t xml:space="preserve"> Te Pūtahitanga o Te Waipounamu (South Island Whānau Ora Commissioning Agency) </w:t>
      </w:r>
      <w:r>
        <w:t>looks at</w:t>
      </w:r>
      <w:r w:rsidRPr="00212D9F">
        <w:t xml:space="preserve"> innovative commissioning approaches that support whānau to</w:t>
      </w:r>
      <w:r w:rsidRPr="00F35CCB">
        <w:rPr>
          <w:b/>
          <w:bCs w:val="0"/>
        </w:rPr>
        <w:t xml:space="preserve"> develop localised solutions</w:t>
      </w:r>
      <w:r>
        <w:t>.</w:t>
      </w:r>
    </w:p>
  </w:footnote>
  <w:footnote w:id="23">
    <w:p w14:paraId="2086C449" w14:textId="2EABC8E3" w:rsidR="00DC0F08" w:rsidRPr="005506BF" w:rsidRDefault="00DC0F08" w:rsidP="004F7098">
      <w:pPr>
        <w:pStyle w:val="FootnoteText"/>
        <w:ind w:right="-285"/>
        <w:rPr>
          <w:lang w:val="en-US"/>
        </w:rPr>
      </w:pPr>
      <w:r>
        <w:rPr>
          <w:rStyle w:val="FootnoteReference"/>
        </w:rPr>
        <w:footnoteRef/>
      </w:r>
      <w:r>
        <w:t xml:space="preserve"> A</w:t>
      </w:r>
      <w:r w:rsidRPr="005506BF">
        <w:t xml:space="preserve"> range of online</w:t>
      </w:r>
      <w:r w:rsidRPr="0014123A">
        <w:t xml:space="preserve"> </w:t>
      </w:r>
      <w:r w:rsidRPr="005506BF">
        <w:t>tools</w:t>
      </w:r>
      <w:r>
        <w:t xml:space="preserve"> for</w:t>
      </w:r>
      <w:r w:rsidRPr="005506BF">
        <w:t xml:space="preserve"> change readiness can be helpful for actors</w:t>
      </w:r>
      <w:r>
        <w:t xml:space="preserve"> involved in the process</w:t>
      </w:r>
      <w:r w:rsidRPr="005506BF">
        <w:t xml:space="preserve"> </w:t>
      </w:r>
      <w:r>
        <w:t>at</w:t>
      </w:r>
      <w:r w:rsidRPr="005506BF">
        <w:t xml:space="preserve"> different levels (commissioners, providers, communities). </w:t>
      </w:r>
      <w:r>
        <w:t xml:space="preserve">See </w:t>
      </w:r>
      <w:r w:rsidRPr="005506BF">
        <w:t>The Treasury</w:t>
      </w:r>
      <w:r>
        <w:t>’s</w:t>
      </w:r>
      <w:r w:rsidRPr="005506BF">
        <w:t xml:space="preserve"> change management guidance for government leadership</w:t>
      </w:r>
      <w:r>
        <w:t>:</w:t>
      </w:r>
      <w:r w:rsidR="00703490">
        <w:t xml:space="preserve"> URL</w:t>
      </w:r>
      <w:r w:rsidR="00631BE5">
        <w:t xml:space="preserve">: </w:t>
      </w:r>
      <w:hyperlink r:id="rId15" w:history="1">
        <w:r w:rsidRPr="00061080">
          <w:rPr>
            <w:rStyle w:val="Hyperlink"/>
          </w:rPr>
          <w:t>treasury.govt.nz/information-and-services/state-sector-leadership/investment-management/plan-investment-choices/change-management-guidance</w:t>
        </w:r>
      </w:hyperlink>
      <w:r>
        <w:t xml:space="preserve"> (accessed 12 September 2022).</w:t>
      </w:r>
    </w:p>
  </w:footnote>
  <w:footnote w:id="24">
    <w:p w14:paraId="56297778" w14:textId="5F1DECEF" w:rsidR="00DC0F08" w:rsidRPr="005506BF" w:rsidRDefault="00DC0F08" w:rsidP="004F7098">
      <w:pPr>
        <w:pStyle w:val="FootnoteText"/>
        <w:ind w:right="-285"/>
        <w:rPr>
          <w:lang w:val="en-US"/>
        </w:rPr>
      </w:pPr>
      <w:r>
        <w:rPr>
          <w:rStyle w:val="FootnoteReference"/>
        </w:rPr>
        <w:footnoteRef/>
      </w:r>
      <w:r>
        <w:t xml:space="preserve"> Enabling Good Lives. nd. Enabling Good Lives Toolbox. URL: </w:t>
      </w:r>
      <w:hyperlink r:id="rId16" w:history="1">
        <w:r w:rsidRPr="00061080">
          <w:rPr>
            <w:rStyle w:val="Hyperlink"/>
          </w:rPr>
          <w:t>enablinggoodlives.co.nz/about-egl/resources/provider-resources/enabling-good-lives-toolbox/</w:t>
        </w:r>
      </w:hyperlink>
      <w:r>
        <w:t xml:space="preserve"> (accessed 12 September 2022).</w:t>
      </w:r>
    </w:p>
  </w:footnote>
  <w:footnote w:id="25">
    <w:p w14:paraId="05143379" w14:textId="61A52A8A" w:rsidR="00DC0F08" w:rsidRPr="005C5900" w:rsidRDefault="00DC0F08" w:rsidP="004F7098">
      <w:pPr>
        <w:pStyle w:val="FootnoteText"/>
        <w:ind w:right="-285"/>
        <w:rPr>
          <w:lang w:val="en-US"/>
        </w:rPr>
      </w:pPr>
      <w:r>
        <w:rPr>
          <w:rStyle w:val="FootnoteReference"/>
        </w:rPr>
        <w:footnoteRef/>
      </w:r>
      <w:r>
        <w:t xml:space="preserve"> </w:t>
      </w:r>
      <w:r w:rsidRPr="005C5900">
        <w:t>Engagement works better when established and trusting relationships</w:t>
      </w:r>
      <w:r w:rsidRPr="0050236F">
        <w:t xml:space="preserve"> </w:t>
      </w:r>
      <w:r w:rsidRPr="005C5900">
        <w:t>are in place with different community groups, and where the engagement reflects cultural norms, values and communication preferences (eg, for te reo Māori or New Zealand Sign Language).</w:t>
      </w:r>
    </w:p>
  </w:footnote>
  <w:footnote w:id="26">
    <w:p w14:paraId="1A659B16" w14:textId="34F4650B" w:rsidR="00DC0F08" w:rsidRDefault="00DC0F08" w:rsidP="008576F3">
      <w:pPr>
        <w:pStyle w:val="FootnoteText"/>
      </w:pPr>
      <w:r>
        <w:rPr>
          <w:rStyle w:val="FootnoteReference"/>
        </w:rPr>
        <w:footnoteRef/>
      </w:r>
      <w:r>
        <w:t xml:space="preserve"> Exploring opportunities for collaboration includes finding out about:</w:t>
      </w:r>
    </w:p>
    <w:p w14:paraId="46FB60FA" w14:textId="0C148558" w:rsidR="00DC0F08" w:rsidRPr="0026484B" w:rsidRDefault="00DC0F08" w:rsidP="008576F3">
      <w:pPr>
        <w:pStyle w:val="ListBullet"/>
        <w:tabs>
          <w:tab w:val="clear" w:pos="360"/>
          <w:tab w:val="num" w:pos="567"/>
        </w:tabs>
        <w:spacing w:before="0" w:after="0" w:line="240" w:lineRule="auto"/>
        <w:ind w:left="1843" w:hanging="215"/>
        <w:rPr>
          <w:sz w:val="18"/>
          <w:szCs w:val="18"/>
        </w:rPr>
      </w:pPr>
      <w:r w:rsidRPr="0026484B">
        <w:rPr>
          <w:sz w:val="18"/>
          <w:szCs w:val="18"/>
        </w:rPr>
        <w:t>whether providers can share health records</w:t>
      </w:r>
    </w:p>
    <w:p w14:paraId="34C42353" w14:textId="275CB869" w:rsidR="00DC0F08" w:rsidRPr="0026484B" w:rsidRDefault="00DC0F08" w:rsidP="008576F3">
      <w:pPr>
        <w:pStyle w:val="ListBullet"/>
        <w:tabs>
          <w:tab w:val="clear" w:pos="360"/>
          <w:tab w:val="num" w:pos="567"/>
        </w:tabs>
        <w:spacing w:before="0" w:after="0" w:line="240" w:lineRule="auto"/>
        <w:ind w:left="1843" w:hanging="215"/>
        <w:rPr>
          <w:sz w:val="18"/>
          <w:szCs w:val="18"/>
        </w:rPr>
      </w:pPr>
      <w:r w:rsidRPr="0026484B">
        <w:rPr>
          <w:sz w:val="18"/>
          <w:szCs w:val="18"/>
        </w:rPr>
        <w:t>referral patterns and pathways</w:t>
      </w:r>
    </w:p>
    <w:p w14:paraId="30122146" w14:textId="50E50CF1" w:rsidR="00DC0F08" w:rsidRPr="008576F3" w:rsidRDefault="00DC0F08" w:rsidP="008576F3">
      <w:pPr>
        <w:pStyle w:val="ListBullet"/>
        <w:tabs>
          <w:tab w:val="clear" w:pos="360"/>
          <w:tab w:val="num" w:pos="567"/>
        </w:tabs>
        <w:spacing w:before="0" w:after="0" w:line="240" w:lineRule="auto"/>
        <w:ind w:left="1843" w:hanging="215"/>
        <w:rPr>
          <w:lang w:val="en-US"/>
        </w:rPr>
      </w:pPr>
      <w:r w:rsidRPr="0026484B">
        <w:rPr>
          <w:sz w:val="18"/>
          <w:szCs w:val="18"/>
        </w:rPr>
        <w:t>examples of integrated service delivery collaboration between health and social sectors (eg, aged care, disability services, family services, housing).</w:t>
      </w:r>
    </w:p>
  </w:footnote>
  <w:footnote w:id="27">
    <w:p w14:paraId="1ED7D6F0" w14:textId="7ED09B61" w:rsidR="00DC0F08" w:rsidRPr="0026484B" w:rsidRDefault="00DC0F08" w:rsidP="004F7098">
      <w:pPr>
        <w:pStyle w:val="NormalWeb"/>
        <w:shd w:val="clear" w:color="auto" w:fill="FFFFFF"/>
        <w:spacing w:before="0" w:after="0"/>
        <w:ind w:left="1418" w:right="-285"/>
        <w:rPr>
          <w:rFonts w:ascii="Portada" w:hAnsi="Portada" w:cstheme="minorHAnsi"/>
          <w:sz w:val="18"/>
          <w:szCs w:val="18"/>
        </w:rPr>
      </w:pPr>
      <w:r w:rsidRPr="00093E43">
        <w:rPr>
          <w:rStyle w:val="FootnoteReference"/>
          <w:rFonts w:asciiTheme="minorHAnsi" w:hAnsiTheme="minorHAnsi" w:cstheme="minorHAnsi"/>
          <w:sz w:val="18"/>
          <w:szCs w:val="18"/>
        </w:rPr>
        <w:footnoteRef/>
      </w:r>
      <w:r w:rsidRPr="00093E43">
        <w:rPr>
          <w:rFonts w:asciiTheme="minorHAnsi" w:hAnsiTheme="minorHAnsi" w:cstheme="minorHAnsi"/>
          <w:sz w:val="18"/>
          <w:szCs w:val="18"/>
        </w:rPr>
        <w:t xml:space="preserve"> </w:t>
      </w:r>
      <w:r w:rsidRPr="00A73085">
        <w:rPr>
          <w:rFonts w:ascii="Portada" w:eastAsiaTheme="minorHAnsi" w:hAnsi="Portada" w:cstheme="minorHAnsi"/>
          <w:i/>
          <w:iCs/>
          <w:spacing w:val="-4"/>
          <w:kern w:val="24"/>
          <w:sz w:val="18"/>
          <w:szCs w:val="18"/>
        </w:rPr>
        <w:t>Designing from the Margins</w:t>
      </w:r>
      <w:r w:rsidRPr="0026484B">
        <w:rPr>
          <w:rFonts w:ascii="Portada" w:eastAsiaTheme="minorHAnsi" w:hAnsi="Portada" w:cstheme="minorHAnsi"/>
          <w:spacing w:val="-4"/>
          <w:kern w:val="24"/>
          <w:sz w:val="18"/>
          <w:szCs w:val="18"/>
        </w:rPr>
        <w:t xml:space="preserve"> (Korman et al 2021) uses </w:t>
      </w:r>
      <w:r>
        <w:rPr>
          <w:rFonts w:ascii="Portada" w:eastAsiaTheme="minorHAnsi" w:hAnsi="Portada" w:cstheme="minorHAnsi"/>
          <w:spacing w:val="-4"/>
          <w:kern w:val="24"/>
          <w:sz w:val="18"/>
          <w:szCs w:val="18"/>
        </w:rPr>
        <w:t>3</w:t>
      </w:r>
      <w:r w:rsidRPr="0026484B">
        <w:rPr>
          <w:rFonts w:ascii="Portada" w:eastAsiaTheme="minorHAnsi" w:hAnsi="Portada" w:cstheme="minorHAnsi"/>
          <w:spacing w:val="-4"/>
          <w:kern w:val="24"/>
          <w:sz w:val="18"/>
          <w:szCs w:val="18"/>
        </w:rPr>
        <w:t xml:space="preserve"> core design principles.</w:t>
      </w:r>
    </w:p>
    <w:p w14:paraId="595D76C0" w14:textId="77777777" w:rsidR="00DC0F08" w:rsidRPr="0026484B" w:rsidRDefault="00DC0F08" w:rsidP="004F7098">
      <w:pPr>
        <w:pStyle w:val="ListBullet"/>
        <w:tabs>
          <w:tab w:val="clear" w:pos="360"/>
          <w:tab w:val="num" w:pos="567"/>
        </w:tabs>
        <w:spacing w:before="0" w:after="0" w:line="240" w:lineRule="auto"/>
        <w:ind w:left="1843" w:right="-285" w:hanging="215"/>
        <w:rPr>
          <w:sz w:val="18"/>
          <w:szCs w:val="18"/>
        </w:rPr>
      </w:pPr>
      <w:r w:rsidRPr="0026484B">
        <w:rPr>
          <w:sz w:val="18"/>
          <w:szCs w:val="18"/>
        </w:rPr>
        <w:t>Design from the margins: Emphasise and include the perspectives of people with the greatest needs.</w:t>
      </w:r>
    </w:p>
    <w:p w14:paraId="71A17B1D" w14:textId="77777777" w:rsidR="00DC0F08" w:rsidRPr="0026484B" w:rsidRDefault="00DC0F08" w:rsidP="004F7098">
      <w:pPr>
        <w:pStyle w:val="ListBullet"/>
        <w:tabs>
          <w:tab w:val="clear" w:pos="360"/>
          <w:tab w:val="num" w:pos="567"/>
        </w:tabs>
        <w:spacing w:before="0" w:after="0" w:line="240" w:lineRule="auto"/>
        <w:ind w:left="1843" w:right="-285" w:hanging="215"/>
        <w:rPr>
          <w:sz w:val="18"/>
          <w:szCs w:val="18"/>
        </w:rPr>
      </w:pPr>
      <w:r w:rsidRPr="0026484B">
        <w:rPr>
          <w:sz w:val="18"/>
          <w:szCs w:val="18"/>
        </w:rPr>
        <w:t>Build understanding: Bring stakeholders together to foster partnership, empathy and strong relationships.</w:t>
      </w:r>
    </w:p>
    <w:p w14:paraId="5AFCFFCB" w14:textId="77777777" w:rsidR="00DC0F08" w:rsidRPr="0003323F" w:rsidRDefault="00DC0F08" w:rsidP="004F7098">
      <w:pPr>
        <w:pStyle w:val="ListBullet"/>
        <w:tabs>
          <w:tab w:val="clear" w:pos="360"/>
          <w:tab w:val="num" w:pos="567"/>
        </w:tabs>
        <w:spacing w:before="0" w:after="0" w:line="240" w:lineRule="auto"/>
        <w:ind w:left="1843" w:right="-285" w:hanging="215"/>
        <w:rPr>
          <w:rFonts w:asciiTheme="minorHAnsi" w:hAnsiTheme="minorHAnsi" w:cstheme="minorHAnsi"/>
          <w:sz w:val="18"/>
          <w:szCs w:val="18"/>
          <w:lang w:eastAsia="en-NZ"/>
        </w:rPr>
      </w:pPr>
      <w:r w:rsidRPr="0026484B">
        <w:rPr>
          <w:sz w:val="18"/>
          <w:szCs w:val="18"/>
        </w:rPr>
        <w:t>Shift mindsets: Develop new ways of thinking to transform practice and achieve sustainable solutions.</w:t>
      </w:r>
    </w:p>
  </w:footnote>
  <w:footnote w:id="28">
    <w:p w14:paraId="36EDFD1E" w14:textId="77777777" w:rsidR="00DC0F08" w:rsidRDefault="00DC0F08" w:rsidP="006839AD">
      <w:pPr>
        <w:pStyle w:val="FootnoteText"/>
        <w:spacing w:line="0" w:lineRule="atLeast"/>
        <w:ind w:right="-285"/>
      </w:pPr>
      <w:r>
        <w:rPr>
          <w:rStyle w:val="FootnoteReference"/>
        </w:rPr>
        <w:footnoteRef/>
      </w:r>
      <w:r>
        <w:t xml:space="preserve"> </w:t>
      </w:r>
      <w:r w:rsidRPr="0026484B">
        <w:rPr>
          <w:rFonts w:cstheme="minorHAnsi"/>
          <w:kern w:val="24"/>
          <w:szCs w:val="18"/>
          <w:lang w:eastAsia="en-NZ"/>
        </w:rPr>
        <w:t>One example is the Pride Project Charitable Trust in Manurewa. This movement of ordinary people, residents and proud locals has a vision and kaupapa to create a healthy and connected community where tāngata whaiora feel empowered to become local champions and take a stand for their whānau and wider community.</w:t>
      </w:r>
    </w:p>
  </w:footnote>
  <w:footnote w:id="29">
    <w:p w14:paraId="7E700878" w14:textId="14D3EA90" w:rsidR="00DC0F08" w:rsidRPr="00253908" w:rsidRDefault="00DC0F08" w:rsidP="004F7098">
      <w:pPr>
        <w:pStyle w:val="FootnoteText"/>
        <w:spacing w:before="240"/>
        <w:ind w:right="-285"/>
      </w:pPr>
      <w:r>
        <w:rPr>
          <w:rStyle w:val="FootnoteReference"/>
        </w:rPr>
        <w:footnoteRef/>
      </w:r>
      <w:r>
        <w:t xml:space="preserve"> For government guidance, see: UK Government. 2017. </w:t>
      </w:r>
      <w:r w:rsidRPr="002C6504">
        <w:t xml:space="preserve">Open Government </w:t>
      </w:r>
      <w:r>
        <w:t>t</w:t>
      </w:r>
      <w:r w:rsidRPr="002C6504">
        <w:t>oolkit</w:t>
      </w:r>
      <w:r>
        <w:t>:</w:t>
      </w:r>
      <w:r w:rsidRPr="002C6504">
        <w:t xml:space="preserve"> </w:t>
      </w:r>
      <w:r>
        <w:t>j</w:t>
      </w:r>
      <w:r w:rsidRPr="00133851">
        <w:t xml:space="preserve">ourney </w:t>
      </w:r>
      <w:r w:rsidRPr="002C6504">
        <w:t>mapping</w:t>
      </w:r>
      <w:r>
        <w:t xml:space="preserve">. URL: </w:t>
      </w:r>
      <w:hyperlink r:id="rId17" w:anchor="journey-mapping-introduction" w:history="1">
        <w:r w:rsidRPr="00062237">
          <w:rPr>
            <w:rStyle w:val="Hyperlink"/>
          </w:rPr>
          <w:t>gov.uk/guidance/open-policy-making-toolkit/understanding-policy-problems-and-user-needs#journey-mapping-introduction</w:t>
        </w:r>
      </w:hyperlink>
      <w:r>
        <w:t xml:space="preserve"> (accessed 16 September 2022), which includes</w:t>
      </w:r>
      <w:r w:rsidRPr="00253908">
        <w:t xml:space="preserve"> </w:t>
      </w:r>
      <w:r>
        <w:t>j</w:t>
      </w:r>
      <w:r w:rsidRPr="00253908">
        <w:t>ourney map information, tools and examples</w:t>
      </w:r>
      <w:r>
        <w:t>; and</w:t>
      </w:r>
      <w:r w:rsidRPr="00CF6F46">
        <w:t xml:space="preserve"> </w:t>
      </w:r>
      <w:r>
        <w:t xml:space="preserve">UK </w:t>
      </w:r>
      <w:r w:rsidRPr="00253908">
        <w:t>Government Communication Service</w:t>
      </w:r>
      <w:r>
        <w:t>. 2021.</w:t>
      </w:r>
      <w:r w:rsidRPr="00253908">
        <w:t xml:space="preserve"> </w:t>
      </w:r>
      <w:r w:rsidRPr="002C6504">
        <w:t>Customer journey mapping</w:t>
      </w:r>
      <w:r>
        <w:t xml:space="preserve">. URL: </w:t>
      </w:r>
      <w:hyperlink r:id="rId18" w:history="1">
        <w:r w:rsidRPr="00062237">
          <w:rPr>
            <w:rStyle w:val="Hyperlink"/>
          </w:rPr>
          <w:t>gcs.civilservice.gov.uk/guidance/campaigns/customer-journey-mapping/</w:t>
        </w:r>
      </w:hyperlink>
      <w:r>
        <w:t xml:space="preserve"> (accessed 16 September 2022), a </w:t>
      </w:r>
      <w:r w:rsidRPr="00253908">
        <w:t>tool and guide to journey mapping.</w:t>
      </w:r>
      <w:r>
        <w:t xml:space="preserve"> For a private sector</w:t>
      </w:r>
      <w:r w:rsidRPr="00253908">
        <w:t xml:space="preserve"> </w:t>
      </w:r>
      <w:r>
        <w:t>perspective</w:t>
      </w:r>
      <w:r w:rsidRPr="00CD1034">
        <w:t xml:space="preserve"> </w:t>
      </w:r>
      <w:r>
        <w:t>that is</w:t>
      </w:r>
      <w:r w:rsidRPr="00253908">
        <w:t xml:space="preserve"> relevan</w:t>
      </w:r>
      <w:r>
        <w:t>t</w:t>
      </w:r>
      <w:r w:rsidRPr="00253908">
        <w:t xml:space="preserve"> to public sector context</w:t>
      </w:r>
      <w:r>
        <w:t xml:space="preserve">, see: UX Mastery. 2014. </w:t>
      </w:r>
      <w:r w:rsidRPr="002C6504">
        <w:t>How to create a customer journey map</w:t>
      </w:r>
      <w:r>
        <w:t>.</w:t>
      </w:r>
      <w:r w:rsidRPr="00253908">
        <w:t xml:space="preserve"> </w:t>
      </w:r>
      <w:r>
        <w:t xml:space="preserve">URL: </w:t>
      </w:r>
      <w:hyperlink r:id="rId19" w:history="1">
        <w:r w:rsidRPr="00062237">
          <w:rPr>
            <w:rStyle w:val="Hyperlink"/>
          </w:rPr>
          <w:t>uxmastery.com/how-to-create-a-customer-journey-map/</w:t>
        </w:r>
      </w:hyperlink>
      <w:r>
        <w:t xml:space="preserve"> (accessed 16 September 2022).</w:t>
      </w:r>
    </w:p>
  </w:footnote>
  <w:footnote w:id="30">
    <w:p w14:paraId="2B01E153" w14:textId="238F634C" w:rsidR="00DC0F08" w:rsidRPr="00573828" w:rsidRDefault="00DC0F08" w:rsidP="004F7098">
      <w:pPr>
        <w:pStyle w:val="FootnoteText"/>
        <w:ind w:right="-285"/>
      </w:pPr>
      <w:r w:rsidRPr="00F355D9">
        <w:rPr>
          <w:rStyle w:val="FootnoteReference"/>
        </w:rPr>
        <w:footnoteRef/>
      </w:r>
      <w:r w:rsidRPr="00253908">
        <w:t xml:space="preserve"> </w:t>
      </w:r>
      <w:r>
        <w:t xml:space="preserve">For </w:t>
      </w:r>
      <w:r w:rsidRPr="00253908">
        <w:t>tools</w:t>
      </w:r>
      <w:r>
        <w:t>, see: Service Design Tools. nd. Tools. URL:</w:t>
      </w:r>
      <w:r w:rsidRPr="00253908">
        <w:t xml:space="preserve"> </w:t>
      </w:r>
      <w:hyperlink r:id="rId20" w:history="1">
        <w:r w:rsidRPr="00253908">
          <w:rPr>
            <w:rStyle w:val="Hyperlink"/>
          </w:rPr>
          <w:t>servicedesigntools.org/tools</w:t>
        </w:r>
      </w:hyperlink>
      <w:r>
        <w:rPr>
          <w:rStyle w:val="Hyperlink"/>
          <w:color w:val="000000"/>
          <w:u w:val="none"/>
        </w:rPr>
        <w:t xml:space="preserve"> </w:t>
      </w:r>
      <w:r>
        <w:t xml:space="preserve">(accessed 16 September 2022); </w:t>
      </w:r>
      <w:r>
        <w:rPr>
          <w:rStyle w:val="Hyperlink"/>
          <w:color w:val="000000"/>
          <w:u w:val="none"/>
        </w:rPr>
        <w:t xml:space="preserve">and </w:t>
      </w:r>
      <w:r w:rsidRPr="00253908">
        <w:t>Health Quality &amp; Safety Commission</w:t>
      </w:r>
      <w:r>
        <w:t>.</w:t>
      </w:r>
      <w:r w:rsidRPr="00253908">
        <w:t xml:space="preserve"> </w:t>
      </w:r>
      <w:r>
        <w:t xml:space="preserve">nd. </w:t>
      </w:r>
      <w:r w:rsidRPr="00253908">
        <w:t>Partners in Care</w:t>
      </w:r>
      <w:r>
        <w:t>. URL:</w:t>
      </w:r>
      <w:r w:rsidRPr="00253908">
        <w:t xml:space="preserve"> </w:t>
      </w:r>
      <w:hyperlink r:id="rId21" w:history="1">
        <w:r w:rsidRPr="00253908">
          <w:rPr>
            <w:rStyle w:val="Hyperlink"/>
          </w:rPr>
          <w:t>hqsc.govt.nz/our-programmes/partners-in-care/</w:t>
        </w:r>
      </w:hyperlink>
      <w:r>
        <w:t xml:space="preserve"> (accessed 16 September 2022), which includes</w:t>
      </w:r>
      <w:r w:rsidRPr="00253908">
        <w:t xml:space="preserve"> co-design tools</w:t>
      </w:r>
      <w:r w:rsidR="001D091F">
        <w:t>.</w:t>
      </w:r>
    </w:p>
  </w:footnote>
  <w:footnote w:id="31">
    <w:p w14:paraId="39A41D65" w14:textId="64C3AAF3" w:rsidR="00DC0F08" w:rsidRDefault="00DC0F08" w:rsidP="006839AD">
      <w:pPr>
        <w:pStyle w:val="FootnoteText"/>
        <w:ind w:right="-285"/>
      </w:pPr>
      <w:r>
        <w:rPr>
          <w:rStyle w:val="FootnoteReference"/>
        </w:rPr>
        <w:footnoteRef/>
      </w:r>
      <w:r>
        <w:t xml:space="preserve"> </w:t>
      </w:r>
      <w:r w:rsidRPr="00E34941">
        <w:t xml:space="preserve">See </w:t>
      </w:r>
      <w:r>
        <w:t>The</w:t>
      </w:r>
      <w:r w:rsidRPr="00E34941">
        <w:t xml:space="preserve"> Treasury</w:t>
      </w:r>
      <w:r>
        <w:t>’s</w:t>
      </w:r>
      <w:r w:rsidRPr="00E34941">
        <w:t xml:space="preserve"> guide to social cost</w:t>
      </w:r>
      <w:r w:rsidRPr="00E16EB7">
        <w:rPr>
          <w:color w:val="auto"/>
        </w:rPr>
        <w:t>–</w:t>
      </w:r>
      <w:r w:rsidRPr="00E34941">
        <w:t>benefit analysis</w:t>
      </w:r>
      <w:r>
        <w:t xml:space="preserve"> (The Treasury 2015)</w:t>
      </w:r>
      <w:r w:rsidRPr="00E34941">
        <w:t>.</w:t>
      </w:r>
      <w:r>
        <w:t xml:space="preserve"> </w:t>
      </w:r>
      <w:r w:rsidRPr="00E34941">
        <w:t>Commissioners can use Treasury’s CBA</w:t>
      </w:r>
      <w:r>
        <w:t>x</w:t>
      </w:r>
      <w:r w:rsidRPr="00E34941">
        <w:t xml:space="preserve"> tool (required when preparing Budget </w:t>
      </w:r>
      <w:r>
        <w:t>b</w:t>
      </w:r>
      <w:r w:rsidRPr="00E34941">
        <w:t>ids) to monetise impacts and provide return on investment analysis</w:t>
      </w:r>
      <w:r>
        <w:t xml:space="preserve">. See: The Treasury. 2021. CBAx spreadsheet model. URL: </w:t>
      </w:r>
      <w:hyperlink r:id="rId22" w:history="1">
        <w:r>
          <w:rPr>
            <w:rStyle w:val="Hyperlink"/>
          </w:rPr>
          <w:t>treasury.govt.nz/publications/guide/cbax-spreadsheet-model</w:t>
        </w:r>
      </w:hyperlink>
      <w:r>
        <w:t xml:space="preserve"> (accessed 16 September 2022).</w:t>
      </w:r>
    </w:p>
  </w:footnote>
  <w:footnote w:id="32">
    <w:p w14:paraId="68088BAD" w14:textId="04EE6DC1" w:rsidR="00DC0F08" w:rsidRPr="00BA04BB" w:rsidRDefault="00DC0F08" w:rsidP="006839AD">
      <w:pPr>
        <w:pStyle w:val="FootnoteText"/>
        <w:ind w:right="-285"/>
      </w:pPr>
      <w:r>
        <w:rPr>
          <w:rStyle w:val="FootnoteReference"/>
        </w:rPr>
        <w:footnoteRef/>
      </w:r>
      <w:r>
        <w:t xml:space="preserve"> </w:t>
      </w:r>
      <w:r w:rsidRPr="00463D4D">
        <w:rPr>
          <w:szCs w:val="18"/>
        </w:rPr>
        <w:t xml:space="preserve">See </w:t>
      </w:r>
      <w:r>
        <w:rPr>
          <w:szCs w:val="18"/>
        </w:rPr>
        <w:t>The</w:t>
      </w:r>
      <w:r w:rsidRPr="00463D4D">
        <w:rPr>
          <w:szCs w:val="18"/>
        </w:rPr>
        <w:t xml:space="preserve"> Treasury’s Better Business Cases (BBC) resource page. Government agencies must use </w:t>
      </w:r>
      <w:r>
        <w:rPr>
          <w:szCs w:val="18"/>
        </w:rPr>
        <w:t xml:space="preserve">The </w:t>
      </w:r>
      <w:r w:rsidRPr="00463D4D">
        <w:rPr>
          <w:rFonts w:asciiTheme="minorHAnsi" w:hAnsiTheme="minorHAnsi"/>
          <w:szCs w:val="18"/>
          <w:lang w:eastAsia="en-NZ"/>
        </w:rPr>
        <w:t xml:space="preserve">Treasury’s BBC templates for all </w:t>
      </w:r>
      <w:r w:rsidRPr="00463D4D">
        <w:rPr>
          <w:rFonts w:asciiTheme="minorHAnsi" w:hAnsiTheme="minorHAnsi"/>
          <w:b/>
          <w:bCs w:val="0"/>
          <w:szCs w:val="18"/>
          <w:lang w:eastAsia="en-NZ"/>
        </w:rPr>
        <w:t xml:space="preserve">significant </w:t>
      </w:r>
      <w:r w:rsidRPr="00BA04BB">
        <w:rPr>
          <w:rFonts w:asciiTheme="minorHAnsi" w:hAnsiTheme="minorHAnsi"/>
          <w:b/>
          <w:bCs w:val="0"/>
          <w:szCs w:val="18"/>
          <w:lang w:eastAsia="en-NZ"/>
        </w:rPr>
        <w:t>investment proposals</w:t>
      </w:r>
      <w:r w:rsidRPr="00BA04BB">
        <w:rPr>
          <w:rFonts w:asciiTheme="minorHAnsi" w:hAnsiTheme="minorHAnsi"/>
          <w:szCs w:val="18"/>
          <w:lang w:eastAsia="en-NZ"/>
        </w:rPr>
        <w:t xml:space="preserve"> </w:t>
      </w:r>
      <w:r>
        <w:rPr>
          <w:rFonts w:asciiTheme="minorHAnsi" w:hAnsiTheme="minorHAnsi" w:cstheme="minorHAnsi"/>
          <w:szCs w:val="18"/>
          <w:lang w:eastAsia="en-NZ"/>
        </w:rPr>
        <w:t>—</w:t>
      </w:r>
      <w:r w:rsidRPr="00BA04BB">
        <w:rPr>
          <w:rFonts w:asciiTheme="minorHAnsi" w:hAnsiTheme="minorHAnsi"/>
          <w:szCs w:val="18"/>
          <w:lang w:eastAsia="en-NZ"/>
        </w:rPr>
        <w:t xml:space="preserve"> defined mainly around risk, level of investment and Cabinet or </w:t>
      </w:r>
      <w:r>
        <w:rPr>
          <w:rFonts w:asciiTheme="minorHAnsi" w:hAnsiTheme="minorHAnsi"/>
          <w:szCs w:val="18"/>
          <w:lang w:eastAsia="en-NZ"/>
        </w:rPr>
        <w:t>m</w:t>
      </w:r>
      <w:r w:rsidRPr="00BA04BB">
        <w:rPr>
          <w:rFonts w:asciiTheme="minorHAnsi" w:hAnsiTheme="minorHAnsi"/>
          <w:szCs w:val="18"/>
          <w:lang w:eastAsia="en-NZ"/>
        </w:rPr>
        <w:t xml:space="preserve">inisterial approval. They must also use the BBC template for any significant innovation or non-traditional approaches to procurement or alternative financing arrangements, even if funded from agency baselines and balance sheets. See Cabinet Office circular </w:t>
      </w:r>
      <w:r w:rsidRPr="00BA04BB">
        <w:rPr>
          <w:rFonts w:asciiTheme="minorHAnsi" w:hAnsiTheme="minorHAnsi"/>
          <w:kern w:val="36"/>
          <w:szCs w:val="18"/>
          <w:lang w:eastAsia="en-NZ"/>
        </w:rPr>
        <w:t>CO (19) 6: Investment Management and Asset Performance in the State Services.</w:t>
      </w:r>
      <w:r>
        <w:rPr>
          <w:rFonts w:asciiTheme="minorHAnsi" w:hAnsiTheme="minorHAnsi"/>
          <w:kern w:val="36"/>
          <w:szCs w:val="18"/>
          <w:lang w:eastAsia="en-NZ"/>
        </w:rPr>
        <w:t xml:space="preserve"> URL </w:t>
      </w:r>
      <w:hyperlink r:id="rId23" w:history="1">
        <w:r w:rsidRPr="00FD695F">
          <w:rPr>
            <w:rStyle w:val="Hyperlink"/>
            <w:rFonts w:asciiTheme="minorHAnsi" w:hAnsiTheme="minorHAnsi"/>
            <w:kern w:val="36"/>
            <w:szCs w:val="18"/>
            <w:lang w:eastAsia="en-NZ"/>
          </w:rPr>
          <w:t>https://www.treasury.govt.nz/information-and-services/state-sector-leadership/investment-management/better-business-cases/guidance</w:t>
        </w:r>
      </w:hyperlink>
      <w:r>
        <w:rPr>
          <w:rFonts w:asciiTheme="minorHAnsi" w:hAnsiTheme="minorHAnsi"/>
          <w:kern w:val="36"/>
          <w:szCs w:val="18"/>
          <w:lang w:eastAsia="en-NZ"/>
        </w:rPr>
        <w:t xml:space="preserve"> (accessed 20 September 2022).</w:t>
      </w:r>
    </w:p>
  </w:footnote>
  <w:footnote w:id="33">
    <w:p w14:paraId="73D2EC9F" w14:textId="1DF62F28" w:rsidR="00DC0F08" w:rsidRPr="00DC4111" w:rsidRDefault="00DC0F08" w:rsidP="004F7098">
      <w:pPr>
        <w:pStyle w:val="FootnoteText"/>
        <w:ind w:right="-285"/>
      </w:pPr>
      <w:r>
        <w:rPr>
          <w:rStyle w:val="FootnoteReference"/>
        </w:rPr>
        <w:footnoteRef/>
      </w:r>
      <w:r>
        <w:t xml:space="preserve"> Ministry of Business, Innovation and Employment. Government Procurement principles. URL: </w:t>
      </w:r>
      <w:hyperlink r:id="rId24" w:history="1">
        <w:r w:rsidRPr="00EC55B6">
          <w:rPr>
            <w:rStyle w:val="Hyperlink"/>
          </w:rPr>
          <w:t>procurement.govt.nz/procurement/principles-charter-and-rules/government-procurement-principles</w:t>
        </w:r>
      </w:hyperlink>
      <w:r>
        <w:t xml:space="preserve"> (accessed 13 September 2022).</w:t>
      </w:r>
    </w:p>
  </w:footnote>
  <w:footnote w:id="34">
    <w:p w14:paraId="49801917" w14:textId="6023AD40" w:rsidR="00DC0F08" w:rsidRPr="00EC55B6" w:rsidRDefault="00DC0F08" w:rsidP="004F7098">
      <w:pPr>
        <w:pStyle w:val="FootnoteText"/>
        <w:ind w:right="-285"/>
        <w:rPr>
          <w:lang w:val="en-US"/>
        </w:rPr>
      </w:pPr>
      <w:r>
        <w:rPr>
          <w:rStyle w:val="FootnoteReference"/>
        </w:rPr>
        <w:footnoteRef/>
      </w:r>
      <w:r>
        <w:t xml:space="preserve"> URL: </w:t>
      </w:r>
      <w:hyperlink r:id="rId25" w:history="1">
        <w:r w:rsidRPr="0052463A">
          <w:rPr>
            <w:rStyle w:val="Hyperlink"/>
          </w:rPr>
          <w:t>procurement.govt.nz/procurement/</w:t>
        </w:r>
      </w:hyperlink>
      <w:r>
        <w:t xml:space="preserve"> (accessed 13 September 2022).</w:t>
      </w:r>
    </w:p>
  </w:footnote>
  <w:footnote w:id="35">
    <w:p w14:paraId="7C164B0A" w14:textId="6919D2DF" w:rsidR="00DC0F08" w:rsidRPr="00EC55B6" w:rsidRDefault="00DC0F08">
      <w:pPr>
        <w:pStyle w:val="FootnoteText"/>
        <w:rPr>
          <w:lang w:val="en-US"/>
        </w:rPr>
      </w:pPr>
      <w:r>
        <w:rPr>
          <w:rStyle w:val="FootnoteReference"/>
        </w:rPr>
        <w:footnoteRef/>
      </w:r>
      <w:r>
        <w:t xml:space="preserve"> </w:t>
      </w:r>
      <w:r w:rsidRPr="00EC55B6">
        <w:t>See the case study for more details</w:t>
      </w:r>
      <w:r>
        <w:t xml:space="preserve">: </w:t>
      </w:r>
      <w:r w:rsidRPr="006A06A9">
        <w:t>health.govt.nz</w:t>
      </w:r>
      <w:r>
        <w:t>.</w:t>
      </w:r>
    </w:p>
  </w:footnote>
  <w:footnote w:id="36">
    <w:p w14:paraId="55FEA890" w14:textId="0585DD3F" w:rsidR="00DC0F08" w:rsidRPr="00BA04BB" w:rsidRDefault="00DC0F08" w:rsidP="004F7098">
      <w:pPr>
        <w:pStyle w:val="FootnoteText"/>
        <w:ind w:right="-143"/>
        <w:rPr>
          <w:szCs w:val="18"/>
        </w:rPr>
      </w:pPr>
      <w:r w:rsidRPr="00BA04BB">
        <w:rPr>
          <w:rStyle w:val="FootnoteReference"/>
          <w:szCs w:val="18"/>
        </w:rPr>
        <w:footnoteRef/>
      </w:r>
      <w:r w:rsidRPr="00BA04BB">
        <w:rPr>
          <w:szCs w:val="18"/>
        </w:rPr>
        <w:t xml:space="preserve"> </w:t>
      </w:r>
      <w:r w:rsidRPr="00466E1F">
        <w:t>In Mana Whaikaha and some parts of Whānau Ora service delivery, service users and whānau have flexible, individualised budgets and exercise choice and control over how the</w:t>
      </w:r>
      <w:r>
        <w:t>y</w:t>
      </w:r>
      <w:r w:rsidRPr="00466E1F">
        <w:t xml:space="preserve"> use</w:t>
      </w:r>
      <w:r>
        <w:t xml:space="preserve"> these</w:t>
      </w:r>
      <w:r w:rsidRPr="00466E1F">
        <w:t xml:space="preserve">. See the case studies on Mana Whaikaha and on Te Pūtahitanga o Te Waipounamu’s approach to direct commissioning for people and </w:t>
      </w:r>
      <w:r w:rsidR="00327C4A">
        <w:t>whanau.</w:t>
      </w:r>
      <w:r>
        <w:t xml:space="preserve"> </w:t>
      </w:r>
      <w:r w:rsidR="00A02B45">
        <w:t>URL:</w:t>
      </w:r>
      <w:r w:rsidR="004A580B">
        <w:t xml:space="preserve"> </w:t>
      </w:r>
      <w:hyperlink r:id="rId26" w:history="1">
        <w:r w:rsidR="00A02B45" w:rsidRPr="004A580B">
          <w:rPr>
            <w:rStyle w:val="Hyperlink"/>
          </w:rPr>
          <w:t>health.govt.nz/publication/commissioning-pae-ora-healthy-futures-2022</w:t>
        </w:r>
      </w:hyperlink>
    </w:p>
  </w:footnote>
  <w:footnote w:id="37">
    <w:p w14:paraId="25957A59" w14:textId="4D94C750" w:rsidR="00DC0F08" w:rsidRPr="00896951" w:rsidRDefault="00DC0F08" w:rsidP="004F7098">
      <w:pPr>
        <w:pStyle w:val="FootnoteText"/>
        <w:ind w:right="-143"/>
      </w:pPr>
      <w:r w:rsidRPr="00BA04BB">
        <w:rPr>
          <w:rStyle w:val="FootnoteReference"/>
          <w:szCs w:val="18"/>
        </w:rPr>
        <w:footnoteRef/>
      </w:r>
      <w:r w:rsidRPr="00BA04BB">
        <w:rPr>
          <w:szCs w:val="18"/>
        </w:rPr>
        <w:t xml:space="preserve"> This approach is used in the quota refugee health programme and the joint venture </w:t>
      </w:r>
      <w:r>
        <w:rPr>
          <w:szCs w:val="18"/>
        </w:rPr>
        <w:t>addressing</w:t>
      </w:r>
      <w:r w:rsidRPr="00BA04BB">
        <w:rPr>
          <w:szCs w:val="18"/>
        </w:rPr>
        <w:t xml:space="preserve"> family violence and </w:t>
      </w:r>
      <w:r w:rsidRPr="00B25FF0">
        <w:t>sexual violence.</w:t>
      </w:r>
    </w:p>
  </w:footnote>
  <w:footnote w:id="38">
    <w:p w14:paraId="6D65047F" w14:textId="73830666" w:rsidR="00DC0F08" w:rsidRPr="00991479" w:rsidRDefault="00DC0F08" w:rsidP="00EF1195">
      <w:pPr>
        <w:pStyle w:val="FootnoteText"/>
        <w:rPr>
          <w:lang w:val="mi-NZ"/>
        </w:rPr>
      </w:pPr>
      <w:r>
        <w:rPr>
          <w:rStyle w:val="FootnoteReference"/>
        </w:rPr>
        <w:footnoteRef/>
      </w:r>
      <w:r w:rsidRPr="00EB2609">
        <w:t xml:space="preserve"> </w:t>
      </w:r>
      <w:r w:rsidRPr="008866B9">
        <w:t>PHARMAC (2019) notes that the way health systems are designed, operated and financed acts as a powerful determinant of health.</w:t>
      </w:r>
    </w:p>
  </w:footnote>
  <w:footnote w:id="39">
    <w:p w14:paraId="6249EAE5" w14:textId="3BD29C72" w:rsidR="00DC0F08" w:rsidRPr="00991692" w:rsidRDefault="00DC0F08" w:rsidP="004F7098">
      <w:pPr>
        <w:pStyle w:val="FootnoteText"/>
        <w:ind w:right="-285"/>
        <w:rPr>
          <w:szCs w:val="18"/>
        </w:rPr>
      </w:pPr>
      <w:r w:rsidRPr="00991692">
        <w:rPr>
          <w:rStyle w:val="FootnoteReference"/>
          <w:rFonts w:eastAsiaTheme="majorEastAsia"/>
          <w:szCs w:val="18"/>
        </w:rPr>
        <w:footnoteRef/>
      </w:r>
      <w:r w:rsidRPr="00991692">
        <w:rPr>
          <w:szCs w:val="18"/>
        </w:rPr>
        <w:t xml:space="preserve"> Primary lead maternity care services use this approach. There are capitated modules for each trimester of the pregnancy,</w:t>
      </w:r>
      <w:r>
        <w:rPr>
          <w:szCs w:val="18"/>
        </w:rPr>
        <w:t xml:space="preserve"> and then for</w:t>
      </w:r>
      <w:r w:rsidRPr="00991692">
        <w:rPr>
          <w:szCs w:val="18"/>
        </w:rPr>
        <w:t xml:space="preserve"> labour and birth and postnatal care, with adjustments for rurality or different clinical situations. There is also fee-for-service for some additional services. Further evolution of this approach is under discussion.</w:t>
      </w:r>
    </w:p>
  </w:footnote>
  <w:footnote w:id="40">
    <w:p w14:paraId="48C53679" w14:textId="77777777" w:rsidR="00DC0F08" w:rsidRDefault="00DC0F08" w:rsidP="004F7098">
      <w:pPr>
        <w:pStyle w:val="FootnoteText"/>
        <w:ind w:right="-285"/>
      </w:pPr>
      <w:r w:rsidRPr="00991692">
        <w:rPr>
          <w:rStyle w:val="FootnoteReference"/>
          <w:rFonts w:eastAsiaTheme="majorEastAsia"/>
          <w:szCs w:val="18"/>
        </w:rPr>
        <w:footnoteRef/>
      </w:r>
      <w:r w:rsidRPr="00991692">
        <w:rPr>
          <w:szCs w:val="18"/>
        </w:rPr>
        <w:t xml:space="preserve"> Dental care with NGO dentists for teenagers uses this approach. The capitated module covers basic care and provides funding and incentives for prevent</w:t>
      </w:r>
      <w:r>
        <w:rPr>
          <w:szCs w:val="18"/>
        </w:rPr>
        <w:t>at</w:t>
      </w:r>
      <w:r w:rsidRPr="00991692">
        <w:rPr>
          <w:szCs w:val="18"/>
        </w:rPr>
        <w:t>ive services. For less common complex treatments, fee-for-service is paid. This system was created to balance the need to fund prevent</w:t>
      </w:r>
      <w:r>
        <w:rPr>
          <w:szCs w:val="18"/>
        </w:rPr>
        <w:t>at</w:t>
      </w:r>
      <w:r w:rsidRPr="00991692">
        <w:rPr>
          <w:szCs w:val="18"/>
        </w:rPr>
        <w:t>ive care with the</w:t>
      </w:r>
      <w:r>
        <w:rPr>
          <w:szCs w:val="18"/>
        </w:rPr>
        <w:t xml:space="preserve"> nature of the dentistry community, which mainly consists of small and medium enterprises</w:t>
      </w:r>
      <w:r w:rsidRPr="00991692">
        <w:rPr>
          <w:szCs w:val="18"/>
        </w:rPr>
        <w:t>.</w:t>
      </w:r>
    </w:p>
  </w:footnote>
  <w:footnote w:id="41">
    <w:p w14:paraId="37EEBD98" w14:textId="41CC950B" w:rsidR="00DC0F08" w:rsidRDefault="00DC0F08" w:rsidP="006839AD">
      <w:pPr>
        <w:pStyle w:val="FootnoteText"/>
        <w:ind w:right="-285"/>
      </w:pPr>
      <w:r>
        <w:rPr>
          <w:rStyle w:val="FootnoteReference"/>
        </w:rPr>
        <w:footnoteRef/>
      </w:r>
      <w:r>
        <w:t xml:space="preserve"> </w:t>
      </w:r>
      <w:r w:rsidRPr="004F7098">
        <w:rPr>
          <w:rFonts w:cstheme="minorHAnsi"/>
          <w:kern w:val="24"/>
          <w:szCs w:val="18"/>
          <w:lang w:eastAsia="en-NZ"/>
        </w:rPr>
        <w:t xml:space="preserve">The </w:t>
      </w:r>
      <w:r w:rsidRPr="00A26AFD">
        <w:rPr>
          <w:rFonts w:cstheme="minorHAnsi"/>
          <w:kern w:val="24"/>
          <w:szCs w:val="18"/>
          <w:lang w:eastAsia="en-NZ"/>
        </w:rPr>
        <w:t>National Telehealth</w:t>
      </w:r>
      <w:r w:rsidRPr="004F7098">
        <w:rPr>
          <w:rFonts w:cstheme="minorHAnsi"/>
          <w:b/>
          <w:bCs w:val="0"/>
          <w:kern w:val="24"/>
          <w:szCs w:val="18"/>
          <w:lang w:eastAsia="en-NZ"/>
        </w:rPr>
        <w:t xml:space="preserve"> </w:t>
      </w:r>
      <w:r w:rsidRPr="004F7098">
        <w:rPr>
          <w:rFonts w:cstheme="minorHAnsi"/>
          <w:kern w:val="24"/>
          <w:szCs w:val="18"/>
          <w:lang w:eastAsia="en-NZ"/>
        </w:rPr>
        <w:t>service case study looks at the long-term cross-sector contract used to create a flexible telehealth environment that can evolve and respond to new opportunities and changing contexts (eg, COVID</w:t>
      </w:r>
      <w:r>
        <w:rPr>
          <w:rFonts w:cstheme="minorHAnsi"/>
          <w:kern w:val="24"/>
          <w:szCs w:val="18"/>
          <w:lang w:eastAsia="en-NZ"/>
        </w:rPr>
        <w:t>-</w:t>
      </w:r>
      <w:r w:rsidRPr="004F7098">
        <w:rPr>
          <w:rFonts w:cstheme="minorHAnsi"/>
          <w:kern w:val="24"/>
          <w:szCs w:val="18"/>
          <w:lang w:eastAsia="en-NZ"/>
        </w:rPr>
        <w:t>19)</w:t>
      </w:r>
      <w:r w:rsidR="00327C4A">
        <w:rPr>
          <w:rFonts w:cstheme="minorHAnsi"/>
          <w:kern w:val="24"/>
          <w:szCs w:val="18"/>
          <w:lang w:eastAsia="en-NZ"/>
        </w:rPr>
        <w:t>.</w:t>
      </w:r>
      <w:r>
        <w:rPr>
          <w:rFonts w:cstheme="minorHAnsi"/>
          <w:kern w:val="24"/>
          <w:szCs w:val="18"/>
          <w:lang w:eastAsia="en-NZ"/>
        </w:rPr>
        <w:t xml:space="preserve"> </w:t>
      </w:r>
      <w:r w:rsidR="00327C4A">
        <w:t xml:space="preserve">URL: </w:t>
      </w:r>
      <w:hyperlink r:id="rId27" w:history="1">
        <w:r w:rsidR="00327C4A" w:rsidRPr="004A580B">
          <w:rPr>
            <w:rStyle w:val="Hyperlink"/>
          </w:rPr>
          <w:t>health.govt.nz/publication/commissioning-pae-ora-healthy-futures-2022</w:t>
        </w:r>
      </w:hyperlink>
      <w:r w:rsidR="002E5E47">
        <w:rPr>
          <w:rStyle w:val="Hyperlink"/>
        </w:rPr>
        <w:t xml:space="preserve"> </w:t>
      </w:r>
    </w:p>
  </w:footnote>
  <w:footnote w:id="42">
    <w:p w14:paraId="5CEC3AEC" w14:textId="77777777" w:rsidR="00DC0F08" w:rsidRPr="00204040" w:rsidRDefault="00DC0F08" w:rsidP="006839AD">
      <w:pPr>
        <w:pStyle w:val="FootnoteText"/>
        <w:ind w:right="-285"/>
      </w:pPr>
      <w:r>
        <w:rPr>
          <w:rStyle w:val="FootnoteReference"/>
        </w:rPr>
        <w:footnoteRef/>
      </w:r>
      <w:r>
        <w:t xml:space="preserve"> </w:t>
      </w:r>
      <w:r w:rsidRPr="00853F5B">
        <w:rPr>
          <w:szCs w:val="18"/>
        </w:rPr>
        <w:t>Commissioning agencies need to plan for both sustainable and equitable funding.</w:t>
      </w:r>
    </w:p>
  </w:footnote>
  <w:footnote w:id="43">
    <w:p w14:paraId="169048E0" w14:textId="5A3B25D3" w:rsidR="00DC0F08" w:rsidRDefault="00DC0F08">
      <w:pPr>
        <w:pStyle w:val="FootnoteText"/>
      </w:pPr>
      <w:r>
        <w:rPr>
          <w:rStyle w:val="FootnoteReference"/>
        </w:rPr>
        <w:footnoteRef/>
      </w:r>
      <w:r>
        <w:t xml:space="preserve"> URL </w:t>
      </w:r>
      <w:hyperlink r:id="rId28" w:history="1">
        <w:r w:rsidRPr="00FD695F">
          <w:rPr>
            <w:rStyle w:val="Hyperlink"/>
          </w:rPr>
          <w:t>oag.parliament.nz/2009/rest-homes</w:t>
        </w:r>
      </w:hyperlink>
      <w:r>
        <w:t xml:space="preserve"> (accessed 20 September 2022).</w:t>
      </w:r>
    </w:p>
  </w:footnote>
  <w:footnote w:id="44">
    <w:p w14:paraId="260B5256" w14:textId="1FBCE64B" w:rsidR="00DC0F08" w:rsidRPr="00784905" w:rsidRDefault="00DC0F08" w:rsidP="006839AD">
      <w:pPr>
        <w:pStyle w:val="FootnoteText"/>
        <w:ind w:right="-285"/>
        <w:rPr>
          <w:lang w:val="en-US"/>
        </w:rPr>
      </w:pPr>
      <w:r>
        <w:rPr>
          <w:rStyle w:val="FootnoteReference"/>
        </w:rPr>
        <w:footnoteRef/>
      </w:r>
      <w:r>
        <w:t xml:space="preserve"> </w:t>
      </w:r>
      <w:r w:rsidRPr="00784905">
        <w:t xml:space="preserve">Analysis might show that a service is more effective for some groups or when delivered in different ways, eg, through home-based care.  </w:t>
      </w:r>
    </w:p>
  </w:footnote>
  <w:footnote w:id="45">
    <w:p w14:paraId="5EFC7A4C" w14:textId="6B086CF5" w:rsidR="00DC0F08" w:rsidRPr="00784905" w:rsidRDefault="00DC0F08">
      <w:pPr>
        <w:pStyle w:val="FootnoteText"/>
        <w:rPr>
          <w:lang w:val="en-US"/>
        </w:rPr>
      </w:pPr>
      <w:r>
        <w:rPr>
          <w:rStyle w:val="FootnoteReference"/>
        </w:rPr>
        <w:footnoteRef/>
      </w:r>
      <w:r>
        <w:t xml:space="preserve"> National Audit Office. nd. </w:t>
      </w:r>
      <w:r w:rsidRPr="008554F1">
        <w:rPr>
          <w:lang w:eastAsia="en-NZ"/>
        </w:rPr>
        <w:t>How to decommission public services delivered by third sector organisations and maintain value for money</w:t>
      </w:r>
      <w:r>
        <w:rPr>
          <w:lang w:eastAsia="en-NZ"/>
        </w:rPr>
        <w:t>. URL:</w:t>
      </w:r>
      <w:r>
        <w:t xml:space="preserve"> </w:t>
      </w:r>
      <w:hyperlink r:id="rId29" w:history="1">
        <w:r w:rsidRPr="00D60D89">
          <w:rPr>
            <w:rStyle w:val="Hyperlink"/>
          </w:rPr>
          <w:t>nao.org.uk/decommissioning</w:t>
        </w:r>
      </w:hyperlink>
      <w:r>
        <w:t xml:space="preserve"> (accessed 14 September 2022).</w:t>
      </w:r>
    </w:p>
  </w:footnote>
  <w:footnote w:id="46">
    <w:p w14:paraId="78334947" w14:textId="77777777" w:rsidR="00DC0F08" w:rsidRPr="006F43F2" w:rsidRDefault="00DC0F08" w:rsidP="004E673D">
      <w:pPr>
        <w:pStyle w:val="FootnoteText"/>
      </w:pPr>
      <w:r>
        <w:rPr>
          <w:rStyle w:val="FootnoteReference"/>
        </w:rPr>
        <w:footnoteRef/>
      </w:r>
      <w:r>
        <w:t xml:space="preserve"> Based on estimates from the United Kingdom</w:t>
      </w:r>
      <w:r>
        <w:rPr>
          <w:rFonts w:asciiTheme="minorHAnsi" w:hAnsiTheme="minorHAnsi" w:cstheme="minorHAnsi"/>
          <w:color w:val="2F5496" w:themeColor="accent1" w:themeShade="BF"/>
          <w:szCs w:val="22"/>
          <w:lang w:val="en-AU"/>
        </w:rPr>
        <w:t xml:space="preserve"> </w:t>
      </w:r>
      <w:r w:rsidRPr="002F0BA9">
        <w:t>(Harris et al 2015).</w:t>
      </w:r>
    </w:p>
  </w:footnote>
  <w:footnote w:id="47">
    <w:p w14:paraId="2FE64242" w14:textId="638CD0BC" w:rsidR="00DC0F08" w:rsidRDefault="00DC0F08" w:rsidP="008A51FB">
      <w:pPr>
        <w:pStyle w:val="FootnoteText"/>
      </w:pPr>
      <w:r>
        <w:rPr>
          <w:rStyle w:val="FootnoteReference"/>
        </w:rPr>
        <w:footnoteRef/>
      </w:r>
      <w:r>
        <w:t xml:space="preserve"> </w:t>
      </w:r>
      <w:r w:rsidRPr="00B81D7F">
        <w:t>For example, if an aim is to demonstrate the impact and/or social cost–benefit</w:t>
      </w:r>
      <w:r>
        <w:t xml:space="preserve"> of an</w:t>
      </w:r>
      <w:r w:rsidRPr="00B81D7F">
        <w:t xml:space="preserve"> initiative</w:t>
      </w:r>
      <w:r>
        <w:t>, providers</w:t>
      </w:r>
      <w:r w:rsidRPr="00B81D7F">
        <w:t xml:space="preserve"> need </w:t>
      </w:r>
      <w:r>
        <w:t>to</w:t>
      </w:r>
      <w:r w:rsidRPr="00B81D7F">
        <w:t xml:space="preserve"> deliver</w:t>
      </w:r>
      <w:r>
        <w:t xml:space="preserve"> it</w:t>
      </w:r>
      <w:r w:rsidRPr="00B81D7F">
        <w:t xml:space="preserve"> with enough intensity and/or for long enough to a sufficient number of people to allow meaningful comparison (either </w:t>
      </w:r>
      <w:r>
        <w:t xml:space="preserve">of </w:t>
      </w:r>
      <w:r w:rsidRPr="00B81D7F">
        <w:t>the same people before and after, or with matched comparison groups or propensity analysis). T</w:t>
      </w:r>
      <w:r>
        <w:t xml:space="preserve">hey </w:t>
      </w:r>
      <w:r w:rsidRPr="00B81D7F">
        <w:t>also need</w:t>
      </w:r>
      <w:r>
        <w:t xml:space="preserve"> time</w:t>
      </w:r>
      <w:r w:rsidRPr="00B81D7F">
        <w:t xml:space="preserve"> to build </w:t>
      </w:r>
      <w:r>
        <w:t xml:space="preserve">up to </w:t>
      </w:r>
      <w:r w:rsidRPr="00B81D7F">
        <w:t xml:space="preserve">the </w:t>
      </w:r>
      <w:r>
        <w:t xml:space="preserve">required </w:t>
      </w:r>
      <w:r w:rsidRPr="00B81D7F">
        <w:t>number</w:t>
      </w:r>
      <w:r>
        <w:t xml:space="preserve"> of people</w:t>
      </w:r>
      <w:r w:rsidRPr="00B81D7F">
        <w:t xml:space="preserve"> and achieve the outcomes intended.  </w:t>
      </w:r>
    </w:p>
  </w:footnote>
  <w:footnote w:id="48">
    <w:p w14:paraId="2F889FD7" w14:textId="6F83991C" w:rsidR="00DC0F08" w:rsidRPr="0022342D" w:rsidRDefault="00DC0F08" w:rsidP="006839AD">
      <w:pPr>
        <w:pStyle w:val="FootnoteText"/>
        <w:spacing w:line="0" w:lineRule="atLeast"/>
        <w:ind w:right="-285"/>
        <w:rPr>
          <w:rFonts w:asciiTheme="minorHAnsi" w:hAnsiTheme="minorHAnsi" w:cstheme="minorHAnsi"/>
          <w:szCs w:val="18"/>
        </w:rPr>
      </w:pPr>
      <w:r w:rsidRPr="0022342D">
        <w:rPr>
          <w:rStyle w:val="FootnoteReference"/>
          <w:rFonts w:asciiTheme="minorHAnsi" w:hAnsiTheme="minorHAnsi" w:cstheme="minorHAnsi"/>
          <w:szCs w:val="18"/>
        </w:rPr>
        <w:footnoteRef/>
      </w:r>
      <w:r w:rsidRPr="0022342D">
        <w:rPr>
          <w:rFonts w:asciiTheme="minorHAnsi" w:hAnsiTheme="minorHAnsi" w:cstheme="minorHAnsi"/>
          <w:szCs w:val="18"/>
        </w:rPr>
        <w:t xml:space="preserve"> </w:t>
      </w:r>
      <w:r w:rsidRPr="006839AD">
        <w:rPr>
          <w:color w:val="000000" w:themeColor="text1"/>
          <w:szCs w:val="18"/>
        </w:rPr>
        <w:t>Methods include using</w:t>
      </w:r>
      <w:r>
        <w:rPr>
          <w:color w:val="000000" w:themeColor="text1"/>
          <w:szCs w:val="18"/>
        </w:rPr>
        <w:t>:</w:t>
      </w:r>
    </w:p>
    <w:p w14:paraId="2768C7FC" w14:textId="704098F9" w:rsidR="00DC0F08" w:rsidRPr="004F7098" w:rsidRDefault="00DC0F08" w:rsidP="006839AD">
      <w:pPr>
        <w:pStyle w:val="ListBullet"/>
        <w:tabs>
          <w:tab w:val="clear" w:pos="360"/>
          <w:tab w:val="num" w:pos="426"/>
        </w:tabs>
        <w:spacing w:before="0" w:after="0" w:line="240" w:lineRule="auto"/>
        <w:ind w:left="1701" w:right="-285" w:hanging="141"/>
        <w:rPr>
          <w:color w:val="1E2229"/>
          <w:spacing w:val="-10"/>
          <w:sz w:val="18"/>
          <w:szCs w:val="18"/>
          <w:shd w:val="clear" w:color="auto" w:fill="FFFFFF"/>
        </w:rPr>
      </w:pPr>
      <w:r>
        <w:rPr>
          <w:color w:val="1E2229"/>
          <w:sz w:val="18"/>
          <w:szCs w:val="18"/>
        </w:rPr>
        <w:t>‘</w:t>
      </w:r>
      <w:r w:rsidRPr="009D240F">
        <w:rPr>
          <w:color w:val="1E2229"/>
          <w:sz w:val="18"/>
          <w:szCs w:val="18"/>
        </w:rPr>
        <w:t>theories of change</w:t>
      </w:r>
      <w:r>
        <w:rPr>
          <w:color w:val="1E2229"/>
          <w:sz w:val="18"/>
          <w:szCs w:val="18"/>
        </w:rPr>
        <w:t>’</w:t>
      </w:r>
      <w:r w:rsidRPr="009D240F">
        <w:rPr>
          <w:color w:val="1E2229"/>
          <w:sz w:val="18"/>
          <w:szCs w:val="18"/>
        </w:rPr>
        <w:t xml:space="preserve">, which set out </w:t>
      </w:r>
      <w:r w:rsidRPr="009D240F">
        <w:rPr>
          <w:b/>
          <w:bCs w:val="0"/>
          <w:color w:val="1E2229"/>
          <w:sz w:val="18"/>
          <w:szCs w:val="18"/>
          <w:shd w:val="clear" w:color="auto" w:fill="FFFFFF"/>
        </w:rPr>
        <w:t>how</w:t>
      </w:r>
      <w:r w:rsidRPr="009D240F">
        <w:rPr>
          <w:color w:val="1E2229"/>
          <w:sz w:val="18"/>
          <w:szCs w:val="18"/>
          <w:shd w:val="clear" w:color="auto" w:fill="FFFFFF"/>
        </w:rPr>
        <w:t xml:space="preserve"> and </w:t>
      </w:r>
      <w:r w:rsidRPr="009D240F">
        <w:rPr>
          <w:b/>
          <w:bCs w:val="0"/>
          <w:color w:val="1E2229"/>
          <w:sz w:val="18"/>
          <w:szCs w:val="18"/>
          <w:shd w:val="clear" w:color="auto" w:fill="FFFFFF"/>
        </w:rPr>
        <w:t>why</w:t>
      </w:r>
      <w:r w:rsidRPr="009D240F">
        <w:rPr>
          <w:color w:val="1E2229"/>
          <w:sz w:val="18"/>
          <w:szCs w:val="18"/>
          <w:shd w:val="clear" w:color="auto" w:fill="FFFFFF"/>
        </w:rPr>
        <w:t xml:space="preserve"> a desired change is expected to come about</w:t>
      </w:r>
      <w:r w:rsidRPr="004F7098">
        <w:rPr>
          <w:color w:val="1E2229"/>
          <w:spacing w:val="-10"/>
          <w:sz w:val="18"/>
          <w:szCs w:val="18"/>
          <w:shd w:val="clear" w:color="auto" w:fill="FFFFFF"/>
        </w:rPr>
        <w:t xml:space="preserve">. </w:t>
      </w:r>
      <w:r w:rsidRPr="009D240F">
        <w:rPr>
          <w:color w:val="1E2229"/>
          <w:sz w:val="18"/>
          <w:szCs w:val="18"/>
          <w:shd w:val="clear" w:color="auto" w:fill="FFFFFF"/>
        </w:rPr>
        <w:t>See</w:t>
      </w:r>
      <w:r w:rsidRPr="009D240F">
        <w:rPr>
          <w:color w:val="1E2229"/>
          <w:sz w:val="18"/>
          <w:szCs w:val="18"/>
        </w:rPr>
        <w:t xml:space="preserve"> </w:t>
      </w:r>
      <w:r>
        <w:rPr>
          <w:sz w:val="18"/>
          <w:szCs w:val="18"/>
        </w:rPr>
        <w:t xml:space="preserve">Evaluation Hub. nd. A theory of change. URL: </w:t>
      </w:r>
      <w:hyperlink r:id="rId30" w:history="1">
        <w:r w:rsidRPr="009D240F">
          <w:rPr>
            <w:rStyle w:val="Hyperlink"/>
            <w:color w:val="1E2229"/>
            <w:sz w:val="18"/>
            <w:szCs w:val="18"/>
            <w:u w:val="none"/>
            <w:shd w:val="clear" w:color="auto" w:fill="FFFFFF"/>
          </w:rPr>
          <w:t>evaluationhub.education.govt.nz/theory-of-change/a-theory-of-change/</w:t>
        </w:r>
      </w:hyperlink>
      <w:r>
        <w:rPr>
          <w:rStyle w:val="Hyperlink"/>
          <w:color w:val="1E2229"/>
          <w:sz w:val="18"/>
          <w:szCs w:val="18"/>
          <w:u w:val="none"/>
          <w:shd w:val="clear" w:color="auto" w:fill="FFFFFF"/>
        </w:rPr>
        <w:t xml:space="preserve"> (accessed 15 September 2022).</w:t>
      </w:r>
    </w:p>
    <w:p w14:paraId="79CCCFF5" w14:textId="348291C5" w:rsidR="00DC0F08" w:rsidRPr="004F7098" w:rsidRDefault="00DC0F08" w:rsidP="006839AD">
      <w:pPr>
        <w:pStyle w:val="ListBullet"/>
        <w:tabs>
          <w:tab w:val="clear" w:pos="360"/>
          <w:tab w:val="num" w:pos="426"/>
        </w:tabs>
        <w:spacing w:before="0" w:after="0" w:line="240" w:lineRule="auto"/>
        <w:ind w:left="1701" w:right="-285" w:hanging="141"/>
        <w:rPr>
          <w:sz w:val="18"/>
          <w:szCs w:val="18"/>
          <w:u w:val="single"/>
        </w:rPr>
      </w:pPr>
      <w:r>
        <w:rPr>
          <w:sz w:val="18"/>
          <w:szCs w:val="18"/>
        </w:rPr>
        <w:t>l</w:t>
      </w:r>
      <w:r w:rsidRPr="004F7098">
        <w:rPr>
          <w:sz w:val="18"/>
          <w:szCs w:val="18"/>
        </w:rPr>
        <w:t>ogic maps or intervention logics</w:t>
      </w:r>
      <w:r>
        <w:rPr>
          <w:sz w:val="18"/>
          <w:szCs w:val="18"/>
        </w:rPr>
        <w:t>.</w:t>
      </w:r>
      <w:r w:rsidRPr="004F7098">
        <w:rPr>
          <w:sz w:val="18"/>
          <w:szCs w:val="18"/>
        </w:rPr>
        <w:t xml:space="preserve"> </w:t>
      </w:r>
      <w:r>
        <w:rPr>
          <w:sz w:val="18"/>
          <w:szCs w:val="18"/>
        </w:rPr>
        <w:t>S</w:t>
      </w:r>
      <w:r w:rsidRPr="004F7098">
        <w:rPr>
          <w:sz w:val="18"/>
          <w:szCs w:val="18"/>
        </w:rPr>
        <w:t xml:space="preserve">ee </w:t>
      </w:r>
      <w:r>
        <w:rPr>
          <w:sz w:val="18"/>
          <w:szCs w:val="18"/>
        </w:rPr>
        <w:t>Ministry of Transport (2021).</w:t>
      </w:r>
    </w:p>
  </w:footnote>
  <w:footnote w:id="49">
    <w:p w14:paraId="4152D9CC" w14:textId="77777777" w:rsidR="00DC0F08" w:rsidRDefault="00DC0F08" w:rsidP="009D240F">
      <w:pPr>
        <w:pStyle w:val="FootnoteText"/>
        <w:spacing w:line="200" w:lineRule="exact"/>
      </w:pPr>
      <w:r>
        <w:rPr>
          <w:rStyle w:val="FootnoteReference"/>
        </w:rPr>
        <w:footnoteRef/>
      </w:r>
      <w:r>
        <w:t xml:space="preserve"> </w:t>
      </w:r>
      <w:r w:rsidRPr="004317E3">
        <w:t>Among the skills needed are skills in Te Tiriti o Waitangi, equity and needs analysis, co-design, service design, prioritisation, procurement and contracting, risk management, monitoring and evaluation, continuous improvement, decommissioning and change management.</w:t>
      </w:r>
    </w:p>
  </w:footnote>
  <w:footnote w:id="50">
    <w:p w14:paraId="5E72F0CC" w14:textId="5018E44F" w:rsidR="00DC0F08" w:rsidRPr="0008530E" w:rsidRDefault="00DC0F08" w:rsidP="006839AD">
      <w:pPr>
        <w:pStyle w:val="FootnoteText"/>
        <w:ind w:right="-285"/>
        <w:rPr>
          <w:lang w:val="en-US"/>
        </w:rPr>
      </w:pPr>
      <w:r>
        <w:rPr>
          <w:rStyle w:val="FootnoteReference"/>
        </w:rPr>
        <w:footnoteRef/>
      </w:r>
      <w:r>
        <w:t xml:space="preserve"> Oranga Tamariki. nd. Ng</w:t>
      </w:r>
      <w:r>
        <w:rPr>
          <w:rFonts w:ascii="Calibri" w:hAnsi="Calibri" w:cs="Calibri"/>
        </w:rPr>
        <w:t>ā</w:t>
      </w:r>
      <w:r>
        <w:t xml:space="preserve">puhi partnership. URL: </w:t>
      </w:r>
      <w:hyperlink r:id="rId31" w:history="1">
        <w:r w:rsidRPr="006B5550">
          <w:rPr>
            <w:rStyle w:val="Hyperlink"/>
          </w:rPr>
          <w:t>orangatamariki.govt.nz/about-us/how-we-work/strategic-partnerships-with-Māori/ngapuhi/</w:t>
        </w:r>
      </w:hyperlink>
      <w:r>
        <w:t xml:space="preserve"> (accessed 15 September 2022).</w:t>
      </w:r>
    </w:p>
  </w:footnote>
  <w:footnote w:id="51">
    <w:p w14:paraId="38376156" w14:textId="7ECE0FC6" w:rsidR="00DC0F08" w:rsidRPr="00B63F02" w:rsidRDefault="00DC0F08">
      <w:pPr>
        <w:pStyle w:val="FootnoteText"/>
        <w:rPr>
          <w:lang w:val="mi-NZ"/>
        </w:rPr>
      </w:pPr>
      <w:r>
        <w:rPr>
          <w:rStyle w:val="FootnoteReference"/>
        </w:rPr>
        <w:footnoteRef/>
      </w:r>
      <w:r>
        <w:t xml:space="preserve"> Reports on all of these case studies will be available over time at </w:t>
      </w:r>
      <w:r w:rsidRPr="00B63F02">
        <w:t>health.govt.nz</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BED9C" w14:textId="6EAD2287" w:rsidR="00DC0F08" w:rsidRPr="00463D59" w:rsidRDefault="00DC0F08" w:rsidP="00C4502C">
    <w:pPr>
      <w:pStyle w:val="LHheader"/>
    </w:pPr>
    <w:r w:rsidRPr="00463D59">
      <w:t>WANANGA HAUORA 2021 SUMMARY REPORT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195C4" w14:textId="119BF087" w:rsidR="00DC0F08" w:rsidRPr="00156F3D" w:rsidRDefault="00DC0F08" w:rsidP="002A04E1">
    <w:pPr>
      <w:pStyle w:val="LHheader"/>
    </w:pPr>
    <w:r>
      <mc:AlternateContent>
        <mc:Choice Requires="wps">
          <w:drawing>
            <wp:anchor distT="0" distB="0" distL="114300" distR="114300" simplePos="0" relativeHeight="251658241" behindDoc="0" locked="0" layoutInCell="1" allowOverlap="1" wp14:anchorId="4BB7C0A8" wp14:editId="1811BAE8">
              <wp:simplePos x="0" y="0"/>
              <wp:positionH relativeFrom="page">
                <wp:posOffset>396240</wp:posOffset>
              </wp:positionH>
              <wp:positionV relativeFrom="page">
                <wp:posOffset>1813560</wp:posOffset>
              </wp:positionV>
              <wp:extent cx="468000" cy="565200"/>
              <wp:effectExtent l="0" t="0" r="8255" b="6350"/>
              <wp:wrapNone/>
              <wp:docPr id="1993236917" name="Text Box 1993236917"/>
              <wp:cNvGraphicFramePr/>
              <a:graphic xmlns:a="http://schemas.openxmlformats.org/drawingml/2006/main">
                <a:graphicData uri="http://schemas.microsoft.com/office/word/2010/wordprocessingShape">
                  <wps:wsp>
                    <wps:cNvSpPr txBox="1"/>
                    <wps:spPr>
                      <a:xfrm>
                        <a:off x="0" y="0"/>
                        <a:ext cx="468000" cy="565200"/>
                      </a:xfrm>
                      <a:prstGeom prst="rect">
                        <a:avLst/>
                      </a:prstGeom>
                      <a:noFill/>
                      <a:ln w="6350">
                        <a:noFill/>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
                          </w:tblGrid>
                          <w:tr w:rsidR="00DC0F08" w14:paraId="7169630C" w14:textId="77777777" w:rsidTr="00156F3D">
                            <w:tc>
                              <w:tcPr>
                                <w:tcW w:w="340" w:type="dxa"/>
                                <w:tcBorders>
                                  <w:top w:val="single" w:sz="8" w:space="0" w:color="EC643C"/>
                                </w:tcBorders>
                                <w:vAlign w:val="center"/>
                              </w:tcPr>
                              <w:p w14:paraId="5F0C2EB9" w14:textId="77777777" w:rsidR="00DC0F08" w:rsidRDefault="00DC0F08" w:rsidP="00156F3D">
                                <w:pPr>
                                  <w:pStyle w:val="PNo"/>
                                </w:pPr>
                                <w:r>
                                  <w:fldChar w:fldCharType="begin"/>
                                </w:r>
                                <w:r>
                                  <w:instrText xml:space="preserve"> PAGE  \* Arabic  \* MERGEFORMAT </w:instrText>
                                </w:r>
                                <w:r>
                                  <w:fldChar w:fldCharType="separate"/>
                                </w:r>
                                <w:r>
                                  <w:rPr>
                                    <w:noProof/>
                                  </w:rPr>
                                  <w:t>4</w:t>
                                </w:r>
                                <w:r>
                                  <w:fldChar w:fldCharType="end"/>
                                </w:r>
                              </w:p>
                            </w:tc>
                          </w:tr>
                        </w:tbl>
                        <w:p w14:paraId="7309AD28" w14:textId="77777777" w:rsidR="00DC0F08" w:rsidRDefault="00DC0F0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B7C0A8" id="_x0000_t202" coordsize="21600,21600" o:spt="202" path="m,l,21600r21600,l21600,xe">
              <v:stroke joinstyle="miter"/>
              <v:path gradientshapeok="t" o:connecttype="rect"/>
            </v:shapetype>
            <v:shape id="Text Box 1993236917" o:spid="_x0000_s1028" type="#_x0000_t202" style="position:absolute;left:0;text-align:left;margin-left:31.2pt;margin-top:142.8pt;width:36.85pt;height:44.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" filled="f" stroked="f" strokeweight=".5pt">
              <v:textbox inset="0,0,0,0">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
                    </w:tblGrid>
                    <w:tr w:rsidR="00DC0F08" w14:paraId="7169630C" w14:textId="77777777" w:rsidTr="00156F3D">
                      <w:tc>
                        <w:tcPr>
                          <w:tcW w:w="340" w:type="dxa"/>
                          <w:tcBorders>
                            <w:top w:val="single" w:sz="8" w:space="0" w:color="EC643C"/>
                          </w:tcBorders>
                          <w:vAlign w:val="center"/>
                        </w:tcPr>
                        <w:p w14:paraId="5F0C2EB9" w14:textId="77777777" w:rsidR="00DC0F08" w:rsidRDefault="00DC0F08" w:rsidP="00156F3D">
                          <w:pPr>
                            <w:pStyle w:val="PNo"/>
                          </w:pPr>
                          <w:r>
                            <w:fldChar w:fldCharType="begin"/>
                          </w:r>
                          <w:r>
                            <w:instrText xml:space="preserve"> PAGE  \* Arabic  \* MERGEFORMAT </w:instrText>
                          </w:r>
                          <w:r>
                            <w:fldChar w:fldCharType="separate"/>
                          </w:r>
                          <w:r>
                            <w:rPr>
                              <w:noProof/>
                            </w:rPr>
                            <w:t>4</w:t>
                          </w:r>
                          <w:r>
                            <w:fldChar w:fldCharType="end"/>
                          </w:r>
                        </w:p>
                      </w:tc>
                    </w:tr>
                  </w:tbl>
                  <w:p w14:paraId="7309AD28" w14:textId="77777777" w:rsidR="00DC0F08" w:rsidRDefault="00DC0F08"/>
                </w:txbxContent>
              </v:textbox>
              <w10:wrap anchorx="page" anchory="page"/>
            </v:shape>
          </w:pict>
        </mc:Fallback>
      </mc:AlternateContent>
    </w:r>
    <w:r>
      <w:t>COMMISSIONING FOR PAE ORA HEALTHY FUTURES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0C88C" w14:textId="4C6970D3" w:rsidR="00DC0F08" w:rsidRDefault="00DC0F0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62AA9" w14:textId="041A2978" w:rsidR="00DC0F08" w:rsidRDefault="00DC0F0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FD4F8" w14:textId="556CDD0F" w:rsidR="00DC0F08" w:rsidRPr="00463D59" w:rsidRDefault="00DC0F08" w:rsidP="00E934F0">
    <w:pPr>
      <w:pStyle w:val="LHheader"/>
    </w:pPr>
    <w:r>
      <mc:AlternateContent>
        <mc:Choice Requires="wps">
          <w:drawing>
            <wp:anchor distT="0" distB="0" distL="114300" distR="114300" simplePos="0" relativeHeight="251658243" behindDoc="0" locked="0" layoutInCell="1" allowOverlap="1" wp14:anchorId="65CED492" wp14:editId="0FD68D2C">
              <wp:simplePos x="0" y="0"/>
              <wp:positionH relativeFrom="page">
                <wp:posOffset>396240</wp:posOffset>
              </wp:positionH>
              <wp:positionV relativeFrom="page">
                <wp:posOffset>1813560</wp:posOffset>
              </wp:positionV>
              <wp:extent cx="468000" cy="565200"/>
              <wp:effectExtent l="0" t="0" r="8255" b="6350"/>
              <wp:wrapNone/>
              <wp:docPr id="1993236929" name="Text Box 1993236929"/>
              <wp:cNvGraphicFramePr/>
              <a:graphic xmlns:a="http://schemas.openxmlformats.org/drawingml/2006/main">
                <a:graphicData uri="http://schemas.microsoft.com/office/word/2010/wordprocessingShape">
                  <wps:wsp>
                    <wps:cNvSpPr txBox="1"/>
                    <wps:spPr>
                      <a:xfrm>
                        <a:off x="0" y="0"/>
                        <a:ext cx="468000" cy="565200"/>
                      </a:xfrm>
                      <a:prstGeom prst="rect">
                        <a:avLst/>
                      </a:prstGeom>
                      <a:noFill/>
                      <a:ln w="6350">
                        <a:noFill/>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
                          </w:tblGrid>
                          <w:tr w:rsidR="00DC0F08" w14:paraId="3E12FC9B" w14:textId="77777777" w:rsidTr="00156F3D">
                            <w:tc>
                              <w:tcPr>
                                <w:tcW w:w="340" w:type="dxa"/>
                                <w:tcBorders>
                                  <w:top w:val="single" w:sz="8" w:space="0" w:color="EC643C"/>
                                </w:tcBorders>
                                <w:vAlign w:val="center"/>
                              </w:tcPr>
                              <w:p w14:paraId="301F5BD6" w14:textId="77777777" w:rsidR="00DC0F08" w:rsidRDefault="00DC0F08" w:rsidP="00156F3D">
                                <w:pPr>
                                  <w:pStyle w:val="PNo"/>
                                </w:pPr>
                                <w:r>
                                  <w:fldChar w:fldCharType="begin"/>
                                </w:r>
                                <w:r>
                                  <w:instrText xml:space="preserve"> PAGE  \* Arabic  \* MERGEFORMAT </w:instrText>
                                </w:r>
                                <w:r>
                                  <w:fldChar w:fldCharType="separate"/>
                                </w:r>
                                <w:r>
                                  <w:rPr>
                                    <w:noProof/>
                                  </w:rPr>
                                  <w:t>4</w:t>
                                </w:r>
                                <w:r>
                                  <w:fldChar w:fldCharType="end"/>
                                </w:r>
                              </w:p>
                            </w:tc>
                          </w:tr>
                        </w:tbl>
                        <w:p w14:paraId="7971944E" w14:textId="77777777" w:rsidR="00DC0F08" w:rsidRDefault="00DC0F08" w:rsidP="00E934F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CED492" id="_x0000_t202" coordsize="21600,21600" o:spt="202" path="m,l,21600r21600,l21600,xe">
              <v:stroke joinstyle="miter"/>
              <v:path gradientshapeok="t" o:connecttype="rect"/>
            </v:shapetype>
            <v:shape id="Text Box 1993236929" o:spid="_x0000_s1029" type="#_x0000_t202" style="position:absolute;left:0;text-align:left;margin-left:31.2pt;margin-top:142.8pt;width:36.85pt;height:44.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" filled="f" stroked="f" strokeweight=".5pt">
              <v:textbox inset="0,0,0,0">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
                    </w:tblGrid>
                    <w:tr w:rsidR="00DC0F08" w14:paraId="3E12FC9B" w14:textId="77777777" w:rsidTr="00156F3D">
                      <w:tc>
                        <w:tcPr>
                          <w:tcW w:w="340" w:type="dxa"/>
                          <w:tcBorders>
                            <w:top w:val="single" w:sz="8" w:space="0" w:color="EC643C"/>
                          </w:tcBorders>
                          <w:vAlign w:val="center"/>
                        </w:tcPr>
                        <w:p w14:paraId="301F5BD6" w14:textId="77777777" w:rsidR="00DC0F08" w:rsidRDefault="00DC0F08" w:rsidP="00156F3D">
                          <w:pPr>
                            <w:pStyle w:val="PNo"/>
                          </w:pPr>
                          <w:r>
                            <w:fldChar w:fldCharType="begin"/>
                          </w:r>
                          <w:r>
                            <w:instrText xml:space="preserve"> PAGE  \* Arabic  \* MERGEFORMAT </w:instrText>
                          </w:r>
                          <w:r>
                            <w:fldChar w:fldCharType="separate"/>
                          </w:r>
                          <w:r>
                            <w:rPr>
                              <w:noProof/>
                            </w:rPr>
                            <w:t>4</w:t>
                          </w:r>
                          <w:r>
                            <w:fldChar w:fldCharType="end"/>
                          </w:r>
                        </w:p>
                      </w:tc>
                    </w:tr>
                  </w:tbl>
                  <w:p w14:paraId="7971944E" w14:textId="77777777" w:rsidR="00DC0F08" w:rsidRDefault="00DC0F08" w:rsidP="00E934F0"/>
                </w:txbxContent>
              </v:textbox>
              <w10:wrap anchorx="page" anchory="page"/>
            </v:shape>
          </w:pict>
        </mc:Fallback>
      </mc:AlternateContent>
    </w:r>
    <w:r w:rsidRPr="00463D59">
      <w:t>WANANGA HAUORA 2021 SUMMARY REPORT</w:t>
    </w:r>
  </w:p>
  <w:p w14:paraId="5EF9F38D" w14:textId="77777777" w:rsidR="00DC0F08" w:rsidRPr="00E934F0" w:rsidRDefault="00DC0F08" w:rsidP="00E934F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C0C6F" w14:textId="30CCF913" w:rsidR="00DC0F08" w:rsidRDefault="00DC0F0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56CF9" w14:textId="427C0F51" w:rsidR="00DC0F08" w:rsidRDefault="00DC0F0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D84DF" w14:textId="768D9654" w:rsidR="00DC0F08" w:rsidRDefault="00DC0F08" w:rsidP="00C4502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3D4C0" w14:textId="21BE2EB3" w:rsidR="00DC0F08" w:rsidRDefault="00DC0F0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02C0A" w14:textId="18125036" w:rsidR="00DC0F08" w:rsidRDefault="00DC0F0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0EEA9" w14:textId="2C645FDB" w:rsidR="00DC0F08" w:rsidRDefault="00DC0F08" w:rsidP="00C4502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FC708" w14:textId="26671468" w:rsidR="00DC0F08" w:rsidRPr="00463D59" w:rsidRDefault="00DC0F08" w:rsidP="00C4502C">
    <w:pPr>
      <w:pStyle w:val="LHheader"/>
    </w:pPr>
    <w:r>
      <mc:AlternateContent>
        <mc:Choice Requires="wps">
          <w:drawing>
            <wp:anchor distT="0" distB="0" distL="114300" distR="114300" simplePos="0" relativeHeight="251658242" behindDoc="0" locked="0" layoutInCell="1" allowOverlap="1" wp14:anchorId="524C0092" wp14:editId="624499E1">
              <wp:simplePos x="0" y="0"/>
              <wp:positionH relativeFrom="page">
                <wp:posOffset>396240</wp:posOffset>
              </wp:positionH>
              <wp:positionV relativeFrom="page">
                <wp:posOffset>1813560</wp:posOffset>
              </wp:positionV>
              <wp:extent cx="468000" cy="565200"/>
              <wp:effectExtent l="0" t="0" r="8255" b="6350"/>
              <wp:wrapNone/>
              <wp:docPr id="26" name="Text Box 26"/>
              <wp:cNvGraphicFramePr/>
              <a:graphic xmlns:a="http://schemas.openxmlformats.org/drawingml/2006/main">
                <a:graphicData uri="http://schemas.microsoft.com/office/word/2010/wordprocessingShape">
                  <wps:wsp>
                    <wps:cNvSpPr txBox="1"/>
                    <wps:spPr>
                      <a:xfrm>
                        <a:off x="0" y="0"/>
                        <a:ext cx="468000" cy="565200"/>
                      </a:xfrm>
                      <a:prstGeom prst="rect">
                        <a:avLst/>
                      </a:prstGeom>
                      <a:noFill/>
                      <a:ln w="6350">
                        <a:noFill/>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
                          </w:tblGrid>
                          <w:tr w:rsidR="00DC0F08" w14:paraId="5067113B" w14:textId="77777777" w:rsidTr="00156F3D">
                            <w:tc>
                              <w:tcPr>
                                <w:tcW w:w="340" w:type="dxa"/>
                                <w:tcBorders>
                                  <w:top w:val="single" w:sz="8" w:space="0" w:color="EC643C"/>
                                </w:tcBorders>
                                <w:vAlign w:val="center"/>
                              </w:tcPr>
                              <w:p w14:paraId="12D354C0" w14:textId="77777777" w:rsidR="00DC0F08" w:rsidRDefault="00DC0F08" w:rsidP="00156F3D">
                                <w:pPr>
                                  <w:pStyle w:val="PNo"/>
                                </w:pPr>
                                <w:r>
                                  <w:fldChar w:fldCharType="begin"/>
                                </w:r>
                                <w:r>
                                  <w:instrText xml:space="preserve"> PAGE  \* Arabic  \* MERGEFORMAT </w:instrText>
                                </w:r>
                                <w:r>
                                  <w:fldChar w:fldCharType="separate"/>
                                </w:r>
                                <w:r>
                                  <w:rPr>
                                    <w:noProof/>
                                  </w:rPr>
                                  <w:t>4</w:t>
                                </w:r>
                                <w:r>
                                  <w:fldChar w:fldCharType="end"/>
                                </w:r>
                              </w:p>
                            </w:tc>
                          </w:tr>
                        </w:tbl>
                        <w:p w14:paraId="1D0CE937" w14:textId="77777777" w:rsidR="00DC0F08" w:rsidRDefault="00DC0F0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4C0092" id="_x0000_t202" coordsize="21600,21600" o:spt="202" path="m,l,21600r21600,l21600,xe">
              <v:stroke joinstyle="miter"/>
              <v:path gradientshapeok="t" o:connecttype="rect"/>
            </v:shapetype>
            <v:shape id="Text Box 26" o:spid="_x0000_s1026" type="#_x0000_t202" style="position:absolute;left:0;text-align:left;margin-left:31.2pt;margin-top:142.8pt;width:36.85pt;height:44.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" filled="f" stroked="f" strokeweight=".5pt">
              <v:textbox inset="0,0,0,0">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
                    </w:tblGrid>
                    <w:tr w:rsidR="00DC0F08" w14:paraId="5067113B" w14:textId="77777777" w:rsidTr="00156F3D">
                      <w:tc>
                        <w:tcPr>
                          <w:tcW w:w="340" w:type="dxa"/>
                          <w:tcBorders>
                            <w:top w:val="single" w:sz="8" w:space="0" w:color="EC643C"/>
                          </w:tcBorders>
                          <w:vAlign w:val="center"/>
                        </w:tcPr>
                        <w:p w14:paraId="12D354C0" w14:textId="77777777" w:rsidR="00DC0F08" w:rsidRDefault="00DC0F08" w:rsidP="00156F3D">
                          <w:pPr>
                            <w:pStyle w:val="PNo"/>
                          </w:pPr>
                          <w:r>
                            <w:fldChar w:fldCharType="begin"/>
                          </w:r>
                          <w:r>
                            <w:instrText xml:space="preserve"> PAGE  \* Arabic  \* MERGEFORMAT </w:instrText>
                          </w:r>
                          <w:r>
                            <w:fldChar w:fldCharType="separate"/>
                          </w:r>
                          <w:r>
                            <w:rPr>
                              <w:noProof/>
                            </w:rPr>
                            <w:t>4</w:t>
                          </w:r>
                          <w:r>
                            <w:fldChar w:fldCharType="end"/>
                          </w:r>
                        </w:p>
                      </w:tc>
                    </w:tr>
                  </w:tbl>
                  <w:p w14:paraId="1D0CE937" w14:textId="77777777" w:rsidR="00DC0F08" w:rsidRDefault="00DC0F08"/>
                </w:txbxContent>
              </v:textbox>
              <w10:wrap anchorx="page" anchory="page"/>
            </v:shape>
          </w:pict>
        </mc:Fallback>
      </mc:AlternateContent>
    </w:r>
    <w:r w:rsidRPr="00463D59">
      <w:t xml:space="preserve"> </w:t>
    </w:r>
    <w:r w:rsidRPr="002A04E1">
      <w:t>COMMISSIONING FOR PAE ORA HEALTHY FUTURES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FCC76" w14:textId="5B869772" w:rsidR="00DC0F08" w:rsidRDefault="00DC0F08" w:rsidP="00EC0283">
    <w:pPr>
      <w:pStyle w:val="Header"/>
      <w:jc w:val="left"/>
    </w:pPr>
    <w:r w:rsidRPr="00EC0283">
      <w:rPr>
        <w:color w:val="EC643C"/>
      </w:rPr>
      <w:t>COMMISSIONING FOR PAE ORA HEALTHY</w:t>
    </w:r>
    <w:r w:rsidRPr="002A04E1">
      <w:t xml:space="preserve"> </w:t>
    </w:r>
    <w:r w:rsidRPr="00EC0283">
      <w:rPr>
        <w:color w:val="EC643C"/>
      </w:rPr>
      <w:t>FUTURES</w:t>
    </w:r>
    <w:r>
      <w:t xml:space="preserve"> </w:t>
    </w:r>
    <w:r>
      <mc:AlternateContent>
        <mc:Choice Requires="wps">
          <w:drawing>
            <wp:anchor distT="0" distB="0" distL="114300" distR="114300" simplePos="0" relativeHeight="251658240" behindDoc="0" locked="0" layoutInCell="1" allowOverlap="1" wp14:anchorId="0935FCB9" wp14:editId="4311AC74">
              <wp:simplePos x="0" y="0"/>
              <wp:positionH relativeFrom="page">
                <wp:posOffset>6934200</wp:posOffset>
              </wp:positionH>
              <wp:positionV relativeFrom="page">
                <wp:posOffset>1813560</wp:posOffset>
              </wp:positionV>
              <wp:extent cx="468000" cy="565200"/>
              <wp:effectExtent l="0" t="0" r="8255" b="6350"/>
              <wp:wrapNone/>
              <wp:docPr id="1993236920" name="Text Box 1993236920"/>
              <wp:cNvGraphicFramePr/>
              <a:graphic xmlns:a="http://schemas.openxmlformats.org/drawingml/2006/main">
                <a:graphicData uri="http://schemas.microsoft.com/office/word/2010/wordprocessingShape">
                  <wps:wsp>
                    <wps:cNvSpPr txBox="1"/>
                    <wps:spPr>
                      <a:xfrm>
                        <a:off x="0" y="0"/>
                        <a:ext cx="468000" cy="565200"/>
                      </a:xfrm>
                      <a:prstGeom prst="rect">
                        <a:avLst/>
                      </a:prstGeom>
                      <a:noFill/>
                      <a:ln w="6350">
                        <a:noFill/>
                      </a:ln>
                    </wps:spPr>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
                          </w:tblGrid>
                          <w:tr w:rsidR="00DC0F08" w14:paraId="798A381A" w14:textId="77777777" w:rsidTr="00156F3D">
                            <w:tc>
                              <w:tcPr>
                                <w:tcW w:w="340" w:type="dxa"/>
                                <w:tcBorders>
                                  <w:top w:val="single" w:sz="8" w:space="0" w:color="EC643C"/>
                                </w:tcBorders>
                                <w:vAlign w:val="center"/>
                              </w:tcPr>
                              <w:p w14:paraId="089C9198" w14:textId="77777777" w:rsidR="00DC0F08" w:rsidRDefault="00DC0F08" w:rsidP="00156F3D">
                                <w:pPr>
                                  <w:pStyle w:val="PNo"/>
                                </w:pPr>
                                <w:r>
                                  <w:fldChar w:fldCharType="begin"/>
                                </w:r>
                                <w:r>
                                  <w:instrText xml:space="preserve"> PAGE  \* Arabic  \* MERGEFORMAT </w:instrText>
                                </w:r>
                                <w:r>
                                  <w:fldChar w:fldCharType="separate"/>
                                </w:r>
                                <w:r>
                                  <w:rPr>
                                    <w:noProof/>
                                  </w:rPr>
                                  <w:t>4</w:t>
                                </w:r>
                                <w:r>
                                  <w:fldChar w:fldCharType="end"/>
                                </w:r>
                              </w:p>
                            </w:tc>
                          </w:tr>
                        </w:tbl>
                        <w:p w14:paraId="46972D03" w14:textId="77777777" w:rsidR="00DC0F08" w:rsidRDefault="00DC0F0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35FCB9" id="_x0000_t202" coordsize="21600,21600" o:spt="202" path="m,l,21600r21600,l21600,xe">
              <v:stroke joinstyle="miter"/>
              <v:path gradientshapeok="t" o:connecttype="rect"/>
            </v:shapetype>
            <v:shape id="Text Box 1993236920" o:spid="_x0000_s1027" type="#_x0000_t202" style="position:absolute;margin-left:546pt;margin-top:142.8pt;width:36.85pt;height:44.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" filled="f" stroked="f" strokeweight=".5pt">
              <v:textbox inset="0,0,0,0">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
                    </w:tblGrid>
                    <w:tr w:rsidR="00DC0F08" w14:paraId="798A381A" w14:textId="77777777" w:rsidTr="00156F3D">
                      <w:tc>
                        <w:tcPr>
                          <w:tcW w:w="340" w:type="dxa"/>
                          <w:tcBorders>
                            <w:top w:val="single" w:sz="8" w:space="0" w:color="EC643C"/>
                          </w:tcBorders>
                          <w:vAlign w:val="center"/>
                        </w:tcPr>
                        <w:p w14:paraId="089C9198" w14:textId="77777777" w:rsidR="00DC0F08" w:rsidRDefault="00DC0F08" w:rsidP="00156F3D">
                          <w:pPr>
                            <w:pStyle w:val="PNo"/>
                          </w:pPr>
                          <w:r>
                            <w:fldChar w:fldCharType="begin"/>
                          </w:r>
                          <w:r>
                            <w:instrText xml:space="preserve"> PAGE  \* Arabic  \* MERGEFORMAT </w:instrText>
                          </w:r>
                          <w:r>
                            <w:fldChar w:fldCharType="separate"/>
                          </w:r>
                          <w:r>
                            <w:rPr>
                              <w:noProof/>
                            </w:rPr>
                            <w:t>4</w:t>
                          </w:r>
                          <w:r>
                            <w:fldChar w:fldCharType="end"/>
                          </w:r>
                        </w:p>
                      </w:tc>
                    </w:tr>
                  </w:tbl>
                  <w:p w14:paraId="46972D03" w14:textId="77777777" w:rsidR="00DC0F08" w:rsidRDefault="00DC0F08"/>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71E8B3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7AC2D8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77E562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81A0E6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541C345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61AD59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00604A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D3A3CA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B70DD14"/>
    <w:lvl w:ilvl="0">
      <w:start w:val="1"/>
      <w:numFmt w:val="decimal"/>
      <w:pStyle w:val="ListNumber"/>
      <w:lvlText w:val="%1."/>
      <w:lvlJc w:val="left"/>
      <w:pPr>
        <w:tabs>
          <w:tab w:val="num" w:pos="360"/>
        </w:tabs>
        <w:ind w:left="360" w:hanging="360"/>
      </w:pPr>
    </w:lvl>
  </w:abstractNum>
  <w:abstractNum w:abstractNumId="9" w15:restartNumberingAfterBreak="0">
    <w:nsid w:val="00D817C7"/>
    <w:multiLevelType w:val="multilevel"/>
    <w:tmpl w:val="89F8632E"/>
    <w:lvl w:ilvl="0">
      <w:start w:val="1"/>
      <w:numFmt w:val="decimal"/>
      <w:lvlText w:val="%1"/>
      <w:lvlJc w:val="left"/>
      <w:pPr>
        <w:ind w:left="992" w:hanging="992"/>
      </w:pPr>
      <w:rPr>
        <w:rFonts w:hint="default"/>
      </w:rPr>
    </w:lvl>
    <w:lvl w:ilvl="1">
      <w:start w:val="1"/>
      <w:numFmt w:val="lowerLetter"/>
      <w:lvlText w:val="%2."/>
      <w:lvlJc w:val="left"/>
      <w:pPr>
        <w:ind w:left="992" w:hanging="992"/>
      </w:pPr>
      <w:rPr>
        <w:rFonts w:hint="default"/>
      </w:rPr>
    </w:lvl>
    <w:lvl w:ilvl="2">
      <w:start w:val="1"/>
      <w:numFmt w:val="none"/>
      <w:suff w:val="nothing"/>
      <w:lvlText w:val="%3"/>
      <w:lvlJc w:val="left"/>
      <w:pPr>
        <w:ind w:left="0" w:firstLine="0"/>
      </w:pPr>
      <w:rPr>
        <w:rFonts w:hint="default"/>
      </w:rPr>
    </w:lvl>
    <w:lvl w:ilvl="3">
      <w:start w:val="1"/>
      <w:numFmt w:val="decimal"/>
      <w:pStyle w:val="Letter"/>
      <w:lvlText w:val="%4."/>
      <w:lvlJc w:val="left"/>
      <w:pPr>
        <w:ind w:left="567" w:hanging="567"/>
      </w:pPr>
      <w:rPr>
        <w:rFonts w:hint="default"/>
      </w:rPr>
    </w:lvl>
    <w:lvl w:ilvl="4">
      <w:start w:val="1"/>
      <w:numFmt w:val="lowerLetter"/>
      <w:pStyle w:val="Letter"/>
      <w:lvlText w:val="%5."/>
      <w:lvlJc w:val="left"/>
      <w:pPr>
        <w:ind w:left="1134" w:hanging="567"/>
      </w:pPr>
      <w:rPr>
        <w:rFonts w:hint="default"/>
      </w:rPr>
    </w:lvl>
    <w:lvl w:ilvl="5">
      <w:start w:val="1"/>
      <w:numFmt w:val="lowerRoman"/>
      <w:lvlText w:val="%6."/>
      <w:lvlJc w:val="left"/>
      <w:pPr>
        <w:ind w:left="1701"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1764143"/>
    <w:multiLevelType w:val="hybridMultilevel"/>
    <w:tmpl w:val="C6869A52"/>
    <w:lvl w:ilvl="0" w:tplc="484CE258">
      <w:start w:val="1"/>
      <w:numFmt w:val="decimal"/>
      <w:pStyle w:val="AppendixHeading"/>
      <w:lvlText w:val="Appendix %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11" w15:restartNumberingAfterBreak="0">
    <w:nsid w:val="03C717CB"/>
    <w:multiLevelType w:val="multilevel"/>
    <w:tmpl w:val="60807D9E"/>
    <w:styleLink w:val="LINZList"/>
    <w:lvl w:ilvl="0">
      <w:start w:val="1"/>
      <w:numFmt w:val="decimal"/>
      <w:lvlText w:val="%1"/>
      <w:lvlJc w:val="left"/>
      <w:pPr>
        <w:ind w:left="567" w:hanging="567"/>
      </w:pPr>
      <w:rPr>
        <w:rFonts w:hint="default"/>
      </w:rPr>
    </w:lvl>
    <w:lvl w:ilvl="1">
      <w:start w:val="1"/>
      <w:numFmt w:val="lowerLetter"/>
      <w:lvlText w:val="%2)"/>
      <w:lvlJc w:val="left"/>
      <w:pPr>
        <w:ind w:left="567" w:hanging="567"/>
      </w:pPr>
      <w:rPr>
        <w:rFonts w:hint="default"/>
      </w:rPr>
    </w:lvl>
    <w:lvl w:ilvl="2">
      <w:start w:val="1"/>
      <w:numFmt w:val="lowerRoman"/>
      <w:lvlText w:val="%3"/>
      <w:lvlJc w:val="left"/>
      <w:pPr>
        <w:ind w:left="567" w:hanging="567"/>
      </w:pPr>
      <w:rPr>
        <w:rFonts w:hint="default"/>
      </w:rPr>
    </w:lvl>
    <w:lvl w:ilvl="3">
      <w:start w:val="1"/>
      <w:numFmt w:val="decimal"/>
      <w:lvlText w:val="%4"/>
      <w:lvlJc w:val="left"/>
      <w:pPr>
        <w:ind w:left="1134" w:hanging="567"/>
      </w:pPr>
      <w:rPr>
        <w:rFonts w:hint="default"/>
      </w:rPr>
    </w:lvl>
    <w:lvl w:ilvl="4">
      <w:start w:val="1"/>
      <w:numFmt w:val="lowerLetter"/>
      <w:lvlText w:val="%5)"/>
      <w:lvlJc w:val="left"/>
      <w:pPr>
        <w:ind w:left="1134" w:hanging="567"/>
      </w:pPr>
      <w:rPr>
        <w:rFonts w:hint="default"/>
      </w:rPr>
    </w:lvl>
    <w:lvl w:ilvl="5">
      <w:start w:val="1"/>
      <w:numFmt w:val="lowerRoman"/>
      <w:lvlText w:val="%6"/>
      <w:lvlJc w:val="left"/>
      <w:pPr>
        <w:ind w:left="1134" w:hanging="567"/>
      </w:pPr>
      <w:rPr>
        <w:rFonts w:hint="default"/>
      </w:rPr>
    </w:lvl>
    <w:lvl w:ilvl="6">
      <w:start w:val="1"/>
      <w:numFmt w:val="decimal"/>
      <w:lvlText w:val="%7"/>
      <w:lvlJc w:val="left"/>
      <w:pPr>
        <w:tabs>
          <w:tab w:val="num" w:pos="1134"/>
        </w:tabs>
        <w:ind w:left="1701" w:hanging="567"/>
      </w:pPr>
      <w:rPr>
        <w:rFonts w:hint="default"/>
      </w:rPr>
    </w:lvl>
    <w:lvl w:ilvl="7">
      <w:start w:val="1"/>
      <w:numFmt w:val="lowerLetter"/>
      <w:lvlText w:val="%8)"/>
      <w:lvlJc w:val="left"/>
      <w:pPr>
        <w:tabs>
          <w:tab w:val="num" w:pos="1134"/>
        </w:tabs>
        <w:ind w:left="1701" w:hanging="567"/>
      </w:pPr>
      <w:rPr>
        <w:rFonts w:hint="default"/>
      </w:rPr>
    </w:lvl>
    <w:lvl w:ilvl="8">
      <w:start w:val="1"/>
      <w:numFmt w:val="lowerRoman"/>
      <w:lvlText w:val="%9"/>
      <w:lvlJc w:val="left"/>
      <w:pPr>
        <w:tabs>
          <w:tab w:val="num" w:pos="1134"/>
        </w:tabs>
        <w:ind w:left="1701" w:hanging="567"/>
      </w:pPr>
      <w:rPr>
        <w:rFonts w:hint="default"/>
      </w:rPr>
    </w:lvl>
  </w:abstractNum>
  <w:abstractNum w:abstractNumId="12" w15:restartNumberingAfterBreak="0">
    <w:nsid w:val="042E1B55"/>
    <w:multiLevelType w:val="singleLevel"/>
    <w:tmpl w:val="1A46536C"/>
    <w:lvl w:ilvl="0">
      <w:start w:val="1"/>
      <w:numFmt w:val="bullet"/>
      <w:pStyle w:val="TableBullet"/>
      <w:lvlText w:val=""/>
      <w:lvlJc w:val="left"/>
      <w:pPr>
        <w:tabs>
          <w:tab w:val="num" w:pos="284"/>
        </w:tabs>
        <w:ind w:left="284" w:hanging="284"/>
      </w:pPr>
      <w:rPr>
        <w:rFonts w:ascii="Symbol" w:hAnsi="Symbol" w:hint="default"/>
        <w:sz w:val="16"/>
        <w:szCs w:val="16"/>
      </w:rPr>
    </w:lvl>
  </w:abstractNum>
  <w:abstractNum w:abstractNumId="13" w15:restartNumberingAfterBreak="0">
    <w:nsid w:val="04D63F8D"/>
    <w:multiLevelType w:val="hybridMultilevel"/>
    <w:tmpl w:val="8BE440A6"/>
    <w:lvl w:ilvl="0" w:tplc="D46CB8F8">
      <w:start w:val="1"/>
      <w:numFmt w:val="bullet"/>
      <w:lvlText w:val="-"/>
      <w:lvlJc w:val="left"/>
      <w:pPr>
        <w:tabs>
          <w:tab w:val="num" w:pos="360"/>
        </w:tabs>
        <w:ind w:left="360" w:hanging="360"/>
      </w:pPr>
      <w:rPr>
        <w:rFonts w:ascii="Calibri" w:eastAsia="Times New Roman" w:hAnsi="Calibri" w:cs="Calibri" w:hint="default"/>
        <w:color w:val="EC643C"/>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14DF562B"/>
    <w:multiLevelType w:val="multilevel"/>
    <w:tmpl w:val="7BA8755C"/>
    <w:lvl w:ilvl="0">
      <w:start w:val="1"/>
      <w:numFmt w:val="decimal"/>
      <w:lvlText w:val="%1"/>
      <w:lvlJc w:val="left"/>
      <w:pPr>
        <w:tabs>
          <w:tab w:val="num" w:pos="1418"/>
        </w:tabs>
        <w:ind w:left="716" w:hanging="432"/>
      </w:pPr>
      <w:rPr>
        <w:rFonts w:cs="Times New Roman"/>
        <w:i w:val="0"/>
        <w:iCs w:val="0"/>
        <w:caps w:val="0"/>
        <w:smallCaps w:val="0"/>
        <w:strike w:val="0"/>
        <w:dstrike w:val="0"/>
        <w:noProof w:val="0"/>
        <w:vanish w:val="0"/>
        <w:color w:val="00ACCD"/>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1560"/>
        </w:tabs>
        <w:ind w:left="1002" w:hanging="576"/>
      </w:pPr>
      <w:rPr>
        <w:rFonts w:hint="default"/>
      </w:rPr>
    </w:lvl>
    <w:lvl w:ilvl="2">
      <w:start w:val="1"/>
      <w:numFmt w:val="decimal"/>
      <w:lvlText w:val="%1.%2.%3"/>
      <w:lvlJc w:val="left"/>
      <w:pPr>
        <w:tabs>
          <w:tab w:val="num" w:pos="1134"/>
        </w:tabs>
        <w:ind w:left="720" w:hanging="720"/>
      </w:pPr>
      <w:rPr>
        <w:rFonts w:hint="default"/>
      </w:rPr>
    </w:lvl>
    <w:lvl w:ilvl="3">
      <w:start w:val="1"/>
      <w:numFmt w:val="decimal"/>
      <w:lvlText w:val="%1.%2.%3.%4"/>
      <w:lvlJc w:val="left"/>
      <w:pPr>
        <w:tabs>
          <w:tab w:val="num" w:pos="1134"/>
        </w:tabs>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150B038E"/>
    <w:multiLevelType w:val="hybridMultilevel"/>
    <w:tmpl w:val="2F789E84"/>
    <w:lvl w:ilvl="0" w:tplc="D46CB8F8">
      <w:start w:val="1"/>
      <w:numFmt w:val="bullet"/>
      <w:lvlText w:val="-"/>
      <w:lvlJc w:val="left"/>
      <w:pPr>
        <w:tabs>
          <w:tab w:val="num" w:pos="360"/>
        </w:tabs>
        <w:ind w:left="360" w:hanging="360"/>
      </w:pPr>
      <w:rPr>
        <w:rFonts w:ascii="Calibri" w:eastAsia="Times New Roman" w:hAnsi="Calibri" w:cs="Calibri" w:hint="default"/>
        <w:color w:val="EC643C"/>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288C3662"/>
    <w:multiLevelType w:val="hybridMultilevel"/>
    <w:tmpl w:val="D9DC5B80"/>
    <w:lvl w:ilvl="0" w:tplc="D46CB8F8">
      <w:start w:val="1"/>
      <w:numFmt w:val="bullet"/>
      <w:lvlText w:val="-"/>
      <w:lvlJc w:val="left"/>
      <w:pPr>
        <w:ind w:left="720" w:hanging="360"/>
      </w:pPr>
      <w:rPr>
        <w:rFonts w:ascii="Calibri" w:eastAsia="Times New Roman" w:hAnsi="Calibri" w:cs="Calibri" w:hint="default"/>
        <w:color w:val="EC643C"/>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2BF876DE"/>
    <w:multiLevelType w:val="multilevel"/>
    <w:tmpl w:val="B7F496D4"/>
    <w:lvl w:ilvl="0">
      <w:start w:val="1"/>
      <w:numFmt w:val="bullet"/>
      <w:lvlRestart w:val="0"/>
      <w:pStyle w:val="TableBullet1Small"/>
      <w:lvlText w:val=""/>
      <w:lvlJc w:val="left"/>
      <w:pPr>
        <w:tabs>
          <w:tab w:val="num" w:pos="284"/>
        </w:tabs>
        <w:ind w:left="170" w:hanging="170"/>
      </w:pPr>
      <w:rPr>
        <w:rFonts w:ascii="Symbol" w:hAnsi="Symbol" w:hint="default"/>
        <w:b w:val="0"/>
        <w:i w:val="0"/>
        <w:color w:val="auto"/>
      </w:rPr>
    </w:lvl>
    <w:lvl w:ilvl="1">
      <w:start w:val="1"/>
      <w:numFmt w:val="bullet"/>
      <w:lvlRestart w:val="0"/>
      <w:pStyle w:val="TableBullet2Small"/>
      <w:lvlText w:val="–"/>
      <w:lvlJc w:val="left"/>
      <w:pPr>
        <w:tabs>
          <w:tab w:val="num" w:pos="567"/>
        </w:tabs>
        <w:ind w:left="340" w:hanging="170"/>
      </w:pPr>
      <w:rPr>
        <w:rFonts w:ascii="Arial" w:hAnsi="Arial" w:hint="default"/>
        <w:b w:val="0"/>
        <w:i w:val="0"/>
        <w:color w:val="auto"/>
      </w:rPr>
    </w:lvl>
    <w:lvl w:ilvl="2">
      <w:start w:val="1"/>
      <w:numFmt w:val="bullet"/>
      <w:lvlRestart w:val="0"/>
      <w:pStyle w:val="TableBullet3Small"/>
      <w:lvlText w:val="o"/>
      <w:lvlJc w:val="left"/>
      <w:pPr>
        <w:tabs>
          <w:tab w:val="num" w:pos="851"/>
        </w:tabs>
        <w:ind w:left="510" w:hanging="170"/>
      </w:pPr>
      <w:rPr>
        <w:rFonts w:ascii="Arial" w:hAnsi="Arial" w:hint="default"/>
        <w:b w:val="0"/>
        <w:i w:val="0"/>
        <w:color w:val="auto"/>
        <w:sz w:val="10"/>
        <w:szCs w:val="10"/>
      </w:rPr>
    </w:lvl>
    <w:lvl w:ilvl="3">
      <w:start w:val="1"/>
      <w:numFmt w:val="none"/>
      <w:lvlRestart w:val="0"/>
      <w:lvlText w:val=""/>
      <w:lvlJc w:val="left"/>
      <w:pPr>
        <w:tabs>
          <w:tab w:val="num" w:pos="2880"/>
        </w:tabs>
        <w:ind w:left="2880" w:hanging="720"/>
      </w:pPr>
      <w:rPr>
        <w:rFonts w:hint="default"/>
        <w:b w:val="0"/>
        <w:i w:val="0"/>
        <w:color w:val="auto"/>
        <w:sz w:val="10"/>
        <w:szCs w:val="10"/>
      </w:rPr>
    </w:lvl>
    <w:lvl w:ilvl="4">
      <w:start w:val="1"/>
      <w:numFmt w:val="lowerLetter"/>
      <w:lvlText w:val=""/>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8" w15:restartNumberingAfterBreak="0">
    <w:nsid w:val="3A93653F"/>
    <w:multiLevelType w:val="hybridMultilevel"/>
    <w:tmpl w:val="D708F5E6"/>
    <w:lvl w:ilvl="0" w:tplc="D46CB8F8">
      <w:start w:val="1"/>
      <w:numFmt w:val="bullet"/>
      <w:lvlText w:val="-"/>
      <w:lvlJc w:val="left"/>
      <w:pPr>
        <w:tabs>
          <w:tab w:val="num" w:pos="717"/>
        </w:tabs>
        <w:ind w:left="717" w:hanging="360"/>
      </w:pPr>
      <w:rPr>
        <w:rFonts w:ascii="Calibri" w:eastAsia="Times New Roman" w:hAnsi="Calibri" w:cs="Calibri" w:hint="default"/>
        <w:color w:val="EC643C"/>
      </w:rPr>
    </w:lvl>
    <w:lvl w:ilvl="1" w:tplc="D46CB8F8">
      <w:start w:val="1"/>
      <w:numFmt w:val="bullet"/>
      <w:lvlText w:val="-"/>
      <w:lvlJc w:val="left"/>
      <w:pPr>
        <w:ind w:left="1797" w:hanging="360"/>
      </w:pPr>
      <w:rPr>
        <w:rFonts w:ascii="Calibri" w:eastAsia="Times New Roman" w:hAnsi="Calibri" w:cs="Calibri" w:hint="default"/>
        <w:color w:val="EC643C"/>
      </w:rPr>
    </w:lvl>
    <w:lvl w:ilvl="2" w:tplc="14090005" w:tentative="1">
      <w:start w:val="1"/>
      <w:numFmt w:val="bullet"/>
      <w:lvlText w:val=""/>
      <w:lvlJc w:val="left"/>
      <w:pPr>
        <w:ind w:left="2517" w:hanging="360"/>
      </w:pPr>
      <w:rPr>
        <w:rFonts w:ascii="Wingdings" w:hAnsi="Wingdings" w:hint="default"/>
      </w:rPr>
    </w:lvl>
    <w:lvl w:ilvl="3" w:tplc="14090001" w:tentative="1">
      <w:start w:val="1"/>
      <w:numFmt w:val="bullet"/>
      <w:lvlText w:val=""/>
      <w:lvlJc w:val="left"/>
      <w:pPr>
        <w:ind w:left="3237" w:hanging="360"/>
      </w:pPr>
      <w:rPr>
        <w:rFonts w:ascii="Symbol" w:hAnsi="Symbol" w:hint="default"/>
      </w:rPr>
    </w:lvl>
    <w:lvl w:ilvl="4" w:tplc="14090003" w:tentative="1">
      <w:start w:val="1"/>
      <w:numFmt w:val="bullet"/>
      <w:lvlText w:val="o"/>
      <w:lvlJc w:val="left"/>
      <w:pPr>
        <w:ind w:left="3957" w:hanging="360"/>
      </w:pPr>
      <w:rPr>
        <w:rFonts w:ascii="Courier New" w:hAnsi="Courier New" w:cs="Courier New" w:hint="default"/>
      </w:rPr>
    </w:lvl>
    <w:lvl w:ilvl="5" w:tplc="14090005" w:tentative="1">
      <w:start w:val="1"/>
      <w:numFmt w:val="bullet"/>
      <w:lvlText w:val=""/>
      <w:lvlJc w:val="left"/>
      <w:pPr>
        <w:ind w:left="4677" w:hanging="360"/>
      </w:pPr>
      <w:rPr>
        <w:rFonts w:ascii="Wingdings" w:hAnsi="Wingdings" w:hint="default"/>
      </w:rPr>
    </w:lvl>
    <w:lvl w:ilvl="6" w:tplc="14090001" w:tentative="1">
      <w:start w:val="1"/>
      <w:numFmt w:val="bullet"/>
      <w:lvlText w:val=""/>
      <w:lvlJc w:val="left"/>
      <w:pPr>
        <w:ind w:left="5397" w:hanging="360"/>
      </w:pPr>
      <w:rPr>
        <w:rFonts w:ascii="Symbol" w:hAnsi="Symbol" w:hint="default"/>
      </w:rPr>
    </w:lvl>
    <w:lvl w:ilvl="7" w:tplc="14090003" w:tentative="1">
      <w:start w:val="1"/>
      <w:numFmt w:val="bullet"/>
      <w:lvlText w:val="o"/>
      <w:lvlJc w:val="left"/>
      <w:pPr>
        <w:ind w:left="6117" w:hanging="360"/>
      </w:pPr>
      <w:rPr>
        <w:rFonts w:ascii="Courier New" w:hAnsi="Courier New" w:cs="Courier New" w:hint="default"/>
      </w:rPr>
    </w:lvl>
    <w:lvl w:ilvl="8" w:tplc="14090005" w:tentative="1">
      <w:start w:val="1"/>
      <w:numFmt w:val="bullet"/>
      <w:lvlText w:val=""/>
      <w:lvlJc w:val="left"/>
      <w:pPr>
        <w:ind w:left="6837" w:hanging="360"/>
      </w:pPr>
      <w:rPr>
        <w:rFonts w:ascii="Wingdings" w:hAnsi="Wingdings" w:hint="default"/>
      </w:rPr>
    </w:lvl>
  </w:abstractNum>
  <w:abstractNum w:abstractNumId="19" w15:restartNumberingAfterBreak="0">
    <w:nsid w:val="3CA71F78"/>
    <w:multiLevelType w:val="hybridMultilevel"/>
    <w:tmpl w:val="0D76E58A"/>
    <w:lvl w:ilvl="0" w:tplc="33A80CE8">
      <w:start w:val="1"/>
      <w:numFmt w:val="bullet"/>
      <w:pStyle w:val="Dash"/>
      <w:lvlText w:val="–"/>
      <w:lvlJc w:val="left"/>
      <w:pPr>
        <w:tabs>
          <w:tab w:val="num" w:pos="567"/>
        </w:tabs>
        <w:ind w:left="567" w:hanging="283"/>
      </w:pPr>
      <w:rPr>
        <w:rFonts w:ascii="Arial" w:hAnsi="Arial" w:hint="default"/>
        <w:b w:val="0"/>
        <w:i w:val="0"/>
        <w:sz w:val="20"/>
        <w:szCs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CC04BA9"/>
    <w:multiLevelType w:val="hybridMultilevel"/>
    <w:tmpl w:val="D2083E9A"/>
    <w:lvl w:ilvl="0" w:tplc="1409000F">
      <w:start w:val="1"/>
      <w:numFmt w:val="decimal"/>
      <w:lvlText w:val="%1."/>
      <w:lvlJc w:val="left"/>
      <w:pPr>
        <w:tabs>
          <w:tab w:val="num" w:pos="2061"/>
        </w:tabs>
        <w:ind w:left="2061" w:hanging="360"/>
      </w:pPr>
      <w:rPr>
        <w:rFonts w:hint="default"/>
        <w:color w:val="EC643C"/>
      </w:rPr>
    </w:lvl>
    <w:lvl w:ilvl="1" w:tplc="FFFFFFFF">
      <w:start w:val="1"/>
      <w:numFmt w:val="bullet"/>
      <w:lvlText w:val="-"/>
      <w:lvlJc w:val="left"/>
      <w:pPr>
        <w:ind w:left="3141" w:hanging="360"/>
      </w:pPr>
      <w:rPr>
        <w:rFonts w:ascii="Calibri" w:eastAsia="Times New Roman" w:hAnsi="Calibri" w:cs="Calibri" w:hint="default"/>
        <w:color w:val="EC643C"/>
      </w:rPr>
    </w:lvl>
    <w:lvl w:ilvl="2" w:tplc="FFFFFFFF" w:tentative="1">
      <w:start w:val="1"/>
      <w:numFmt w:val="bullet"/>
      <w:lvlText w:val=""/>
      <w:lvlJc w:val="left"/>
      <w:pPr>
        <w:ind w:left="3861" w:hanging="360"/>
      </w:pPr>
      <w:rPr>
        <w:rFonts w:ascii="Wingdings" w:hAnsi="Wingdings" w:hint="default"/>
      </w:rPr>
    </w:lvl>
    <w:lvl w:ilvl="3" w:tplc="FFFFFFFF" w:tentative="1">
      <w:start w:val="1"/>
      <w:numFmt w:val="bullet"/>
      <w:lvlText w:val=""/>
      <w:lvlJc w:val="left"/>
      <w:pPr>
        <w:ind w:left="4581" w:hanging="360"/>
      </w:pPr>
      <w:rPr>
        <w:rFonts w:ascii="Symbol" w:hAnsi="Symbol" w:hint="default"/>
      </w:rPr>
    </w:lvl>
    <w:lvl w:ilvl="4" w:tplc="FFFFFFFF" w:tentative="1">
      <w:start w:val="1"/>
      <w:numFmt w:val="bullet"/>
      <w:lvlText w:val="o"/>
      <w:lvlJc w:val="left"/>
      <w:pPr>
        <w:ind w:left="5301" w:hanging="360"/>
      </w:pPr>
      <w:rPr>
        <w:rFonts w:ascii="Courier New" w:hAnsi="Courier New" w:cs="Courier New" w:hint="default"/>
      </w:rPr>
    </w:lvl>
    <w:lvl w:ilvl="5" w:tplc="FFFFFFFF" w:tentative="1">
      <w:start w:val="1"/>
      <w:numFmt w:val="bullet"/>
      <w:lvlText w:val=""/>
      <w:lvlJc w:val="left"/>
      <w:pPr>
        <w:ind w:left="6021" w:hanging="360"/>
      </w:pPr>
      <w:rPr>
        <w:rFonts w:ascii="Wingdings" w:hAnsi="Wingdings" w:hint="default"/>
      </w:rPr>
    </w:lvl>
    <w:lvl w:ilvl="6" w:tplc="FFFFFFFF" w:tentative="1">
      <w:start w:val="1"/>
      <w:numFmt w:val="bullet"/>
      <w:lvlText w:val=""/>
      <w:lvlJc w:val="left"/>
      <w:pPr>
        <w:ind w:left="6741" w:hanging="360"/>
      </w:pPr>
      <w:rPr>
        <w:rFonts w:ascii="Symbol" w:hAnsi="Symbol" w:hint="default"/>
      </w:rPr>
    </w:lvl>
    <w:lvl w:ilvl="7" w:tplc="FFFFFFFF" w:tentative="1">
      <w:start w:val="1"/>
      <w:numFmt w:val="bullet"/>
      <w:lvlText w:val="o"/>
      <w:lvlJc w:val="left"/>
      <w:pPr>
        <w:ind w:left="7461" w:hanging="360"/>
      </w:pPr>
      <w:rPr>
        <w:rFonts w:ascii="Courier New" w:hAnsi="Courier New" w:cs="Courier New" w:hint="default"/>
      </w:rPr>
    </w:lvl>
    <w:lvl w:ilvl="8" w:tplc="FFFFFFFF" w:tentative="1">
      <w:start w:val="1"/>
      <w:numFmt w:val="bullet"/>
      <w:lvlText w:val=""/>
      <w:lvlJc w:val="left"/>
      <w:pPr>
        <w:ind w:left="8181" w:hanging="360"/>
      </w:pPr>
      <w:rPr>
        <w:rFonts w:ascii="Wingdings" w:hAnsi="Wingdings" w:hint="default"/>
      </w:rPr>
    </w:lvl>
  </w:abstractNum>
  <w:abstractNum w:abstractNumId="21" w15:restartNumberingAfterBreak="0">
    <w:nsid w:val="3E1B4B61"/>
    <w:multiLevelType w:val="hybridMultilevel"/>
    <w:tmpl w:val="C762B5D4"/>
    <w:lvl w:ilvl="0" w:tplc="5220E7D8">
      <w:start w:val="1"/>
      <w:numFmt w:val="bullet"/>
      <w:pStyle w:val="ListBullet"/>
      <w:lvlText w:val="›"/>
      <w:lvlJc w:val="left"/>
      <w:pPr>
        <w:tabs>
          <w:tab w:val="num" w:pos="360"/>
        </w:tabs>
        <w:ind w:left="360" w:hanging="360"/>
      </w:pPr>
      <w:rPr>
        <w:rFonts w:ascii="Portada" w:hAnsi="Portada" w:hint="default"/>
        <w:color w:val="EC643C"/>
      </w:rPr>
    </w:lvl>
    <w:lvl w:ilvl="1" w:tplc="D46CB8F8">
      <w:start w:val="1"/>
      <w:numFmt w:val="bullet"/>
      <w:lvlText w:val="-"/>
      <w:lvlJc w:val="left"/>
      <w:pPr>
        <w:ind w:left="1440" w:hanging="360"/>
      </w:pPr>
      <w:rPr>
        <w:rFonts w:ascii="Calibri" w:eastAsia="Times New Roman" w:hAnsi="Calibri" w:cs="Calibri" w:hint="default"/>
        <w:color w:val="EC643C"/>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400E20E8"/>
    <w:multiLevelType w:val="hybridMultilevel"/>
    <w:tmpl w:val="FD9CE56E"/>
    <w:lvl w:ilvl="0" w:tplc="84F4142A">
      <w:start w:val="1"/>
      <w:numFmt w:val="bullet"/>
      <w:pStyle w:val="TableDash"/>
      <w:lvlText w:val="–"/>
      <w:lvlJc w:val="left"/>
      <w:pPr>
        <w:tabs>
          <w:tab w:val="num" w:pos="567"/>
        </w:tabs>
        <w:ind w:left="567" w:hanging="283"/>
      </w:pPr>
      <w:rPr>
        <w:rFonts w:ascii="Arial Mäori" w:hAnsi="Arial Mäori" w:hint="default"/>
        <w:color w:val="auto"/>
        <w:sz w:val="16"/>
        <w:szCs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1A21F0A"/>
    <w:multiLevelType w:val="hybridMultilevel"/>
    <w:tmpl w:val="C93A44AE"/>
    <w:lvl w:ilvl="0" w:tplc="2FEE43FA">
      <w:start w:val="1"/>
      <w:numFmt w:val="bullet"/>
      <w:pStyle w:val="Tablebulletx2"/>
      <w:lvlText w:val="-"/>
      <w:lvlJc w:val="left"/>
      <w:pPr>
        <w:tabs>
          <w:tab w:val="num" w:pos="360"/>
        </w:tabs>
        <w:ind w:left="360" w:hanging="360"/>
      </w:pPr>
      <w:rPr>
        <w:rFonts w:ascii="Calibri" w:eastAsia="Times New Roman" w:hAnsi="Calibri" w:cs="Calibri" w:hint="default"/>
        <w:color w:val="EC643C"/>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514228F8"/>
    <w:multiLevelType w:val="hybridMultilevel"/>
    <w:tmpl w:val="52C25420"/>
    <w:lvl w:ilvl="0" w:tplc="D1A8DA86">
      <w:start w:val="1"/>
      <w:numFmt w:val="bullet"/>
      <w:pStyle w:val="ListBullet2nd"/>
      <w:lvlText w:val="-"/>
      <w:lvlJc w:val="left"/>
      <w:pPr>
        <w:ind w:left="720" w:hanging="360"/>
      </w:pPr>
      <w:rPr>
        <w:rFonts w:ascii="Calibri" w:eastAsia="Times New Roman" w:hAnsi="Calibri" w:cs="Calibri" w:hint="default"/>
        <w:color w:val="EC643C"/>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66B63BF"/>
    <w:multiLevelType w:val="multilevel"/>
    <w:tmpl w:val="8688ACE0"/>
    <w:styleLink w:val="CurrentList1"/>
    <w:lvl w:ilvl="0">
      <w:start w:val="1"/>
      <w:numFmt w:val="bullet"/>
      <w:lvlText w:val="&gt;"/>
      <w:lvlJc w:val="left"/>
      <w:pPr>
        <w:tabs>
          <w:tab w:val="num" w:pos="360"/>
        </w:tabs>
        <w:ind w:left="360" w:hanging="360"/>
      </w:pPr>
      <w:rPr>
        <w:rFonts w:ascii="Portada" w:hAnsi="Portada" w:hint="default"/>
        <w:color w:val="EC643C"/>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76531262"/>
    <w:multiLevelType w:val="hybridMultilevel"/>
    <w:tmpl w:val="63B81CD4"/>
    <w:lvl w:ilvl="0" w:tplc="5C686284">
      <w:start w:val="1"/>
      <w:numFmt w:val="decimal"/>
      <w:pStyle w:val="FigureHeading"/>
      <w:lvlText w:val="Figure %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7" w15:restartNumberingAfterBreak="0">
    <w:nsid w:val="77C17027"/>
    <w:multiLevelType w:val="multilevel"/>
    <w:tmpl w:val="1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27"/>
  </w:num>
  <w:num w:numId="2">
    <w:abstractNumId w:val="26"/>
  </w:num>
  <w:num w:numId="3">
    <w:abstractNumId w:val="10"/>
  </w:num>
  <w:num w:numId="4">
    <w:abstractNumId w:val="14"/>
  </w:num>
  <w:num w:numId="5">
    <w:abstractNumId w:val="11"/>
  </w:num>
  <w:num w:numId="6">
    <w:abstractNumId w:val="19"/>
  </w:num>
  <w:num w:numId="7">
    <w:abstractNumId w:val="22"/>
  </w:num>
  <w:num w:numId="8">
    <w:abstractNumId w:val="12"/>
  </w:num>
  <w:num w:numId="9">
    <w:abstractNumId w:val="9"/>
  </w:num>
  <w:num w:numId="10">
    <w:abstractNumId w:val="21"/>
  </w:num>
  <w:num w:numId="11">
    <w:abstractNumId w:val="25"/>
  </w:num>
  <w:num w:numId="12">
    <w:abstractNumId w:val="24"/>
  </w:num>
  <w:num w:numId="13">
    <w:abstractNumId w:val="16"/>
  </w:num>
  <w:num w:numId="14">
    <w:abstractNumId w:val="15"/>
  </w:num>
  <w:num w:numId="15">
    <w:abstractNumId w:val="13"/>
  </w:num>
  <w:num w:numId="16">
    <w:abstractNumId w:val="17"/>
  </w:num>
  <w:num w:numId="17">
    <w:abstractNumId w:val="23"/>
  </w:num>
  <w:num w:numId="18">
    <w:abstractNumId w:val="18"/>
  </w:num>
  <w:num w:numId="19">
    <w:abstractNumId w:val="20"/>
  </w:num>
  <w:num w:numId="20">
    <w:abstractNumId w:val="7"/>
  </w:num>
  <w:num w:numId="21">
    <w:abstractNumId w:val="6"/>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embedTrueTypeFonts/>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edit="trackedChanges" w:enforcement="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23EF"/>
    <w:rsid w:val="000044F4"/>
    <w:rsid w:val="000046E6"/>
    <w:rsid w:val="000054FB"/>
    <w:rsid w:val="0000586F"/>
    <w:rsid w:val="00005C7D"/>
    <w:rsid w:val="00005CE9"/>
    <w:rsid w:val="00006CFD"/>
    <w:rsid w:val="00007897"/>
    <w:rsid w:val="00007BD3"/>
    <w:rsid w:val="000129C3"/>
    <w:rsid w:val="00013404"/>
    <w:rsid w:val="000138B3"/>
    <w:rsid w:val="00015D5F"/>
    <w:rsid w:val="000171BD"/>
    <w:rsid w:val="00022A1C"/>
    <w:rsid w:val="00022ADF"/>
    <w:rsid w:val="00023266"/>
    <w:rsid w:val="000263EE"/>
    <w:rsid w:val="000267DF"/>
    <w:rsid w:val="00027A19"/>
    <w:rsid w:val="000305BC"/>
    <w:rsid w:val="00032C82"/>
    <w:rsid w:val="0003318D"/>
    <w:rsid w:val="0003466A"/>
    <w:rsid w:val="00034B60"/>
    <w:rsid w:val="00035AB1"/>
    <w:rsid w:val="00036346"/>
    <w:rsid w:val="000365C9"/>
    <w:rsid w:val="0003715B"/>
    <w:rsid w:val="00037CE0"/>
    <w:rsid w:val="000414D2"/>
    <w:rsid w:val="00041FC4"/>
    <w:rsid w:val="00050D50"/>
    <w:rsid w:val="00051080"/>
    <w:rsid w:val="00052F80"/>
    <w:rsid w:val="000569DC"/>
    <w:rsid w:val="0006109D"/>
    <w:rsid w:val="00063071"/>
    <w:rsid w:val="0006428B"/>
    <w:rsid w:val="00064AC4"/>
    <w:rsid w:val="00064D95"/>
    <w:rsid w:val="0006568C"/>
    <w:rsid w:val="00066807"/>
    <w:rsid w:val="00067134"/>
    <w:rsid w:val="000679BA"/>
    <w:rsid w:val="00070548"/>
    <w:rsid w:val="00070846"/>
    <w:rsid w:val="0007324D"/>
    <w:rsid w:val="00073982"/>
    <w:rsid w:val="00075859"/>
    <w:rsid w:val="0007595D"/>
    <w:rsid w:val="000761A5"/>
    <w:rsid w:val="00076DF0"/>
    <w:rsid w:val="0007702F"/>
    <w:rsid w:val="00080667"/>
    <w:rsid w:val="000816A1"/>
    <w:rsid w:val="00081965"/>
    <w:rsid w:val="00081E00"/>
    <w:rsid w:val="00082BBC"/>
    <w:rsid w:val="00082C29"/>
    <w:rsid w:val="00082E4F"/>
    <w:rsid w:val="0008530E"/>
    <w:rsid w:val="0008567C"/>
    <w:rsid w:val="00086269"/>
    <w:rsid w:val="00091722"/>
    <w:rsid w:val="0009438C"/>
    <w:rsid w:val="00094502"/>
    <w:rsid w:val="000945A1"/>
    <w:rsid w:val="00095254"/>
    <w:rsid w:val="00095739"/>
    <w:rsid w:val="000962F9"/>
    <w:rsid w:val="000A0E3D"/>
    <w:rsid w:val="000A1193"/>
    <w:rsid w:val="000A1B47"/>
    <w:rsid w:val="000A2098"/>
    <w:rsid w:val="000A2130"/>
    <w:rsid w:val="000A26AD"/>
    <w:rsid w:val="000A29EA"/>
    <w:rsid w:val="000A40E5"/>
    <w:rsid w:val="000A66F0"/>
    <w:rsid w:val="000A6AEE"/>
    <w:rsid w:val="000A6D39"/>
    <w:rsid w:val="000B0E16"/>
    <w:rsid w:val="000B23BD"/>
    <w:rsid w:val="000B4965"/>
    <w:rsid w:val="000B7201"/>
    <w:rsid w:val="000C07BF"/>
    <w:rsid w:val="000C15C9"/>
    <w:rsid w:val="000C1E95"/>
    <w:rsid w:val="000C332A"/>
    <w:rsid w:val="000C41E7"/>
    <w:rsid w:val="000C4D5D"/>
    <w:rsid w:val="000C72D0"/>
    <w:rsid w:val="000C72D2"/>
    <w:rsid w:val="000C795F"/>
    <w:rsid w:val="000D56CB"/>
    <w:rsid w:val="000D6931"/>
    <w:rsid w:val="000D6A02"/>
    <w:rsid w:val="000D6C06"/>
    <w:rsid w:val="000D6D57"/>
    <w:rsid w:val="000D75B7"/>
    <w:rsid w:val="000E0ADB"/>
    <w:rsid w:val="000E244F"/>
    <w:rsid w:val="000E27F8"/>
    <w:rsid w:val="000E2AD2"/>
    <w:rsid w:val="000E2CC2"/>
    <w:rsid w:val="000E4969"/>
    <w:rsid w:val="000E5D5D"/>
    <w:rsid w:val="000E6E92"/>
    <w:rsid w:val="000E713F"/>
    <w:rsid w:val="000F0208"/>
    <w:rsid w:val="000F3080"/>
    <w:rsid w:val="000F49FD"/>
    <w:rsid w:val="000F63F0"/>
    <w:rsid w:val="000F7470"/>
    <w:rsid w:val="00101168"/>
    <w:rsid w:val="00104019"/>
    <w:rsid w:val="00104433"/>
    <w:rsid w:val="001051EE"/>
    <w:rsid w:val="00105458"/>
    <w:rsid w:val="00105F90"/>
    <w:rsid w:val="00106D35"/>
    <w:rsid w:val="001073D2"/>
    <w:rsid w:val="00107FE3"/>
    <w:rsid w:val="0011183A"/>
    <w:rsid w:val="00111A9B"/>
    <w:rsid w:val="00113A05"/>
    <w:rsid w:val="00113A8E"/>
    <w:rsid w:val="001145E0"/>
    <w:rsid w:val="00116510"/>
    <w:rsid w:val="0012029B"/>
    <w:rsid w:val="001217B0"/>
    <w:rsid w:val="00121D01"/>
    <w:rsid w:val="001225A8"/>
    <w:rsid w:val="00123A4C"/>
    <w:rsid w:val="00125C52"/>
    <w:rsid w:val="00126297"/>
    <w:rsid w:val="001268CD"/>
    <w:rsid w:val="00126B1A"/>
    <w:rsid w:val="00126B8A"/>
    <w:rsid w:val="00131266"/>
    <w:rsid w:val="00132493"/>
    <w:rsid w:val="00133851"/>
    <w:rsid w:val="001347BD"/>
    <w:rsid w:val="00134AE3"/>
    <w:rsid w:val="00134F81"/>
    <w:rsid w:val="0013550A"/>
    <w:rsid w:val="00135FB4"/>
    <w:rsid w:val="00136CAF"/>
    <w:rsid w:val="00137565"/>
    <w:rsid w:val="00141081"/>
    <w:rsid w:val="0014123A"/>
    <w:rsid w:val="00141372"/>
    <w:rsid w:val="00141B41"/>
    <w:rsid w:val="001421D6"/>
    <w:rsid w:val="001423AF"/>
    <w:rsid w:val="00143B0A"/>
    <w:rsid w:val="001440D8"/>
    <w:rsid w:val="00147978"/>
    <w:rsid w:val="001547A6"/>
    <w:rsid w:val="00154985"/>
    <w:rsid w:val="00154E21"/>
    <w:rsid w:val="00155589"/>
    <w:rsid w:val="00156F3D"/>
    <w:rsid w:val="001576AC"/>
    <w:rsid w:val="00160241"/>
    <w:rsid w:val="00161174"/>
    <w:rsid w:val="00161212"/>
    <w:rsid w:val="0016156C"/>
    <w:rsid w:val="001633FF"/>
    <w:rsid w:val="0016433B"/>
    <w:rsid w:val="00164992"/>
    <w:rsid w:val="00166134"/>
    <w:rsid w:val="00170F09"/>
    <w:rsid w:val="00171699"/>
    <w:rsid w:val="00171A5F"/>
    <w:rsid w:val="001720FF"/>
    <w:rsid w:val="001736F9"/>
    <w:rsid w:val="00173E34"/>
    <w:rsid w:val="00173ED7"/>
    <w:rsid w:val="00174710"/>
    <w:rsid w:val="00175003"/>
    <w:rsid w:val="00176002"/>
    <w:rsid w:val="00181B3B"/>
    <w:rsid w:val="00182105"/>
    <w:rsid w:val="00182294"/>
    <w:rsid w:val="001838BE"/>
    <w:rsid w:val="00187B19"/>
    <w:rsid w:val="00187C08"/>
    <w:rsid w:val="00191BE0"/>
    <w:rsid w:val="00193A81"/>
    <w:rsid w:val="00194037"/>
    <w:rsid w:val="00194494"/>
    <w:rsid w:val="001944F4"/>
    <w:rsid w:val="00194A5B"/>
    <w:rsid w:val="00194E5C"/>
    <w:rsid w:val="00195502"/>
    <w:rsid w:val="0019729D"/>
    <w:rsid w:val="001A3B48"/>
    <w:rsid w:val="001B01C8"/>
    <w:rsid w:val="001B0705"/>
    <w:rsid w:val="001B10CE"/>
    <w:rsid w:val="001B10E8"/>
    <w:rsid w:val="001B210C"/>
    <w:rsid w:val="001B3100"/>
    <w:rsid w:val="001B310C"/>
    <w:rsid w:val="001B480F"/>
    <w:rsid w:val="001B497F"/>
    <w:rsid w:val="001B4FF0"/>
    <w:rsid w:val="001B5EE3"/>
    <w:rsid w:val="001B65DB"/>
    <w:rsid w:val="001B6F37"/>
    <w:rsid w:val="001C01F4"/>
    <w:rsid w:val="001C0FD5"/>
    <w:rsid w:val="001C2957"/>
    <w:rsid w:val="001C37DC"/>
    <w:rsid w:val="001C5000"/>
    <w:rsid w:val="001C61B7"/>
    <w:rsid w:val="001C7447"/>
    <w:rsid w:val="001C79CF"/>
    <w:rsid w:val="001D091F"/>
    <w:rsid w:val="001D32EB"/>
    <w:rsid w:val="001D41B9"/>
    <w:rsid w:val="001D4F70"/>
    <w:rsid w:val="001D5B45"/>
    <w:rsid w:val="001D6B40"/>
    <w:rsid w:val="001E02F3"/>
    <w:rsid w:val="001E0FFB"/>
    <w:rsid w:val="001E1225"/>
    <w:rsid w:val="001E1CFF"/>
    <w:rsid w:val="001E22DA"/>
    <w:rsid w:val="001E40E3"/>
    <w:rsid w:val="001E4DD7"/>
    <w:rsid w:val="001E68F9"/>
    <w:rsid w:val="001E7210"/>
    <w:rsid w:val="001E7736"/>
    <w:rsid w:val="001E7922"/>
    <w:rsid w:val="001F1A16"/>
    <w:rsid w:val="001F2097"/>
    <w:rsid w:val="001F3723"/>
    <w:rsid w:val="001F38F6"/>
    <w:rsid w:val="001F4214"/>
    <w:rsid w:val="001F6D27"/>
    <w:rsid w:val="001F7376"/>
    <w:rsid w:val="00202F5F"/>
    <w:rsid w:val="00204FA8"/>
    <w:rsid w:val="0020676C"/>
    <w:rsid w:val="00207317"/>
    <w:rsid w:val="00210E7B"/>
    <w:rsid w:val="00210EE6"/>
    <w:rsid w:val="00211346"/>
    <w:rsid w:val="002127CB"/>
    <w:rsid w:val="00212D71"/>
    <w:rsid w:val="00212D7B"/>
    <w:rsid w:val="00212D9F"/>
    <w:rsid w:val="00213170"/>
    <w:rsid w:val="00213654"/>
    <w:rsid w:val="00214A7A"/>
    <w:rsid w:val="00214B88"/>
    <w:rsid w:val="00215585"/>
    <w:rsid w:val="00215904"/>
    <w:rsid w:val="002170B6"/>
    <w:rsid w:val="002206CD"/>
    <w:rsid w:val="002221F3"/>
    <w:rsid w:val="00225F7C"/>
    <w:rsid w:val="00226503"/>
    <w:rsid w:val="0022734E"/>
    <w:rsid w:val="00227FB9"/>
    <w:rsid w:val="00230030"/>
    <w:rsid w:val="00230F0E"/>
    <w:rsid w:val="002310B3"/>
    <w:rsid w:val="00236898"/>
    <w:rsid w:val="0024070C"/>
    <w:rsid w:val="00243FA2"/>
    <w:rsid w:val="002475F8"/>
    <w:rsid w:val="00247E60"/>
    <w:rsid w:val="002506E2"/>
    <w:rsid w:val="00251287"/>
    <w:rsid w:val="00253908"/>
    <w:rsid w:val="00253DED"/>
    <w:rsid w:val="00255EE2"/>
    <w:rsid w:val="00257558"/>
    <w:rsid w:val="00260912"/>
    <w:rsid w:val="0026190F"/>
    <w:rsid w:val="002621D2"/>
    <w:rsid w:val="0026349E"/>
    <w:rsid w:val="00263F60"/>
    <w:rsid w:val="0026484B"/>
    <w:rsid w:val="002654C1"/>
    <w:rsid w:val="00265DD7"/>
    <w:rsid w:val="0026705B"/>
    <w:rsid w:val="00271980"/>
    <w:rsid w:val="0027655F"/>
    <w:rsid w:val="002808C3"/>
    <w:rsid w:val="00282EFF"/>
    <w:rsid w:val="00286EC2"/>
    <w:rsid w:val="002926DD"/>
    <w:rsid w:val="00292E25"/>
    <w:rsid w:val="00292E8A"/>
    <w:rsid w:val="00293670"/>
    <w:rsid w:val="002A0319"/>
    <w:rsid w:val="002A04E1"/>
    <w:rsid w:val="002A0A78"/>
    <w:rsid w:val="002A10ED"/>
    <w:rsid w:val="002A5734"/>
    <w:rsid w:val="002A58ED"/>
    <w:rsid w:val="002B0276"/>
    <w:rsid w:val="002B22F4"/>
    <w:rsid w:val="002B23CF"/>
    <w:rsid w:val="002B260F"/>
    <w:rsid w:val="002B312B"/>
    <w:rsid w:val="002B5669"/>
    <w:rsid w:val="002B7430"/>
    <w:rsid w:val="002B7D20"/>
    <w:rsid w:val="002C0130"/>
    <w:rsid w:val="002C08E4"/>
    <w:rsid w:val="002C30F1"/>
    <w:rsid w:val="002C4A4E"/>
    <w:rsid w:val="002C61E2"/>
    <w:rsid w:val="002C6504"/>
    <w:rsid w:val="002C691C"/>
    <w:rsid w:val="002D1584"/>
    <w:rsid w:val="002D2260"/>
    <w:rsid w:val="002D2ED8"/>
    <w:rsid w:val="002D3778"/>
    <w:rsid w:val="002D4677"/>
    <w:rsid w:val="002D51A2"/>
    <w:rsid w:val="002D6A0F"/>
    <w:rsid w:val="002D75B6"/>
    <w:rsid w:val="002E1D73"/>
    <w:rsid w:val="002E203C"/>
    <w:rsid w:val="002E2C0A"/>
    <w:rsid w:val="002E32BF"/>
    <w:rsid w:val="002E3B9F"/>
    <w:rsid w:val="002E5E47"/>
    <w:rsid w:val="002E5F07"/>
    <w:rsid w:val="002E5FA6"/>
    <w:rsid w:val="002F11B8"/>
    <w:rsid w:val="002F1DC5"/>
    <w:rsid w:val="002F555E"/>
    <w:rsid w:val="002F626F"/>
    <w:rsid w:val="002F67A3"/>
    <w:rsid w:val="002F76B4"/>
    <w:rsid w:val="003002D6"/>
    <w:rsid w:val="003023E9"/>
    <w:rsid w:val="00304C87"/>
    <w:rsid w:val="00305094"/>
    <w:rsid w:val="00306B98"/>
    <w:rsid w:val="003075A1"/>
    <w:rsid w:val="003079E7"/>
    <w:rsid w:val="00307C31"/>
    <w:rsid w:val="00307F19"/>
    <w:rsid w:val="0031054D"/>
    <w:rsid w:val="00311156"/>
    <w:rsid w:val="003112D2"/>
    <w:rsid w:val="0031161C"/>
    <w:rsid w:val="00311953"/>
    <w:rsid w:val="0031265A"/>
    <w:rsid w:val="00312BA3"/>
    <w:rsid w:val="003137E7"/>
    <w:rsid w:val="00313C35"/>
    <w:rsid w:val="0031509E"/>
    <w:rsid w:val="00315606"/>
    <w:rsid w:val="00316215"/>
    <w:rsid w:val="00316641"/>
    <w:rsid w:val="003170E2"/>
    <w:rsid w:val="003203AE"/>
    <w:rsid w:val="003220E7"/>
    <w:rsid w:val="00322675"/>
    <w:rsid w:val="003227B0"/>
    <w:rsid w:val="003227BD"/>
    <w:rsid w:val="00322EF4"/>
    <w:rsid w:val="00325037"/>
    <w:rsid w:val="00326D0D"/>
    <w:rsid w:val="00327C4A"/>
    <w:rsid w:val="003309D8"/>
    <w:rsid w:val="00330EC2"/>
    <w:rsid w:val="00331D33"/>
    <w:rsid w:val="00331DA6"/>
    <w:rsid w:val="0033203E"/>
    <w:rsid w:val="0033204F"/>
    <w:rsid w:val="00332440"/>
    <w:rsid w:val="00336995"/>
    <w:rsid w:val="00340C10"/>
    <w:rsid w:val="00343840"/>
    <w:rsid w:val="00344280"/>
    <w:rsid w:val="00344D8B"/>
    <w:rsid w:val="00345F2E"/>
    <w:rsid w:val="00345F71"/>
    <w:rsid w:val="003460DD"/>
    <w:rsid w:val="0034677C"/>
    <w:rsid w:val="00346E86"/>
    <w:rsid w:val="0034788B"/>
    <w:rsid w:val="00347D10"/>
    <w:rsid w:val="003504FA"/>
    <w:rsid w:val="003512A9"/>
    <w:rsid w:val="003521B3"/>
    <w:rsid w:val="00353DE4"/>
    <w:rsid w:val="003542AB"/>
    <w:rsid w:val="003551C4"/>
    <w:rsid w:val="00355975"/>
    <w:rsid w:val="00355B33"/>
    <w:rsid w:val="0036039B"/>
    <w:rsid w:val="003615DA"/>
    <w:rsid w:val="00362D33"/>
    <w:rsid w:val="00363DBD"/>
    <w:rsid w:val="003647B2"/>
    <w:rsid w:val="003659AB"/>
    <w:rsid w:val="003660EE"/>
    <w:rsid w:val="00370573"/>
    <w:rsid w:val="00370E84"/>
    <w:rsid w:val="003716F6"/>
    <w:rsid w:val="0037281D"/>
    <w:rsid w:val="00375A49"/>
    <w:rsid w:val="00376826"/>
    <w:rsid w:val="00380D21"/>
    <w:rsid w:val="00380D5C"/>
    <w:rsid w:val="0038103A"/>
    <w:rsid w:val="003819B7"/>
    <w:rsid w:val="00382C12"/>
    <w:rsid w:val="003861BE"/>
    <w:rsid w:val="00386C2F"/>
    <w:rsid w:val="00387549"/>
    <w:rsid w:val="0038771F"/>
    <w:rsid w:val="003906B7"/>
    <w:rsid w:val="0039176F"/>
    <w:rsid w:val="0039348E"/>
    <w:rsid w:val="003938F1"/>
    <w:rsid w:val="003939AD"/>
    <w:rsid w:val="003942A6"/>
    <w:rsid w:val="0039578B"/>
    <w:rsid w:val="00395866"/>
    <w:rsid w:val="003965AF"/>
    <w:rsid w:val="00396896"/>
    <w:rsid w:val="00397D6F"/>
    <w:rsid w:val="003A059B"/>
    <w:rsid w:val="003A0F1B"/>
    <w:rsid w:val="003A24FF"/>
    <w:rsid w:val="003A269A"/>
    <w:rsid w:val="003A2E9B"/>
    <w:rsid w:val="003A3D73"/>
    <w:rsid w:val="003A45FA"/>
    <w:rsid w:val="003A52AF"/>
    <w:rsid w:val="003A54F8"/>
    <w:rsid w:val="003A6362"/>
    <w:rsid w:val="003B2739"/>
    <w:rsid w:val="003B2A04"/>
    <w:rsid w:val="003B2F8E"/>
    <w:rsid w:val="003B37A0"/>
    <w:rsid w:val="003B78CC"/>
    <w:rsid w:val="003C0C50"/>
    <w:rsid w:val="003C13FA"/>
    <w:rsid w:val="003C2898"/>
    <w:rsid w:val="003D0F8B"/>
    <w:rsid w:val="003D1177"/>
    <w:rsid w:val="003D1B80"/>
    <w:rsid w:val="003D7091"/>
    <w:rsid w:val="003D7932"/>
    <w:rsid w:val="003D7A22"/>
    <w:rsid w:val="003E3C52"/>
    <w:rsid w:val="003E4C92"/>
    <w:rsid w:val="003E6681"/>
    <w:rsid w:val="003E7638"/>
    <w:rsid w:val="003E7C52"/>
    <w:rsid w:val="003F2380"/>
    <w:rsid w:val="003F62DA"/>
    <w:rsid w:val="003F690E"/>
    <w:rsid w:val="003F69D5"/>
    <w:rsid w:val="00402488"/>
    <w:rsid w:val="004027D6"/>
    <w:rsid w:val="00402DC5"/>
    <w:rsid w:val="0040362C"/>
    <w:rsid w:val="00404F85"/>
    <w:rsid w:val="00405486"/>
    <w:rsid w:val="0040606A"/>
    <w:rsid w:val="004060D7"/>
    <w:rsid w:val="00406211"/>
    <w:rsid w:val="00406E08"/>
    <w:rsid w:val="00410BED"/>
    <w:rsid w:val="00410EA6"/>
    <w:rsid w:val="00411C99"/>
    <w:rsid w:val="00411E57"/>
    <w:rsid w:val="004120EF"/>
    <w:rsid w:val="004147CC"/>
    <w:rsid w:val="00414EF7"/>
    <w:rsid w:val="00415FB9"/>
    <w:rsid w:val="0042020C"/>
    <w:rsid w:val="00420E50"/>
    <w:rsid w:val="00421241"/>
    <w:rsid w:val="004239CC"/>
    <w:rsid w:val="004247C4"/>
    <w:rsid w:val="00425212"/>
    <w:rsid w:val="00425255"/>
    <w:rsid w:val="00430345"/>
    <w:rsid w:val="004310AF"/>
    <w:rsid w:val="00432826"/>
    <w:rsid w:val="00433F98"/>
    <w:rsid w:val="004341FC"/>
    <w:rsid w:val="0043676F"/>
    <w:rsid w:val="00441AEC"/>
    <w:rsid w:val="00442363"/>
    <w:rsid w:val="00442777"/>
    <w:rsid w:val="0044394F"/>
    <w:rsid w:val="004441D7"/>
    <w:rsid w:val="00445000"/>
    <w:rsid w:val="00446ABA"/>
    <w:rsid w:val="004500F0"/>
    <w:rsid w:val="00450199"/>
    <w:rsid w:val="004502A5"/>
    <w:rsid w:val="004504AC"/>
    <w:rsid w:val="004505B4"/>
    <w:rsid w:val="00452262"/>
    <w:rsid w:val="00454D54"/>
    <w:rsid w:val="00455959"/>
    <w:rsid w:val="00455ACA"/>
    <w:rsid w:val="00456019"/>
    <w:rsid w:val="004577EF"/>
    <w:rsid w:val="00462B6B"/>
    <w:rsid w:val="00463D59"/>
    <w:rsid w:val="00465C53"/>
    <w:rsid w:val="00465D89"/>
    <w:rsid w:val="00465E0D"/>
    <w:rsid w:val="00466403"/>
    <w:rsid w:val="00466A3E"/>
    <w:rsid w:val="00466E1F"/>
    <w:rsid w:val="00467869"/>
    <w:rsid w:val="00471148"/>
    <w:rsid w:val="0047226F"/>
    <w:rsid w:val="00472652"/>
    <w:rsid w:val="00472D92"/>
    <w:rsid w:val="004748D1"/>
    <w:rsid w:val="0047548F"/>
    <w:rsid w:val="004754C2"/>
    <w:rsid w:val="00477B61"/>
    <w:rsid w:val="0048003C"/>
    <w:rsid w:val="00481C64"/>
    <w:rsid w:val="00482E43"/>
    <w:rsid w:val="00484368"/>
    <w:rsid w:val="004845F4"/>
    <w:rsid w:val="004854B0"/>
    <w:rsid w:val="00485B1A"/>
    <w:rsid w:val="00486A3F"/>
    <w:rsid w:val="00487182"/>
    <w:rsid w:val="004912ED"/>
    <w:rsid w:val="004915E6"/>
    <w:rsid w:val="00492F23"/>
    <w:rsid w:val="00494845"/>
    <w:rsid w:val="004949A2"/>
    <w:rsid w:val="00495BFC"/>
    <w:rsid w:val="00497EF6"/>
    <w:rsid w:val="004A2191"/>
    <w:rsid w:val="004A4C05"/>
    <w:rsid w:val="004A580B"/>
    <w:rsid w:val="004A598F"/>
    <w:rsid w:val="004A5FC8"/>
    <w:rsid w:val="004A766E"/>
    <w:rsid w:val="004A7A0E"/>
    <w:rsid w:val="004B0A41"/>
    <w:rsid w:val="004B16C5"/>
    <w:rsid w:val="004B1A39"/>
    <w:rsid w:val="004B2758"/>
    <w:rsid w:val="004B3CBF"/>
    <w:rsid w:val="004B3E47"/>
    <w:rsid w:val="004B43FB"/>
    <w:rsid w:val="004B62C1"/>
    <w:rsid w:val="004B634F"/>
    <w:rsid w:val="004B740C"/>
    <w:rsid w:val="004B7BD9"/>
    <w:rsid w:val="004B7EA7"/>
    <w:rsid w:val="004C079C"/>
    <w:rsid w:val="004C13D4"/>
    <w:rsid w:val="004C1C6E"/>
    <w:rsid w:val="004C20C5"/>
    <w:rsid w:val="004C3121"/>
    <w:rsid w:val="004C518F"/>
    <w:rsid w:val="004C5B64"/>
    <w:rsid w:val="004C62A5"/>
    <w:rsid w:val="004C63B1"/>
    <w:rsid w:val="004C7440"/>
    <w:rsid w:val="004C7757"/>
    <w:rsid w:val="004D06E8"/>
    <w:rsid w:val="004D0FF6"/>
    <w:rsid w:val="004D126A"/>
    <w:rsid w:val="004D2066"/>
    <w:rsid w:val="004D2B03"/>
    <w:rsid w:val="004D5EB2"/>
    <w:rsid w:val="004D6021"/>
    <w:rsid w:val="004D6DA6"/>
    <w:rsid w:val="004D7306"/>
    <w:rsid w:val="004D7920"/>
    <w:rsid w:val="004E00F4"/>
    <w:rsid w:val="004E0254"/>
    <w:rsid w:val="004E049E"/>
    <w:rsid w:val="004E08A4"/>
    <w:rsid w:val="004E0E19"/>
    <w:rsid w:val="004E0FA1"/>
    <w:rsid w:val="004E276A"/>
    <w:rsid w:val="004E2E5E"/>
    <w:rsid w:val="004E35B7"/>
    <w:rsid w:val="004E3D5A"/>
    <w:rsid w:val="004E589C"/>
    <w:rsid w:val="004E646D"/>
    <w:rsid w:val="004E673D"/>
    <w:rsid w:val="004F0A38"/>
    <w:rsid w:val="004F1401"/>
    <w:rsid w:val="004F19B7"/>
    <w:rsid w:val="004F1C52"/>
    <w:rsid w:val="004F3CCA"/>
    <w:rsid w:val="004F5190"/>
    <w:rsid w:val="004F5A7E"/>
    <w:rsid w:val="004F7098"/>
    <w:rsid w:val="005000E8"/>
    <w:rsid w:val="0050183F"/>
    <w:rsid w:val="0050236F"/>
    <w:rsid w:val="00503389"/>
    <w:rsid w:val="0050366B"/>
    <w:rsid w:val="00507CA1"/>
    <w:rsid w:val="005108CC"/>
    <w:rsid w:val="00512E0F"/>
    <w:rsid w:val="00512E6E"/>
    <w:rsid w:val="005152E8"/>
    <w:rsid w:val="00515667"/>
    <w:rsid w:val="00517B78"/>
    <w:rsid w:val="00520168"/>
    <w:rsid w:val="005208CA"/>
    <w:rsid w:val="0052128F"/>
    <w:rsid w:val="005215C6"/>
    <w:rsid w:val="005233BC"/>
    <w:rsid w:val="0052463A"/>
    <w:rsid w:val="00524D96"/>
    <w:rsid w:val="00526467"/>
    <w:rsid w:val="00527F3D"/>
    <w:rsid w:val="0053028B"/>
    <w:rsid w:val="005303D2"/>
    <w:rsid w:val="005307B4"/>
    <w:rsid w:val="00531407"/>
    <w:rsid w:val="0053153C"/>
    <w:rsid w:val="005329E4"/>
    <w:rsid w:val="00535A68"/>
    <w:rsid w:val="00535C54"/>
    <w:rsid w:val="005361E1"/>
    <w:rsid w:val="00536520"/>
    <w:rsid w:val="0053710D"/>
    <w:rsid w:val="005401E4"/>
    <w:rsid w:val="00542644"/>
    <w:rsid w:val="005431C5"/>
    <w:rsid w:val="00543551"/>
    <w:rsid w:val="005437A5"/>
    <w:rsid w:val="00543ACF"/>
    <w:rsid w:val="00543D6C"/>
    <w:rsid w:val="005444F6"/>
    <w:rsid w:val="00545194"/>
    <w:rsid w:val="00546503"/>
    <w:rsid w:val="005467AE"/>
    <w:rsid w:val="0054775C"/>
    <w:rsid w:val="00547EA6"/>
    <w:rsid w:val="005506BF"/>
    <w:rsid w:val="00551057"/>
    <w:rsid w:val="005531BF"/>
    <w:rsid w:val="005534BB"/>
    <w:rsid w:val="005544EF"/>
    <w:rsid w:val="0055500E"/>
    <w:rsid w:val="005551B7"/>
    <w:rsid w:val="005556E6"/>
    <w:rsid w:val="00556DFD"/>
    <w:rsid w:val="00557ABA"/>
    <w:rsid w:val="00557ACA"/>
    <w:rsid w:val="00560271"/>
    <w:rsid w:val="005614AB"/>
    <w:rsid w:val="00561715"/>
    <w:rsid w:val="00562E16"/>
    <w:rsid w:val="00563A65"/>
    <w:rsid w:val="005641F0"/>
    <w:rsid w:val="00564F3C"/>
    <w:rsid w:val="00566C44"/>
    <w:rsid w:val="00566C6C"/>
    <w:rsid w:val="00566DC2"/>
    <w:rsid w:val="005676A1"/>
    <w:rsid w:val="00571491"/>
    <w:rsid w:val="00573828"/>
    <w:rsid w:val="00574391"/>
    <w:rsid w:val="00580BBF"/>
    <w:rsid w:val="005815E4"/>
    <w:rsid w:val="005838C6"/>
    <w:rsid w:val="005843A2"/>
    <w:rsid w:val="005848E6"/>
    <w:rsid w:val="00585281"/>
    <w:rsid w:val="00585F93"/>
    <w:rsid w:val="00587683"/>
    <w:rsid w:val="00592EDF"/>
    <w:rsid w:val="00593086"/>
    <w:rsid w:val="00594E81"/>
    <w:rsid w:val="00597B69"/>
    <w:rsid w:val="005A0611"/>
    <w:rsid w:val="005A0C27"/>
    <w:rsid w:val="005A1B6E"/>
    <w:rsid w:val="005A3E5E"/>
    <w:rsid w:val="005A3F64"/>
    <w:rsid w:val="005A4058"/>
    <w:rsid w:val="005A68B9"/>
    <w:rsid w:val="005A7A9E"/>
    <w:rsid w:val="005B1306"/>
    <w:rsid w:val="005B20AF"/>
    <w:rsid w:val="005B36C2"/>
    <w:rsid w:val="005B3BBE"/>
    <w:rsid w:val="005B623B"/>
    <w:rsid w:val="005B667E"/>
    <w:rsid w:val="005C1BE6"/>
    <w:rsid w:val="005C5900"/>
    <w:rsid w:val="005D12D7"/>
    <w:rsid w:val="005D400E"/>
    <w:rsid w:val="005D5095"/>
    <w:rsid w:val="005D592A"/>
    <w:rsid w:val="005D694A"/>
    <w:rsid w:val="005E0B97"/>
    <w:rsid w:val="005E2711"/>
    <w:rsid w:val="005E3145"/>
    <w:rsid w:val="005E33A4"/>
    <w:rsid w:val="005E3FEE"/>
    <w:rsid w:val="005E5457"/>
    <w:rsid w:val="005E6B59"/>
    <w:rsid w:val="005F0875"/>
    <w:rsid w:val="005F170E"/>
    <w:rsid w:val="005F174B"/>
    <w:rsid w:val="005F4A8C"/>
    <w:rsid w:val="006006C5"/>
    <w:rsid w:val="00604898"/>
    <w:rsid w:val="0060535A"/>
    <w:rsid w:val="00607560"/>
    <w:rsid w:val="00611C65"/>
    <w:rsid w:val="006149DB"/>
    <w:rsid w:val="0061526E"/>
    <w:rsid w:val="00617180"/>
    <w:rsid w:val="0062282D"/>
    <w:rsid w:val="006228C1"/>
    <w:rsid w:val="00624322"/>
    <w:rsid w:val="00624538"/>
    <w:rsid w:val="0062479F"/>
    <w:rsid w:val="00624E03"/>
    <w:rsid w:val="00625A4A"/>
    <w:rsid w:val="00626B4E"/>
    <w:rsid w:val="00626F85"/>
    <w:rsid w:val="00627032"/>
    <w:rsid w:val="006279B9"/>
    <w:rsid w:val="00627CDD"/>
    <w:rsid w:val="00630B82"/>
    <w:rsid w:val="006319EB"/>
    <w:rsid w:val="00631BE5"/>
    <w:rsid w:val="00633172"/>
    <w:rsid w:val="00633351"/>
    <w:rsid w:val="00633E78"/>
    <w:rsid w:val="00636118"/>
    <w:rsid w:val="0063671F"/>
    <w:rsid w:val="0064068B"/>
    <w:rsid w:val="00642147"/>
    <w:rsid w:val="006424F8"/>
    <w:rsid w:val="00642983"/>
    <w:rsid w:val="00642AD2"/>
    <w:rsid w:val="00643416"/>
    <w:rsid w:val="00644344"/>
    <w:rsid w:val="0064519C"/>
    <w:rsid w:val="0064654A"/>
    <w:rsid w:val="006610DC"/>
    <w:rsid w:val="006631B7"/>
    <w:rsid w:val="00663914"/>
    <w:rsid w:val="00663DDE"/>
    <w:rsid w:val="00664D79"/>
    <w:rsid w:val="00665B16"/>
    <w:rsid w:val="0066771B"/>
    <w:rsid w:val="0067142E"/>
    <w:rsid w:val="0067251C"/>
    <w:rsid w:val="0067559A"/>
    <w:rsid w:val="00675D3B"/>
    <w:rsid w:val="006768EA"/>
    <w:rsid w:val="00680740"/>
    <w:rsid w:val="00682374"/>
    <w:rsid w:val="0068299B"/>
    <w:rsid w:val="00682AC4"/>
    <w:rsid w:val="00682FE4"/>
    <w:rsid w:val="006839AD"/>
    <w:rsid w:val="00683C2A"/>
    <w:rsid w:val="0068419D"/>
    <w:rsid w:val="0068501E"/>
    <w:rsid w:val="00685318"/>
    <w:rsid w:val="00686968"/>
    <w:rsid w:val="00687243"/>
    <w:rsid w:val="00687411"/>
    <w:rsid w:val="00690443"/>
    <w:rsid w:val="00692AC1"/>
    <w:rsid w:val="0069387E"/>
    <w:rsid w:val="00693C37"/>
    <w:rsid w:val="00694DE2"/>
    <w:rsid w:val="00695F98"/>
    <w:rsid w:val="00696A8F"/>
    <w:rsid w:val="00696D42"/>
    <w:rsid w:val="00696EBC"/>
    <w:rsid w:val="006A06A9"/>
    <w:rsid w:val="006A1844"/>
    <w:rsid w:val="006A395B"/>
    <w:rsid w:val="006B185C"/>
    <w:rsid w:val="006B2356"/>
    <w:rsid w:val="006B5550"/>
    <w:rsid w:val="006C2221"/>
    <w:rsid w:val="006C2EAF"/>
    <w:rsid w:val="006C3D5D"/>
    <w:rsid w:val="006C4A4B"/>
    <w:rsid w:val="006C50B0"/>
    <w:rsid w:val="006C5533"/>
    <w:rsid w:val="006C5685"/>
    <w:rsid w:val="006C6084"/>
    <w:rsid w:val="006D1260"/>
    <w:rsid w:val="006D1D12"/>
    <w:rsid w:val="006D2F2A"/>
    <w:rsid w:val="006D32B8"/>
    <w:rsid w:val="006D56C0"/>
    <w:rsid w:val="006D5DF2"/>
    <w:rsid w:val="006D6059"/>
    <w:rsid w:val="006D67C9"/>
    <w:rsid w:val="006D6E03"/>
    <w:rsid w:val="006D71FC"/>
    <w:rsid w:val="006E0264"/>
    <w:rsid w:val="006E05EA"/>
    <w:rsid w:val="006E069C"/>
    <w:rsid w:val="006E0D58"/>
    <w:rsid w:val="006E3F7B"/>
    <w:rsid w:val="006E4606"/>
    <w:rsid w:val="006E4FBB"/>
    <w:rsid w:val="006E728B"/>
    <w:rsid w:val="006F01E0"/>
    <w:rsid w:val="006F02B1"/>
    <w:rsid w:val="006F0FA4"/>
    <w:rsid w:val="006F131D"/>
    <w:rsid w:val="006F2B98"/>
    <w:rsid w:val="006F4003"/>
    <w:rsid w:val="006F63E7"/>
    <w:rsid w:val="006F7061"/>
    <w:rsid w:val="006F7248"/>
    <w:rsid w:val="006F75DA"/>
    <w:rsid w:val="0070262D"/>
    <w:rsid w:val="00703490"/>
    <w:rsid w:val="0070568A"/>
    <w:rsid w:val="00705FD4"/>
    <w:rsid w:val="007072C8"/>
    <w:rsid w:val="0071039E"/>
    <w:rsid w:val="007111E2"/>
    <w:rsid w:val="007121BA"/>
    <w:rsid w:val="0071378B"/>
    <w:rsid w:val="00713C3C"/>
    <w:rsid w:val="00714098"/>
    <w:rsid w:val="00714152"/>
    <w:rsid w:val="007156CF"/>
    <w:rsid w:val="00716513"/>
    <w:rsid w:val="007178DF"/>
    <w:rsid w:val="00720CEC"/>
    <w:rsid w:val="00723018"/>
    <w:rsid w:val="00724A6C"/>
    <w:rsid w:val="00725E46"/>
    <w:rsid w:val="007262EF"/>
    <w:rsid w:val="00730087"/>
    <w:rsid w:val="00731791"/>
    <w:rsid w:val="00731E6A"/>
    <w:rsid w:val="007329F4"/>
    <w:rsid w:val="0073350E"/>
    <w:rsid w:val="00733D81"/>
    <w:rsid w:val="007346F4"/>
    <w:rsid w:val="0073638B"/>
    <w:rsid w:val="00741E56"/>
    <w:rsid w:val="00741E85"/>
    <w:rsid w:val="007443AC"/>
    <w:rsid w:val="00745EBC"/>
    <w:rsid w:val="0074712C"/>
    <w:rsid w:val="0075124A"/>
    <w:rsid w:val="007530B0"/>
    <w:rsid w:val="00753A09"/>
    <w:rsid w:val="00757324"/>
    <w:rsid w:val="00757715"/>
    <w:rsid w:val="007614BC"/>
    <w:rsid w:val="0076172A"/>
    <w:rsid w:val="00761E80"/>
    <w:rsid w:val="00761FD3"/>
    <w:rsid w:val="0076255A"/>
    <w:rsid w:val="0076260B"/>
    <w:rsid w:val="007631BF"/>
    <w:rsid w:val="007635ED"/>
    <w:rsid w:val="007636F3"/>
    <w:rsid w:val="00764DBA"/>
    <w:rsid w:val="00765615"/>
    <w:rsid w:val="00771380"/>
    <w:rsid w:val="0077141C"/>
    <w:rsid w:val="00771878"/>
    <w:rsid w:val="00775418"/>
    <w:rsid w:val="00776E5B"/>
    <w:rsid w:val="00777DAF"/>
    <w:rsid w:val="00780D80"/>
    <w:rsid w:val="00781A88"/>
    <w:rsid w:val="007823EF"/>
    <w:rsid w:val="00784905"/>
    <w:rsid w:val="007861E3"/>
    <w:rsid w:val="00786AC8"/>
    <w:rsid w:val="00786D6D"/>
    <w:rsid w:val="007876D3"/>
    <w:rsid w:val="0079141C"/>
    <w:rsid w:val="007920F1"/>
    <w:rsid w:val="0079531E"/>
    <w:rsid w:val="00795B37"/>
    <w:rsid w:val="007967F1"/>
    <w:rsid w:val="0079717C"/>
    <w:rsid w:val="007A0A21"/>
    <w:rsid w:val="007A0C4B"/>
    <w:rsid w:val="007A1C03"/>
    <w:rsid w:val="007A2225"/>
    <w:rsid w:val="007A25E1"/>
    <w:rsid w:val="007A2B81"/>
    <w:rsid w:val="007A2EBF"/>
    <w:rsid w:val="007A3DC6"/>
    <w:rsid w:val="007A4420"/>
    <w:rsid w:val="007A67AE"/>
    <w:rsid w:val="007A6C6D"/>
    <w:rsid w:val="007A7C99"/>
    <w:rsid w:val="007B16F4"/>
    <w:rsid w:val="007B22C1"/>
    <w:rsid w:val="007B3754"/>
    <w:rsid w:val="007B38B7"/>
    <w:rsid w:val="007B46DC"/>
    <w:rsid w:val="007B6CA1"/>
    <w:rsid w:val="007C22ED"/>
    <w:rsid w:val="007C2D1D"/>
    <w:rsid w:val="007C3681"/>
    <w:rsid w:val="007C5742"/>
    <w:rsid w:val="007C5904"/>
    <w:rsid w:val="007C6DED"/>
    <w:rsid w:val="007C7385"/>
    <w:rsid w:val="007C7C12"/>
    <w:rsid w:val="007C7FE4"/>
    <w:rsid w:val="007D214F"/>
    <w:rsid w:val="007D44E9"/>
    <w:rsid w:val="007D45D2"/>
    <w:rsid w:val="007D62F7"/>
    <w:rsid w:val="007D7304"/>
    <w:rsid w:val="007D7581"/>
    <w:rsid w:val="007E1193"/>
    <w:rsid w:val="007E2105"/>
    <w:rsid w:val="007E2DBC"/>
    <w:rsid w:val="007E53AC"/>
    <w:rsid w:val="007F0421"/>
    <w:rsid w:val="007F1D10"/>
    <w:rsid w:val="007F1F39"/>
    <w:rsid w:val="007F3FD6"/>
    <w:rsid w:val="007F60BA"/>
    <w:rsid w:val="007F6202"/>
    <w:rsid w:val="007F7C47"/>
    <w:rsid w:val="008029AF"/>
    <w:rsid w:val="00810929"/>
    <w:rsid w:val="0081136C"/>
    <w:rsid w:val="008125B9"/>
    <w:rsid w:val="00814791"/>
    <w:rsid w:val="008151ED"/>
    <w:rsid w:val="00815F49"/>
    <w:rsid w:val="00817088"/>
    <w:rsid w:val="00817BB0"/>
    <w:rsid w:val="00820F0E"/>
    <w:rsid w:val="008212FE"/>
    <w:rsid w:val="00824972"/>
    <w:rsid w:val="00831022"/>
    <w:rsid w:val="0083105C"/>
    <w:rsid w:val="00831CBA"/>
    <w:rsid w:val="00831CD0"/>
    <w:rsid w:val="00831D80"/>
    <w:rsid w:val="00833695"/>
    <w:rsid w:val="00833D9A"/>
    <w:rsid w:val="00834955"/>
    <w:rsid w:val="00835D14"/>
    <w:rsid w:val="00837615"/>
    <w:rsid w:val="008402FC"/>
    <w:rsid w:val="008405D2"/>
    <w:rsid w:val="008413CD"/>
    <w:rsid w:val="00843699"/>
    <w:rsid w:val="00845196"/>
    <w:rsid w:val="00846A8F"/>
    <w:rsid w:val="008478D8"/>
    <w:rsid w:val="00847B5D"/>
    <w:rsid w:val="00852DA6"/>
    <w:rsid w:val="00853391"/>
    <w:rsid w:val="008548AA"/>
    <w:rsid w:val="00856139"/>
    <w:rsid w:val="0085621C"/>
    <w:rsid w:val="00856ADD"/>
    <w:rsid w:val="00856B6A"/>
    <w:rsid w:val="008576F3"/>
    <w:rsid w:val="00862284"/>
    <w:rsid w:val="008629B7"/>
    <w:rsid w:val="00863263"/>
    <w:rsid w:val="008648E1"/>
    <w:rsid w:val="00864B88"/>
    <w:rsid w:val="00864E83"/>
    <w:rsid w:val="00865D6A"/>
    <w:rsid w:val="0086683E"/>
    <w:rsid w:val="008703A3"/>
    <w:rsid w:val="00870A03"/>
    <w:rsid w:val="008712EC"/>
    <w:rsid w:val="0087198E"/>
    <w:rsid w:val="0087300E"/>
    <w:rsid w:val="008734F0"/>
    <w:rsid w:val="00873C59"/>
    <w:rsid w:val="008761CA"/>
    <w:rsid w:val="0087636C"/>
    <w:rsid w:val="00876F59"/>
    <w:rsid w:val="008777BA"/>
    <w:rsid w:val="00877F7F"/>
    <w:rsid w:val="00880023"/>
    <w:rsid w:val="00880330"/>
    <w:rsid w:val="00880C49"/>
    <w:rsid w:val="00883371"/>
    <w:rsid w:val="00884118"/>
    <w:rsid w:val="00884362"/>
    <w:rsid w:val="00884634"/>
    <w:rsid w:val="0088623A"/>
    <w:rsid w:val="00886383"/>
    <w:rsid w:val="008864D1"/>
    <w:rsid w:val="008866B9"/>
    <w:rsid w:val="008875D8"/>
    <w:rsid w:val="00887B1A"/>
    <w:rsid w:val="00892CED"/>
    <w:rsid w:val="008931A7"/>
    <w:rsid w:val="008947EF"/>
    <w:rsid w:val="00894DA7"/>
    <w:rsid w:val="00896978"/>
    <w:rsid w:val="008976DC"/>
    <w:rsid w:val="008A21C2"/>
    <w:rsid w:val="008A302A"/>
    <w:rsid w:val="008A3CB6"/>
    <w:rsid w:val="008A51FB"/>
    <w:rsid w:val="008A56EB"/>
    <w:rsid w:val="008B02E8"/>
    <w:rsid w:val="008B12D6"/>
    <w:rsid w:val="008B2A0C"/>
    <w:rsid w:val="008B3974"/>
    <w:rsid w:val="008B3C23"/>
    <w:rsid w:val="008B55C2"/>
    <w:rsid w:val="008B66BD"/>
    <w:rsid w:val="008C02B5"/>
    <w:rsid w:val="008C0688"/>
    <w:rsid w:val="008C08C6"/>
    <w:rsid w:val="008C38D7"/>
    <w:rsid w:val="008C4767"/>
    <w:rsid w:val="008C4CC9"/>
    <w:rsid w:val="008C6A2B"/>
    <w:rsid w:val="008C760E"/>
    <w:rsid w:val="008C7863"/>
    <w:rsid w:val="008D0CD3"/>
    <w:rsid w:val="008D1793"/>
    <w:rsid w:val="008D2392"/>
    <w:rsid w:val="008D4035"/>
    <w:rsid w:val="008D4D0A"/>
    <w:rsid w:val="008D5259"/>
    <w:rsid w:val="008D60B2"/>
    <w:rsid w:val="008D66EC"/>
    <w:rsid w:val="008E0770"/>
    <w:rsid w:val="008E12B9"/>
    <w:rsid w:val="008E142B"/>
    <w:rsid w:val="008E1898"/>
    <w:rsid w:val="008E2B72"/>
    <w:rsid w:val="008E2F02"/>
    <w:rsid w:val="008E4809"/>
    <w:rsid w:val="008E6035"/>
    <w:rsid w:val="008F0B46"/>
    <w:rsid w:val="008F1C71"/>
    <w:rsid w:val="008F1E72"/>
    <w:rsid w:val="00900B5B"/>
    <w:rsid w:val="00901CC5"/>
    <w:rsid w:val="0090229E"/>
    <w:rsid w:val="00903604"/>
    <w:rsid w:val="0090407F"/>
    <w:rsid w:val="00905464"/>
    <w:rsid w:val="009055B4"/>
    <w:rsid w:val="00907C1E"/>
    <w:rsid w:val="00911D2C"/>
    <w:rsid w:val="00912E15"/>
    <w:rsid w:val="00913648"/>
    <w:rsid w:val="00913B0B"/>
    <w:rsid w:val="00915F94"/>
    <w:rsid w:val="00916D15"/>
    <w:rsid w:val="00920A42"/>
    <w:rsid w:val="00921037"/>
    <w:rsid w:val="009210BB"/>
    <w:rsid w:val="00921F4F"/>
    <w:rsid w:val="009232C9"/>
    <w:rsid w:val="00923B8C"/>
    <w:rsid w:val="00924153"/>
    <w:rsid w:val="00924974"/>
    <w:rsid w:val="00925538"/>
    <w:rsid w:val="00925E36"/>
    <w:rsid w:val="0092604F"/>
    <w:rsid w:val="00926132"/>
    <w:rsid w:val="00926FCF"/>
    <w:rsid w:val="00930552"/>
    <w:rsid w:val="00930F1C"/>
    <w:rsid w:val="009320C6"/>
    <w:rsid w:val="0093241A"/>
    <w:rsid w:val="00932D5C"/>
    <w:rsid w:val="0093367A"/>
    <w:rsid w:val="00934CC5"/>
    <w:rsid w:val="00935DFD"/>
    <w:rsid w:val="009361B0"/>
    <w:rsid w:val="00937356"/>
    <w:rsid w:val="009403E3"/>
    <w:rsid w:val="0094053E"/>
    <w:rsid w:val="009424C8"/>
    <w:rsid w:val="0094308D"/>
    <w:rsid w:val="00945B19"/>
    <w:rsid w:val="00946390"/>
    <w:rsid w:val="009468E5"/>
    <w:rsid w:val="00947CA0"/>
    <w:rsid w:val="00950D43"/>
    <w:rsid w:val="00950EB3"/>
    <w:rsid w:val="0095135C"/>
    <w:rsid w:val="00951927"/>
    <w:rsid w:val="009542F1"/>
    <w:rsid w:val="009575FF"/>
    <w:rsid w:val="0096035D"/>
    <w:rsid w:val="00960DDB"/>
    <w:rsid w:val="00961D28"/>
    <w:rsid w:val="00963D0C"/>
    <w:rsid w:val="00964552"/>
    <w:rsid w:val="00964587"/>
    <w:rsid w:val="00966A10"/>
    <w:rsid w:val="00966BEC"/>
    <w:rsid w:val="00970C54"/>
    <w:rsid w:val="0097141C"/>
    <w:rsid w:val="009719AE"/>
    <w:rsid w:val="00971F72"/>
    <w:rsid w:val="00972A14"/>
    <w:rsid w:val="00972F9F"/>
    <w:rsid w:val="00973B17"/>
    <w:rsid w:val="0097442E"/>
    <w:rsid w:val="00974693"/>
    <w:rsid w:val="0097746E"/>
    <w:rsid w:val="00977F05"/>
    <w:rsid w:val="00980062"/>
    <w:rsid w:val="00980240"/>
    <w:rsid w:val="00981E2E"/>
    <w:rsid w:val="0098282C"/>
    <w:rsid w:val="00985C47"/>
    <w:rsid w:val="00986856"/>
    <w:rsid w:val="0099077A"/>
    <w:rsid w:val="00990EEA"/>
    <w:rsid w:val="00991479"/>
    <w:rsid w:val="00992D0A"/>
    <w:rsid w:val="00993338"/>
    <w:rsid w:val="009976F4"/>
    <w:rsid w:val="00997F7A"/>
    <w:rsid w:val="009A1CAE"/>
    <w:rsid w:val="009A2664"/>
    <w:rsid w:val="009A2902"/>
    <w:rsid w:val="009A37A8"/>
    <w:rsid w:val="009A41CD"/>
    <w:rsid w:val="009A5ADA"/>
    <w:rsid w:val="009A6535"/>
    <w:rsid w:val="009A6C44"/>
    <w:rsid w:val="009B3077"/>
    <w:rsid w:val="009B3288"/>
    <w:rsid w:val="009B41CB"/>
    <w:rsid w:val="009B4D9A"/>
    <w:rsid w:val="009B65F4"/>
    <w:rsid w:val="009B6FD7"/>
    <w:rsid w:val="009B70C9"/>
    <w:rsid w:val="009C03E9"/>
    <w:rsid w:val="009C0A9B"/>
    <w:rsid w:val="009C2214"/>
    <w:rsid w:val="009C2BFE"/>
    <w:rsid w:val="009C3A84"/>
    <w:rsid w:val="009C3FB9"/>
    <w:rsid w:val="009C7619"/>
    <w:rsid w:val="009D240F"/>
    <w:rsid w:val="009D2F3B"/>
    <w:rsid w:val="009D3072"/>
    <w:rsid w:val="009D462F"/>
    <w:rsid w:val="009D5FCD"/>
    <w:rsid w:val="009D7C31"/>
    <w:rsid w:val="009E1010"/>
    <w:rsid w:val="009E16F1"/>
    <w:rsid w:val="009E189D"/>
    <w:rsid w:val="009E26CC"/>
    <w:rsid w:val="009E30D8"/>
    <w:rsid w:val="009E3C6C"/>
    <w:rsid w:val="009E691E"/>
    <w:rsid w:val="009E75D1"/>
    <w:rsid w:val="009F088D"/>
    <w:rsid w:val="009F0B6B"/>
    <w:rsid w:val="009F1473"/>
    <w:rsid w:val="009F1F66"/>
    <w:rsid w:val="009F2AA3"/>
    <w:rsid w:val="009F3BC5"/>
    <w:rsid w:val="009F5ABA"/>
    <w:rsid w:val="009F6298"/>
    <w:rsid w:val="009F6B0E"/>
    <w:rsid w:val="00A00A49"/>
    <w:rsid w:val="00A02330"/>
    <w:rsid w:val="00A02B45"/>
    <w:rsid w:val="00A044D6"/>
    <w:rsid w:val="00A04F61"/>
    <w:rsid w:val="00A05B58"/>
    <w:rsid w:val="00A06AF9"/>
    <w:rsid w:val="00A118B2"/>
    <w:rsid w:val="00A126A5"/>
    <w:rsid w:val="00A12E88"/>
    <w:rsid w:val="00A14A65"/>
    <w:rsid w:val="00A15937"/>
    <w:rsid w:val="00A17F5E"/>
    <w:rsid w:val="00A231A5"/>
    <w:rsid w:val="00A25213"/>
    <w:rsid w:val="00A25769"/>
    <w:rsid w:val="00A26728"/>
    <w:rsid w:val="00A267F3"/>
    <w:rsid w:val="00A26AFD"/>
    <w:rsid w:val="00A306B3"/>
    <w:rsid w:val="00A323AE"/>
    <w:rsid w:val="00A327D6"/>
    <w:rsid w:val="00A3431C"/>
    <w:rsid w:val="00A3673E"/>
    <w:rsid w:val="00A3786F"/>
    <w:rsid w:val="00A4011B"/>
    <w:rsid w:val="00A40CAE"/>
    <w:rsid w:val="00A41617"/>
    <w:rsid w:val="00A4180F"/>
    <w:rsid w:val="00A44970"/>
    <w:rsid w:val="00A449AA"/>
    <w:rsid w:val="00A44A8A"/>
    <w:rsid w:val="00A45656"/>
    <w:rsid w:val="00A45B39"/>
    <w:rsid w:val="00A45F79"/>
    <w:rsid w:val="00A473C9"/>
    <w:rsid w:val="00A47764"/>
    <w:rsid w:val="00A50389"/>
    <w:rsid w:val="00A50A35"/>
    <w:rsid w:val="00A52B6E"/>
    <w:rsid w:val="00A53821"/>
    <w:rsid w:val="00A54770"/>
    <w:rsid w:val="00A5584C"/>
    <w:rsid w:val="00A56667"/>
    <w:rsid w:val="00A57176"/>
    <w:rsid w:val="00A61899"/>
    <w:rsid w:val="00A618D1"/>
    <w:rsid w:val="00A635A9"/>
    <w:rsid w:val="00A64D64"/>
    <w:rsid w:val="00A65AB8"/>
    <w:rsid w:val="00A65CA6"/>
    <w:rsid w:val="00A67480"/>
    <w:rsid w:val="00A711BB"/>
    <w:rsid w:val="00A72257"/>
    <w:rsid w:val="00A73085"/>
    <w:rsid w:val="00A73337"/>
    <w:rsid w:val="00A73F68"/>
    <w:rsid w:val="00A756DB"/>
    <w:rsid w:val="00A7577A"/>
    <w:rsid w:val="00A75E10"/>
    <w:rsid w:val="00A8084A"/>
    <w:rsid w:val="00A80D56"/>
    <w:rsid w:val="00A81F94"/>
    <w:rsid w:val="00A82569"/>
    <w:rsid w:val="00A82AB7"/>
    <w:rsid w:val="00A82AD0"/>
    <w:rsid w:val="00A832B0"/>
    <w:rsid w:val="00A83556"/>
    <w:rsid w:val="00A86A62"/>
    <w:rsid w:val="00A902F6"/>
    <w:rsid w:val="00A90C6C"/>
    <w:rsid w:val="00A925D8"/>
    <w:rsid w:val="00A9335D"/>
    <w:rsid w:val="00A94790"/>
    <w:rsid w:val="00A95D7F"/>
    <w:rsid w:val="00A96E36"/>
    <w:rsid w:val="00AA14F7"/>
    <w:rsid w:val="00AA1EC6"/>
    <w:rsid w:val="00AA2DCA"/>
    <w:rsid w:val="00AA3284"/>
    <w:rsid w:val="00AA4307"/>
    <w:rsid w:val="00AA63C1"/>
    <w:rsid w:val="00AA7DC3"/>
    <w:rsid w:val="00AB17A0"/>
    <w:rsid w:val="00AB32BF"/>
    <w:rsid w:val="00AB59A9"/>
    <w:rsid w:val="00AB5FEC"/>
    <w:rsid w:val="00AB6BA0"/>
    <w:rsid w:val="00AB7585"/>
    <w:rsid w:val="00AC1C1E"/>
    <w:rsid w:val="00AC1F01"/>
    <w:rsid w:val="00AC26FB"/>
    <w:rsid w:val="00AC4146"/>
    <w:rsid w:val="00AC531A"/>
    <w:rsid w:val="00AC638D"/>
    <w:rsid w:val="00AC6E66"/>
    <w:rsid w:val="00AD1422"/>
    <w:rsid w:val="00AD1C64"/>
    <w:rsid w:val="00AD1CC0"/>
    <w:rsid w:val="00AD32CA"/>
    <w:rsid w:val="00AD3D9F"/>
    <w:rsid w:val="00AD5F9E"/>
    <w:rsid w:val="00AD67AC"/>
    <w:rsid w:val="00AD6B09"/>
    <w:rsid w:val="00AE15F7"/>
    <w:rsid w:val="00AE31EE"/>
    <w:rsid w:val="00AE3938"/>
    <w:rsid w:val="00AE426C"/>
    <w:rsid w:val="00AE69E4"/>
    <w:rsid w:val="00AE711C"/>
    <w:rsid w:val="00AF00E6"/>
    <w:rsid w:val="00AF0D1B"/>
    <w:rsid w:val="00AF1C29"/>
    <w:rsid w:val="00AF2995"/>
    <w:rsid w:val="00AF44CC"/>
    <w:rsid w:val="00AF48A0"/>
    <w:rsid w:val="00AF4A50"/>
    <w:rsid w:val="00AF5ED5"/>
    <w:rsid w:val="00AF6D23"/>
    <w:rsid w:val="00AF7F6B"/>
    <w:rsid w:val="00B014EC"/>
    <w:rsid w:val="00B01C1E"/>
    <w:rsid w:val="00B04BEE"/>
    <w:rsid w:val="00B0701D"/>
    <w:rsid w:val="00B07B48"/>
    <w:rsid w:val="00B104E3"/>
    <w:rsid w:val="00B12BD4"/>
    <w:rsid w:val="00B13E99"/>
    <w:rsid w:val="00B1470C"/>
    <w:rsid w:val="00B15274"/>
    <w:rsid w:val="00B153F5"/>
    <w:rsid w:val="00B15DA9"/>
    <w:rsid w:val="00B1781B"/>
    <w:rsid w:val="00B21802"/>
    <w:rsid w:val="00B222AF"/>
    <w:rsid w:val="00B22C2A"/>
    <w:rsid w:val="00B23DC0"/>
    <w:rsid w:val="00B23E96"/>
    <w:rsid w:val="00B24B20"/>
    <w:rsid w:val="00B25551"/>
    <w:rsid w:val="00B25646"/>
    <w:rsid w:val="00B256AF"/>
    <w:rsid w:val="00B25FF0"/>
    <w:rsid w:val="00B27208"/>
    <w:rsid w:val="00B36455"/>
    <w:rsid w:val="00B368A1"/>
    <w:rsid w:val="00B377E8"/>
    <w:rsid w:val="00B401E0"/>
    <w:rsid w:val="00B42093"/>
    <w:rsid w:val="00B42E1B"/>
    <w:rsid w:val="00B43401"/>
    <w:rsid w:val="00B43EF2"/>
    <w:rsid w:val="00B450FC"/>
    <w:rsid w:val="00B452D1"/>
    <w:rsid w:val="00B4538A"/>
    <w:rsid w:val="00B50662"/>
    <w:rsid w:val="00B51EA3"/>
    <w:rsid w:val="00B52EAA"/>
    <w:rsid w:val="00B5313B"/>
    <w:rsid w:val="00B548B6"/>
    <w:rsid w:val="00B54A36"/>
    <w:rsid w:val="00B6071E"/>
    <w:rsid w:val="00B60A91"/>
    <w:rsid w:val="00B6181C"/>
    <w:rsid w:val="00B6387B"/>
    <w:rsid w:val="00B63F02"/>
    <w:rsid w:val="00B66413"/>
    <w:rsid w:val="00B67C85"/>
    <w:rsid w:val="00B72A87"/>
    <w:rsid w:val="00B72E1C"/>
    <w:rsid w:val="00B73D8D"/>
    <w:rsid w:val="00B7420E"/>
    <w:rsid w:val="00B7468C"/>
    <w:rsid w:val="00B7488C"/>
    <w:rsid w:val="00B75633"/>
    <w:rsid w:val="00B756B2"/>
    <w:rsid w:val="00B75A8A"/>
    <w:rsid w:val="00B75C0F"/>
    <w:rsid w:val="00B764B7"/>
    <w:rsid w:val="00B76AAE"/>
    <w:rsid w:val="00B77782"/>
    <w:rsid w:val="00B807BF"/>
    <w:rsid w:val="00B80A73"/>
    <w:rsid w:val="00B820BE"/>
    <w:rsid w:val="00B82DE3"/>
    <w:rsid w:val="00B835F0"/>
    <w:rsid w:val="00B84B1D"/>
    <w:rsid w:val="00B852B7"/>
    <w:rsid w:val="00B85511"/>
    <w:rsid w:val="00B872EB"/>
    <w:rsid w:val="00B9122B"/>
    <w:rsid w:val="00B915DB"/>
    <w:rsid w:val="00B91BBE"/>
    <w:rsid w:val="00B9357C"/>
    <w:rsid w:val="00B96C42"/>
    <w:rsid w:val="00B976DF"/>
    <w:rsid w:val="00B97EFB"/>
    <w:rsid w:val="00BA1117"/>
    <w:rsid w:val="00BA3DF9"/>
    <w:rsid w:val="00BA428D"/>
    <w:rsid w:val="00BA4401"/>
    <w:rsid w:val="00BA5306"/>
    <w:rsid w:val="00BB05FA"/>
    <w:rsid w:val="00BB2C28"/>
    <w:rsid w:val="00BB3091"/>
    <w:rsid w:val="00BB483A"/>
    <w:rsid w:val="00BC533E"/>
    <w:rsid w:val="00BD04D8"/>
    <w:rsid w:val="00BD234C"/>
    <w:rsid w:val="00BD263E"/>
    <w:rsid w:val="00BD2B84"/>
    <w:rsid w:val="00BD3659"/>
    <w:rsid w:val="00BD442F"/>
    <w:rsid w:val="00BD5268"/>
    <w:rsid w:val="00BD5A66"/>
    <w:rsid w:val="00BD5B60"/>
    <w:rsid w:val="00BD5F30"/>
    <w:rsid w:val="00BD5F49"/>
    <w:rsid w:val="00BD69B6"/>
    <w:rsid w:val="00BD7E78"/>
    <w:rsid w:val="00BE00B5"/>
    <w:rsid w:val="00BE25A9"/>
    <w:rsid w:val="00BE27B4"/>
    <w:rsid w:val="00BE2983"/>
    <w:rsid w:val="00BE2DE5"/>
    <w:rsid w:val="00BE3D51"/>
    <w:rsid w:val="00BE6C08"/>
    <w:rsid w:val="00BF294D"/>
    <w:rsid w:val="00BF559B"/>
    <w:rsid w:val="00C0086D"/>
    <w:rsid w:val="00C021FE"/>
    <w:rsid w:val="00C04262"/>
    <w:rsid w:val="00C04B0A"/>
    <w:rsid w:val="00C059A9"/>
    <w:rsid w:val="00C06171"/>
    <w:rsid w:val="00C102C7"/>
    <w:rsid w:val="00C1232E"/>
    <w:rsid w:val="00C12668"/>
    <w:rsid w:val="00C12D2B"/>
    <w:rsid w:val="00C13A64"/>
    <w:rsid w:val="00C177B3"/>
    <w:rsid w:val="00C229E6"/>
    <w:rsid w:val="00C22B12"/>
    <w:rsid w:val="00C244AF"/>
    <w:rsid w:val="00C303A2"/>
    <w:rsid w:val="00C30C25"/>
    <w:rsid w:val="00C335C0"/>
    <w:rsid w:val="00C3363E"/>
    <w:rsid w:val="00C34562"/>
    <w:rsid w:val="00C345BC"/>
    <w:rsid w:val="00C367F1"/>
    <w:rsid w:val="00C41C5C"/>
    <w:rsid w:val="00C4271E"/>
    <w:rsid w:val="00C43E8B"/>
    <w:rsid w:val="00C4502C"/>
    <w:rsid w:val="00C45F6B"/>
    <w:rsid w:val="00C46820"/>
    <w:rsid w:val="00C50A4A"/>
    <w:rsid w:val="00C5102E"/>
    <w:rsid w:val="00C544C7"/>
    <w:rsid w:val="00C54BB2"/>
    <w:rsid w:val="00C55079"/>
    <w:rsid w:val="00C55551"/>
    <w:rsid w:val="00C55EA9"/>
    <w:rsid w:val="00C5728B"/>
    <w:rsid w:val="00C6099D"/>
    <w:rsid w:val="00C6143C"/>
    <w:rsid w:val="00C650FD"/>
    <w:rsid w:val="00C71443"/>
    <w:rsid w:val="00C719E8"/>
    <w:rsid w:val="00C7219A"/>
    <w:rsid w:val="00C73CD0"/>
    <w:rsid w:val="00C753EF"/>
    <w:rsid w:val="00C769AC"/>
    <w:rsid w:val="00C76DBF"/>
    <w:rsid w:val="00C8253D"/>
    <w:rsid w:val="00C82547"/>
    <w:rsid w:val="00C94318"/>
    <w:rsid w:val="00C96266"/>
    <w:rsid w:val="00C96B11"/>
    <w:rsid w:val="00C975CF"/>
    <w:rsid w:val="00CA0A08"/>
    <w:rsid w:val="00CA1577"/>
    <w:rsid w:val="00CA2B5A"/>
    <w:rsid w:val="00CA4B61"/>
    <w:rsid w:val="00CA4FD2"/>
    <w:rsid w:val="00CA53C2"/>
    <w:rsid w:val="00CA73F3"/>
    <w:rsid w:val="00CB0F39"/>
    <w:rsid w:val="00CB2227"/>
    <w:rsid w:val="00CB4556"/>
    <w:rsid w:val="00CB48AD"/>
    <w:rsid w:val="00CB59EE"/>
    <w:rsid w:val="00CB6234"/>
    <w:rsid w:val="00CC0DF7"/>
    <w:rsid w:val="00CC4942"/>
    <w:rsid w:val="00CC58FC"/>
    <w:rsid w:val="00CC5DAA"/>
    <w:rsid w:val="00CC71BD"/>
    <w:rsid w:val="00CC7416"/>
    <w:rsid w:val="00CD0758"/>
    <w:rsid w:val="00CD1034"/>
    <w:rsid w:val="00CD39C6"/>
    <w:rsid w:val="00CD4A80"/>
    <w:rsid w:val="00CD4ECE"/>
    <w:rsid w:val="00CD617F"/>
    <w:rsid w:val="00CD61B5"/>
    <w:rsid w:val="00CD7CAD"/>
    <w:rsid w:val="00CE0B59"/>
    <w:rsid w:val="00CE1555"/>
    <w:rsid w:val="00CE2281"/>
    <w:rsid w:val="00CE2BF3"/>
    <w:rsid w:val="00CE4246"/>
    <w:rsid w:val="00CE654E"/>
    <w:rsid w:val="00CE71DE"/>
    <w:rsid w:val="00CE7A98"/>
    <w:rsid w:val="00CE7BEE"/>
    <w:rsid w:val="00CF0BFC"/>
    <w:rsid w:val="00CF1E8D"/>
    <w:rsid w:val="00CF2261"/>
    <w:rsid w:val="00CF3A4D"/>
    <w:rsid w:val="00CF666A"/>
    <w:rsid w:val="00CF6E23"/>
    <w:rsid w:val="00CF6F46"/>
    <w:rsid w:val="00D00107"/>
    <w:rsid w:val="00D005B3"/>
    <w:rsid w:val="00D00F8F"/>
    <w:rsid w:val="00D01027"/>
    <w:rsid w:val="00D02625"/>
    <w:rsid w:val="00D0363F"/>
    <w:rsid w:val="00D03D76"/>
    <w:rsid w:val="00D03D99"/>
    <w:rsid w:val="00D052E4"/>
    <w:rsid w:val="00D05F70"/>
    <w:rsid w:val="00D07F65"/>
    <w:rsid w:val="00D13B8C"/>
    <w:rsid w:val="00D15014"/>
    <w:rsid w:val="00D151F3"/>
    <w:rsid w:val="00D1538D"/>
    <w:rsid w:val="00D1541E"/>
    <w:rsid w:val="00D164E1"/>
    <w:rsid w:val="00D17D6A"/>
    <w:rsid w:val="00D21244"/>
    <w:rsid w:val="00D21B16"/>
    <w:rsid w:val="00D24B26"/>
    <w:rsid w:val="00D27519"/>
    <w:rsid w:val="00D27ACC"/>
    <w:rsid w:val="00D305CD"/>
    <w:rsid w:val="00D312C8"/>
    <w:rsid w:val="00D31E8E"/>
    <w:rsid w:val="00D321BB"/>
    <w:rsid w:val="00D321BF"/>
    <w:rsid w:val="00D32A18"/>
    <w:rsid w:val="00D33777"/>
    <w:rsid w:val="00D33787"/>
    <w:rsid w:val="00D34844"/>
    <w:rsid w:val="00D34A86"/>
    <w:rsid w:val="00D351B8"/>
    <w:rsid w:val="00D36FB1"/>
    <w:rsid w:val="00D4237E"/>
    <w:rsid w:val="00D43653"/>
    <w:rsid w:val="00D436E5"/>
    <w:rsid w:val="00D44CCC"/>
    <w:rsid w:val="00D456DB"/>
    <w:rsid w:val="00D46254"/>
    <w:rsid w:val="00D504FB"/>
    <w:rsid w:val="00D51965"/>
    <w:rsid w:val="00D51AC1"/>
    <w:rsid w:val="00D521CD"/>
    <w:rsid w:val="00D530D8"/>
    <w:rsid w:val="00D535B3"/>
    <w:rsid w:val="00D53BE0"/>
    <w:rsid w:val="00D55684"/>
    <w:rsid w:val="00D55E1F"/>
    <w:rsid w:val="00D55FB2"/>
    <w:rsid w:val="00D576F1"/>
    <w:rsid w:val="00D60D89"/>
    <w:rsid w:val="00D6144F"/>
    <w:rsid w:val="00D62088"/>
    <w:rsid w:val="00D6240A"/>
    <w:rsid w:val="00D630E0"/>
    <w:rsid w:val="00D635D2"/>
    <w:rsid w:val="00D638E6"/>
    <w:rsid w:val="00D63A9D"/>
    <w:rsid w:val="00D63DCB"/>
    <w:rsid w:val="00D6402F"/>
    <w:rsid w:val="00D64040"/>
    <w:rsid w:val="00D642E3"/>
    <w:rsid w:val="00D65F73"/>
    <w:rsid w:val="00D664DB"/>
    <w:rsid w:val="00D66F52"/>
    <w:rsid w:val="00D67DBE"/>
    <w:rsid w:val="00D73E9D"/>
    <w:rsid w:val="00D75E34"/>
    <w:rsid w:val="00D772E9"/>
    <w:rsid w:val="00D7772F"/>
    <w:rsid w:val="00D83598"/>
    <w:rsid w:val="00D87831"/>
    <w:rsid w:val="00D91761"/>
    <w:rsid w:val="00D92186"/>
    <w:rsid w:val="00D92199"/>
    <w:rsid w:val="00D92478"/>
    <w:rsid w:val="00D93657"/>
    <w:rsid w:val="00D937CC"/>
    <w:rsid w:val="00D94385"/>
    <w:rsid w:val="00D95D63"/>
    <w:rsid w:val="00D971BB"/>
    <w:rsid w:val="00DA013C"/>
    <w:rsid w:val="00DA1DB7"/>
    <w:rsid w:val="00DA378E"/>
    <w:rsid w:val="00DB060A"/>
    <w:rsid w:val="00DB14F7"/>
    <w:rsid w:val="00DB33E0"/>
    <w:rsid w:val="00DB3BBC"/>
    <w:rsid w:val="00DB420C"/>
    <w:rsid w:val="00DB5031"/>
    <w:rsid w:val="00DB7910"/>
    <w:rsid w:val="00DB7A70"/>
    <w:rsid w:val="00DB7D35"/>
    <w:rsid w:val="00DC0803"/>
    <w:rsid w:val="00DC0F08"/>
    <w:rsid w:val="00DC1247"/>
    <w:rsid w:val="00DC1683"/>
    <w:rsid w:val="00DC1A6B"/>
    <w:rsid w:val="00DC3438"/>
    <w:rsid w:val="00DC4111"/>
    <w:rsid w:val="00DC692B"/>
    <w:rsid w:val="00DD0761"/>
    <w:rsid w:val="00DD0CFD"/>
    <w:rsid w:val="00DD3C13"/>
    <w:rsid w:val="00DD7710"/>
    <w:rsid w:val="00DD7787"/>
    <w:rsid w:val="00DD7790"/>
    <w:rsid w:val="00DD7A05"/>
    <w:rsid w:val="00DE18AF"/>
    <w:rsid w:val="00DE2520"/>
    <w:rsid w:val="00DE2F56"/>
    <w:rsid w:val="00DE30AD"/>
    <w:rsid w:val="00DE41AD"/>
    <w:rsid w:val="00DE51B3"/>
    <w:rsid w:val="00DE5FD1"/>
    <w:rsid w:val="00DE7792"/>
    <w:rsid w:val="00DF0CC2"/>
    <w:rsid w:val="00DF10E5"/>
    <w:rsid w:val="00DF1F16"/>
    <w:rsid w:val="00DF2880"/>
    <w:rsid w:val="00DF3D0C"/>
    <w:rsid w:val="00DF3ECD"/>
    <w:rsid w:val="00DF41E3"/>
    <w:rsid w:val="00DF4B86"/>
    <w:rsid w:val="00DF56BB"/>
    <w:rsid w:val="00DF70F3"/>
    <w:rsid w:val="00DF716E"/>
    <w:rsid w:val="00DF7ED8"/>
    <w:rsid w:val="00DF7EFD"/>
    <w:rsid w:val="00E001C9"/>
    <w:rsid w:val="00E00AE2"/>
    <w:rsid w:val="00E02B0B"/>
    <w:rsid w:val="00E0352C"/>
    <w:rsid w:val="00E03E2E"/>
    <w:rsid w:val="00E044D8"/>
    <w:rsid w:val="00E04618"/>
    <w:rsid w:val="00E04760"/>
    <w:rsid w:val="00E04BCC"/>
    <w:rsid w:val="00E04CE3"/>
    <w:rsid w:val="00E06912"/>
    <w:rsid w:val="00E1223B"/>
    <w:rsid w:val="00E16EB7"/>
    <w:rsid w:val="00E174C5"/>
    <w:rsid w:val="00E17697"/>
    <w:rsid w:val="00E2354E"/>
    <w:rsid w:val="00E25198"/>
    <w:rsid w:val="00E265AB"/>
    <w:rsid w:val="00E26EFF"/>
    <w:rsid w:val="00E278FD"/>
    <w:rsid w:val="00E3157B"/>
    <w:rsid w:val="00E3277E"/>
    <w:rsid w:val="00E33628"/>
    <w:rsid w:val="00E33A14"/>
    <w:rsid w:val="00E33A91"/>
    <w:rsid w:val="00E33AED"/>
    <w:rsid w:val="00E35F5A"/>
    <w:rsid w:val="00E40E17"/>
    <w:rsid w:val="00E42B01"/>
    <w:rsid w:val="00E42F14"/>
    <w:rsid w:val="00E4430D"/>
    <w:rsid w:val="00E44433"/>
    <w:rsid w:val="00E4654E"/>
    <w:rsid w:val="00E47308"/>
    <w:rsid w:val="00E47BAA"/>
    <w:rsid w:val="00E52E7A"/>
    <w:rsid w:val="00E5349B"/>
    <w:rsid w:val="00E5361A"/>
    <w:rsid w:val="00E55616"/>
    <w:rsid w:val="00E56DD3"/>
    <w:rsid w:val="00E57EA4"/>
    <w:rsid w:val="00E612F8"/>
    <w:rsid w:val="00E61B1E"/>
    <w:rsid w:val="00E61CDB"/>
    <w:rsid w:val="00E63A0F"/>
    <w:rsid w:val="00E63E52"/>
    <w:rsid w:val="00E64E6F"/>
    <w:rsid w:val="00E64FCB"/>
    <w:rsid w:val="00E65C49"/>
    <w:rsid w:val="00E66257"/>
    <w:rsid w:val="00E70109"/>
    <w:rsid w:val="00E70FA6"/>
    <w:rsid w:val="00E71480"/>
    <w:rsid w:val="00E7169E"/>
    <w:rsid w:val="00E7182B"/>
    <w:rsid w:val="00E726A8"/>
    <w:rsid w:val="00E728A3"/>
    <w:rsid w:val="00E72952"/>
    <w:rsid w:val="00E72CFF"/>
    <w:rsid w:val="00E73960"/>
    <w:rsid w:val="00E73DCD"/>
    <w:rsid w:val="00E74B16"/>
    <w:rsid w:val="00E7510F"/>
    <w:rsid w:val="00E77123"/>
    <w:rsid w:val="00E80679"/>
    <w:rsid w:val="00E813DF"/>
    <w:rsid w:val="00E823B6"/>
    <w:rsid w:val="00E8270A"/>
    <w:rsid w:val="00E841AF"/>
    <w:rsid w:val="00E857AF"/>
    <w:rsid w:val="00E85923"/>
    <w:rsid w:val="00E8592C"/>
    <w:rsid w:val="00E8653C"/>
    <w:rsid w:val="00E86A91"/>
    <w:rsid w:val="00E86CA6"/>
    <w:rsid w:val="00E87207"/>
    <w:rsid w:val="00E87709"/>
    <w:rsid w:val="00E90270"/>
    <w:rsid w:val="00E91A5F"/>
    <w:rsid w:val="00E9250A"/>
    <w:rsid w:val="00E929E2"/>
    <w:rsid w:val="00E93107"/>
    <w:rsid w:val="00E934F0"/>
    <w:rsid w:val="00E93862"/>
    <w:rsid w:val="00E93BBE"/>
    <w:rsid w:val="00E942FE"/>
    <w:rsid w:val="00E94685"/>
    <w:rsid w:val="00E94995"/>
    <w:rsid w:val="00E94BA4"/>
    <w:rsid w:val="00E953FA"/>
    <w:rsid w:val="00E956BA"/>
    <w:rsid w:val="00E976E4"/>
    <w:rsid w:val="00E978B6"/>
    <w:rsid w:val="00E97DD2"/>
    <w:rsid w:val="00EA03EF"/>
    <w:rsid w:val="00EB0B1C"/>
    <w:rsid w:val="00EB0CF5"/>
    <w:rsid w:val="00EB10C0"/>
    <w:rsid w:val="00EB17FA"/>
    <w:rsid w:val="00EB233B"/>
    <w:rsid w:val="00EB2609"/>
    <w:rsid w:val="00EB302A"/>
    <w:rsid w:val="00EB6423"/>
    <w:rsid w:val="00EB71FE"/>
    <w:rsid w:val="00EB7920"/>
    <w:rsid w:val="00EC0283"/>
    <w:rsid w:val="00EC0B22"/>
    <w:rsid w:val="00EC0FFF"/>
    <w:rsid w:val="00EC1333"/>
    <w:rsid w:val="00EC1D35"/>
    <w:rsid w:val="00EC50E4"/>
    <w:rsid w:val="00EC55B6"/>
    <w:rsid w:val="00EC56CE"/>
    <w:rsid w:val="00EC614F"/>
    <w:rsid w:val="00EC76DC"/>
    <w:rsid w:val="00EC7814"/>
    <w:rsid w:val="00ED0DC2"/>
    <w:rsid w:val="00ED1DAF"/>
    <w:rsid w:val="00ED3C23"/>
    <w:rsid w:val="00ED447D"/>
    <w:rsid w:val="00ED48CE"/>
    <w:rsid w:val="00EE0B2D"/>
    <w:rsid w:val="00EE1724"/>
    <w:rsid w:val="00EE3C5E"/>
    <w:rsid w:val="00EE4B7F"/>
    <w:rsid w:val="00EE5517"/>
    <w:rsid w:val="00EE61FC"/>
    <w:rsid w:val="00EF0972"/>
    <w:rsid w:val="00EF0F45"/>
    <w:rsid w:val="00EF1195"/>
    <w:rsid w:val="00EF1FE3"/>
    <w:rsid w:val="00EF2A93"/>
    <w:rsid w:val="00EF445C"/>
    <w:rsid w:val="00EF4EAF"/>
    <w:rsid w:val="00EF5140"/>
    <w:rsid w:val="00EF51C0"/>
    <w:rsid w:val="00EF5CEC"/>
    <w:rsid w:val="00F01148"/>
    <w:rsid w:val="00F072EC"/>
    <w:rsid w:val="00F07B44"/>
    <w:rsid w:val="00F10E68"/>
    <w:rsid w:val="00F122EC"/>
    <w:rsid w:val="00F15238"/>
    <w:rsid w:val="00F15D5D"/>
    <w:rsid w:val="00F165B3"/>
    <w:rsid w:val="00F2130E"/>
    <w:rsid w:val="00F24D14"/>
    <w:rsid w:val="00F260DC"/>
    <w:rsid w:val="00F27286"/>
    <w:rsid w:val="00F27357"/>
    <w:rsid w:val="00F300D5"/>
    <w:rsid w:val="00F300E8"/>
    <w:rsid w:val="00F316DD"/>
    <w:rsid w:val="00F31AC4"/>
    <w:rsid w:val="00F31EA2"/>
    <w:rsid w:val="00F32F29"/>
    <w:rsid w:val="00F355D9"/>
    <w:rsid w:val="00F35CCB"/>
    <w:rsid w:val="00F36113"/>
    <w:rsid w:val="00F36DE4"/>
    <w:rsid w:val="00F37B38"/>
    <w:rsid w:val="00F42FE5"/>
    <w:rsid w:val="00F4429E"/>
    <w:rsid w:val="00F449ED"/>
    <w:rsid w:val="00F44D79"/>
    <w:rsid w:val="00F44E2F"/>
    <w:rsid w:val="00F46B7B"/>
    <w:rsid w:val="00F46F8B"/>
    <w:rsid w:val="00F47510"/>
    <w:rsid w:val="00F47E4B"/>
    <w:rsid w:val="00F5365B"/>
    <w:rsid w:val="00F53993"/>
    <w:rsid w:val="00F5623F"/>
    <w:rsid w:val="00F615EF"/>
    <w:rsid w:val="00F61BFB"/>
    <w:rsid w:val="00F638FE"/>
    <w:rsid w:val="00F64489"/>
    <w:rsid w:val="00F652EA"/>
    <w:rsid w:val="00F65A47"/>
    <w:rsid w:val="00F664D4"/>
    <w:rsid w:val="00F674DF"/>
    <w:rsid w:val="00F7059A"/>
    <w:rsid w:val="00F738A8"/>
    <w:rsid w:val="00F77241"/>
    <w:rsid w:val="00F8364E"/>
    <w:rsid w:val="00F86216"/>
    <w:rsid w:val="00F878E0"/>
    <w:rsid w:val="00F9034D"/>
    <w:rsid w:val="00F90B11"/>
    <w:rsid w:val="00F90ECF"/>
    <w:rsid w:val="00F91C5C"/>
    <w:rsid w:val="00F91E77"/>
    <w:rsid w:val="00F93DD1"/>
    <w:rsid w:val="00F97401"/>
    <w:rsid w:val="00F977EC"/>
    <w:rsid w:val="00FA0AC2"/>
    <w:rsid w:val="00FA327D"/>
    <w:rsid w:val="00FA396A"/>
    <w:rsid w:val="00FA4904"/>
    <w:rsid w:val="00FA7451"/>
    <w:rsid w:val="00FA7B23"/>
    <w:rsid w:val="00FB098B"/>
    <w:rsid w:val="00FB30ED"/>
    <w:rsid w:val="00FB4EE8"/>
    <w:rsid w:val="00FB52C6"/>
    <w:rsid w:val="00FB542D"/>
    <w:rsid w:val="00FB5695"/>
    <w:rsid w:val="00FB6567"/>
    <w:rsid w:val="00FB7596"/>
    <w:rsid w:val="00FC03D7"/>
    <w:rsid w:val="00FC085F"/>
    <w:rsid w:val="00FC0A0E"/>
    <w:rsid w:val="00FC0D48"/>
    <w:rsid w:val="00FC16FE"/>
    <w:rsid w:val="00FC2953"/>
    <w:rsid w:val="00FC352A"/>
    <w:rsid w:val="00FC3E29"/>
    <w:rsid w:val="00FC563C"/>
    <w:rsid w:val="00FC7069"/>
    <w:rsid w:val="00FC7B54"/>
    <w:rsid w:val="00FC7CB1"/>
    <w:rsid w:val="00FD1093"/>
    <w:rsid w:val="00FD1946"/>
    <w:rsid w:val="00FD3259"/>
    <w:rsid w:val="00FD50FA"/>
    <w:rsid w:val="00FD622E"/>
    <w:rsid w:val="00FE0974"/>
    <w:rsid w:val="00FE153C"/>
    <w:rsid w:val="00FE156D"/>
    <w:rsid w:val="00FE183E"/>
    <w:rsid w:val="00FE1906"/>
    <w:rsid w:val="00FE1C07"/>
    <w:rsid w:val="00FE3EF1"/>
    <w:rsid w:val="00FE5716"/>
    <w:rsid w:val="00FE7501"/>
    <w:rsid w:val="00FE769E"/>
    <w:rsid w:val="00FE78E6"/>
    <w:rsid w:val="00FE7CF4"/>
    <w:rsid w:val="00FF16F2"/>
    <w:rsid w:val="00FF240F"/>
    <w:rsid w:val="00FF3203"/>
    <w:rsid w:val="00FF3AB2"/>
    <w:rsid w:val="00FF47AF"/>
    <w:rsid w:val="00FF506A"/>
    <w:rsid w:val="00FF51E7"/>
    <w:rsid w:val="00FF54C3"/>
    <w:rsid w:val="00FF71FB"/>
    <w:rsid w:val="00FF7E9A"/>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B817500"/>
  <w15:chartTrackingRefBased/>
  <w15:docId w15:val="{7AD1DB81-6D68-4E3C-841E-5F7A87F6D2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imes New Roman"/>
        <w:color w:val="000000" w:themeColor="text1"/>
        <w:sz w:val="22"/>
        <w:szCs w:val="22"/>
        <w:lang w:val="en-NZ" w:eastAsia="en-US" w:bidi="ar-SA"/>
      </w:rPr>
    </w:rPrDefault>
    <w:pPrDefault>
      <w:pPr>
        <w:spacing w:after="160" w:line="30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4E81"/>
    <w:pPr>
      <w:spacing w:line="310" w:lineRule="atLeast"/>
    </w:pPr>
    <w:rPr>
      <w:rFonts w:ascii="Portada" w:hAnsi="Portada" w:cstheme="minorBidi"/>
      <w:bCs/>
      <w:color w:val="000000"/>
      <w:sz w:val="21"/>
    </w:rPr>
  </w:style>
  <w:style w:type="paragraph" w:styleId="Heading1">
    <w:name w:val="heading 1"/>
    <w:basedOn w:val="Normal"/>
    <w:next w:val="Normal"/>
    <w:link w:val="Heading1Char"/>
    <w:uiPriority w:val="9"/>
    <w:qFormat/>
    <w:rsid w:val="006C2EAF"/>
    <w:pPr>
      <w:ind w:left="1134" w:hanging="1134"/>
      <w:outlineLvl w:val="0"/>
    </w:pPr>
    <w:rPr>
      <w:rFonts w:ascii="Segoe UI Semibold" w:hAnsi="Segoe UI Semibold"/>
      <w:color w:val="00819A"/>
      <w:sz w:val="48"/>
      <w:szCs w:val="40"/>
    </w:rPr>
  </w:style>
  <w:style w:type="paragraph" w:styleId="Heading2">
    <w:name w:val="heading 2"/>
    <w:basedOn w:val="Normal"/>
    <w:next w:val="Normal"/>
    <w:link w:val="Heading2Char"/>
    <w:uiPriority w:val="9"/>
    <w:unhideWhenUsed/>
    <w:qFormat/>
    <w:rsid w:val="006C2EAF"/>
    <w:pPr>
      <w:autoSpaceDE w:val="0"/>
      <w:autoSpaceDN w:val="0"/>
      <w:adjustRightInd w:val="0"/>
      <w:spacing w:before="320" w:after="200"/>
      <w:outlineLvl w:val="1"/>
    </w:pPr>
    <w:rPr>
      <w:rFonts w:ascii="Verdana" w:hAnsi="Verdana" w:cs="Verdana"/>
      <w:b/>
      <w:bCs w:val="0"/>
      <w:sz w:val="28"/>
      <w:szCs w:val="32"/>
      <w:lang w:val="en-US"/>
    </w:rPr>
  </w:style>
  <w:style w:type="paragraph" w:styleId="Heading3">
    <w:name w:val="heading 3"/>
    <w:basedOn w:val="Normal"/>
    <w:next w:val="Normal"/>
    <w:link w:val="Heading3Char"/>
    <w:uiPriority w:val="9"/>
    <w:unhideWhenUsed/>
    <w:qFormat/>
    <w:rsid w:val="006C2EAF"/>
    <w:pPr>
      <w:autoSpaceDE w:val="0"/>
      <w:autoSpaceDN w:val="0"/>
      <w:adjustRightInd w:val="0"/>
      <w:spacing w:before="320" w:after="200"/>
      <w:outlineLvl w:val="2"/>
    </w:pPr>
    <w:rPr>
      <w:rFonts w:ascii="Verdana" w:hAnsi="Verdana" w:cs="Verdana"/>
      <w:b/>
      <w:sz w:val="24"/>
      <w:szCs w:val="28"/>
      <w:lang w:val="en-US"/>
    </w:rPr>
  </w:style>
  <w:style w:type="paragraph" w:styleId="Heading4">
    <w:name w:val="heading 4"/>
    <w:basedOn w:val="Heading2-nonumbering"/>
    <w:next w:val="Normal"/>
    <w:link w:val="Heading4Char"/>
    <w:uiPriority w:val="1"/>
    <w:unhideWhenUsed/>
    <w:qFormat/>
    <w:rsid w:val="00925E36"/>
    <w:pPr>
      <w:spacing w:before="360" w:line="240" w:lineRule="auto"/>
      <w:outlineLvl w:val="3"/>
    </w:pPr>
    <w:rPr>
      <w:sz w:val="28"/>
      <w:szCs w:val="28"/>
    </w:rPr>
  </w:style>
  <w:style w:type="paragraph" w:styleId="Heading5">
    <w:name w:val="heading 5"/>
    <w:basedOn w:val="Heading3-nonumbering"/>
    <w:next w:val="Normal"/>
    <w:link w:val="Heading5Char"/>
    <w:uiPriority w:val="9"/>
    <w:qFormat/>
    <w:rsid w:val="00F27357"/>
    <w:pPr>
      <w:spacing w:before="0" w:after="160"/>
      <w:outlineLvl w:val="4"/>
    </w:pPr>
    <w:rPr>
      <w:rFonts w:eastAsia="Calibri"/>
    </w:rPr>
  </w:style>
  <w:style w:type="paragraph" w:styleId="Heading6">
    <w:name w:val="heading 6"/>
    <w:basedOn w:val="Normal"/>
    <w:next w:val="Normal"/>
    <w:link w:val="Heading6Char"/>
    <w:uiPriority w:val="9"/>
    <w:qFormat/>
    <w:rsid w:val="006C2EAF"/>
    <w:pPr>
      <w:numPr>
        <w:ilvl w:val="5"/>
        <w:numId w:val="4"/>
      </w:numPr>
      <w:spacing w:before="240" w:after="60"/>
      <w:outlineLvl w:val="5"/>
    </w:pPr>
    <w:rPr>
      <w:rFonts w:ascii="Times New Roman" w:hAnsi="Times New Roman"/>
      <w:b/>
      <w:bCs w:val="0"/>
    </w:rPr>
  </w:style>
  <w:style w:type="paragraph" w:styleId="Heading7">
    <w:name w:val="heading 7"/>
    <w:basedOn w:val="Heading5"/>
    <w:next w:val="Normal"/>
    <w:link w:val="Heading7Char"/>
    <w:uiPriority w:val="9"/>
    <w:qFormat/>
    <w:rsid w:val="008712EC"/>
    <w:pPr>
      <w:ind w:left="1701"/>
      <w:outlineLvl w:val="6"/>
    </w:pPr>
  </w:style>
  <w:style w:type="paragraph" w:styleId="Heading8">
    <w:name w:val="heading 8"/>
    <w:basedOn w:val="Heading4"/>
    <w:next w:val="Normal"/>
    <w:link w:val="Heading8Char"/>
    <w:uiPriority w:val="9"/>
    <w:qFormat/>
    <w:rsid w:val="00781A88"/>
    <w:pPr>
      <w:outlineLvl w:val="7"/>
    </w:pPr>
    <w:rPr>
      <w:rFonts w:eastAsia="Calibri"/>
      <w:bCs/>
      <w:color w:val="EC643C"/>
      <w14:textFill>
        <w14:solidFill>
          <w14:srgbClr w14:val="EC643C">
            <w14:lumMod w14:val="75000"/>
            <w14:lumOff w14:val="25000"/>
          </w14:srgbClr>
        </w14:solidFill>
      </w14:textFill>
    </w:rPr>
  </w:style>
  <w:style w:type="paragraph" w:styleId="Heading9">
    <w:name w:val="heading 9"/>
    <w:basedOn w:val="Normal"/>
    <w:next w:val="Normal"/>
    <w:link w:val="Heading9Char"/>
    <w:uiPriority w:val="9"/>
    <w:qFormat/>
    <w:rsid w:val="006C2EAF"/>
    <w:pPr>
      <w:numPr>
        <w:ilvl w:val="8"/>
        <w:numId w:val="4"/>
      </w:numPr>
      <w:spacing w:before="240" w:after="60"/>
      <w:outlineLvl w:val="8"/>
    </w:pPr>
    <w:rPr>
      <w:rFonts w:ascii="Cambria" w:hAnsi="Cambr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ag">
    <w:name w:val="Mag"/>
    <w:basedOn w:val="DefaultParagraphFont"/>
    <w:uiPriority w:val="1"/>
    <w:qFormat/>
    <w:rsid w:val="00761FD3"/>
    <w:rPr>
      <w:rFonts w:cs="Segoe UI"/>
      <w:color w:val="E6007E"/>
    </w:rPr>
  </w:style>
  <w:style w:type="paragraph" w:customStyle="1" w:styleId="LHheader">
    <w:name w:val="LH header"/>
    <w:basedOn w:val="Header"/>
    <w:link w:val="LHheaderChar"/>
    <w:qFormat/>
    <w:rsid w:val="00156F3D"/>
    <w:pPr>
      <w:ind w:left="-1077"/>
      <w:jc w:val="left"/>
    </w:pPr>
    <w:rPr>
      <w:color w:val="EC643C"/>
      <w:lang w:val="en-NZ"/>
    </w:rPr>
  </w:style>
  <w:style w:type="paragraph" w:customStyle="1" w:styleId="H1">
    <w:name w:val="H1"/>
    <w:basedOn w:val="IntroHead"/>
    <w:qFormat/>
    <w:rsid w:val="000D6A02"/>
    <w:rPr>
      <w:rFonts w:ascii="Portada" w:hAnsi="Portada"/>
      <w:b w:val="0"/>
      <w:color w:val="3C3839"/>
      <w:sz w:val="60"/>
    </w:rPr>
  </w:style>
  <w:style w:type="character" w:customStyle="1" w:styleId="LHheaderChar">
    <w:name w:val="LH header Char"/>
    <w:basedOn w:val="HeaderChar"/>
    <w:link w:val="LHheader"/>
    <w:rsid w:val="00156F3D"/>
    <w:rPr>
      <w:rFonts w:ascii="Segoe UI Semibold" w:hAnsi="Segoe UI Semibold" w:cstheme="minorBidi"/>
      <w:bCs/>
      <w:noProof/>
      <w:color w:val="EC643C"/>
      <w:spacing w:val="20"/>
      <w:sz w:val="16"/>
      <w:szCs w:val="16"/>
      <w:lang w:val="en-US"/>
    </w:rPr>
  </w:style>
  <w:style w:type="character" w:customStyle="1" w:styleId="1Orange">
    <w:name w:val="1 Orange"/>
    <w:basedOn w:val="DefaultParagraphFont"/>
    <w:uiPriority w:val="1"/>
    <w:qFormat/>
    <w:rsid w:val="00257558"/>
    <w:rPr>
      <w:b/>
      <w:i w:val="0"/>
      <w:color w:val="EC643C"/>
      <w:spacing w:val="-16"/>
    </w:rPr>
  </w:style>
  <w:style w:type="paragraph" w:customStyle="1" w:styleId="PNo">
    <w:name w:val="PNo"/>
    <w:basedOn w:val="Normal"/>
    <w:qFormat/>
    <w:rsid w:val="00156F3D"/>
    <w:pPr>
      <w:spacing w:before="80" w:after="200" w:line="300" w:lineRule="auto"/>
      <w:jc w:val="center"/>
    </w:pPr>
    <w:rPr>
      <w:rFonts w:ascii="Segoe UI Semibold" w:hAnsi="Segoe UI Semibold"/>
      <w:bCs w:val="0"/>
      <w:spacing w:val="2"/>
      <w:sz w:val="16"/>
      <w:szCs w:val="20"/>
      <w:lang w:val="en-GB"/>
    </w:rPr>
  </w:style>
  <w:style w:type="paragraph" w:customStyle="1" w:styleId="Contents">
    <w:name w:val="Contents"/>
    <w:qFormat/>
    <w:rsid w:val="004B7BD9"/>
    <w:pPr>
      <w:spacing w:after="0" w:line="720" w:lineRule="atLeast"/>
      <w:outlineLvl w:val="0"/>
    </w:pPr>
    <w:rPr>
      <w:rFonts w:ascii="Portada" w:eastAsia="Times New Roman" w:hAnsi="Portada" w:cstheme="minorBidi"/>
      <w:color w:val="3C3839"/>
      <w:spacing w:val="-10"/>
      <w:sz w:val="60"/>
      <w:szCs w:val="20"/>
      <w:lang w:val="en-GB" w:eastAsia="en-GB"/>
    </w:rPr>
  </w:style>
  <w:style w:type="paragraph" w:customStyle="1" w:styleId="Quotepara">
    <w:name w:val="Quote para"/>
    <w:basedOn w:val="Normal"/>
    <w:qFormat/>
    <w:rsid w:val="00346E86"/>
    <w:pPr>
      <w:spacing w:line="400" w:lineRule="atLeast"/>
      <w:ind w:left="1701"/>
    </w:pPr>
    <w:rPr>
      <w:iCs/>
      <w:color w:val="EC643C"/>
      <w:sz w:val="28"/>
      <w:lang w:eastAsia="en-GB"/>
    </w:rPr>
  </w:style>
  <w:style w:type="paragraph" w:customStyle="1" w:styleId="NormalwIndent">
    <w:name w:val="Normal w Indent"/>
    <w:basedOn w:val="Normal"/>
    <w:qFormat/>
    <w:rsid w:val="00CA0A08"/>
    <w:pPr>
      <w:spacing w:before="160"/>
      <w:ind w:left="1701"/>
    </w:pPr>
    <w:rPr>
      <w:lang w:eastAsia="en-GB"/>
    </w:rPr>
  </w:style>
  <w:style w:type="paragraph" w:customStyle="1" w:styleId="0RULE">
    <w:name w:val="0RULE"/>
    <w:basedOn w:val="Heading3-nonumbering"/>
    <w:qFormat/>
    <w:rsid w:val="000C72D2"/>
    <w:pPr>
      <w:spacing w:before="0" w:line="120" w:lineRule="atLeast"/>
      <w:outlineLvl w:val="9"/>
    </w:pPr>
    <w:rPr>
      <w:sz w:val="2"/>
    </w:rPr>
  </w:style>
  <w:style w:type="paragraph" w:customStyle="1" w:styleId="Photocaption">
    <w:name w:val="Photo caption"/>
    <w:basedOn w:val="Normal"/>
    <w:qFormat/>
    <w:rsid w:val="00070846"/>
    <w:pPr>
      <w:ind w:left="1701"/>
      <w:jc w:val="both"/>
    </w:pPr>
    <w:rPr>
      <w:rFonts w:ascii="Segoe UI Semibold" w:hAnsi="Segoe UI Semibold"/>
    </w:rPr>
  </w:style>
  <w:style w:type="paragraph" w:customStyle="1" w:styleId="H3">
    <w:name w:val="H3"/>
    <w:basedOn w:val="Normal"/>
    <w:uiPriority w:val="99"/>
    <w:rsid w:val="009424C8"/>
    <w:pPr>
      <w:keepNext/>
      <w:keepLines/>
      <w:suppressAutoHyphens/>
      <w:autoSpaceDE w:val="0"/>
      <w:autoSpaceDN w:val="0"/>
      <w:adjustRightInd w:val="0"/>
      <w:spacing w:before="40" w:line="520" w:lineRule="atLeast"/>
      <w:textAlignment w:val="center"/>
    </w:pPr>
    <w:rPr>
      <w:rFonts w:ascii="Segoe UI" w:hAnsi="Segoe UI" w:cs="Segoe UI"/>
      <w:b/>
      <w:spacing w:val="-10"/>
      <w:sz w:val="48"/>
      <w:szCs w:val="48"/>
      <w:lang w:val="en-US"/>
    </w:rPr>
  </w:style>
  <w:style w:type="numbering" w:styleId="1ai">
    <w:name w:val="Outline List 1"/>
    <w:basedOn w:val="NoList"/>
    <w:uiPriority w:val="99"/>
    <w:semiHidden/>
    <w:unhideWhenUsed/>
    <w:rsid w:val="006C2EAF"/>
    <w:pPr>
      <w:numPr>
        <w:numId w:val="1"/>
      </w:numPr>
    </w:pPr>
  </w:style>
  <w:style w:type="paragraph" w:customStyle="1" w:styleId="Quoteauthor">
    <w:name w:val="Quote author"/>
    <w:basedOn w:val="NormalwIndent"/>
    <w:qFormat/>
    <w:rsid w:val="00EB7920"/>
    <w:pPr>
      <w:spacing w:after="200"/>
    </w:pPr>
    <w:rPr>
      <w:b/>
      <w:color w:val="EC643C"/>
      <w:spacing w:val="2"/>
      <w:sz w:val="18"/>
      <w:szCs w:val="20"/>
      <w:lang w:val="en-GB"/>
    </w:rPr>
  </w:style>
  <w:style w:type="paragraph" w:customStyle="1" w:styleId="Quoteparaitalic">
    <w:name w:val="Quote para italic"/>
    <w:basedOn w:val="Quotepara"/>
    <w:qFormat/>
    <w:rsid w:val="00C43E8B"/>
    <w:pPr>
      <w:ind w:right="-284"/>
    </w:pPr>
    <w:rPr>
      <w:i/>
      <w:iCs w:val="0"/>
    </w:rPr>
  </w:style>
  <w:style w:type="paragraph" w:styleId="ListParagraph">
    <w:name w:val="List Paragraph"/>
    <w:aliases w:val="List Paragraph1,Recommendation,Body text,standard lewis,Bullet Normal,Colorful List - Accent 11,List Paragraph numbered,List Bullet indent,SJ No.Paras,Unordered List Paragraph,Rec para,List Paragraph11,Dot pt,F5 List Paragraph,No Spacing1"/>
    <w:basedOn w:val="Normal"/>
    <w:link w:val="ListParagraphChar"/>
    <w:uiPriority w:val="34"/>
    <w:qFormat/>
    <w:rsid w:val="006C2EAF"/>
    <w:pPr>
      <w:ind w:left="720"/>
      <w:contextualSpacing/>
    </w:pPr>
  </w:style>
  <w:style w:type="paragraph" w:customStyle="1" w:styleId="FigureHeading">
    <w:name w:val="Figure Heading"/>
    <w:basedOn w:val="Normal"/>
    <w:link w:val="FigureHeadingChar"/>
    <w:uiPriority w:val="17"/>
    <w:locked/>
    <w:rsid w:val="006C2EAF"/>
    <w:pPr>
      <w:numPr>
        <w:numId w:val="2"/>
      </w:numPr>
      <w:autoSpaceDE w:val="0"/>
      <w:autoSpaceDN w:val="0"/>
      <w:adjustRightInd w:val="0"/>
      <w:spacing w:before="480" w:after="200" w:line="240" w:lineRule="auto"/>
    </w:pPr>
    <w:rPr>
      <w:rFonts w:ascii="Verdana" w:hAnsi="Verdana" w:cs="Verdana"/>
      <w:b/>
      <w:bCs w:val="0"/>
      <w:sz w:val="20"/>
      <w:szCs w:val="20"/>
      <w:lang w:val="en-US"/>
    </w:rPr>
  </w:style>
  <w:style w:type="character" w:customStyle="1" w:styleId="FigureHeadingChar">
    <w:name w:val="Figure Heading Char"/>
    <w:basedOn w:val="DefaultParagraphFont"/>
    <w:link w:val="FigureHeading"/>
    <w:uiPriority w:val="17"/>
    <w:rsid w:val="006C2EAF"/>
    <w:rPr>
      <w:rFonts w:ascii="Verdana" w:hAnsi="Verdana" w:cs="Verdana"/>
      <w:b/>
      <w:color w:val="000000"/>
      <w:sz w:val="20"/>
      <w:szCs w:val="20"/>
      <w:lang w:val="en-US"/>
    </w:rPr>
  </w:style>
  <w:style w:type="paragraph" w:customStyle="1" w:styleId="AppendixHeading">
    <w:name w:val="Appendix Heading"/>
    <w:basedOn w:val="FigureHeading"/>
    <w:link w:val="AppendixHeadingChar"/>
    <w:uiPriority w:val="17"/>
    <w:rsid w:val="006C2EAF"/>
    <w:pPr>
      <w:numPr>
        <w:numId w:val="3"/>
      </w:numPr>
    </w:pPr>
  </w:style>
  <w:style w:type="character" w:customStyle="1" w:styleId="AppendixHeadingChar">
    <w:name w:val="Appendix Heading Char"/>
    <w:basedOn w:val="FigureHeadingChar"/>
    <w:link w:val="AppendixHeading"/>
    <w:uiPriority w:val="17"/>
    <w:rsid w:val="006C2EAF"/>
    <w:rPr>
      <w:rFonts w:ascii="Verdana" w:hAnsi="Verdana" w:cs="Verdana"/>
      <w:b/>
      <w:color w:val="000000"/>
      <w:sz w:val="20"/>
      <w:szCs w:val="20"/>
      <w:lang w:val="en-US"/>
    </w:rPr>
  </w:style>
  <w:style w:type="paragraph" w:styleId="Caption">
    <w:name w:val="caption"/>
    <w:basedOn w:val="Normal"/>
    <w:next w:val="Normal"/>
    <w:uiPriority w:val="35"/>
    <w:unhideWhenUsed/>
    <w:qFormat/>
    <w:rsid w:val="00831CBA"/>
    <w:pPr>
      <w:spacing w:before="200" w:line="300" w:lineRule="exact"/>
    </w:pPr>
    <w:rPr>
      <w:rFonts w:ascii="Segoe UI Semibold" w:eastAsia="Times New Roman" w:hAnsi="Segoe UI Semibold" w:cs="Times New Roman"/>
      <w:noProof/>
      <w:color w:val="404040" w:themeColor="text1" w:themeTint="BF"/>
      <w:sz w:val="20"/>
      <w:szCs w:val="20"/>
    </w:rPr>
  </w:style>
  <w:style w:type="paragraph" w:customStyle="1" w:styleId="DecimalAligned">
    <w:name w:val="Decimal Aligned"/>
    <w:basedOn w:val="Normal"/>
    <w:uiPriority w:val="40"/>
    <w:rsid w:val="006C2EAF"/>
    <w:pPr>
      <w:tabs>
        <w:tab w:val="decimal" w:pos="360"/>
      </w:tabs>
      <w:spacing w:after="200" w:line="276" w:lineRule="auto"/>
    </w:pPr>
    <w:rPr>
      <w:rFonts w:asciiTheme="minorHAnsi" w:eastAsiaTheme="minorEastAsia" w:hAnsiTheme="minorHAnsi"/>
      <w:color w:val="auto"/>
      <w:lang w:val="en-US"/>
    </w:rPr>
  </w:style>
  <w:style w:type="character" w:styleId="EndnoteReference">
    <w:name w:val="endnote reference"/>
    <w:basedOn w:val="DefaultParagraphFont"/>
    <w:uiPriority w:val="99"/>
    <w:rsid w:val="006C2EAF"/>
    <w:rPr>
      <w:rFonts w:ascii="Segoe UI Semibold" w:hAnsi="Segoe UI Semibold"/>
      <w:b w:val="0"/>
      <w:i w:val="0"/>
      <w:caps w:val="0"/>
      <w:smallCaps w:val="0"/>
      <w:strike w:val="0"/>
      <w:dstrike w:val="0"/>
      <w:vanish w:val="0"/>
      <w:color w:val="FFFFFF" w:themeColor="background1"/>
      <w:sz w:val="16"/>
      <w:u w:val="none"/>
      <w:vertAlign w:val="superscript"/>
    </w:rPr>
  </w:style>
  <w:style w:type="paragraph" w:styleId="EndnoteText">
    <w:name w:val="endnote text"/>
    <w:basedOn w:val="Normal"/>
    <w:link w:val="EndnoteTextChar"/>
    <w:uiPriority w:val="99"/>
    <w:rsid w:val="006C2EAF"/>
    <w:pPr>
      <w:spacing w:after="60" w:line="200" w:lineRule="exact"/>
    </w:pPr>
    <w:rPr>
      <w:i/>
      <w:sz w:val="16"/>
      <w:szCs w:val="20"/>
    </w:rPr>
  </w:style>
  <w:style w:type="character" w:customStyle="1" w:styleId="EndnoteTextChar">
    <w:name w:val="Endnote Text Char"/>
    <w:basedOn w:val="DefaultParagraphFont"/>
    <w:link w:val="EndnoteText"/>
    <w:uiPriority w:val="99"/>
    <w:rsid w:val="006C2EAF"/>
    <w:rPr>
      <w:rFonts w:ascii="Segoe UI Light" w:hAnsi="Segoe UI Light" w:cs="Times New Roman"/>
      <w:i/>
      <w:color w:val="FFFFFF" w:themeColor="background1" w:themeTint="E6"/>
      <w:sz w:val="16"/>
      <w:szCs w:val="20"/>
    </w:rPr>
  </w:style>
  <w:style w:type="character" w:styleId="FollowedHyperlink">
    <w:name w:val="FollowedHyperlink"/>
    <w:basedOn w:val="DefaultParagraphFont"/>
    <w:uiPriority w:val="99"/>
    <w:rsid w:val="006C2EAF"/>
    <w:rPr>
      <w:rFonts w:ascii="Segoe UI Semibold" w:hAnsi="Segoe UI Semibold"/>
      <w:b w:val="0"/>
      <w:i w:val="0"/>
      <w:color w:val="48453D"/>
      <w:u w:val="single"/>
    </w:rPr>
  </w:style>
  <w:style w:type="paragraph" w:styleId="Footer">
    <w:name w:val="footer"/>
    <w:basedOn w:val="Normal"/>
    <w:link w:val="FooterChar"/>
    <w:uiPriority w:val="99"/>
    <w:unhideWhenUsed/>
    <w:qFormat/>
    <w:rsid w:val="00C4502C"/>
    <w:pPr>
      <w:tabs>
        <w:tab w:val="right" w:pos="8505"/>
        <w:tab w:val="right" w:pos="8789"/>
        <w:tab w:val="right" w:pos="10206"/>
      </w:tabs>
      <w:spacing w:after="0" w:line="20" w:lineRule="atLeast"/>
      <w:ind w:left="170" w:right="170"/>
      <w:jc w:val="right"/>
    </w:pPr>
    <w:rPr>
      <w:noProof/>
      <w:color w:val="44546A" w:themeColor="text2"/>
      <w:sz w:val="16"/>
      <w:szCs w:val="16"/>
      <w:lang w:val="en-US"/>
    </w:rPr>
  </w:style>
  <w:style w:type="character" w:customStyle="1" w:styleId="FooterChar">
    <w:name w:val="Footer Char"/>
    <w:basedOn w:val="DefaultParagraphFont"/>
    <w:link w:val="Footer"/>
    <w:uiPriority w:val="99"/>
    <w:rsid w:val="00C4502C"/>
    <w:rPr>
      <w:rFonts w:ascii="Portada" w:hAnsi="Portada" w:cstheme="minorBidi"/>
      <w:bCs/>
      <w:noProof/>
      <w:color w:val="44546A" w:themeColor="text2"/>
      <w:sz w:val="16"/>
      <w:szCs w:val="16"/>
      <w:lang w:val="en-US"/>
    </w:rPr>
  </w:style>
  <w:style w:type="character" w:styleId="FootnoteReference">
    <w:name w:val="footnote reference"/>
    <w:uiPriority w:val="99"/>
    <w:qFormat/>
    <w:rsid w:val="00986856"/>
    <w:rPr>
      <w:rFonts w:ascii="Segoe UI Semibold" w:hAnsi="Segoe UI Semibold"/>
      <w:b w:val="0"/>
      <w:i w:val="0"/>
      <w:caps w:val="0"/>
      <w:smallCaps w:val="0"/>
      <w:strike w:val="0"/>
      <w:dstrike w:val="0"/>
      <w:vanish w:val="0"/>
      <w:color w:val="000000" w:themeColor="text1"/>
      <w:sz w:val="16"/>
      <w:vertAlign w:val="superscript"/>
    </w:rPr>
  </w:style>
  <w:style w:type="paragraph" w:styleId="FootnoteText">
    <w:name w:val="footnote text"/>
    <w:aliases w:val="Footnote Text Char Char,Footnote Text Char Char2 Char Char,Footnote Text Char Char1 Char Char Char Char,Footnote Text Char1 Char Char Char Char Char Char,Footnote Text Char Char Char Char Char Char Char Char"/>
    <w:basedOn w:val="Normal"/>
    <w:link w:val="FootnoteTextChar"/>
    <w:uiPriority w:val="99"/>
    <w:qFormat/>
    <w:rsid w:val="008866B9"/>
    <w:pPr>
      <w:framePr w:wrap="around" w:hAnchor="text" w:yAlign="bottom"/>
      <w:tabs>
        <w:tab w:val="left" w:pos="1985"/>
      </w:tabs>
      <w:spacing w:after="0" w:line="240" w:lineRule="auto"/>
      <w:ind w:left="1702" w:right="-851" w:hanging="284"/>
    </w:pPr>
    <w:rPr>
      <w:sz w:val="18"/>
      <w:szCs w:val="14"/>
    </w:rPr>
  </w:style>
  <w:style w:type="character" w:customStyle="1" w:styleId="FootnoteTextChar">
    <w:name w:val="Footnote Text Char"/>
    <w:aliases w:val="Footnote Text Char Char Char,Footnote Text Char Char2 Char Char Char,Footnote Text Char Char1 Char Char Char Char Char,Footnote Text Char1 Char Char Char Char Char Char Char,Footnote Text Char Char Char Char Char Char Char Char Char"/>
    <w:basedOn w:val="DefaultParagraphFont"/>
    <w:link w:val="FootnoteText"/>
    <w:uiPriority w:val="99"/>
    <w:rsid w:val="008866B9"/>
    <w:rPr>
      <w:rFonts w:ascii="Portada" w:hAnsi="Portada" w:cstheme="minorBidi"/>
      <w:bCs/>
      <w:color w:val="000000"/>
      <w:sz w:val="18"/>
      <w:szCs w:val="14"/>
    </w:rPr>
  </w:style>
  <w:style w:type="table" w:styleId="GridTable1Light">
    <w:name w:val="Grid Table 1 Light"/>
    <w:basedOn w:val="TableNormal"/>
    <w:uiPriority w:val="46"/>
    <w:rsid w:val="006C2EAF"/>
    <w:pPr>
      <w:spacing w:after="0" w:line="240" w:lineRule="auto"/>
    </w:pPr>
    <w:rPr>
      <w:color w:val="FFFFFF" w:themeColor="background1"/>
      <w:sz w:val="18"/>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aliases w:val="Header RH"/>
    <w:basedOn w:val="Footer"/>
    <w:link w:val="HeaderChar"/>
    <w:uiPriority w:val="99"/>
    <w:unhideWhenUsed/>
    <w:qFormat/>
    <w:rsid w:val="00156F3D"/>
    <w:pPr>
      <w:spacing w:line="200" w:lineRule="exact"/>
      <w:ind w:left="0" w:right="-964"/>
    </w:pPr>
    <w:rPr>
      <w:rFonts w:ascii="Segoe UI Semibold" w:hAnsi="Segoe UI Semibold"/>
      <w:color w:val="878787"/>
      <w:spacing w:val="20"/>
    </w:rPr>
  </w:style>
  <w:style w:type="character" w:customStyle="1" w:styleId="HeaderChar">
    <w:name w:val="Header Char"/>
    <w:aliases w:val="Header RH Char"/>
    <w:basedOn w:val="DefaultParagraphFont"/>
    <w:link w:val="Header"/>
    <w:uiPriority w:val="99"/>
    <w:rsid w:val="00156F3D"/>
    <w:rPr>
      <w:rFonts w:ascii="Segoe UI Semibold" w:hAnsi="Segoe UI Semibold" w:cstheme="minorBidi"/>
      <w:bCs/>
      <w:noProof/>
      <w:color w:val="878787"/>
      <w:spacing w:val="20"/>
      <w:sz w:val="16"/>
      <w:szCs w:val="16"/>
      <w:lang w:val="en-US"/>
    </w:rPr>
  </w:style>
  <w:style w:type="character" w:customStyle="1" w:styleId="Heading1Char">
    <w:name w:val="Heading 1 Char"/>
    <w:basedOn w:val="DefaultParagraphFont"/>
    <w:link w:val="Heading1"/>
    <w:uiPriority w:val="9"/>
    <w:rsid w:val="006C2EAF"/>
    <w:rPr>
      <w:rFonts w:ascii="Segoe UI Semibold" w:hAnsi="Segoe UI Semibold" w:cs="Times New Roman"/>
      <w:color w:val="00819A"/>
      <w:sz w:val="48"/>
      <w:szCs w:val="40"/>
    </w:rPr>
  </w:style>
  <w:style w:type="character" w:customStyle="1" w:styleId="Heading2Char">
    <w:name w:val="Heading 2 Char"/>
    <w:basedOn w:val="DefaultParagraphFont"/>
    <w:link w:val="Heading2"/>
    <w:uiPriority w:val="9"/>
    <w:rsid w:val="006C2EAF"/>
    <w:rPr>
      <w:rFonts w:ascii="Verdana" w:hAnsi="Verdana" w:cs="Verdana"/>
      <w:b/>
      <w:bCs/>
      <w:color w:val="FFFFFF" w:themeColor="background1" w:themeTint="E6"/>
      <w:sz w:val="28"/>
      <w:szCs w:val="32"/>
      <w:lang w:val="en-US"/>
    </w:rPr>
  </w:style>
  <w:style w:type="character" w:customStyle="1" w:styleId="Heading3Char">
    <w:name w:val="Heading 3 Char"/>
    <w:basedOn w:val="DefaultParagraphFont"/>
    <w:link w:val="Heading3"/>
    <w:uiPriority w:val="9"/>
    <w:rsid w:val="006C2EAF"/>
    <w:rPr>
      <w:rFonts w:ascii="Verdana" w:hAnsi="Verdana" w:cs="Verdana"/>
      <w:b/>
      <w:color w:val="FFFFFF" w:themeColor="background1" w:themeTint="E6"/>
      <w:sz w:val="24"/>
      <w:szCs w:val="28"/>
      <w:lang w:val="en-US"/>
    </w:rPr>
  </w:style>
  <w:style w:type="character" w:customStyle="1" w:styleId="Heading4Char">
    <w:name w:val="Heading 4 Char"/>
    <w:basedOn w:val="DefaultParagraphFont"/>
    <w:link w:val="Heading4"/>
    <w:uiPriority w:val="1"/>
    <w:rsid w:val="00925E36"/>
    <w:rPr>
      <w:rFonts w:ascii="Segoe UI" w:eastAsia="Times New Roman" w:hAnsi="Segoe UI"/>
      <w:b/>
      <w:color w:val="404040" w:themeColor="text1" w:themeTint="BF"/>
      <w:spacing w:val="-5"/>
      <w:sz w:val="28"/>
      <w:szCs w:val="28"/>
      <w:lang w:eastAsia="en-GB"/>
    </w:rPr>
  </w:style>
  <w:style w:type="character" w:customStyle="1" w:styleId="Heading5Char">
    <w:name w:val="Heading 5 Char"/>
    <w:basedOn w:val="DefaultParagraphFont"/>
    <w:link w:val="Heading5"/>
    <w:uiPriority w:val="9"/>
    <w:rsid w:val="00F27357"/>
    <w:rPr>
      <w:rFonts w:ascii="Segoe UI" w:eastAsia="Calibri" w:hAnsi="Segoe UI"/>
      <w:b/>
      <w:color w:val="404040" w:themeColor="text1" w:themeTint="BF"/>
      <w:spacing w:val="-5"/>
      <w:sz w:val="30"/>
      <w:szCs w:val="20"/>
      <w:lang w:eastAsia="en-GB"/>
    </w:rPr>
  </w:style>
  <w:style w:type="character" w:customStyle="1" w:styleId="Heading6Char">
    <w:name w:val="Heading 6 Char"/>
    <w:basedOn w:val="DefaultParagraphFont"/>
    <w:link w:val="Heading6"/>
    <w:uiPriority w:val="9"/>
    <w:rsid w:val="006C2EAF"/>
    <w:rPr>
      <w:rFonts w:ascii="Times New Roman" w:hAnsi="Times New Roman" w:cstheme="minorBidi"/>
      <w:b/>
      <w:color w:val="000000"/>
      <w:sz w:val="21"/>
    </w:rPr>
  </w:style>
  <w:style w:type="character" w:customStyle="1" w:styleId="Heading7Char">
    <w:name w:val="Heading 7 Char"/>
    <w:basedOn w:val="DefaultParagraphFont"/>
    <w:link w:val="Heading7"/>
    <w:uiPriority w:val="9"/>
    <w:rsid w:val="008712EC"/>
    <w:rPr>
      <w:rFonts w:ascii="Segoe UI" w:eastAsia="Calibri" w:hAnsi="Segoe UI"/>
      <w:b/>
      <w:color w:val="404040" w:themeColor="text1" w:themeTint="BF"/>
      <w:spacing w:val="-5"/>
      <w:sz w:val="30"/>
      <w:szCs w:val="20"/>
      <w:lang w:eastAsia="en-GB"/>
    </w:rPr>
  </w:style>
  <w:style w:type="character" w:customStyle="1" w:styleId="Heading8Char">
    <w:name w:val="Heading 8 Char"/>
    <w:basedOn w:val="DefaultParagraphFont"/>
    <w:link w:val="Heading8"/>
    <w:uiPriority w:val="9"/>
    <w:rsid w:val="00781A88"/>
    <w:rPr>
      <w:rFonts w:ascii="Segoe UI" w:eastAsia="Calibri" w:hAnsi="Segoe UI"/>
      <w:b/>
      <w:bCs/>
      <w:color w:val="EC643C"/>
      <w:spacing w:val="-5"/>
      <w:sz w:val="40"/>
      <w:szCs w:val="20"/>
      <w:lang w:eastAsia="en-GB"/>
    </w:rPr>
  </w:style>
  <w:style w:type="character" w:customStyle="1" w:styleId="Heading9Char">
    <w:name w:val="Heading 9 Char"/>
    <w:basedOn w:val="DefaultParagraphFont"/>
    <w:link w:val="Heading9"/>
    <w:uiPriority w:val="9"/>
    <w:rsid w:val="006C2EAF"/>
    <w:rPr>
      <w:rFonts w:ascii="Cambria" w:hAnsi="Cambria" w:cstheme="minorBidi"/>
      <w:bCs/>
      <w:color w:val="000000"/>
      <w:sz w:val="21"/>
    </w:rPr>
  </w:style>
  <w:style w:type="character" w:styleId="Hyperlink">
    <w:name w:val="Hyperlink"/>
    <w:uiPriority w:val="99"/>
    <w:rsid w:val="00257558"/>
    <w:rPr>
      <w:rFonts w:ascii="Portada" w:hAnsi="Portada"/>
      <w:caps w:val="0"/>
      <w:smallCaps w:val="0"/>
      <w:strike w:val="0"/>
      <w:dstrike w:val="0"/>
      <w:vanish w:val="0"/>
      <w:color w:val="000000" w:themeColor="text1"/>
      <w:u w:val="single"/>
      <w:vertAlign w:val="baseline"/>
    </w:rPr>
  </w:style>
  <w:style w:type="paragraph" w:customStyle="1" w:styleId="Introduction">
    <w:name w:val="Introduction"/>
    <w:basedOn w:val="Normal"/>
    <w:uiPriority w:val="4"/>
    <w:locked/>
    <w:rsid w:val="006C2EAF"/>
    <w:pPr>
      <w:spacing w:before="200" w:after="200"/>
    </w:pPr>
    <w:rPr>
      <w:rFonts w:ascii="Verdana" w:hAnsi="Verdana"/>
      <w:color w:val="00ACCD"/>
      <w:sz w:val="24"/>
      <w:szCs w:val="24"/>
    </w:rPr>
  </w:style>
  <w:style w:type="table" w:styleId="LightShading-Accent1">
    <w:name w:val="Light Shading Accent 1"/>
    <w:basedOn w:val="TableNormal"/>
    <w:uiPriority w:val="60"/>
    <w:rsid w:val="006C2EAF"/>
    <w:pPr>
      <w:spacing w:after="0" w:line="240" w:lineRule="auto"/>
    </w:pPr>
    <w:rPr>
      <w:rFonts w:eastAsiaTheme="minorEastAsia"/>
      <w:color w:val="2F5496" w:themeColor="accent1" w:themeShade="BF"/>
      <w:lang w:val="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numbering" w:customStyle="1" w:styleId="LINZList">
    <w:name w:val="LINZ List"/>
    <w:uiPriority w:val="99"/>
    <w:rsid w:val="00687243"/>
    <w:pPr>
      <w:numPr>
        <w:numId w:val="5"/>
      </w:numPr>
    </w:pPr>
  </w:style>
  <w:style w:type="paragraph" w:customStyle="1" w:styleId="LINZurl">
    <w:name w:val="LINZ url"/>
    <w:basedOn w:val="Normal"/>
    <w:uiPriority w:val="17"/>
    <w:rsid w:val="00587683"/>
    <w:pPr>
      <w:spacing w:line="340" w:lineRule="exact"/>
    </w:pPr>
    <w:rPr>
      <w:rFonts w:ascii="Segoe UI Semibold" w:hAnsi="Segoe UI Semibold"/>
      <w:color w:val="E7E6E6" w:themeColor="background2"/>
    </w:rPr>
  </w:style>
  <w:style w:type="paragraph" w:styleId="ListBullet">
    <w:name w:val="List Bullet"/>
    <w:aliases w:val="5 bullets indents"/>
    <w:basedOn w:val="Normal"/>
    <w:uiPriority w:val="99"/>
    <w:unhideWhenUsed/>
    <w:qFormat/>
    <w:rsid w:val="00B872EB"/>
    <w:pPr>
      <w:numPr>
        <w:numId w:val="10"/>
      </w:numPr>
      <w:spacing w:before="60" w:after="60"/>
    </w:pPr>
  </w:style>
  <w:style w:type="paragraph" w:customStyle="1" w:styleId="Nospacingnormal">
    <w:name w:val="No spacing normal"/>
    <w:basedOn w:val="Normal"/>
    <w:uiPriority w:val="17"/>
    <w:qFormat/>
    <w:rsid w:val="006C2EAF"/>
    <w:pPr>
      <w:spacing w:after="0"/>
    </w:pPr>
  </w:style>
  <w:style w:type="character" w:styleId="PageNumber">
    <w:name w:val="page number"/>
    <w:basedOn w:val="DefaultParagraphFont"/>
    <w:uiPriority w:val="99"/>
    <w:rsid w:val="006C2EAF"/>
  </w:style>
  <w:style w:type="table" w:styleId="TableGrid">
    <w:name w:val="Table Grid"/>
    <w:aliases w:val="Table - Top"/>
    <w:basedOn w:val="TableNormal"/>
    <w:uiPriority w:val="39"/>
    <w:rsid w:val="00F5623F"/>
    <w:pPr>
      <w:spacing w:before="80" w:after="200" w:line="300" w:lineRule="auto"/>
    </w:pPr>
    <w:rPr>
      <w:rFonts w:ascii="Times New Roman" w:hAnsi="Times New Roman" w:cs="Arial"/>
      <w:bCs/>
      <w:color w:val="44546A" w:themeColor="text2"/>
      <w:spacing w:val="2"/>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6C2EAF"/>
    <w:rPr>
      <w:sz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Light">
    <w:name w:val="Grid Table Light"/>
    <w:basedOn w:val="TableNormal"/>
    <w:uiPriority w:val="40"/>
    <w:rsid w:val="00F5623F"/>
    <w:pPr>
      <w:spacing w:before="80" w:after="0" w:line="240" w:lineRule="auto"/>
    </w:pPr>
    <w:rPr>
      <w:rFonts w:ascii="Times New Roman" w:hAnsi="Times New Roman" w:cs="Arial"/>
      <w:bCs/>
      <w:color w:val="44546A" w:themeColor="text2"/>
      <w:spacing w:val="2"/>
      <w:sz w:val="20"/>
      <w:szCs w:val="20"/>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Figures">
    <w:name w:val="table of figures"/>
    <w:basedOn w:val="Normal"/>
    <w:next w:val="Normal"/>
    <w:uiPriority w:val="99"/>
    <w:unhideWhenUsed/>
    <w:rsid w:val="006C2EAF"/>
    <w:rPr>
      <w:rFonts w:ascii="Verdana" w:hAnsi="Verdana"/>
    </w:rPr>
  </w:style>
  <w:style w:type="paragraph" w:styleId="TOC1">
    <w:name w:val="toc 1"/>
    <w:basedOn w:val="Normal"/>
    <w:next w:val="Normal"/>
    <w:link w:val="TOC1Char"/>
    <w:autoRedefine/>
    <w:uiPriority w:val="39"/>
    <w:qFormat/>
    <w:rsid w:val="009D7C31"/>
    <w:pPr>
      <w:tabs>
        <w:tab w:val="right" w:pos="9072"/>
      </w:tabs>
      <w:spacing w:before="120" w:after="0"/>
    </w:pPr>
    <w:rPr>
      <w:b/>
      <w:bCs w:val="0"/>
      <w:noProof/>
      <w:color w:val="000000" w:themeColor="text1"/>
      <w:lang w:val="en-US"/>
    </w:rPr>
  </w:style>
  <w:style w:type="character" w:customStyle="1" w:styleId="TOC1Char">
    <w:name w:val="TOC 1 Char"/>
    <w:basedOn w:val="DefaultParagraphFont"/>
    <w:link w:val="TOC1"/>
    <w:uiPriority w:val="39"/>
    <w:rsid w:val="009D7C31"/>
    <w:rPr>
      <w:rFonts w:ascii="Portada" w:hAnsi="Portada" w:cstheme="minorBidi"/>
      <w:b/>
      <w:noProof/>
      <w:sz w:val="21"/>
      <w:lang w:val="en-US"/>
    </w:rPr>
  </w:style>
  <w:style w:type="paragraph" w:styleId="TOC2">
    <w:name w:val="toc 2"/>
    <w:next w:val="Normal"/>
    <w:link w:val="TOC2Char"/>
    <w:autoRedefine/>
    <w:uiPriority w:val="39"/>
    <w:qFormat/>
    <w:rsid w:val="00FD1946"/>
    <w:pPr>
      <w:tabs>
        <w:tab w:val="right" w:pos="9072"/>
      </w:tabs>
      <w:spacing w:before="60" w:after="60" w:line="310" w:lineRule="atLeast"/>
      <w:ind w:left="623" w:hanging="113"/>
    </w:pPr>
    <w:rPr>
      <w:rFonts w:ascii="Portada" w:hAnsi="Portada"/>
      <w:noProof/>
      <w:sz w:val="21"/>
      <w:lang w:val="en-US"/>
    </w:rPr>
  </w:style>
  <w:style w:type="character" w:customStyle="1" w:styleId="TOC2Char">
    <w:name w:val="TOC 2 Char"/>
    <w:basedOn w:val="DefaultParagraphFont"/>
    <w:link w:val="TOC2"/>
    <w:uiPriority w:val="39"/>
    <w:rsid w:val="00FD1946"/>
    <w:rPr>
      <w:rFonts w:ascii="Portada" w:hAnsi="Portada"/>
      <w:noProof/>
      <w:sz w:val="21"/>
      <w:lang w:val="en-US"/>
    </w:rPr>
  </w:style>
  <w:style w:type="paragraph" w:styleId="TOC3">
    <w:name w:val="toc 3"/>
    <w:basedOn w:val="Normal"/>
    <w:next w:val="Normal"/>
    <w:link w:val="TOC3Char"/>
    <w:autoRedefine/>
    <w:uiPriority w:val="39"/>
    <w:qFormat/>
    <w:rsid w:val="006C2EAF"/>
    <w:pPr>
      <w:tabs>
        <w:tab w:val="right" w:leader="dot" w:pos="9072"/>
      </w:tabs>
      <w:spacing w:before="60" w:after="60"/>
      <w:ind w:left="510"/>
    </w:pPr>
    <w:rPr>
      <w:noProof/>
      <w:sz w:val="20"/>
      <w:lang w:val="en-US"/>
    </w:rPr>
  </w:style>
  <w:style w:type="character" w:customStyle="1" w:styleId="TOC3Char">
    <w:name w:val="TOC 3 Char"/>
    <w:basedOn w:val="DefaultParagraphFont"/>
    <w:link w:val="TOC3"/>
    <w:uiPriority w:val="39"/>
    <w:rsid w:val="006C2EAF"/>
    <w:rPr>
      <w:rFonts w:ascii="Segoe UI Light" w:hAnsi="Segoe UI Light" w:cs="Times New Roman"/>
      <w:noProof/>
      <w:color w:val="FFFFFF" w:themeColor="background1" w:themeTint="E6"/>
      <w:sz w:val="20"/>
      <w:lang w:val="en-US"/>
    </w:rPr>
  </w:style>
  <w:style w:type="character" w:styleId="UnresolvedMention">
    <w:name w:val="Unresolved Mention"/>
    <w:basedOn w:val="DefaultParagraphFont"/>
    <w:uiPriority w:val="99"/>
    <w:semiHidden/>
    <w:unhideWhenUsed/>
    <w:rsid w:val="006C2EAF"/>
    <w:rPr>
      <w:color w:val="605E5C"/>
      <w:shd w:val="clear" w:color="auto" w:fill="E1DFDD"/>
    </w:rPr>
  </w:style>
  <w:style w:type="table" w:styleId="ListTable1Light">
    <w:name w:val="List Table 1 Light"/>
    <w:basedOn w:val="TableNormal"/>
    <w:uiPriority w:val="46"/>
    <w:rsid w:val="00EB17FA"/>
    <w:pPr>
      <w:spacing w:before="80" w:after="0" w:line="240" w:lineRule="auto"/>
    </w:pPr>
    <w:rPr>
      <w:rFonts w:ascii="Berling" w:hAnsi="Berling" w:cs="Arial"/>
      <w:bCs/>
      <w:color w:val="44546A" w:themeColor="text2"/>
      <w:spacing w:val="2"/>
      <w:sz w:val="20"/>
      <w:szCs w:val="20"/>
      <w:lang w:val="en-GB"/>
    </w:rPr>
    <w:tblPr>
      <w:tblStyleRowBandSize w:val="1"/>
      <w:tblStyleColBandSize w:val="1"/>
      <w:tblBorders>
        <w:top w:val="dotted" w:sz="4" w:space="0" w:color="767171" w:themeColor="background2" w:themeShade="80"/>
        <w:left w:val="dotted" w:sz="4" w:space="0" w:color="767171" w:themeColor="background2" w:themeShade="80"/>
        <w:bottom w:val="dotted" w:sz="4" w:space="0" w:color="767171" w:themeColor="background2" w:themeShade="80"/>
        <w:right w:val="dotted" w:sz="4" w:space="0" w:color="767171" w:themeColor="background2" w:themeShade="80"/>
      </w:tblBorders>
    </w:tblPr>
    <w:tblStylePr w:type="firstRow">
      <w:rPr>
        <w:b/>
        <w:bCs/>
      </w:rPr>
      <w:tblPr/>
      <w:tcPr>
        <w:tcBorders>
          <w:top w:val="single" w:sz="4" w:space="0" w:color="666666" w:themeColor="text1" w:themeTint="99"/>
          <w:bottom w:val="nil"/>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E7E6E6" w:themeFill="background2"/>
      </w:tcPr>
    </w:tblStylePr>
    <w:tblStylePr w:type="band1Horz">
      <w:tblPr/>
      <w:tcPr>
        <w:shd w:val="clear" w:color="auto" w:fill="E7E6E6" w:themeFill="background2"/>
      </w:tcPr>
    </w:tblStylePr>
  </w:style>
  <w:style w:type="table" w:styleId="PlainTable3">
    <w:name w:val="Plain Table 3"/>
    <w:basedOn w:val="TableNormal"/>
    <w:uiPriority w:val="43"/>
    <w:rsid w:val="00F5623F"/>
    <w:pPr>
      <w:spacing w:before="80" w:after="0" w:line="240" w:lineRule="auto"/>
    </w:pPr>
    <w:rPr>
      <w:rFonts w:ascii="Times New Roman" w:hAnsi="Times New Roman" w:cs="Arial"/>
      <w:bCs/>
      <w:color w:val="44546A" w:themeColor="text2"/>
      <w:spacing w:val="2"/>
      <w:sz w:val="20"/>
      <w:szCs w:val="20"/>
      <w:lang w:val="en-GB"/>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F5623F"/>
    <w:pPr>
      <w:spacing w:before="80" w:after="0" w:line="240" w:lineRule="auto"/>
    </w:pPr>
    <w:rPr>
      <w:rFonts w:ascii="Times New Roman" w:hAnsi="Times New Roman" w:cs="Arial"/>
      <w:bCs/>
      <w:color w:val="44546A" w:themeColor="text2"/>
      <w:spacing w:val="2"/>
      <w:sz w:val="20"/>
      <w:szCs w:val="20"/>
      <w:lang w:val="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F5623F"/>
    <w:pPr>
      <w:spacing w:before="80" w:after="0" w:line="240" w:lineRule="auto"/>
    </w:pPr>
    <w:rPr>
      <w:rFonts w:ascii="Times New Roman" w:hAnsi="Times New Roman" w:cs="Arial"/>
      <w:bCs/>
      <w:color w:val="44546A" w:themeColor="text2"/>
      <w:spacing w:val="2"/>
      <w:sz w:val="20"/>
      <w:szCs w:val="20"/>
      <w:lang w:val="en-GB"/>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0">
    <w:name w:val="Table Grid1"/>
    <w:basedOn w:val="TableNormal"/>
    <w:next w:val="TableGrid"/>
    <w:uiPriority w:val="59"/>
    <w:locked/>
    <w:rsid w:val="00F5623F"/>
    <w:pPr>
      <w:spacing w:before="80" w:after="200" w:line="300" w:lineRule="auto"/>
    </w:pPr>
    <w:rPr>
      <w:rFonts w:ascii="Times New Roman" w:hAnsi="Times New Roman" w:cs="Arial"/>
      <w:bCs/>
      <w:color w:val="57585A"/>
      <w:spacing w:val="2"/>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Normal"/>
    <w:link w:val="BulletChar"/>
    <w:qFormat/>
    <w:rsid w:val="007823EF"/>
    <w:pPr>
      <w:spacing w:before="90" w:line="240" w:lineRule="auto"/>
    </w:pPr>
    <w:rPr>
      <w:rFonts w:eastAsia="Times New Roman" w:cs="Times New Roman"/>
      <w:szCs w:val="20"/>
      <w:lang w:eastAsia="en-GB"/>
    </w:rPr>
  </w:style>
  <w:style w:type="character" w:customStyle="1" w:styleId="BulletChar">
    <w:name w:val="Bullet Char"/>
    <w:link w:val="Bullet"/>
    <w:uiPriority w:val="99"/>
    <w:locked/>
    <w:rsid w:val="007823EF"/>
    <w:rPr>
      <w:rFonts w:ascii="Segoe UI" w:eastAsia="Times New Roman" w:hAnsi="Segoe UI"/>
      <w:bCs/>
      <w:color w:val="auto"/>
      <w:sz w:val="21"/>
      <w:szCs w:val="20"/>
      <w:lang w:eastAsia="en-GB"/>
    </w:rPr>
  </w:style>
  <w:style w:type="paragraph" w:styleId="Quote">
    <w:name w:val="Quote"/>
    <w:basedOn w:val="Normal"/>
    <w:next w:val="Normal"/>
    <w:link w:val="QuoteChar"/>
    <w:qFormat/>
    <w:rsid w:val="007823EF"/>
    <w:pPr>
      <w:spacing w:before="120" w:line="240" w:lineRule="auto"/>
      <w:ind w:left="284" w:right="284"/>
    </w:pPr>
    <w:rPr>
      <w:rFonts w:eastAsia="Times New Roman" w:cs="Times New Roman"/>
      <w:szCs w:val="20"/>
      <w:lang w:eastAsia="en-GB"/>
    </w:rPr>
  </w:style>
  <w:style w:type="character" w:customStyle="1" w:styleId="QuoteChar">
    <w:name w:val="Quote Char"/>
    <w:basedOn w:val="DefaultParagraphFont"/>
    <w:link w:val="Quote"/>
    <w:rsid w:val="007823EF"/>
    <w:rPr>
      <w:rFonts w:ascii="Segoe UI" w:eastAsia="Times New Roman" w:hAnsi="Segoe UI"/>
      <w:bCs/>
      <w:color w:val="auto"/>
      <w:sz w:val="21"/>
      <w:szCs w:val="20"/>
      <w:lang w:eastAsia="en-GB"/>
    </w:rPr>
  </w:style>
  <w:style w:type="paragraph" w:styleId="Title">
    <w:name w:val="Title"/>
    <w:basedOn w:val="Normal"/>
    <w:next w:val="Normal"/>
    <w:link w:val="TitleChar"/>
    <w:qFormat/>
    <w:rsid w:val="007823EF"/>
    <w:pPr>
      <w:spacing w:line="216" w:lineRule="auto"/>
      <w:ind w:right="3402"/>
    </w:pPr>
    <w:rPr>
      <w:rFonts w:ascii="Segoe UI Black" w:eastAsia="Times New Roman" w:hAnsi="Segoe UI Black" w:cs="Lucida Sans Unicode"/>
      <w:b/>
      <w:sz w:val="72"/>
      <w:szCs w:val="72"/>
      <w:lang w:eastAsia="en-GB"/>
    </w:rPr>
  </w:style>
  <w:style w:type="character" w:customStyle="1" w:styleId="TitleChar">
    <w:name w:val="Title Char"/>
    <w:basedOn w:val="DefaultParagraphFont"/>
    <w:link w:val="Title"/>
    <w:rsid w:val="007823EF"/>
    <w:rPr>
      <w:rFonts w:ascii="Segoe UI Black" w:eastAsia="Times New Roman" w:hAnsi="Segoe UI Black" w:cs="Lucida Sans Unicode"/>
      <w:b/>
      <w:bCs/>
      <w:color w:val="auto"/>
      <w:sz w:val="72"/>
      <w:szCs w:val="72"/>
      <w:lang w:eastAsia="en-GB"/>
    </w:rPr>
  </w:style>
  <w:style w:type="paragraph" w:customStyle="1" w:styleId="Imprint">
    <w:name w:val="Imprint"/>
    <w:basedOn w:val="Normal"/>
    <w:next w:val="Normal"/>
    <w:qFormat/>
    <w:rsid w:val="007823EF"/>
    <w:pPr>
      <w:spacing w:after="240" w:line="240" w:lineRule="auto"/>
    </w:pPr>
    <w:rPr>
      <w:rFonts w:eastAsia="Times New Roman" w:cs="Times New Roman"/>
      <w:sz w:val="20"/>
      <w:szCs w:val="20"/>
      <w:lang w:eastAsia="en-GB"/>
    </w:rPr>
  </w:style>
  <w:style w:type="paragraph" w:customStyle="1" w:styleId="VersoFooter">
    <w:name w:val="Verso Footer"/>
    <w:basedOn w:val="Footer"/>
    <w:rsid w:val="007823EF"/>
    <w:pPr>
      <w:tabs>
        <w:tab w:val="clear" w:pos="8505"/>
        <w:tab w:val="clear" w:pos="8789"/>
        <w:tab w:val="clear" w:pos="10206"/>
      </w:tabs>
      <w:spacing w:after="160" w:line="240" w:lineRule="auto"/>
      <w:ind w:left="0" w:right="0"/>
      <w:jc w:val="left"/>
    </w:pPr>
    <w:rPr>
      <w:rFonts w:ascii="Segoe UI" w:eastAsia="Times New Roman" w:hAnsi="Segoe UI"/>
      <w:bCs w:val="0"/>
      <w:noProof w:val="0"/>
      <w:color w:val="auto"/>
      <w:sz w:val="15"/>
      <w:szCs w:val="20"/>
      <w:lang w:val="en-NZ" w:eastAsia="en-GB"/>
    </w:rPr>
  </w:style>
  <w:style w:type="paragraph" w:customStyle="1" w:styleId="RectoFooter">
    <w:name w:val="Recto Footer"/>
    <w:basedOn w:val="Footer"/>
    <w:rsid w:val="007823EF"/>
    <w:pPr>
      <w:tabs>
        <w:tab w:val="clear" w:pos="8505"/>
        <w:tab w:val="clear" w:pos="8789"/>
        <w:tab w:val="clear" w:pos="10206"/>
      </w:tabs>
      <w:spacing w:after="160" w:line="240" w:lineRule="auto"/>
      <w:ind w:left="0" w:right="0"/>
    </w:pPr>
    <w:rPr>
      <w:rFonts w:ascii="Segoe UI" w:eastAsia="Times New Roman" w:hAnsi="Segoe UI"/>
      <w:bCs w:val="0"/>
      <w:caps/>
      <w:noProof w:val="0"/>
      <w:color w:val="auto"/>
      <w:sz w:val="15"/>
      <w:szCs w:val="20"/>
      <w:lang w:val="en-NZ" w:eastAsia="en-GB"/>
    </w:rPr>
  </w:style>
  <w:style w:type="paragraph" w:customStyle="1" w:styleId="Figure">
    <w:name w:val="Figure"/>
    <w:basedOn w:val="Normal"/>
    <w:next w:val="Normal"/>
    <w:link w:val="FigureChar"/>
    <w:uiPriority w:val="99"/>
    <w:qFormat/>
    <w:rsid w:val="007823EF"/>
    <w:pPr>
      <w:keepNext/>
      <w:spacing w:before="120" w:after="120" w:line="240" w:lineRule="auto"/>
    </w:pPr>
    <w:rPr>
      <w:rFonts w:eastAsia="Times New Roman" w:cs="Times New Roman"/>
      <w:b/>
      <w:sz w:val="20"/>
      <w:szCs w:val="20"/>
      <w:lang w:eastAsia="en-GB"/>
    </w:rPr>
  </w:style>
  <w:style w:type="character" w:customStyle="1" w:styleId="FigureChar">
    <w:name w:val="Figure Char"/>
    <w:link w:val="Figure"/>
    <w:uiPriority w:val="99"/>
    <w:locked/>
    <w:rsid w:val="007823EF"/>
    <w:rPr>
      <w:rFonts w:ascii="Segoe UI" w:eastAsia="Times New Roman" w:hAnsi="Segoe UI"/>
      <w:b/>
      <w:bCs/>
      <w:color w:val="auto"/>
      <w:sz w:val="20"/>
      <w:szCs w:val="20"/>
      <w:lang w:eastAsia="en-GB"/>
    </w:rPr>
  </w:style>
  <w:style w:type="paragraph" w:customStyle="1" w:styleId="Table">
    <w:name w:val="Table"/>
    <w:basedOn w:val="Figure"/>
    <w:link w:val="TableChar"/>
    <w:qFormat/>
    <w:rsid w:val="007823EF"/>
  </w:style>
  <w:style w:type="character" w:customStyle="1" w:styleId="TableChar">
    <w:name w:val="Table Char"/>
    <w:link w:val="Table"/>
    <w:locked/>
    <w:rsid w:val="007823EF"/>
    <w:rPr>
      <w:rFonts w:ascii="Segoe UI" w:eastAsia="Times New Roman" w:hAnsi="Segoe UI"/>
      <w:b/>
      <w:bCs/>
      <w:color w:val="auto"/>
      <w:sz w:val="20"/>
      <w:szCs w:val="20"/>
      <w:lang w:eastAsia="en-GB"/>
    </w:rPr>
  </w:style>
  <w:style w:type="paragraph" w:customStyle="1" w:styleId="Dash">
    <w:name w:val="Dash"/>
    <w:basedOn w:val="Bullet"/>
    <w:qFormat/>
    <w:rsid w:val="007823EF"/>
    <w:pPr>
      <w:numPr>
        <w:numId w:val="6"/>
      </w:numPr>
      <w:tabs>
        <w:tab w:val="clear" w:pos="567"/>
        <w:tab w:val="num" w:pos="284"/>
      </w:tabs>
      <w:spacing w:before="60"/>
      <w:ind w:left="284" w:hanging="284"/>
    </w:pPr>
  </w:style>
  <w:style w:type="paragraph" w:customStyle="1" w:styleId="TableText">
    <w:name w:val="TableText"/>
    <w:basedOn w:val="Normal"/>
    <w:link w:val="TableTextChar"/>
    <w:qFormat/>
    <w:rsid w:val="007823EF"/>
    <w:pPr>
      <w:spacing w:before="60" w:after="60" w:line="240" w:lineRule="auto"/>
    </w:pPr>
    <w:rPr>
      <w:rFonts w:eastAsia="Times New Roman" w:cs="Times New Roman"/>
      <w:sz w:val="18"/>
      <w:szCs w:val="20"/>
      <w:lang w:eastAsia="en-GB"/>
    </w:rPr>
  </w:style>
  <w:style w:type="paragraph" w:customStyle="1" w:styleId="TableBullet">
    <w:name w:val="TableBullet"/>
    <w:basedOn w:val="TableText"/>
    <w:qFormat/>
    <w:rsid w:val="007823EF"/>
    <w:pPr>
      <w:numPr>
        <w:numId w:val="8"/>
      </w:numPr>
      <w:tabs>
        <w:tab w:val="clear" w:pos="284"/>
      </w:tabs>
      <w:spacing w:before="0"/>
      <w:ind w:left="1080" w:hanging="360"/>
    </w:pPr>
  </w:style>
  <w:style w:type="paragraph" w:customStyle="1" w:styleId="Box">
    <w:name w:val="Box"/>
    <w:basedOn w:val="Normal"/>
    <w:qFormat/>
    <w:rsid w:val="007823EF"/>
    <w:pPr>
      <w:pBdr>
        <w:top w:val="single" w:sz="4" w:space="12" w:color="auto"/>
        <w:left w:val="single" w:sz="4" w:space="12" w:color="auto"/>
        <w:bottom w:val="single" w:sz="4" w:space="12" w:color="auto"/>
        <w:right w:val="single" w:sz="4" w:space="12" w:color="auto"/>
      </w:pBdr>
      <w:spacing w:before="120" w:line="240" w:lineRule="auto"/>
      <w:ind w:left="284" w:right="284"/>
    </w:pPr>
    <w:rPr>
      <w:rFonts w:eastAsia="Times New Roman" w:cs="Times New Roman"/>
      <w:szCs w:val="20"/>
      <w:lang w:eastAsia="en-GB"/>
    </w:rPr>
  </w:style>
  <w:style w:type="paragraph" w:customStyle="1" w:styleId="BoxHeading">
    <w:name w:val="BoxHeading"/>
    <w:basedOn w:val="Normal"/>
    <w:next w:val="Box"/>
    <w:qFormat/>
    <w:rsid w:val="007823EF"/>
    <w:pPr>
      <w:keepNext/>
      <w:pBdr>
        <w:top w:val="single" w:sz="4" w:space="12" w:color="auto"/>
        <w:left w:val="single" w:sz="4" w:space="12" w:color="auto"/>
        <w:bottom w:val="single" w:sz="4" w:space="12" w:color="auto"/>
        <w:right w:val="single" w:sz="4" w:space="12" w:color="auto"/>
      </w:pBdr>
      <w:spacing w:before="240" w:line="264" w:lineRule="auto"/>
      <w:ind w:left="284" w:right="284"/>
    </w:pPr>
    <w:rPr>
      <w:rFonts w:eastAsia="Times New Roman" w:cs="Times New Roman"/>
      <w:b/>
      <w:sz w:val="24"/>
      <w:szCs w:val="24"/>
      <w:lang w:eastAsia="en-GB"/>
    </w:rPr>
  </w:style>
  <w:style w:type="paragraph" w:customStyle="1" w:styleId="BoxBullet">
    <w:name w:val="BoxBullet"/>
    <w:basedOn w:val="Bullet"/>
    <w:qFormat/>
    <w:rsid w:val="007823EF"/>
    <w:pPr>
      <w:pBdr>
        <w:top w:val="single" w:sz="4" w:space="12" w:color="auto"/>
        <w:left w:val="single" w:sz="4" w:space="12" w:color="auto"/>
        <w:bottom w:val="single" w:sz="4" w:space="12" w:color="auto"/>
        <w:right w:val="single" w:sz="4" w:space="12" w:color="auto"/>
      </w:pBdr>
      <w:spacing w:line="264" w:lineRule="auto"/>
      <w:ind w:left="568" w:right="284"/>
    </w:pPr>
  </w:style>
  <w:style w:type="paragraph" w:customStyle="1" w:styleId="IntroHead">
    <w:name w:val="IntroHead"/>
    <w:basedOn w:val="Heading1"/>
    <w:next w:val="Normal"/>
    <w:uiPriority w:val="99"/>
    <w:qFormat/>
    <w:rsid w:val="007823EF"/>
    <w:pPr>
      <w:pageBreakBefore/>
      <w:spacing w:after="360" w:line="240" w:lineRule="auto"/>
      <w:ind w:left="0" w:firstLine="0"/>
      <w:outlineLvl w:val="9"/>
    </w:pPr>
    <w:rPr>
      <w:rFonts w:ascii="Segoe UI" w:eastAsia="Times New Roman" w:hAnsi="Segoe UI"/>
      <w:b/>
      <w:bCs w:val="0"/>
      <w:color w:val="23305D"/>
      <w:spacing w:val="-10"/>
      <w:sz w:val="72"/>
      <w:szCs w:val="20"/>
      <w:lang w:eastAsia="en-GB"/>
    </w:rPr>
  </w:style>
  <w:style w:type="paragraph" w:customStyle="1" w:styleId="Note">
    <w:name w:val="Note"/>
    <w:basedOn w:val="Normal"/>
    <w:next w:val="Normal"/>
    <w:link w:val="NoteChar"/>
    <w:qFormat/>
    <w:rsid w:val="007823EF"/>
    <w:pPr>
      <w:spacing w:before="80" w:line="240" w:lineRule="auto"/>
    </w:pPr>
    <w:rPr>
      <w:rFonts w:eastAsia="Times New Roman" w:cs="Times New Roman"/>
      <w:sz w:val="17"/>
      <w:szCs w:val="20"/>
      <w:lang w:eastAsia="en-GB"/>
    </w:rPr>
  </w:style>
  <w:style w:type="character" w:customStyle="1" w:styleId="NoteChar">
    <w:name w:val="Note Char"/>
    <w:link w:val="Note"/>
    <w:rsid w:val="007823EF"/>
    <w:rPr>
      <w:rFonts w:ascii="Segoe UI" w:eastAsia="Times New Roman" w:hAnsi="Segoe UI"/>
      <w:bCs/>
      <w:color w:val="auto"/>
      <w:sz w:val="17"/>
      <w:szCs w:val="20"/>
      <w:lang w:eastAsia="en-GB"/>
    </w:rPr>
  </w:style>
  <w:style w:type="paragraph" w:customStyle="1" w:styleId="TableDash">
    <w:name w:val="TableDash"/>
    <w:basedOn w:val="TableText"/>
    <w:qFormat/>
    <w:rsid w:val="007823EF"/>
    <w:pPr>
      <w:numPr>
        <w:numId w:val="7"/>
      </w:numPr>
      <w:tabs>
        <w:tab w:val="clear" w:pos="567"/>
      </w:tabs>
      <w:spacing w:before="40" w:after="0"/>
      <w:ind w:left="720" w:hanging="360"/>
    </w:pPr>
    <w:rPr>
      <w:szCs w:val="22"/>
    </w:rPr>
  </w:style>
  <w:style w:type="paragraph" w:styleId="Revision">
    <w:name w:val="Revision"/>
    <w:hidden/>
    <w:uiPriority w:val="99"/>
    <w:rsid w:val="007823EF"/>
    <w:pPr>
      <w:spacing w:after="0" w:line="240" w:lineRule="auto"/>
    </w:pPr>
    <w:rPr>
      <w:rFonts w:ascii="Calibri" w:eastAsia="Calibri" w:hAnsi="Calibri"/>
      <w:bCs/>
      <w:color w:val="auto"/>
      <w:lang w:val="en-US"/>
    </w:rPr>
  </w:style>
  <w:style w:type="paragraph" w:customStyle="1" w:styleId="Number">
    <w:name w:val="Number"/>
    <w:basedOn w:val="Normal"/>
    <w:rsid w:val="007823EF"/>
    <w:pPr>
      <w:spacing w:before="180" w:line="240" w:lineRule="auto"/>
      <w:ind w:left="567" w:hanging="567"/>
    </w:pPr>
    <w:rPr>
      <w:rFonts w:eastAsia="Times New Roman" w:cs="Times New Roman"/>
      <w:szCs w:val="24"/>
      <w:lang w:eastAsia="en-GB"/>
    </w:rPr>
  </w:style>
  <w:style w:type="paragraph" w:customStyle="1" w:styleId="Letter">
    <w:name w:val="Letter"/>
    <w:basedOn w:val="Normal"/>
    <w:qFormat/>
    <w:rsid w:val="007823EF"/>
    <w:pPr>
      <w:numPr>
        <w:ilvl w:val="4"/>
        <w:numId w:val="9"/>
      </w:numPr>
      <w:spacing w:before="120" w:line="240" w:lineRule="auto"/>
    </w:pPr>
    <w:rPr>
      <w:rFonts w:eastAsia="Times New Roman" w:cs="Times New Roman"/>
      <w:szCs w:val="20"/>
      <w:lang w:eastAsia="en-GB"/>
    </w:rPr>
  </w:style>
  <w:style w:type="paragraph" w:customStyle="1" w:styleId="Introductoryparagraph">
    <w:name w:val="Introductory paragraph"/>
    <w:basedOn w:val="Normal"/>
    <w:next w:val="Normal"/>
    <w:qFormat/>
    <w:rsid w:val="007823EF"/>
    <w:pPr>
      <w:spacing w:after="240" w:line="216" w:lineRule="auto"/>
      <w:ind w:right="1134"/>
    </w:pPr>
    <w:rPr>
      <w:rFonts w:ascii="Segoe UI Light" w:eastAsia="Times New Roman" w:hAnsi="Segoe UI Light" w:cs="Times New Roman"/>
      <w:color w:val="404040" w:themeColor="text1" w:themeTint="BF"/>
      <w:sz w:val="44"/>
      <w:szCs w:val="20"/>
      <w:lang w:eastAsia="en-GB"/>
    </w:rPr>
  </w:style>
  <w:style w:type="paragraph" w:styleId="Date">
    <w:name w:val="Date"/>
    <w:next w:val="Normal"/>
    <w:link w:val="DateChar"/>
    <w:qFormat/>
    <w:rsid w:val="007823EF"/>
    <w:pPr>
      <w:keepNext/>
      <w:keepLines/>
      <w:spacing w:after="200" w:line="240" w:lineRule="auto"/>
      <w:jc w:val="center"/>
    </w:pPr>
    <w:rPr>
      <w:rFonts w:asciiTheme="minorHAnsi" w:hAnsiTheme="minorHAnsi" w:cstheme="minorBidi"/>
      <w:bCs/>
      <w:color w:val="auto"/>
      <w:sz w:val="24"/>
      <w:szCs w:val="24"/>
      <w:lang w:val="en-US"/>
    </w:rPr>
  </w:style>
  <w:style w:type="character" w:customStyle="1" w:styleId="DateChar">
    <w:name w:val="Date Char"/>
    <w:basedOn w:val="DefaultParagraphFont"/>
    <w:link w:val="Date"/>
    <w:rsid w:val="007823EF"/>
    <w:rPr>
      <w:rFonts w:asciiTheme="minorHAnsi" w:hAnsiTheme="minorHAnsi" w:cstheme="minorBidi"/>
      <w:bCs/>
      <w:color w:val="auto"/>
      <w:sz w:val="24"/>
      <w:szCs w:val="24"/>
      <w:lang w:val="en-US"/>
    </w:rPr>
  </w:style>
  <w:style w:type="character" w:customStyle="1" w:styleId="BalloonTextChar">
    <w:name w:val="Balloon Text Char"/>
    <w:basedOn w:val="DefaultParagraphFont"/>
    <w:link w:val="BalloonText"/>
    <w:uiPriority w:val="99"/>
    <w:semiHidden/>
    <w:rsid w:val="007823EF"/>
    <w:rPr>
      <w:rFonts w:ascii="Segoe UI" w:eastAsia="Times New Roman" w:hAnsi="Segoe UI" w:cs="Segoe UI"/>
      <w:sz w:val="18"/>
      <w:szCs w:val="18"/>
      <w:lang w:eastAsia="en-GB"/>
    </w:rPr>
  </w:style>
  <w:style w:type="paragraph" w:styleId="BalloonText">
    <w:name w:val="Balloon Text"/>
    <w:basedOn w:val="Normal"/>
    <w:link w:val="BalloonTextChar"/>
    <w:uiPriority w:val="99"/>
    <w:semiHidden/>
    <w:unhideWhenUsed/>
    <w:rsid w:val="007823EF"/>
    <w:pPr>
      <w:spacing w:line="240" w:lineRule="auto"/>
    </w:pPr>
    <w:rPr>
      <w:rFonts w:eastAsia="Times New Roman" w:cs="Segoe UI"/>
      <w:bCs w:val="0"/>
      <w:color w:val="000000" w:themeColor="text1"/>
      <w:sz w:val="18"/>
      <w:szCs w:val="18"/>
      <w:lang w:eastAsia="en-GB"/>
    </w:rPr>
  </w:style>
  <w:style w:type="character" w:customStyle="1" w:styleId="BalloonTextChar1">
    <w:name w:val="Balloon Text Char1"/>
    <w:basedOn w:val="DefaultParagraphFont"/>
    <w:uiPriority w:val="99"/>
    <w:semiHidden/>
    <w:rsid w:val="007823EF"/>
    <w:rPr>
      <w:rFonts w:ascii="Segoe UI" w:hAnsi="Segoe UI" w:cs="Segoe UI"/>
      <w:bCs/>
      <w:color w:val="auto"/>
      <w:sz w:val="18"/>
      <w:szCs w:val="18"/>
    </w:rPr>
  </w:style>
  <w:style w:type="character" w:customStyle="1" w:styleId="NoSpacingChar">
    <w:name w:val="No Spacing Char"/>
    <w:link w:val="NoSpacing"/>
    <w:uiPriority w:val="1"/>
    <w:locked/>
    <w:rsid w:val="007823EF"/>
    <w:rPr>
      <w:rFonts w:ascii="Times New Roman Mäori" w:eastAsia="Times New Roman" w:hAnsi="Times New Roman Mäori"/>
      <w:sz w:val="24"/>
      <w:szCs w:val="24"/>
    </w:rPr>
  </w:style>
  <w:style w:type="paragraph" w:styleId="NoSpacing">
    <w:name w:val="No Spacing"/>
    <w:link w:val="NoSpacingChar"/>
    <w:uiPriority w:val="1"/>
    <w:qFormat/>
    <w:rsid w:val="007823EF"/>
    <w:pPr>
      <w:spacing w:after="0" w:line="240" w:lineRule="auto"/>
      <w:jc w:val="both"/>
    </w:pPr>
    <w:rPr>
      <w:rFonts w:ascii="Times New Roman Mäori" w:eastAsia="Times New Roman" w:hAnsi="Times New Roman Mäori"/>
      <w:sz w:val="24"/>
      <w:szCs w:val="24"/>
    </w:rPr>
  </w:style>
  <w:style w:type="paragraph" w:customStyle="1" w:styleId="Compact">
    <w:name w:val="Compact"/>
    <w:basedOn w:val="BodyText"/>
    <w:qFormat/>
    <w:rsid w:val="007823EF"/>
    <w:pPr>
      <w:spacing w:before="36" w:after="36" w:line="240" w:lineRule="auto"/>
    </w:pPr>
    <w:rPr>
      <w:sz w:val="24"/>
      <w:szCs w:val="24"/>
      <w:lang w:val="en-US"/>
    </w:rPr>
  </w:style>
  <w:style w:type="paragraph" w:styleId="BodyText">
    <w:name w:val="Body Text"/>
    <w:basedOn w:val="Normal"/>
    <w:link w:val="BodyTextChar"/>
    <w:uiPriority w:val="99"/>
    <w:semiHidden/>
    <w:unhideWhenUsed/>
    <w:rsid w:val="007823EF"/>
    <w:pPr>
      <w:spacing w:after="120"/>
    </w:pPr>
  </w:style>
  <w:style w:type="character" w:customStyle="1" w:styleId="BodyTextChar">
    <w:name w:val="Body Text Char"/>
    <w:basedOn w:val="DefaultParagraphFont"/>
    <w:link w:val="BodyText"/>
    <w:uiPriority w:val="99"/>
    <w:semiHidden/>
    <w:rsid w:val="007823EF"/>
    <w:rPr>
      <w:rFonts w:ascii="Segoe UI" w:hAnsi="Segoe UI" w:cstheme="minorBidi"/>
      <w:bCs/>
      <w:color w:val="auto"/>
      <w:sz w:val="21"/>
    </w:rPr>
  </w:style>
  <w:style w:type="character" w:styleId="CommentReference">
    <w:name w:val="annotation reference"/>
    <w:basedOn w:val="DefaultParagraphFont"/>
    <w:uiPriority w:val="99"/>
    <w:unhideWhenUsed/>
    <w:rsid w:val="007823EF"/>
    <w:rPr>
      <w:sz w:val="16"/>
      <w:szCs w:val="16"/>
    </w:rPr>
  </w:style>
  <w:style w:type="paragraph" w:styleId="CommentText">
    <w:name w:val="annotation text"/>
    <w:basedOn w:val="Normal"/>
    <w:link w:val="CommentTextChar"/>
    <w:uiPriority w:val="99"/>
    <w:unhideWhenUsed/>
    <w:rsid w:val="007823EF"/>
    <w:pPr>
      <w:spacing w:line="240" w:lineRule="auto"/>
    </w:pPr>
    <w:rPr>
      <w:sz w:val="20"/>
      <w:szCs w:val="20"/>
    </w:rPr>
  </w:style>
  <w:style w:type="character" w:customStyle="1" w:styleId="CommentTextChar">
    <w:name w:val="Comment Text Char"/>
    <w:basedOn w:val="DefaultParagraphFont"/>
    <w:link w:val="CommentText"/>
    <w:uiPriority w:val="99"/>
    <w:rsid w:val="007823EF"/>
    <w:rPr>
      <w:rFonts w:ascii="Segoe UI" w:hAnsi="Segoe UI" w:cstheme="minorBidi"/>
      <w:bCs/>
      <w:color w:val="auto"/>
      <w:sz w:val="20"/>
      <w:szCs w:val="20"/>
    </w:rPr>
  </w:style>
  <w:style w:type="paragraph" w:styleId="CommentSubject">
    <w:name w:val="annotation subject"/>
    <w:basedOn w:val="CommentText"/>
    <w:next w:val="CommentText"/>
    <w:link w:val="CommentSubjectChar"/>
    <w:uiPriority w:val="99"/>
    <w:semiHidden/>
    <w:unhideWhenUsed/>
    <w:rsid w:val="007823EF"/>
    <w:rPr>
      <w:b/>
      <w:bCs w:val="0"/>
    </w:rPr>
  </w:style>
  <w:style w:type="character" w:customStyle="1" w:styleId="CommentSubjectChar">
    <w:name w:val="Comment Subject Char"/>
    <w:basedOn w:val="CommentTextChar"/>
    <w:link w:val="CommentSubject"/>
    <w:uiPriority w:val="99"/>
    <w:semiHidden/>
    <w:rsid w:val="007823EF"/>
    <w:rPr>
      <w:rFonts w:ascii="Segoe UI" w:hAnsi="Segoe UI" w:cstheme="minorBidi"/>
      <w:b/>
      <w:bCs w:val="0"/>
      <w:color w:val="auto"/>
      <w:sz w:val="20"/>
      <w:szCs w:val="20"/>
    </w:rPr>
  </w:style>
  <w:style w:type="paragraph" w:styleId="TOCHeading">
    <w:name w:val="TOC Heading"/>
    <w:basedOn w:val="Heading1"/>
    <w:next w:val="Normal"/>
    <w:uiPriority w:val="39"/>
    <w:unhideWhenUsed/>
    <w:qFormat/>
    <w:rsid w:val="007823EF"/>
    <w:pPr>
      <w:keepNext/>
      <w:keepLines/>
      <w:spacing w:before="240" w:after="0" w:line="259" w:lineRule="auto"/>
      <w:ind w:left="0" w:firstLine="0"/>
      <w:outlineLvl w:val="9"/>
    </w:pPr>
    <w:rPr>
      <w:rFonts w:asciiTheme="majorHAnsi" w:eastAsiaTheme="majorEastAsia" w:hAnsiTheme="majorHAnsi" w:cstheme="majorBidi"/>
      <w:bCs w:val="0"/>
      <w:color w:val="2F5496" w:themeColor="accent1" w:themeShade="BF"/>
      <w:sz w:val="32"/>
      <w:szCs w:val="32"/>
      <w:lang w:val="en-US"/>
    </w:rPr>
  </w:style>
  <w:style w:type="paragraph" w:customStyle="1" w:styleId="BullHalf">
    <w:name w:val="BullHalf"/>
    <w:basedOn w:val="Normal"/>
    <w:uiPriority w:val="4"/>
    <w:rsid w:val="007823EF"/>
    <w:pPr>
      <w:spacing w:line="240" w:lineRule="auto"/>
    </w:pPr>
    <w:rPr>
      <w:rFonts w:eastAsia="Calibri"/>
    </w:rPr>
  </w:style>
  <w:style w:type="paragraph" w:customStyle="1" w:styleId="bullist">
    <w:name w:val="bullist"/>
    <w:basedOn w:val="Normal"/>
    <w:uiPriority w:val="4"/>
    <w:rsid w:val="007823EF"/>
    <w:pPr>
      <w:tabs>
        <w:tab w:val="left" w:pos="-720"/>
        <w:tab w:val="left" w:pos="9072"/>
      </w:tabs>
      <w:suppressAutoHyphens/>
      <w:spacing w:line="240" w:lineRule="auto"/>
      <w:ind w:left="1418" w:hanging="284"/>
    </w:pPr>
    <w:rPr>
      <w:rFonts w:eastAsia="Times New Roman"/>
      <w:spacing w:val="-3"/>
    </w:rPr>
  </w:style>
  <w:style w:type="paragraph" w:customStyle="1" w:styleId="bullpara">
    <w:name w:val="bullpara"/>
    <w:basedOn w:val="bullist"/>
    <w:uiPriority w:val="4"/>
    <w:rsid w:val="007823EF"/>
  </w:style>
  <w:style w:type="paragraph" w:customStyle="1" w:styleId="ForFoxProgs">
    <w:name w:val="For FoxProgs"/>
    <w:uiPriority w:val="4"/>
    <w:rsid w:val="007823EF"/>
    <w:pPr>
      <w:tabs>
        <w:tab w:val="left" w:pos="567"/>
        <w:tab w:val="left" w:pos="851"/>
        <w:tab w:val="left" w:pos="1134"/>
        <w:tab w:val="left" w:pos="1418"/>
        <w:tab w:val="left" w:pos="1701"/>
        <w:tab w:val="left" w:pos="1985"/>
        <w:tab w:val="left" w:pos="2268"/>
        <w:tab w:val="left" w:pos="3402"/>
        <w:tab w:val="left" w:pos="5670"/>
      </w:tabs>
      <w:spacing w:after="40" w:line="240" w:lineRule="auto"/>
    </w:pPr>
    <w:rPr>
      <w:rFonts w:asciiTheme="minorHAnsi" w:eastAsia="Times New Roman" w:hAnsiTheme="minorHAnsi" w:cstheme="minorBidi"/>
      <w:bCs/>
      <w:noProof/>
      <w:color w:val="auto"/>
      <w:sz w:val="18"/>
      <w:lang w:val="en-US"/>
    </w:rPr>
  </w:style>
  <w:style w:type="paragraph" w:customStyle="1" w:styleId="FoxProcHeader">
    <w:name w:val="FoxProcHeader"/>
    <w:basedOn w:val="ForFoxProgs"/>
    <w:next w:val="ForFoxProgs"/>
    <w:uiPriority w:val="4"/>
    <w:rsid w:val="007823EF"/>
    <w:pPr>
      <w:pBdr>
        <w:top w:val="single" w:sz="24" w:space="3" w:color="auto"/>
      </w:pBdr>
    </w:pPr>
    <w:rPr>
      <w:rFonts w:ascii="Arial" w:hAnsi="Arial"/>
      <w:b/>
      <w:sz w:val="20"/>
    </w:rPr>
  </w:style>
  <w:style w:type="paragraph" w:customStyle="1" w:styleId="Hang2">
    <w:name w:val="Hang2"/>
    <w:basedOn w:val="Normal"/>
    <w:uiPriority w:val="4"/>
    <w:rsid w:val="007823EF"/>
    <w:pPr>
      <w:spacing w:line="240" w:lineRule="auto"/>
      <w:ind w:left="1134" w:hanging="1134"/>
    </w:pPr>
    <w:rPr>
      <w:rFonts w:eastAsia="Calibri"/>
      <w:spacing w:val="-3"/>
    </w:rPr>
  </w:style>
  <w:style w:type="paragraph" w:customStyle="1" w:styleId="Hang25">
    <w:name w:val="Hang25"/>
    <w:basedOn w:val="Hang2"/>
    <w:uiPriority w:val="2"/>
    <w:rsid w:val="007823EF"/>
    <w:pPr>
      <w:tabs>
        <w:tab w:val="left" w:pos="1418"/>
      </w:tabs>
      <w:ind w:left="1418" w:hanging="1418"/>
    </w:pPr>
    <w:rPr>
      <w:rFonts w:ascii="Arial" w:eastAsia="Times New Roman" w:hAnsi="Arial"/>
    </w:rPr>
  </w:style>
  <w:style w:type="paragraph" w:customStyle="1" w:styleId="Hang4">
    <w:name w:val="Hang4"/>
    <w:basedOn w:val="Normal"/>
    <w:uiPriority w:val="4"/>
    <w:rsid w:val="007823EF"/>
    <w:pPr>
      <w:spacing w:line="240" w:lineRule="auto"/>
      <w:ind w:left="2268" w:hanging="2268"/>
    </w:pPr>
    <w:rPr>
      <w:rFonts w:eastAsia="Times New Roman"/>
    </w:rPr>
  </w:style>
  <w:style w:type="paragraph" w:customStyle="1" w:styleId="Head2NoNumber">
    <w:name w:val="Head2NoNumber"/>
    <w:basedOn w:val="Heading2"/>
    <w:next w:val="Normal"/>
    <w:rsid w:val="007823EF"/>
    <w:pPr>
      <w:keepNext/>
      <w:tabs>
        <w:tab w:val="left" w:pos="567"/>
      </w:tabs>
      <w:autoSpaceDE/>
      <w:autoSpaceDN/>
      <w:adjustRightInd/>
      <w:spacing w:before="480" w:after="120" w:line="240" w:lineRule="auto"/>
    </w:pPr>
    <w:rPr>
      <w:rFonts w:ascii="Arial" w:eastAsia="Times New Roman" w:hAnsi="Arial" w:cs="Times New Roman"/>
      <w:color w:val="auto"/>
      <w:sz w:val="22"/>
      <w:szCs w:val="26"/>
      <w:lang w:val="en-NZ"/>
    </w:rPr>
  </w:style>
  <w:style w:type="paragraph" w:customStyle="1" w:styleId="Table1">
    <w:name w:val="Table1"/>
    <w:basedOn w:val="Normal"/>
    <w:uiPriority w:val="4"/>
    <w:rsid w:val="007823EF"/>
    <w:pPr>
      <w:keepNext/>
      <w:spacing w:before="60" w:after="60" w:line="240" w:lineRule="auto"/>
    </w:pPr>
    <w:rPr>
      <w:rFonts w:eastAsia="Calibri"/>
    </w:rPr>
  </w:style>
  <w:style w:type="paragraph" w:customStyle="1" w:styleId="tablecell">
    <w:name w:val="tablecell"/>
    <w:basedOn w:val="Table1"/>
    <w:next w:val="Normal"/>
    <w:uiPriority w:val="4"/>
    <w:rsid w:val="007823EF"/>
    <w:pPr>
      <w:keepNext w:val="0"/>
    </w:pPr>
    <w:rPr>
      <w:sz w:val="18"/>
    </w:rPr>
  </w:style>
  <w:style w:type="paragraph" w:customStyle="1" w:styleId="tablesm">
    <w:name w:val="tablesm"/>
    <w:basedOn w:val="Normal"/>
    <w:uiPriority w:val="4"/>
    <w:rsid w:val="007823EF"/>
    <w:pPr>
      <w:spacing w:before="40" w:after="40" w:line="240" w:lineRule="auto"/>
    </w:pPr>
    <w:rPr>
      <w:rFonts w:ascii="Arial Narrow" w:eastAsia="Calibri" w:hAnsi="Arial Narrow"/>
    </w:rPr>
  </w:style>
  <w:style w:type="paragraph" w:customStyle="1" w:styleId="Title1">
    <w:name w:val="Title1"/>
    <w:next w:val="Normal"/>
    <w:uiPriority w:val="4"/>
    <w:rsid w:val="007823EF"/>
    <w:pPr>
      <w:spacing w:before="240" w:after="120" w:line="276" w:lineRule="auto"/>
      <w:jc w:val="center"/>
    </w:pPr>
    <w:rPr>
      <w:rFonts w:eastAsia="Times New Roman" w:cstheme="minorBidi"/>
      <w:b/>
      <w:bCs/>
      <w:noProof/>
      <w:color w:val="auto"/>
      <w:sz w:val="36"/>
      <w:lang w:val="en-US"/>
    </w:rPr>
  </w:style>
  <w:style w:type="paragraph" w:styleId="TOC4">
    <w:name w:val="toc 4"/>
    <w:basedOn w:val="Normal"/>
    <w:next w:val="Normal"/>
    <w:rsid w:val="007823EF"/>
    <w:pPr>
      <w:tabs>
        <w:tab w:val="right" w:leader="dot" w:pos="9355"/>
      </w:tabs>
      <w:spacing w:line="240" w:lineRule="auto"/>
      <w:ind w:left="720"/>
    </w:pPr>
    <w:rPr>
      <w:rFonts w:ascii="Calibri" w:eastAsia="Calibri" w:hAnsi="Calibri" w:cs="Times New Roman"/>
      <w:sz w:val="20"/>
      <w:szCs w:val="20"/>
    </w:rPr>
  </w:style>
  <w:style w:type="paragraph" w:styleId="TOC5">
    <w:name w:val="toc 5"/>
    <w:basedOn w:val="Normal"/>
    <w:next w:val="Normal"/>
    <w:semiHidden/>
    <w:rsid w:val="007823EF"/>
    <w:pPr>
      <w:tabs>
        <w:tab w:val="right" w:leader="dot" w:pos="9355"/>
      </w:tabs>
      <w:spacing w:line="240" w:lineRule="auto"/>
      <w:ind w:left="960"/>
    </w:pPr>
    <w:rPr>
      <w:rFonts w:ascii="Calibri" w:eastAsia="Calibri" w:hAnsi="Calibri" w:cs="Times New Roman"/>
      <w:sz w:val="20"/>
      <w:szCs w:val="20"/>
    </w:rPr>
  </w:style>
  <w:style w:type="paragraph" w:styleId="TOC6">
    <w:name w:val="toc 6"/>
    <w:basedOn w:val="Normal"/>
    <w:next w:val="Normal"/>
    <w:semiHidden/>
    <w:rsid w:val="007823EF"/>
    <w:pPr>
      <w:tabs>
        <w:tab w:val="right" w:leader="dot" w:pos="9355"/>
      </w:tabs>
      <w:spacing w:line="240" w:lineRule="auto"/>
      <w:ind w:left="1200"/>
    </w:pPr>
    <w:rPr>
      <w:rFonts w:ascii="Calibri" w:eastAsia="Calibri" w:hAnsi="Calibri" w:cs="Times New Roman"/>
      <w:sz w:val="20"/>
      <w:szCs w:val="20"/>
    </w:rPr>
  </w:style>
  <w:style w:type="paragraph" w:styleId="TOC7">
    <w:name w:val="toc 7"/>
    <w:basedOn w:val="Normal"/>
    <w:next w:val="Normal"/>
    <w:semiHidden/>
    <w:rsid w:val="007823EF"/>
    <w:pPr>
      <w:tabs>
        <w:tab w:val="right" w:leader="dot" w:pos="9355"/>
      </w:tabs>
      <w:spacing w:line="240" w:lineRule="auto"/>
      <w:ind w:left="1440"/>
    </w:pPr>
    <w:rPr>
      <w:rFonts w:ascii="Calibri" w:eastAsia="Calibri" w:hAnsi="Calibri" w:cs="Times New Roman"/>
      <w:sz w:val="20"/>
      <w:szCs w:val="20"/>
    </w:rPr>
  </w:style>
  <w:style w:type="paragraph" w:styleId="TOC8">
    <w:name w:val="toc 8"/>
    <w:basedOn w:val="Normal"/>
    <w:next w:val="Normal"/>
    <w:semiHidden/>
    <w:rsid w:val="007823EF"/>
    <w:pPr>
      <w:tabs>
        <w:tab w:val="right" w:leader="dot" w:pos="9355"/>
      </w:tabs>
      <w:spacing w:line="240" w:lineRule="auto"/>
      <w:ind w:left="1680"/>
    </w:pPr>
    <w:rPr>
      <w:rFonts w:ascii="Calibri" w:eastAsia="Calibri" w:hAnsi="Calibri" w:cs="Times New Roman"/>
      <w:sz w:val="20"/>
      <w:szCs w:val="20"/>
    </w:rPr>
  </w:style>
  <w:style w:type="paragraph" w:styleId="TOC9">
    <w:name w:val="toc 9"/>
    <w:basedOn w:val="Normal"/>
    <w:next w:val="Normal"/>
    <w:semiHidden/>
    <w:rsid w:val="007823EF"/>
    <w:pPr>
      <w:tabs>
        <w:tab w:val="right" w:leader="dot" w:pos="9355"/>
      </w:tabs>
      <w:spacing w:line="240" w:lineRule="auto"/>
      <w:ind w:left="1920"/>
    </w:pPr>
    <w:rPr>
      <w:rFonts w:ascii="Calibri" w:eastAsia="Calibri" w:hAnsi="Calibri" w:cs="Times New Roman"/>
      <w:sz w:val="20"/>
      <w:szCs w:val="20"/>
    </w:rPr>
  </w:style>
  <w:style w:type="paragraph" w:customStyle="1" w:styleId="Heading1-nonumbering">
    <w:name w:val="Heading 1 - no numbering"/>
    <w:basedOn w:val="H1"/>
    <w:qFormat/>
    <w:rsid w:val="004B7BD9"/>
    <w:pPr>
      <w:spacing w:after="680" w:line="720" w:lineRule="atLeast"/>
      <w:outlineLvl w:val="0"/>
    </w:pPr>
    <w:rPr>
      <w:spacing w:val="0"/>
    </w:rPr>
  </w:style>
  <w:style w:type="paragraph" w:customStyle="1" w:styleId="Heading2-nonumbering">
    <w:name w:val="Heading 2 - no numbering"/>
    <w:basedOn w:val="Heading2"/>
    <w:qFormat/>
    <w:rsid w:val="00346E86"/>
    <w:pPr>
      <w:keepNext/>
      <w:autoSpaceDE/>
      <w:autoSpaceDN/>
      <w:adjustRightInd/>
      <w:spacing w:before="60" w:after="160" w:line="520" w:lineRule="exact"/>
    </w:pPr>
    <w:rPr>
      <w:rFonts w:ascii="Segoe UI" w:eastAsia="Times New Roman" w:hAnsi="Segoe UI" w:cs="Times New Roman"/>
      <w:color w:val="404040" w:themeColor="text1" w:themeTint="BF"/>
      <w:spacing w:val="-5"/>
      <w:sz w:val="48"/>
      <w:szCs w:val="20"/>
      <w:lang w:val="en-NZ" w:eastAsia="en-GB"/>
    </w:rPr>
  </w:style>
  <w:style w:type="paragraph" w:customStyle="1" w:styleId="Heading3-nonumbering">
    <w:name w:val="Heading 3 - no numbering"/>
    <w:basedOn w:val="Heading2-nonumbering"/>
    <w:qFormat/>
    <w:rsid w:val="009055B4"/>
    <w:pPr>
      <w:spacing w:before="360" w:after="0" w:line="360" w:lineRule="atLeast"/>
    </w:pPr>
    <w:rPr>
      <w:b w:val="0"/>
      <w:bCs/>
      <w:color w:val="EC643C"/>
      <w:sz w:val="44"/>
      <w:szCs w:val="44"/>
    </w:rPr>
  </w:style>
  <w:style w:type="character" w:customStyle="1" w:styleId="UnresolvedMention1">
    <w:name w:val="Unresolved Mention1"/>
    <w:basedOn w:val="DefaultParagraphFont"/>
    <w:uiPriority w:val="99"/>
    <w:semiHidden/>
    <w:unhideWhenUsed/>
    <w:rsid w:val="007823EF"/>
    <w:rPr>
      <w:color w:val="605E5C"/>
      <w:shd w:val="clear" w:color="auto" w:fill="E1DFDD"/>
    </w:rPr>
  </w:style>
  <w:style w:type="character" w:customStyle="1" w:styleId="TableTextChar">
    <w:name w:val="TableText Char"/>
    <w:link w:val="TableText"/>
    <w:rsid w:val="007823EF"/>
    <w:rPr>
      <w:rFonts w:ascii="Segoe UI" w:eastAsia="Times New Roman" w:hAnsi="Segoe UI"/>
      <w:bCs/>
      <w:color w:val="auto"/>
      <w:sz w:val="18"/>
      <w:szCs w:val="20"/>
      <w:lang w:eastAsia="en-GB"/>
    </w:rPr>
  </w:style>
  <w:style w:type="paragraph" w:customStyle="1" w:styleId="Quote2">
    <w:name w:val="Quote 2"/>
    <w:basedOn w:val="Quote"/>
    <w:qFormat/>
    <w:rsid w:val="007823EF"/>
    <w:pPr>
      <w:spacing w:before="240"/>
      <w:ind w:right="662" w:firstLine="425"/>
      <w:jc w:val="center"/>
    </w:pPr>
    <w:rPr>
      <w:i/>
      <w:color w:val="0A6AB4"/>
    </w:rPr>
  </w:style>
  <w:style w:type="paragraph" w:styleId="NormalWeb">
    <w:name w:val="Normal (Web)"/>
    <w:basedOn w:val="Normal"/>
    <w:uiPriority w:val="99"/>
    <w:unhideWhenUsed/>
    <w:rsid w:val="007823EF"/>
    <w:pPr>
      <w:spacing w:before="360" w:after="360" w:line="240" w:lineRule="auto"/>
    </w:pPr>
    <w:rPr>
      <w:rFonts w:ascii="Times New Roman" w:eastAsia="Times New Roman" w:hAnsi="Times New Roman" w:cs="Times New Roman"/>
      <w:sz w:val="24"/>
      <w:szCs w:val="24"/>
      <w:lang w:eastAsia="en-NZ"/>
    </w:rPr>
  </w:style>
  <w:style w:type="character" w:styleId="Emphasis">
    <w:name w:val="Emphasis"/>
    <w:basedOn w:val="DefaultParagraphFont"/>
    <w:uiPriority w:val="20"/>
    <w:qFormat/>
    <w:rsid w:val="007823EF"/>
    <w:rPr>
      <w:i/>
      <w:iCs/>
    </w:rPr>
  </w:style>
  <w:style w:type="paragraph" w:customStyle="1" w:styleId="0quote">
    <w:name w:val="0 quote"/>
    <w:basedOn w:val="Normal"/>
    <w:qFormat/>
    <w:rsid w:val="007823EF"/>
    <w:pPr>
      <w:spacing w:before="120" w:after="120"/>
      <w:ind w:left="426"/>
      <w:jc w:val="center"/>
    </w:pPr>
    <w:rPr>
      <w:b/>
      <w:bCs w:val="0"/>
      <w:color w:val="7030A0"/>
      <w:sz w:val="28"/>
      <w:szCs w:val="32"/>
    </w:rPr>
  </w:style>
  <w:style w:type="character" w:styleId="PlaceholderText">
    <w:name w:val="Placeholder Text"/>
    <w:basedOn w:val="DefaultParagraphFont"/>
    <w:uiPriority w:val="99"/>
    <w:semiHidden/>
    <w:rsid w:val="00BD5F30"/>
    <w:rPr>
      <w:color w:val="808080"/>
    </w:rPr>
  </w:style>
  <w:style w:type="paragraph" w:styleId="NormalIndent">
    <w:name w:val="Normal Indent"/>
    <w:basedOn w:val="Normal"/>
    <w:uiPriority w:val="99"/>
    <w:unhideWhenUsed/>
    <w:rsid w:val="00682AC4"/>
    <w:pPr>
      <w:ind w:left="720"/>
    </w:pPr>
  </w:style>
  <w:style w:type="paragraph" w:customStyle="1" w:styleId="NormalIndent1">
    <w:name w:val="Normal Indent1"/>
    <w:basedOn w:val="Normal"/>
    <w:qFormat/>
    <w:rsid w:val="00B7468C"/>
    <w:pPr>
      <w:spacing w:before="160"/>
      <w:ind w:left="1701"/>
    </w:pPr>
    <w:rPr>
      <w:lang w:eastAsia="en-GB"/>
    </w:rPr>
  </w:style>
  <w:style w:type="numbering" w:customStyle="1" w:styleId="CurrentList1">
    <w:name w:val="Current List1"/>
    <w:uiPriority w:val="99"/>
    <w:rsid w:val="0086683E"/>
    <w:pPr>
      <w:numPr>
        <w:numId w:val="11"/>
      </w:numPr>
    </w:pPr>
  </w:style>
  <w:style w:type="paragraph" w:customStyle="1" w:styleId="Lastbullet">
    <w:name w:val="Last bullet"/>
    <w:basedOn w:val="ListBullet"/>
    <w:qFormat/>
    <w:rsid w:val="00B872EB"/>
    <w:pPr>
      <w:spacing w:after="160"/>
    </w:pPr>
  </w:style>
  <w:style w:type="paragraph" w:customStyle="1" w:styleId="Tablebullets">
    <w:name w:val="Table bullets"/>
    <w:basedOn w:val="ListBullet"/>
    <w:qFormat/>
    <w:rsid w:val="00F65A47"/>
    <w:pPr>
      <w:spacing w:line="280" w:lineRule="atLeast"/>
      <w:ind w:left="284"/>
    </w:pPr>
    <w:rPr>
      <w:spacing w:val="2"/>
      <w:szCs w:val="20"/>
      <w:lang w:val="en-GB"/>
    </w:rPr>
  </w:style>
  <w:style w:type="paragraph" w:customStyle="1" w:styleId="Heading2A">
    <w:name w:val="Heading 2A"/>
    <w:basedOn w:val="Heading2-nonumbering"/>
    <w:rsid w:val="00F65A47"/>
    <w:rPr>
      <w:bCs/>
      <w:sz w:val="40"/>
    </w:rPr>
  </w:style>
  <w:style w:type="paragraph" w:customStyle="1" w:styleId="Tablebulletx">
    <w:name w:val="Table bullet x"/>
    <w:basedOn w:val="ListBullet"/>
    <w:qFormat/>
    <w:rsid w:val="006D6059"/>
    <w:pPr>
      <w:spacing w:line="240" w:lineRule="auto"/>
    </w:pPr>
    <w:rPr>
      <w:bCs w:val="0"/>
      <w:spacing w:val="2"/>
      <w:sz w:val="18"/>
      <w:szCs w:val="18"/>
      <w:lang w:val="en-GB"/>
    </w:rPr>
  </w:style>
  <w:style w:type="paragraph" w:customStyle="1" w:styleId="ListBullet2nd">
    <w:name w:val="List Bullet 2nd"/>
    <w:basedOn w:val="ListParagraph"/>
    <w:qFormat/>
    <w:rsid w:val="00F36113"/>
    <w:pPr>
      <w:numPr>
        <w:numId w:val="12"/>
      </w:numPr>
      <w:spacing w:before="60" w:after="60"/>
      <w:ind w:left="2269" w:hanging="284"/>
      <w:contextualSpacing w:val="0"/>
    </w:pPr>
  </w:style>
  <w:style w:type="table" w:customStyle="1" w:styleId="Table-Top1">
    <w:name w:val="Table - Top1"/>
    <w:basedOn w:val="TableNormal"/>
    <w:next w:val="TableGrid"/>
    <w:uiPriority w:val="39"/>
    <w:rsid w:val="00F36113"/>
    <w:pPr>
      <w:spacing w:after="0" w:line="240" w:lineRule="auto"/>
    </w:pPr>
    <w:rPr>
      <w:rFonts w:ascii="Times New Roman" w:eastAsia="Times New Roman" w:hAnsi="Times New Roman"/>
      <w:color w:val="auto"/>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ist Paragraph1 Char,Recommendation Char,Body text Char,standard lewis Char,Bullet Normal Char,Colorful List - Accent 11 Char,List Paragraph numbered Char,List Bullet indent Char,SJ No.Paras Char,Unordered List Paragraph Char"/>
    <w:link w:val="ListParagraph"/>
    <w:uiPriority w:val="34"/>
    <w:qFormat/>
    <w:locked/>
    <w:rsid w:val="009F6B0E"/>
    <w:rPr>
      <w:rFonts w:ascii="Portada" w:hAnsi="Portada" w:cstheme="minorBidi"/>
      <w:bCs/>
      <w:color w:val="000000"/>
      <w:sz w:val="21"/>
    </w:rPr>
  </w:style>
  <w:style w:type="paragraph" w:customStyle="1" w:styleId="Source">
    <w:name w:val="Source"/>
    <w:basedOn w:val="Normal"/>
    <w:next w:val="Normal"/>
    <w:qFormat/>
    <w:rsid w:val="00064AC4"/>
    <w:pPr>
      <w:spacing w:before="80" w:after="120" w:line="240" w:lineRule="atLeast"/>
    </w:pPr>
    <w:rPr>
      <w:rFonts w:asciiTheme="minorHAnsi" w:eastAsia="Times New Roman" w:hAnsiTheme="minorHAnsi" w:cs="Times New Roman"/>
      <w:bCs w:val="0"/>
      <w:color w:val="auto"/>
      <w:sz w:val="18"/>
      <w:szCs w:val="20"/>
      <w:lang w:eastAsia="en-GB"/>
    </w:rPr>
  </w:style>
  <w:style w:type="paragraph" w:customStyle="1" w:styleId="TableBullet1Small">
    <w:name w:val="Table Bullet 1 Small"/>
    <w:basedOn w:val="Normal"/>
    <w:rsid w:val="00685318"/>
    <w:pPr>
      <w:numPr>
        <w:numId w:val="16"/>
      </w:numPr>
      <w:kinsoku w:val="0"/>
      <w:overflowPunct w:val="0"/>
      <w:autoSpaceDE w:val="0"/>
      <w:autoSpaceDN w:val="0"/>
      <w:adjustRightInd w:val="0"/>
      <w:snapToGrid w:val="0"/>
      <w:spacing w:before="20" w:after="20" w:line="240" w:lineRule="atLeast"/>
    </w:pPr>
    <w:rPr>
      <w:rFonts w:ascii="Arial" w:eastAsia="Times New Roman" w:hAnsi="Arial" w:cs="Arial"/>
      <w:bCs w:val="0"/>
      <w:snapToGrid w:val="0"/>
      <w:color w:val="auto"/>
      <w:sz w:val="20"/>
      <w:szCs w:val="18"/>
      <w:lang w:val="en-AU"/>
    </w:rPr>
  </w:style>
  <w:style w:type="paragraph" w:customStyle="1" w:styleId="TableBullet3Small">
    <w:name w:val="Table Bullet 3 Small"/>
    <w:basedOn w:val="TableBullet2Small"/>
    <w:rsid w:val="00685318"/>
    <w:pPr>
      <w:numPr>
        <w:ilvl w:val="2"/>
      </w:numPr>
    </w:pPr>
    <w:rPr>
      <w:szCs w:val="16"/>
    </w:rPr>
  </w:style>
  <w:style w:type="paragraph" w:customStyle="1" w:styleId="TableBullet2Small">
    <w:name w:val="Table Bullet 2 Small"/>
    <w:basedOn w:val="TableBullet1Small"/>
    <w:rsid w:val="00685318"/>
    <w:pPr>
      <w:numPr>
        <w:ilvl w:val="1"/>
      </w:numPr>
    </w:pPr>
  </w:style>
  <w:style w:type="paragraph" w:customStyle="1" w:styleId="Tablebulletx2">
    <w:name w:val="Table bullet x2"/>
    <w:basedOn w:val="Tablebulletx"/>
    <w:qFormat/>
    <w:rsid w:val="00BA5306"/>
    <w:pPr>
      <w:numPr>
        <w:numId w:val="17"/>
      </w:numPr>
      <w:tabs>
        <w:tab w:val="clear" w:pos="360"/>
        <w:tab w:val="num" w:pos="655"/>
      </w:tabs>
      <w:ind w:left="655" w:hanging="263"/>
    </w:pPr>
    <w:rPr>
      <w:bCs/>
    </w:rPr>
  </w:style>
  <w:style w:type="paragraph" w:styleId="List2">
    <w:name w:val="List 2"/>
    <w:basedOn w:val="Normal"/>
    <w:uiPriority w:val="99"/>
    <w:unhideWhenUsed/>
    <w:rsid w:val="006E05EA"/>
    <w:pPr>
      <w:ind w:left="566" w:hanging="283"/>
      <w:contextualSpacing/>
    </w:pPr>
  </w:style>
  <w:style w:type="paragraph" w:styleId="Bibliography">
    <w:name w:val="Bibliography"/>
    <w:basedOn w:val="Normal"/>
    <w:next w:val="Normal"/>
    <w:uiPriority w:val="37"/>
    <w:semiHidden/>
    <w:unhideWhenUsed/>
    <w:rsid w:val="004D7920"/>
  </w:style>
  <w:style w:type="paragraph" w:styleId="BlockText">
    <w:name w:val="Block Text"/>
    <w:basedOn w:val="Normal"/>
    <w:uiPriority w:val="99"/>
    <w:semiHidden/>
    <w:unhideWhenUsed/>
    <w:rsid w:val="004D7920"/>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i/>
      <w:iCs/>
      <w:color w:val="4472C4" w:themeColor="accent1"/>
    </w:rPr>
  </w:style>
  <w:style w:type="paragraph" w:styleId="BodyText2">
    <w:name w:val="Body Text 2"/>
    <w:basedOn w:val="Normal"/>
    <w:link w:val="BodyText2Char"/>
    <w:uiPriority w:val="99"/>
    <w:semiHidden/>
    <w:unhideWhenUsed/>
    <w:rsid w:val="004D7920"/>
    <w:pPr>
      <w:spacing w:after="120" w:line="480" w:lineRule="auto"/>
    </w:pPr>
  </w:style>
  <w:style w:type="character" w:customStyle="1" w:styleId="BodyText2Char">
    <w:name w:val="Body Text 2 Char"/>
    <w:basedOn w:val="DefaultParagraphFont"/>
    <w:link w:val="BodyText2"/>
    <w:uiPriority w:val="99"/>
    <w:semiHidden/>
    <w:rsid w:val="004D7920"/>
    <w:rPr>
      <w:rFonts w:ascii="Portada" w:hAnsi="Portada" w:cstheme="minorBidi"/>
      <w:bCs/>
      <w:color w:val="000000"/>
      <w:sz w:val="21"/>
    </w:rPr>
  </w:style>
  <w:style w:type="paragraph" w:styleId="BodyText3">
    <w:name w:val="Body Text 3"/>
    <w:basedOn w:val="Normal"/>
    <w:link w:val="BodyText3Char"/>
    <w:uiPriority w:val="99"/>
    <w:semiHidden/>
    <w:unhideWhenUsed/>
    <w:rsid w:val="004D7920"/>
    <w:pPr>
      <w:spacing w:after="120"/>
    </w:pPr>
    <w:rPr>
      <w:sz w:val="16"/>
      <w:szCs w:val="16"/>
    </w:rPr>
  </w:style>
  <w:style w:type="character" w:customStyle="1" w:styleId="BodyText3Char">
    <w:name w:val="Body Text 3 Char"/>
    <w:basedOn w:val="DefaultParagraphFont"/>
    <w:link w:val="BodyText3"/>
    <w:uiPriority w:val="99"/>
    <w:semiHidden/>
    <w:rsid w:val="004D7920"/>
    <w:rPr>
      <w:rFonts w:ascii="Portada" w:hAnsi="Portada" w:cstheme="minorBidi"/>
      <w:bCs/>
      <w:color w:val="000000"/>
      <w:sz w:val="16"/>
      <w:szCs w:val="16"/>
    </w:rPr>
  </w:style>
  <w:style w:type="paragraph" w:styleId="BodyTextFirstIndent">
    <w:name w:val="Body Text First Indent"/>
    <w:basedOn w:val="BodyText"/>
    <w:link w:val="BodyTextFirstIndentChar"/>
    <w:uiPriority w:val="99"/>
    <w:semiHidden/>
    <w:unhideWhenUsed/>
    <w:rsid w:val="004D7920"/>
    <w:pPr>
      <w:spacing w:after="160"/>
      <w:ind w:firstLine="360"/>
    </w:pPr>
  </w:style>
  <w:style w:type="character" w:customStyle="1" w:styleId="BodyTextFirstIndentChar">
    <w:name w:val="Body Text First Indent Char"/>
    <w:basedOn w:val="BodyTextChar"/>
    <w:link w:val="BodyTextFirstIndent"/>
    <w:uiPriority w:val="99"/>
    <w:semiHidden/>
    <w:rsid w:val="004D7920"/>
    <w:rPr>
      <w:rFonts w:ascii="Portada" w:hAnsi="Portada" w:cstheme="minorBidi"/>
      <w:bCs/>
      <w:color w:val="000000"/>
      <w:sz w:val="21"/>
    </w:rPr>
  </w:style>
  <w:style w:type="paragraph" w:styleId="BodyTextIndent">
    <w:name w:val="Body Text Indent"/>
    <w:basedOn w:val="Normal"/>
    <w:link w:val="BodyTextIndentChar"/>
    <w:uiPriority w:val="99"/>
    <w:semiHidden/>
    <w:unhideWhenUsed/>
    <w:rsid w:val="004D7920"/>
    <w:pPr>
      <w:spacing w:after="120"/>
      <w:ind w:left="283"/>
    </w:pPr>
  </w:style>
  <w:style w:type="character" w:customStyle="1" w:styleId="BodyTextIndentChar">
    <w:name w:val="Body Text Indent Char"/>
    <w:basedOn w:val="DefaultParagraphFont"/>
    <w:link w:val="BodyTextIndent"/>
    <w:uiPriority w:val="99"/>
    <w:semiHidden/>
    <w:rsid w:val="004D7920"/>
    <w:rPr>
      <w:rFonts w:ascii="Portada" w:hAnsi="Portada" w:cstheme="minorBidi"/>
      <w:bCs/>
      <w:color w:val="000000"/>
      <w:sz w:val="21"/>
    </w:rPr>
  </w:style>
  <w:style w:type="paragraph" w:styleId="BodyTextFirstIndent2">
    <w:name w:val="Body Text First Indent 2"/>
    <w:basedOn w:val="BodyTextIndent"/>
    <w:link w:val="BodyTextFirstIndent2Char"/>
    <w:uiPriority w:val="99"/>
    <w:semiHidden/>
    <w:unhideWhenUsed/>
    <w:rsid w:val="004D7920"/>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4D7920"/>
    <w:rPr>
      <w:rFonts w:ascii="Portada" w:hAnsi="Portada" w:cstheme="minorBidi"/>
      <w:bCs/>
      <w:color w:val="000000"/>
      <w:sz w:val="21"/>
    </w:rPr>
  </w:style>
  <w:style w:type="paragraph" w:styleId="BodyTextIndent2">
    <w:name w:val="Body Text Indent 2"/>
    <w:basedOn w:val="Normal"/>
    <w:link w:val="BodyTextIndent2Char"/>
    <w:uiPriority w:val="99"/>
    <w:semiHidden/>
    <w:unhideWhenUsed/>
    <w:rsid w:val="004D7920"/>
    <w:pPr>
      <w:spacing w:after="120" w:line="480" w:lineRule="auto"/>
      <w:ind w:left="283"/>
    </w:pPr>
  </w:style>
  <w:style w:type="character" w:customStyle="1" w:styleId="BodyTextIndent2Char">
    <w:name w:val="Body Text Indent 2 Char"/>
    <w:basedOn w:val="DefaultParagraphFont"/>
    <w:link w:val="BodyTextIndent2"/>
    <w:uiPriority w:val="99"/>
    <w:semiHidden/>
    <w:rsid w:val="004D7920"/>
    <w:rPr>
      <w:rFonts w:ascii="Portada" w:hAnsi="Portada" w:cstheme="minorBidi"/>
      <w:bCs/>
      <w:color w:val="000000"/>
      <w:sz w:val="21"/>
    </w:rPr>
  </w:style>
  <w:style w:type="paragraph" w:styleId="BodyTextIndent3">
    <w:name w:val="Body Text Indent 3"/>
    <w:basedOn w:val="Normal"/>
    <w:link w:val="BodyTextIndent3Char"/>
    <w:uiPriority w:val="99"/>
    <w:semiHidden/>
    <w:unhideWhenUsed/>
    <w:rsid w:val="004D792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4D7920"/>
    <w:rPr>
      <w:rFonts w:ascii="Portada" w:hAnsi="Portada" w:cstheme="minorBidi"/>
      <w:bCs/>
      <w:color w:val="000000"/>
      <w:sz w:val="16"/>
      <w:szCs w:val="16"/>
    </w:rPr>
  </w:style>
  <w:style w:type="paragraph" w:styleId="Closing">
    <w:name w:val="Closing"/>
    <w:basedOn w:val="Normal"/>
    <w:link w:val="ClosingChar"/>
    <w:uiPriority w:val="99"/>
    <w:semiHidden/>
    <w:unhideWhenUsed/>
    <w:rsid w:val="004D7920"/>
    <w:pPr>
      <w:spacing w:after="0" w:line="240" w:lineRule="auto"/>
      <w:ind w:left="4252"/>
    </w:pPr>
  </w:style>
  <w:style w:type="character" w:customStyle="1" w:styleId="ClosingChar">
    <w:name w:val="Closing Char"/>
    <w:basedOn w:val="DefaultParagraphFont"/>
    <w:link w:val="Closing"/>
    <w:uiPriority w:val="99"/>
    <w:semiHidden/>
    <w:rsid w:val="004D7920"/>
    <w:rPr>
      <w:rFonts w:ascii="Portada" w:hAnsi="Portada" w:cstheme="minorBidi"/>
      <w:bCs/>
      <w:color w:val="000000"/>
      <w:sz w:val="21"/>
    </w:rPr>
  </w:style>
  <w:style w:type="paragraph" w:styleId="DocumentMap">
    <w:name w:val="Document Map"/>
    <w:basedOn w:val="Normal"/>
    <w:link w:val="DocumentMapChar"/>
    <w:uiPriority w:val="99"/>
    <w:semiHidden/>
    <w:unhideWhenUsed/>
    <w:rsid w:val="004D7920"/>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4D7920"/>
    <w:rPr>
      <w:rFonts w:ascii="Segoe UI" w:hAnsi="Segoe UI" w:cs="Segoe UI"/>
      <w:bCs/>
      <w:color w:val="000000"/>
      <w:sz w:val="16"/>
      <w:szCs w:val="16"/>
    </w:rPr>
  </w:style>
  <w:style w:type="paragraph" w:styleId="E-mailSignature">
    <w:name w:val="E-mail Signature"/>
    <w:basedOn w:val="Normal"/>
    <w:link w:val="E-mailSignatureChar"/>
    <w:uiPriority w:val="99"/>
    <w:semiHidden/>
    <w:unhideWhenUsed/>
    <w:rsid w:val="004D7920"/>
    <w:pPr>
      <w:spacing w:after="0" w:line="240" w:lineRule="auto"/>
    </w:pPr>
  </w:style>
  <w:style w:type="character" w:customStyle="1" w:styleId="E-mailSignatureChar">
    <w:name w:val="E-mail Signature Char"/>
    <w:basedOn w:val="DefaultParagraphFont"/>
    <w:link w:val="E-mailSignature"/>
    <w:uiPriority w:val="99"/>
    <w:semiHidden/>
    <w:rsid w:val="004D7920"/>
    <w:rPr>
      <w:rFonts w:ascii="Portada" w:hAnsi="Portada" w:cstheme="minorBidi"/>
      <w:bCs/>
      <w:color w:val="000000"/>
      <w:sz w:val="21"/>
    </w:rPr>
  </w:style>
  <w:style w:type="paragraph" w:styleId="EnvelopeAddress">
    <w:name w:val="envelope address"/>
    <w:basedOn w:val="Normal"/>
    <w:uiPriority w:val="99"/>
    <w:semiHidden/>
    <w:unhideWhenUsed/>
    <w:rsid w:val="004D792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4D7920"/>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4D7920"/>
    <w:pPr>
      <w:spacing w:after="0" w:line="240" w:lineRule="auto"/>
    </w:pPr>
    <w:rPr>
      <w:i/>
      <w:iCs/>
    </w:rPr>
  </w:style>
  <w:style w:type="character" w:customStyle="1" w:styleId="HTMLAddressChar">
    <w:name w:val="HTML Address Char"/>
    <w:basedOn w:val="DefaultParagraphFont"/>
    <w:link w:val="HTMLAddress"/>
    <w:uiPriority w:val="99"/>
    <w:semiHidden/>
    <w:rsid w:val="004D7920"/>
    <w:rPr>
      <w:rFonts w:ascii="Portada" w:hAnsi="Portada" w:cstheme="minorBidi"/>
      <w:bCs/>
      <w:i/>
      <w:iCs/>
      <w:color w:val="000000"/>
      <w:sz w:val="21"/>
    </w:rPr>
  </w:style>
  <w:style w:type="paragraph" w:styleId="HTMLPreformatted">
    <w:name w:val="HTML Preformatted"/>
    <w:basedOn w:val="Normal"/>
    <w:link w:val="HTMLPreformattedChar"/>
    <w:uiPriority w:val="99"/>
    <w:semiHidden/>
    <w:unhideWhenUsed/>
    <w:rsid w:val="004D7920"/>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4D7920"/>
    <w:rPr>
      <w:rFonts w:ascii="Consolas" w:hAnsi="Consolas" w:cstheme="minorBidi"/>
      <w:bCs/>
      <w:color w:val="000000"/>
      <w:sz w:val="20"/>
      <w:szCs w:val="20"/>
    </w:rPr>
  </w:style>
  <w:style w:type="paragraph" w:styleId="Index1">
    <w:name w:val="index 1"/>
    <w:basedOn w:val="Normal"/>
    <w:next w:val="Normal"/>
    <w:autoRedefine/>
    <w:uiPriority w:val="99"/>
    <w:semiHidden/>
    <w:unhideWhenUsed/>
    <w:rsid w:val="004D7920"/>
    <w:pPr>
      <w:spacing w:after="0" w:line="240" w:lineRule="auto"/>
      <w:ind w:left="210" w:hanging="210"/>
    </w:pPr>
  </w:style>
  <w:style w:type="paragraph" w:styleId="Index2">
    <w:name w:val="index 2"/>
    <w:basedOn w:val="Normal"/>
    <w:next w:val="Normal"/>
    <w:autoRedefine/>
    <w:uiPriority w:val="99"/>
    <w:semiHidden/>
    <w:unhideWhenUsed/>
    <w:rsid w:val="004D7920"/>
    <w:pPr>
      <w:spacing w:after="0" w:line="240" w:lineRule="auto"/>
      <w:ind w:left="420" w:hanging="210"/>
    </w:pPr>
  </w:style>
  <w:style w:type="paragraph" w:styleId="Index3">
    <w:name w:val="index 3"/>
    <w:basedOn w:val="Normal"/>
    <w:next w:val="Normal"/>
    <w:autoRedefine/>
    <w:uiPriority w:val="99"/>
    <w:semiHidden/>
    <w:unhideWhenUsed/>
    <w:rsid w:val="004D7920"/>
    <w:pPr>
      <w:spacing w:after="0" w:line="240" w:lineRule="auto"/>
      <w:ind w:left="630" w:hanging="210"/>
    </w:pPr>
  </w:style>
  <w:style w:type="paragraph" w:styleId="Index4">
    <w:name w:val="index 4"/>
    <w:basedOn w:val="Normal"/>
    <w:next w:val="Normal"/>
    <w:autoRedefine/>
    <w:uiPriority w:val="99"/>
    <w:semiHidden/>
    <w:unhideWhenUsed/>
    <w:rsid w:val="004D7920"/>
    <w:pPr>
      <w:spacing w:after="0" w:line="240" w:lineRule="auto"/>
      <w:ind w:left="840" w:hanging="210"/>
    </w:pPr>
  </w:style>
  <w:style w:type="paragraph" w:styleId="Index5">
    <w:name w:val="index 5"/>
    <w:basedOn w:val="Normal"/>
    <w:next w:val="Normal"/>
    <w:autoRedefine/>
    <w:uiPriority w:val="99"/>
    <w:semiHidden/>
    <w:unhideWhenUsed/>
    <w:rsid w:val="004D7920"/>
    <w:pPr>
      <w:spacing w:after="0" w:line="240" w:lineRule="auto"/>
      <w:ind w:left="1050" w:hanging="210"/>
    </w:pPr>
  </w:style>
  <w:style w:type="paragraph" w:styleId="Index6">
    <w:name w:val="index 6"/>
    <w:basedOn w:val="Normal"/>
    <w:next w:val="Normal"/>
    <w:autoRedefine/>
    <w:uiPriority w:val="99"/>
    <w:semiHidden/>
    <w:unhideWhenUsed/>
    <w:rsid w:val="004D7920"/>
    <w:pPr>
      <w:spacing w:after="0" w:line="240" w:lineRule="auto"/>
      <w:ind w:left="1260" w:hanging="210"/>
    </w:pPr>
  </w:style>
  <w:style w:type="paragraph" w:styleId="Index7">
    <w:name w:val="index 7"/>
    <w:basedOn w:val="Normal"/>
    <w:next w:val="Normal"/>
    <w:autoRedefine/>
    <w:uiPriority w:val="99"/>
    <w:semiHidden/>
    <w:unhideWhenUsed/>
    <w:rsid w:val="004D7920"/>
    <w:pPr>
      <w:spacing w:after="0" w:line="240" w:lineRule="auto"/>
      <w:ind w:left="1470" w:hanging="210"/>
    </w:pPr>
  </w:style>
  <w:style w:type="paragraph" w:styleId="Index8">
    <w:name w:val="index 8"/>
    <w:basedOn w:val="Normal"/>
    <w:next w:val="Normal"/>
    <w:autoRedefine/>
    <w:uiPriority w:val="99"/>
    <w:semiHidden/>
    <w:unhideWhenUsed/>
    <w:rsid w:val="004D7920"/>
    <w:pPr>
      <w:spacing w:after="0" w:line="240" w:lineRule="auto"/>
      <w:ind w:left="1680" w:hanging="210"/>
    </w:pPr>
  </w:style>
  <w:style w:type="paragraph" w:styleId="Index9">
    <w:name w:val="index 9"/>
    <w:basedOn w:val="Normal"/>
    <w:next w:val="Normal"/>
    <w:autoRedefine/>
    <w:uiPriority w:val="99"/>
    <w:semiHidden/>
    <w:unhideWhenUsed/>
    <w:rsid w:val="004D7920"/>
    <w:pPr>
      <w:spacing w:after="0" w:line="240" w:lineRule="auto"/>
      <w:ind w:left="1890" w:hanging="210"/>
    </w:pPr>
  </w:style>
  <w:style w:type="paragraph" w:styleId="IndexHeading">
    <w:name w:val="index heading"/>
    <w:basedOn w:val="Normal"/>
    <w:next w:val="Index1"/>
    <w:uiPriority w:val="99"/>
    <w:semiHidden/>
    <w:unhideWhenUsed/>
    <w:rsid w:val="004D7920"/>
    <w:rPr>
      <w:rFonts w:asciiTheme="majorHAnsi" w:eastAsiaTheme="majorEastAsia" w:hAnsiTheme="majorHAnsi" w:cstheme="majorBidi"/>
      <w:b/>
    </w:rPr>
  </w:style>
  <w:style w:type="paragraph" w:styleId="IntenseQuote">
    <w:name w:val="Intense Quote"/>
    <w:basedOn w:val="Normal"/>
    <w:next w:val="Normal"/>
    <w:link w:val="IntenseQuoteChar"/>
    <w:uiPriority w:val="30"/>
    <w:qFormat/>
    <w:rsid w:val="004D792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4D7920"/>
    <w:rPr>
      <w:rFonts w:ascii="Portada" w:hAnsi="Portada" w:cstheme="minorBidi"/>
      <w:bCs/>
      <w:i/>
      <w:iCs/>
      <w:color w:val="4472C4" w:themeColor="accent1"/>
      <w:sz w:val="21"/>
    </w:rPr>
  </w:style>
  <w:style w:type="paragraph" w:styleId="List">
    <w:name w:val="List"/>
    <w:basedOn w:val="Normal"/>
    <w:uiPriority w:val="99"/>
    <w:semiHidden/>
    <w:unhideWhenUsed/>
    <w:rsid w:val="004D7920"/>
    <w:pPr>
      <w:ind w:left="283" w:hanging="283"/>
      <w:contextualSpacing/>
    </w:pPr>
  </w:style>
  <w:style w:type="paragraph" w:styleId="List3">
    <w:name w:val="List 3"/>
    <w:basedOn w:val="Normal"/>
    <w:uiPriority w:val="99"/>
    <w:semiHidden/>
    <w:unhideWhenUsed/>
    <w:rsid w:val="004D7920"/>
    <w:pPr>
      <w:ind w:left="849" w:hanging="283"/>
      <w:contextualSpacing/>
    </w:pPr>
  </w:style>
  <w:style w:type="paragraph" w:styleId="List4">
    <w:name w:val="List 4"/>
    <w:basedOn w:val="Normal"/>
    <w:uiPriority w:val="99"/>
    <w:semiHidden/>
    <w:unhideWhenUsed/>
    <w:rsid w:val="004D7920"/>
    <w:pPr>
      <w:ind w:left="1132" w:hanging="283"/>
      <w:contextualSpacing/>
    </w:pPr>
  </w:style>
  <w:style w:type="paragraph" w:styleId="List5">
    <w:name w:val="List 5"/>
    <w:basedOn w:val="Normal"/>
    <w:uiPriority w:val="99"/>
    <w:semiHidden/>
    <w:unhideWhenUsed/>
    <w:rsid w:val="004D7920"/>
    <w:pPr>
      <w:ind w:left="1415" w:hanging="283"/>
      <w:contextualSpacing/>
    </w:pPr>
  </w:style>
  <w:style w:type="paragraph" w:styleId="ListBullet2">
    <w:name w:val="List Bullet 2"/>
    <w:basedOn w:val="Normal"/>
    <w:uiPriority w:val="99"/>
    <w:semiHidden/>
    <w:unhideWhenUsed/>
    <w:rsid w:val="004D7920"/>
    <w:pPr>
      <w:numPr>
        <w:numId w:val="20"/>
      </w:numPr>
      <w:contextualSpacing/>
    </w:pPr>
  </w:style>
  <w:style w:type="paragraph" w:styleId="ListBullet3">
    <w:name w:val="List Bullet 3"/>
    <w:basedOn w:val="Normal"/>
    <w:uiPriority w:val="99"/>
    <w:semiHidden/>
    <w:unhideWhenUsed/>
    <w:rsid w:val="004D7920"/>
    <w:pPr>
      <w:numPr>
        <w:numId w:val="21"/>
      </w:numPr>
      <w:contextualSpacing/>
    </w:pPr>
  </w:style>
  <w:style w:type="paragraph" w:styleId="ListBullet4">
    <w:name w:val="List Bullet 4"/>
    <w:basedOn w:val="Normal"/>
    <w:uiPriority w:val="99"/>
    <w:semiHidden/>
    <w:unhideWhenUsed/>
    <w:rsid w:val="004D7920"/>
    <w:pPr>
      <w:numPr>
        <w:numId w:val="22"/>
      </w:numPr>
      <w:contextualSpacing/>
    </w:pPr>
  </w:style>
  <w:style w:type="paragraph" w:styleId="ListBullet5">
    <w:name w:val="List Bullet 5"/>
    <w:basedOn w:val="Normal"/>
    <w:uiPriority w:val="99"/>
    <w:semiHidden/>
    <w:unhideWhenUsed/>
    <w:rsid w:val="004D7920"/>
    <w:pPr>
      <w:numPr>
        <w:numId w:val="23"/>
      </w:numPr>
      <w:contextualSpacing/>
    </w:pPr>
  </w:style>
  <w:style w:type="paragraph" w:styleId="ListContinue">
    <w:name w:val="List Continue"/>
    <w:basedOn w:val="Normal"/>
    <w:uiPriority w:val="99"/>
    <w:semiHidden/>
    <w:unhideWhenUsed/>
    <w:rsid w:val="004D7920"/>
    <w:pPr>
      <w:spacing w:after="120"/>
      <w:ind w:left="283"/>
      <w:contextualSpacing/>
    </w:pPr>
  </w:style>
  <w:style w:type="paragraph" w:styleId="ListContinue2">
    <w:name w:val="List Continue 2"/>
    <w:basedOn w:val="Normal"/>
    <w:uiPriority w:val="99"/>
    <w:semiHidden/>
    <w:unhideWhenUsed/>
    <w:rsid w:val="004D7920"/>
    <w:pPr>
      <w:spacing w:after="120"/>
      <w:ind w:left="566"/>
      <w:contextualSpacing/>
    </w:pPr>
  </w:style>
  <w:style w:type="paragraph" w:styleId="ListContinue3">
    <w:name w:val="List Continue 3"/>
    <w:basedOn w:val="Normal"/>
    <w:uiPriority w:val="99"/>
    <w:semiHidden/>
    <w:unhideWhenUsed/>
    <w:rsid w:val="004D7920"/>
    <w:pPr>
      <w:spacing w:after="120"/>
      <w:ind w:left="849"/>
      <w:contextualSpacing/>
    </w:pPr>
  </w:style>
  <w:style w:type="paragraph" w:styleId="ListContinue4">
    <w:name w:val="List Continue 4"/>
    <w:basedOn w:val="Normal"/>
    <w:uiPriority w:val="99"/>
    <w:semiHidden/>
    <w:unhideWhenUsed/>
    <w:rsid w:val="004D7920"/>
    <w:pPr>
      <w:spacing w:after="120"/>
      <w:ind w:left="1132"/>
      <w:contextualSpacing/>
    </w:pPr>
  </w:style>
  <w:style w:type="paragraph" w:styleId="ListContinue5">
    <w:name w:val="List Continue 5"/>
    <w:basedOn w:val="Normal"/>
    <w:uiPriority w:val="99"/>
    <w:semiHidden/>
    <w:unhideWhenUsed/>
    <w:rsid w:val="004D7920"/>
    <w:pPr>
      <w:spacing w:after="120"/>
      <w:ind w:left="1415"/>
      <w:contextualSpacing/>
    </w:pPr>
  </w:style>
  <w:style w:type="paragraph" w:styleId="ListNumber">
    <w:name w:val="List Number"/>
    <w:basedOn w:val="Normal"/>
    <w:uiPriority w:val="99"/>
    <w:semiHidden/>
    <w:unhideWhenUsed/>
    <w:rsid w:val="004D7920"/>
    <w:pPr>
      <w:numPr>
        <w:numId w:val="24"/>
      </w:numPr>
      <w:contextualSpacing/>
    </w:pPr>
  </w:style>
  <w:style w:type="paragraph" w:styleId="ListNumber2">
    <w:name w:val="List Number 2"/>
    <w:basedOn w:val="Normal"/>
    <w:uiPriority w:val="99"/>
    <w:semiHidden/>
    <w:unhideWhenUsed/>
    <w:rsid w:val="004D7920"/>
    <w:pPr>
      <w:numPr>
        <w:numId w:val="25"/>
      </w:numPr>
      <w:contextualSpacing/>
    </w:pPr>
  </w:style>
  <w:style w:type="paragraph" w:styleId="ListNumber3">
    <w:name w:val="List Number 3"/>
    <w:basedOn w:val="Normal"/>
    <w:uiPriority w:val="99"/>
    <w:semiHidden/>
    <w:unhideWhenUsed/>
    <w:rsid w:val="004D7920"/>
    <w:pPr>
      <w:numPr>
        <w:numId w:val="26"/>
      </w:numPr>
      <w:contextualSpacing/>
    </w:pPr>
  </w:style>
  <w:style w:type="paragraph" w:styleId="ListNumber4">
    <w:name w:val="List Number 4"/>
    <w:basedOn w:val="Normal"/>
    <w:uiPriority w:val="99"/>
    <w:semiHidden/>
    <w:unhideWhenUsed/>
    <w:rsid w:val="004D7920"/>
    <w:pPr>
      <w:numPr>
        <w:numId w:val="27"/>
      </w:numPr>
      <w:contextualSpacing/>
    </w:pPr>
  </w:style>
  <w:style w:type="paragraph" w:styleId="ListNumber5">
    <w:name w:val="List Number 5"/>
    <w:basedOn w:val="Normal"/>
    <w:uiPriority w:val="99"/>
    <w:semiHidden/>
    <w:unhideWhenUsed/>
    <w:rsid w:val="004D7920"/>
    <w:pPr>
      <w:numPr>
        <w:numId w:val="28"/>
      </w:numPr>
      <w:contextualSpacing/>
    </w:pPr>
  </w:style>
  <w:style w:type="paragraph" w:styleId="MacroText">
    <w:name w:val="macro"/>
    <w:link w:val="MacroTextChar"/>
    <w:uiPriority w:val="99"/>
    <w:semiHidden/>
    <w:unhideWhenUsed/>
    <w:rsid w:val="004D7920"/>
    <w:pPr>
      <w:tabs>
        <w:tab w:val="left" w:pos="480"/>
        <w:tab w:val="left" w:pos="960"/>
        <w:tab w:val="left" w:pos="1440"/>
        <w:tab w:val="left" w:pos="1920"/>
        <w:tab w:val="left" w:pos="2400"/>
        <w:tab w:val="left" w:pos="2880"/>
        <w:tab w:val="left" w:pos="3360"/>
        <w:tab w:val="left" w:pos="3840"/>
        <w:tab w:val="left" w:pos="4320"/>
      </w:tabs>
      <w:spacing w:after="0" w:line="310" w:lineRule="atLeast"/>
    </w:pPr>
    <w:rPr>
      <w:rFonts w:ascii="Consolas" w:hAnsi="Consolas" w:cstheme="minorBidi"/>
      <w:bCs/>
      <w:color w:val="000000"/>
      <w:sz w:val="20"/>
      <w:szCs w:val="20"/>
    </w:rPr>
  </w:style>
  <w:style w:type="character" w:customStyle="1" w:styleId="MacroTextChar">
    <w:name w:val="Macro Text Char"/>
    <w:basedOn w:val="DefaultParagraphFont"/>
    <w:link w:val="MacroText"/>
    <w:uiPriority w:val="99"/>
    <w:semiHidden/>
    <w:rsid w:val="004D7920"/>
    <w:rPr>
      <w:rFonts w:ascii="Consolas" w:hAnsi="Consolas" w:cstheme="minorBidi"/>
      <w:bCs/>
      <w:color w:val="000000"/>
      <w:sz w:val="20"/>
      <w:szCs w:val="20"/>
    </w:rPr>
  </w:style>
  <w:style w:type="paragraph" w:styleId="MessageHeader">
    <w:name w:val="Message Header"/>
    <w:basedOn w:val="Normal"/>
    <w:link w:val="MessageHeaderChar"/>
    <w:uiPriority w:val="99"/>
    <w:semiHidden/>
    <w:unhideWhenUsed/>
    <w:rsid w:val="004D792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4D7920"/>
    <w:rPr>
      <w:rFonts w:asciiTheme="majorHAnsi" w:eastAsiaTheme="majorEastAsia" w:hAnsiTheme="majorHAnsi" w:cstheme="majorBidi"/>
      <w:bCs/>
      <w:color w:val="000000"/>
      <w:sz w:val="24"/>
      <w:szCs w:val="24"/>
      <w:shd w:val="pct20" w:color="auto" w:fill="auto"/>
    </w:rPr>
  </w:style>
  <w:style w:type="paragraph" w:styleId="NoteHeading">
    <w:name w:val="Note Heading"/>
    <w:basedOn w:val="Normal"/>
    <w:next w:val="Normal"/>
    <w:link w:val="NoteHeadingChar"/>
    <w:uiPriority w:val="99"/>
    <w:semiHidden/>
    <w:unhideWhenUsed/>
    <w:rsid w:val="004D7920"/>
    <w:pPr>
      <w:spacing w:after="0" w:line="240" w:lineRule="auto"/>
    </w:pPr>
  </w:style>
  <w:style w:type="character" w:customStyle="1" w:styleId="NoteHeadingChar">
    <w:name w:val="Note Heading Char"/>
    <w:basedOn w:val="DefaultParagraphFont"/>
    <w:link w:val="NoteHeading"/>
    <w:uiPriority w:val="99"/>
    <w:semiHidden/>
    <w:rsid w:val="004D7920"/>
    <w:rPr>
      <w:rFonts w:ascii="Portada" w:hAnsi="Portada" w:cstheme="minorBidi"/>
      <w:bCs/>
      <w:color w:val="000000"/>
      <w:sz w:val="21"/>
    </w:rPr>
  </w:style>
  <w:style w:type="paragraph" w:styleId="PlainText">
    <w:name w:val="Plain Text"/>
    <w:basedOn w:val="Normal"/>
    <w:link w:val="PlainTextChar"/>
    <w:uiPriority w:val="99"/>
    <w:semiHidden/>
    <w:unhideWhenUsed/>
    <w:rsid w:val="004D7920"/>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4D7920"/>
    <w:rPr>
      <w:rFonts w:ascii="Consolas" w:hAnsi="Consolas" w:cstheme="minorBidi"/>
      <w:bCs/>
      <w:color w:val="000000"/>
      <w:sz w:val="21"/>
      <w:szCs w:val="21"/>
    </w:rPr>
  </w:style>
  <w:style w:type="paragraph" w:styleId="Salutation">
    <w:name w:val="Salutation"/>
    <w:basedOn w:val="Normal"/>
    <w:next w:val="Normal"/>
    <w:link w:val="SalutationChar"/>
    <w:uiPriority w:val="99"/>
    <w:semiHidden/>
    <w:unhideWhenUsed/>
    <w:rsid w:val="004D7920"/>
  </w:style>
  <w:style w:type="character" w:customStyle="1" w:styleId="SalutationChar">
    <w:name w:val="Salutation Char"/>
    <w:basedOn w:val="DefaultParagraphFont"/>
    <w:link w:val="Salutation"/>
    <w:uiPriority w:val="99"/>
    <w:semiHidden/>
    <w:rsid w:val="004D7920"/>
    <w:rPr>
      <w:rFonts w:ascii="Portada" w:hAnsi="Portada" w:cstheme="minorBidi"/>
      <w:bCs/>
      <w:color w:val="000000"/>
      <w:sz w:val="21"/>
    </w:rPr>
  </w:style>
  <w:style w:type="paragraph" w:styleId="Signature">
    <w:name w:val="Signature"/>
    <w:basedOn w:val="Normal"/>
    <w:link w:val="SignatureChar"/>
    <w:uiPriority w:val="99"/>
    <w:semiHidden/>
    <w:unhideWhenUsed/>
    <w:rsid w:val="004D7920"/>
    <w:pPr>
      <w:spacing w:after="0" w:line="240" w:lineRule="auto"/>
      <w:ind w:left="4252"/>
    </w:pPr>
  </w:style>
  <w:style w:type="character" w:customStyle="1" w:styleId="SignatureChar">
    <w:name w:val="Signature Char"/>
    <w:basedOn w:val="DefaultParagraphFont"/>
    <w:link w:val="Signature"/>
    <w:uiPriority w:val="99"/>
    <w:semiHidden/>
    <w:rsid w:val="004D7920"/>
    <w:rPr>
      <w:rFonts w:ascii="Portada" w:hAnsi="Portada" w:cstheme="minorBidi"/>
      <w:bCs/>
      <w:color w:val="000000"/>
      <w:sz w:val="21"/>
    </w:rPr>
  </w:style>
  <w:style w:type="paragraph" w:styleId="Subtitle">
    <w:name w:val="Subtitle"/>
    <w:basedOn w:val="Normal"/>
    <w:next w:val="Normal"/>
    <w:link w:val="SubtitleChar"/>
    <w:uiPriority w:val="11"/>
    <w:qFormat/>
    <w:rsid w:val="004D7920"/>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4D7920"/>
    <w:rPr>
      <w:rFonts w:asciiTheme="minorHAnsi" w:eastAsiaTheme="minorEastAsia" w:hAnsiTheme="minorHAnsi" w:cstheme="minorBidi"/>
      <w:bCs/>
      <w:color w:val="5A5A5A" w:themeColor="text1" w:themeTint="A5"/>
      <w:spacing w:val="15"/>
    </w:rPr>
  </w:style>
  <w:style w:type="paragraph" w:styleId="TableofAuthorities">
    <w:name w:val="table of authorities"/>
    <w:basedOn w:val="Normal"/>
    <w:next w:val="Normal"/>
    <w:uiPriority w:val="99"/>
    <w:semiHidden/>
    <w:unhideWhenUsed/>
    <w:rsid w:val="004D7920"/>
    <w:pPr>
      <w:spacing w:after="0"/>
      <w:ind w:left="210" w:hanging="210"/>
    </w:pPr>
  </w:style>
  <w:style w:type="paragraph" w:styleId="TOAHeading">
    <w:name w:val="toa heading"/>
    <w:basedOn w:val="Normal"/>
    <w:next w:val="Normal"/>
    <w:uiPriority w:val="99"/>
    <w:semiHidden/>
    <w:unhideWhenUsed/>
    <w:rsid w:val="004D7920"/>
    <w:pPr>
      <w:spacing w:before="120"/>
    </w:pPr>
    <w:rPr>
      <w:rFonts w:asciiTheme="majorHAnsi" w:eastAsiaTheme="majorEastAsia" w:hAnsiTheme="majorHAnsi" w:cstheme="majorBidi"/>
      <w:b/>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2688629">
      <w:bodyDiv w:val="1"/>
      <w:marLeft w:val="0"/>
      <w:marRight w:val="0"/>
      <w:marTop w:val="0"/>
      <w:marBottom w:val="0"/>
      <w:divBdr>
        <w:top w:val="none" w:sz="0" w:space="0" w:color="auto"/>
        <w:left w:val="none" w:sz="0" w:space="0" w:color="auto"/>
        <w:bottom w:val="none" w:sz="0" w:space="0" w:color="auto"/>
        <w:right w:val="none" w:sz="0" w:space="0" w:color="auto"/>
      </w:divBdr>
    </w:div>
    <w:div w:id="1341005595">
      <w:bodyDiv w:val="1"/>
      <w:marLeft w:val="0"/>
      <w:marRight w:val="0"/>
      <w:marTop w:val="0"/>
      <w:marBottom w:val="0"/>
      <w:divBdr>
        <w:top w:val="none" w:sz="0" w:space="0" w:color="auto"/>
        <w:left w:val="none" w:sz="0" w:space="0" w:color="auto"/>
        <w:bottom w:val="none" w:sz="0" w:space="0" w:color="auto"/>
        <w:right w:val="none" w:sz="0" w:space="0" w:color="auto"/>
      </w:divBdr>
    </w:div>
    <w:div w:id="1523279313">
      <w:bodyDiv w:val="1"/>
      <w:marLeft w:val="0"/>
      <w:marRight w:val="0"/>
      <w:marTop w:val="0"/>
      <w:marBottom w:val="0"/>
      <w:divBdr>
        <w:top w:val="none" w:sz="0" w:space="0" w:color="auto"/>
        <w:left w:val="none" w:sz="0" w:space="0" w:color="auto"/>
        <w:bottom w:val="none" w:sz="0" w:space="0" w:color="auto"/>
        <w:right w:val="none" w:sz="0" w:space="0" w:color="auto"/>
      </w:divBdr>
    </w:div>
    <w:div w:id="2104253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eader" Target="header4.xml"/><Relationship Id="rId26" Type="http://schemas.openxmlformats.org/officeDocument/2006/relationships/footer" Target="footer3.xml"/><Relationship Id="rId39" Type="http://schemas.openxmlformats.org/officeDocument/2006/relationships/hyperlink" Target="http://www.msd.govt.nz/documents/about-msd-and-our-work/publications-resources/archive/1988-puaoteatatu.pdf" TargetMode="External"/><Relationship Id="rId21" Type="http://schemas.openxmlformats.org/officeDocument/2006/relationships/header" Target="header6.xml"/><Relationship Id="rId34" Type="http://schemas.openxmlformats.org/officeDocument/2006/relationships/hyperlink" Target="http://dx.doi.org/10.1136/bmjopen-2012-001570" TargetMode="External"/><Relationship Id="rId42" Type="http://schemas.openxmlformats.org/officeDocument/2006/relationships/hyperlink" Target="https://www.transport.govt.nz/assets/Uploads/Intervention-Logic-Mapping.pdf" TargetMode="External"/><Relationship Id="rId47" Type="http://schemas.openxmlformats.org/officeDocument/2006/relationships/hyperlink" Target="https://neweconomics.org/2014/06/commissioning-outcomes-co-production" TargetMode="External"/><Relationship Id="rId50" Type="http://schemas.openxmlformats.org/officeDocument/2006/relationships/hyperlink" Target="http://www.kingsfund.org.uk/sites/default/files/2021-07/Understanding_integration_2021_guide_2.pdf" TargetMode="External"/><Relationship Id="rId55" Type="http://schemas.openxmlformats.org/officeDocument/2006/relationships/header" Target="header1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header" Target="header5.xml"/><Relationship Id="rId29" Type="http://schemas.openxmlformats.org/officeDocument/2006/relationships/image" Target="media/image4.jpeg"/><Relationship Id="rId41" Type="http://schemas.openxmlformats.org/officeDocument/2006/relationships/hyperlink" Target="http://www.health.govt.nz/publication/hui-whakaoranga-2021-summary-report" TargetMode="External"/><Relationship Id="rId54"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8.xml"/><Relationship Id="rId32" Type="http://schemas.openxmlformats.org/officeDocument/2006/relationships/hyperlink" Target="https://doi.org/10.1038/s41431-019-0555-6" TargetMode="External"/><Relationship Id="rId37" Type="http://schemas.openxmlformats.org/officeDocument/2006/relationships/hyperlink" Target="https://www.hqsc.govt.nz/consumer-hub/engaging-consumers-and-whanau/code-of-expectations-for-health-entities-engagement-with-consumers-and-whanau/" TargetMode="External"/><Relationship Id="rId40" Type="http://schemas.openxmlformats.org/officeDocument/2006/relationships/hyperlink" Target="http://www.health.govt.nz/publication/commissioning-framework-mental-health-and-addiction-new-zealand-guide" TargetMode="External"/><Relationship Id="rId45" Type="http://schemas.openxmlformats.org/officeDocument/2006/relationships/hyperlink" Target="http://dx.doi.org/10.1787/9789264279865-en" TargetMode="External"/><Relationship Id="rId53" Type="http://schemas.openxmlformats.org/officeDocument/2006/relationships/image" Target="media/image7.png"/><Relationship Id="rId58" Type="http://schemas.openxmlformats.org/officeDocument/2006/relationships/hyperlink" Target="http://www.msd.govt.nz/about-msd-and-our-work/publications-resources/planning-strategy/social-sector-commissioning/index.html" TargetMode="Externa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footer" Target="footer2.xml"/><Relationship Id="rId28" Type="http://schemas.openxmlformats.org/officeDocument/2006/relationships/footer" Target="footer4.xml"/><Relationship Id="rId36" Type="http://schemas.openxmlformats.org/officeDocument/2006/relationships/hyperlink" Target="https://www.saxinstitute.org.au/wp-content/uploads/Commissioning-primary-health-care.pdf" TargetMode="External"/><Relationship Id="rId49" Type="http://schemas.openxmlformats.org/officeDocument/2006/relationships/hyperlink" Target="http://www.treasury.govt.nz/sites/default/files/2015-07/cba-guide-jul15.pdf" TargetMode="External"/><Relationship Id="rId57" Type="http://schemas.openxmlformats.org/officeDocument/2006/relationships/header" Target="header13.xml"/><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6.jpeg"/><Relationship Id="rId44" Type="http://schemas.openxmlformats.org/officeDocument/2006/relationships/hyperlink" Target="https://www.tpk.govt.nz/en/mo-te-puni-kokiri/corporate-documents/cabinet-papers/all-cabinet-papers/covid19-response-responding-to-community-need" TargetMode="External"/><Relationship Id="rId52" Type="http://schemas.openxmlformats.org/officeDocument/2006/relationships/hyperlink" Target="https://teara.govt.nz/en/whanau-M&#257;ori-and-family/page-1"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health.govt.nz" TargetMode="External"/><Relationship Id="rId22" Type="http://schemas.openxmlformats.org/officeDocument/2006/relationships/header" Target="header7.xml"/><Relationship Id="rId27" Type="http://schemas.openxmlformats.org/officeDocument/2006/relationships/header" Target="header10.xml"/><Relationship Id="rId30" Type="http://schemas.openxmlformats.org/officeDocument/2006/relationships/image" Target="media/image5.jpeg"/><Relationship Id="rId35" Type="http://schemas.openxmlformats.org/officeDocument/2006/relationships/hyperlink" Target="http://www.productivity.govt.nz/inquiries/a-fair-chance-for-all/" TargetMode="External"/><Relationship Id="rId43" Type="http://schemas.openxmlformats.org/officeDocument/2006/relationships/hyperlink" Target="https://oag.parliament.nz/2008/procurement-guide" TargetMode="External"/><Relationship Id="rId48" Type="http://schemas.openxmlformats.org/officeDocument/2006/relationships/hyperlink" Target="https://locality.org.uk/wp-content/uploads/2018/03/Locality-Report-Diseconomies-updated-single-pages-Jan-2017.pdf" TargetMode="External"/><Relationship Id="rId56" Type="http://schemas.openxmlformats.org/officeDocument/2006/relationships/header" Target="header12.xml"/><Relationship Id="rId8" Type="http://schemas.openxmlformats.org/officeDocument/2006/relationships/webSettings" Target="webSettings.xml"/><Relationship Id="rId51" Type="http://schemas.openxmlformats.org/officeDocument/2006/relationships/hyperlink" Target="https://waitangitribunal.govt.nz/inquiries/kaupapa-inquiries/health-services-and-outcomes-inquiry/"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eader" Target="header9.xml"/><Relationship Id="rId33" Type="http://schemas.openxmlformats.org/officeDocument/2006/relationships/hyperlink" Target="https://innovationforsocialchange.org/en/a-tool-to-develop-your-theory-of-change/" TargetMode="External"/><Relationship Id="rId38" Type="http://schemas.openxmlformats.org/officeDocument/2006/relationships/hyperlink" Target="https://www.treasury.govt.nz/sites/default/files/2022-04/sp-wellbeing-aotearoa-new-zealand-12apr22.pdf" TargetMode="External"/><Relationship Id="rId46" Type="http://schemas.openxmlformats.org/officeDocument/2006/relationships/hyperlink" Target="https://pharmac.govt.nz/about/access-equity/achieving-medicine-access-equity-in-aotearoa-new-zealand-towards-a-theory-of-change/" TargetMode="External"/><Relationship Id="rId59" Type="http://schemas.openxmlformats.org/officeDocument/2006/relationships/image" Target="media/image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8" Type="http://schemas.openxmlformats.org/officeDocument/2006/relationships/hyperlink" Target="https://www.health.govt.nz/publication/position-statement-and-working-definitions-racism-and-anti-racism-health-system-aotearoa-new-zealand" TargetMode="External"/><Relationship Id="rId13" Type="http://schemas.openxmlformats.org/officeDocument/2006/relationships/hyperlink" Target="https://www.msd.govt.nz/about-msd-and-our-work/publications-resources/planning-strategy/social-sector-commissioning/index.html" TargetMode="External"/><Relationship Id="rId18" Type="http://schemas.openxmlformats.org/officeDocument/2006/relationships/hyperlink" Target="https://gcs.civilservice.gov.uk/guidance/campaigns/customer-journey-mapping/" TargetMode="External"/><Relationship Id="rId26" Type="http://schemas.openxmlformats.org/officeDocument/2006/relationships/hyperlink" Target="http://www.health.govt.nz/publication/commissioning-pae-ora-healthy-futures-2022" TargetMode="External"/><Relationship Id="rId3" Type="http://schemas.openxmlformats.org/officeDocument/2006/relationships/hyperlink" Target="https://www.enablinggoodlives.co.nz/about-egl/egl-approach/vision/" TargetMode="External"/><Relationship Id="rId21" Type="http://schemas.openxmlformats.org/officeDocument/2006/relationships/hyperlink" Target="https://www.hqsc.govt.nz/our-programmes/partners-in-care/" TargetMode="External"/><Relationship Id="rId7" Type="http://schemas.openxmlformats.org/officeDocument/2006/relationships/hyperlink" Target="http://www.msd.govt.nz/about-msd-and-our-work/publications-resources/planning-strategy/social-sector-commissioning/index.html" TargetMode="External"/><Relationship Id="rId12" Type="http://schemas.openxmlformats.org/officeDocument/2006/relationships/hyperlink" Target="http://www.treasury.govt.nz/information-and-services/nz-economy/higher-living-standards/he-ara-waiora" TargetMode="External"/><Relationship Id="rId17" Type="http://schemas.openxmlformats.org/officeDocument/2006/relationships/hyperlink" Target="https://www.gov.uk/guidance/open-policy-making-toolkit/understanding-policy-problems-and-user-needs" TargetMode="External"/><Relationship Id="rId25" Type="http://schemas.openxmlformats.org/officeDocument/2006/relationships/hyperlink" Target="https://www.procurement.govt.nz/procurement/" TargetMode="External"/><Relationship Id="rId2" Type="http://schemas.openxmlformats.org/officeDocument/2006/relationships/hyperlink" Target="https://www.health.govt.nz/our-work/populations/maori-health/he-korowai-oranga" TargetMode="External"/><Relationship Id="rId16" Type="http://schemas.openxmlformats.org/officeDocument/2006/relationships/hyperlink" Target="https://www.enablinggoodlives.co.nz/about-egl/resources/provider-resources/enabling-good-lives-toolbox/" TargetMode="External"/><Relationship Id="rId20" Type="http://schemas.openxmlformats.org/officeDocument/2006/relationships/hyperlink" Target="https://servicedesigntools.org/tools" TargetMode="External"/><Relationship Id="rId29" Type="http://schemas.openxmlformats.org/officeDocument/2006/relationships/hyperlink" Target="https://www.nao.org.uk/decommissioning/" TargetMode="External"/><Relationship Id="rId1" Type="http://schemas.openxmlformats.org/officeDocument/2006/relationships/hyperlink" Target="http://www.health.govt.nz/about-ministry/what-we-do/work-programme-2019-20/achieving-equity" TargetMode="External"/><Relationship Id="rId6" Type="http://schemas.openxmlformats.org/officeDocument/2006/relationships/hyperlink" Target="http://www.legislation.govt.nz/act/public/2022/0030/latest/versions.aspx" TargetMode="External"/><Relationship Id="rId11" Type="http://schemas.openxmlformats.org/officeDocument/2006/relationships/hyperlink" Target="https://www.procurement.govt.nz/" TargetMode="External"/><Relationship Id="rId24" Type="http://schemas.openxmlformats.org/officeDocument/2006/relationships/hyperlink" Target="https://www.procurement.govt.nz/procurement/principles-charter-and-rules/government-procurement-principles/" TargetMode="External"/><Relationship Id="rId5" Type="http://schemas.openxmlformats.org/officeDocument/2006/relationships/hyperlink" Target="https://www.health.govt.nz/our-work/populations/maori-health/he-korowai-oranga/strengthening-he-korowai-oranga/treaty-waitangi-principles" TargetMode="External"/><Relationship Id="rId15" Type="http://schemas.openxmlformats.org/officeDocument/2006/relationships/hyperlink" Target="https://www.treasury.govt.nz/information-and-services/state-sector-leadership/investment-management/plan-investment-choices/change-management-guidance" TargetMode="External"/><Relationship Id="rId23" Type="http://schemas.openxmlformats.org/officeDocument/2006/relationships/hyperlink" Target="https://www.treasury.govt.nz/information-and-services/state-sector-leadership/investment-management/better-business-cases/guidance" TargetMode="External"/><Relationship Id="rId28" Type="http://schemas.openxmlformats.org/officeDocument/2006/relationships/hyperlink" Target="https://oag.parliament.nz/2009/rest-homes" TargetMode="External"/><Relationship Id="rId10" Type="http://schemas.openxmlformats.org/officeDocument/2006/relationships/hyperlink" Target="https://www.procurement.govt.nz/procurement/principles-charter-and-rules/" TargetMode="External"/><Relationship Id="rId19" Type="http://schemas.openxmlformats.org/officeDocument/2006/relationships/hyperlink" Target="https://uxmastery.com/how-to-create-a-customer-journey-map/" TargetMode="External"/><Relationship Id="rId31" Type="http://schemas.openxmlformats.org/officeDocument/2006/relationships/hyperlink" Target="https://www.orangatamariki.govt.nz/about-us/how-we-work/strategic-partnerships-with-M&#257;ori/ngapuhi/" TargetMode="External"/><Relationship Id="rId4" Type="http://schemas.openxmlformats.org/officeDocument/2006/relationships/hyperlink" Target="https://www.enablinggoodlives.co.nz/about-egl/egl-approach/principles/" TargetMode="External"/><Relationship Id="rId9" Type="http://schemas.openxmlformats.org/officeDocument/2006/relationships/hyperlink" Target="https://nsfl.health.govt.nz/accountability/national-asset-management-programme" TargetMode="External"/><Relationship Id="rId14" Type="http://schemas.openxmlformats.org/officeDocument/2006/relationships/hyperlink" Target="http://www.hqsc.govt.nz/resources/resource-library/code-of-expectations-for-health-entities-engagement-with-consumers-and-whanau/" TargetMode="External"/><Relationship Id="rId22" Type="http://schemas.openxmlformats.org/officeDocument/2006/relationships/hyperlink" Target="http://www.treasury.govt.nz/publications/guide/cbax-spreadsheet-model" TargetMode="External"/><Relationship Id="rId27" Type="http://schemas.openxmlformats.org/officeDocument/2006/relationships/hyperlink" Target="http://www.health.govt.nz/publication/commissioning-pae-ora-healthy-futures-2022" TargetMode="External"/><Relationship Id="rId30" Type="http://schemas.openxmlformats.org/officeDocument/2006/relationships/hyperlink" Target="https://evaluationhub.education.govt.nz/theory-of-change/a-theory-of-chan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DBFC9454AF665489687E7396D53C354" ma:contentTypeVersion="19" ma:contentTypeDescription="Create a new document." ma:contentTypeScope="" ma:versionID="ef148a0db5900000607107c2f941ac5d">
  <xsd:schema xmlns:xsd="http://www.w3.org/2001/XMLSchema" xmlns:xs="http://www.w3.org/2001/XMLSchema" xmlns:p="http://schemas.microsoft.com/office/2006/metadata/properties" xmlns:ns2="4f3c4a1c-e017-4d66-9e67-218047e46dfe" xmlns:ns3="ff804206-f34c-4cf1-a530-088e515a7286" xmlns:ns4="00a4df5b-51f4-4e7a-b755-8a381a6dfbc5" targetNamespace="http://schemas.microsoft.com/office/2006/metadata/properties" ma:root="true" ma:fieldsID="88d0b2985262702febffa62e51f94aa1" ns2:_="" ns3:_="" ns4:_="">
    <xsd:import namespace="4f3c4a1c-e017-4d66-9e67-218047e46dfe"/>
    <xsd:import namespace="ff804206-f34c-4cf1-a530-088e515a7286"/>
    <xsd:import namespace="00a4df5b-51f4-4e7a-b755-8a381a6dfbc5"/>
    <xsd:element name="properties">
      <xsd:complexType>
        <xsd:sequence>
          <xsd:element name="documentManagement">
            <xsd:complexType>
              <xsd:all>
                <xsd:element ref="ns2:Moreinformation" minOccurs="0"/>
                <xsd:element ref="ns2:Category" minOccurs="0"/>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lcf76f155ced4ddcb4097134ff3c332f" minOccurs="0"/>
                <xsd:element ref="ns4:TaxCatchAll"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3c4a1c-e017-4d66-9e67-218047e46dfe" elementFormDefault="qualified">
    <xsd:import namespace="http://schemas.microsoft.com/office/2006/documentManagement/types"/>
    <xsd:import namespace="http://schemas.microsoft.com/office/infopath/2007/PartnerControls"/>
    <xsd:element name="Moreinformation" ma:index="3" nillable="true" ma:displayName="More information" ma:default="Click the three dots, download the document then open in browser to see the insights" ma:description="Click the three dots, download the document then open in browser to see the insights" ma:format="Dropdown" ma:internalName="Moreinformation" ma:readOnly="false">
      <xsd:simpleType>
        <xsd:restriction base="dms:Note">
          <xsd:maxLength value="255"/>
        </xsd:restriction>
      </xsd:simpleType>
    </xsd:element>
    <xsd:element name="Category" ma:index="4" nillable="true" ma:displayName="Category" ma:description="Higher level category that the report sits under, based on Tatau Kahukura headings - also visible in the Report summary doc" ma:format="Dropdown" ma:internalName="Category" ma:readOnly="false">
      <xsd:simpleType>
        <xsd:restriction base="dms:Text">
          <xsd:maxLength value="255"/>
        </xsd:restrictio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hidden="true"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hidden="true" ma:internalName="MediaServiceOCR" ma:readOnly="true">
      <xsd:simpleType>
        <xsd:restriction base="dms:Note"/>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0413e039-5297-4392-bfce-c6182202c714"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hidden="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f804206-f34c-4cf1-a530-088e515a7286" elementFormDefault="qualified">
    <xsd:import namespace="http://schemas.microsoft.com/office/2006/documentManagement/types"/>
    <xsd:import namespace="http://schemas.microsoft.com/office/infopath/2007/PartnerControls"/>
    <xsd:element name="SharedWithUsers" ma:index="1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hidden="true" ma:internalName="SharedWithDetail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0a4df5b-51f4-4e7a-b755-8a381a6dfbc5"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18c91dc2-3e21-4ef4-85f4-e85750907c1f}" ma:internalName="TaxCatchAll" ma:readOnly="false" ma:showField="CatchAllData" ma:web="ff804206-f34c-4cf1-a530-088e515a728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oreinformation xmlns="4f3c4a1c-e017-4d66-9e67-218047e46dfe">Click the three dots, download the document then open in browser to see the insights</Moreinformation>
    <TaxCatchAll xmlns="00a4df5b-51f4-4e7a-b755-8a381a6dfbc5" xsi:nil="true"/>
    <lcf76f155ced4ddcb4097134ff3c332f xmlns="4f3c4a1c-e017-4d66-9e67-218047e46dfe">
      <Terms xmlns="http://schemas.microsoft.com/office/infopath/2007/PartnerControls"/>
    </lcf76f155ced4ddcb4097134ff3c332f>
    <Category xmlns="4f3c4a1c-e017-4d66-9e67-218047e46dfe" xsi:nil="true"/>
    <SharedWithUsers xmlns="ff804206-f34c-4cf1-a530-088e515a7286">
      <UserInfo>
        <DisplayName>Jade Chase</DisplayName>
        <AccountId>20</AccountId>
        <AccountType/>
      </UserInfo>
      <UserInfo>
        <DisplayName>Sophie Munro</DisplayName>
        <AccountId>175</AccountId>
        <AccountType/>
      </UserInfo>
      <UserInfo>
        <DisplayName>Cheree Shortland-Nuku</DisplayName>
        <AccountId>43</AccountId>
        <AccountType/>
      </UserInfo>
      <UserInfo>
        <DisplayName>Deb Struthers</DisplayName>
        <AccountId>22</AccountId>
        <AccountType/>
      </UserInfo>
      <UserInfo>
        <DisplayName>Segina Te Ahuahu</DisplayName>
        <AccountId>111</AccountId>
        <AccountType/>
      </UserInfo>
      <UserInfo>
        <DisplayName>Anna McNaughton</DisplayName>
        <AccountId>354</AccountId>
        <AccountType/>
      </UserInfo>
      <UserInfo>
        <DisplayName>Julianne Ryan</DisplayName>
        <AccountId>284</AccountId>
        <AccountType/>
      </UserInfo>
      <UserInfo>
        <DisplayName>Stephen Garrett</DisplayName>
        <AccountId>388</AccountId>
        <AccountType/>
      </UserInfo>
      <UserInfo>
        <DisplayName>Natalie Perret</DisplayName>
        <AccountId>24</AccountId>
        <AccountType/>
      </UserInfo>
    </SharedWithUsers>
  </documentManagement>
</p:properties>
</file>

<file path=customXml/itemProps1.xml><?xml version="1.0" encoding="utf-8"?>
<ds:datastoreItem xmlns:ds="http://schemas.openxmlformats.org/officeDocument/2006/customXml" ds:itemID="{3C610351-05A8-459E-AE32-AFB06E76D6D8}">
  <ds:schemaRefs>
    <ds:schemaRef ds:uri="http://schemas.openxmlformats.org/officeDocument/2006/bibliography"/>
  </ds:schemaRefs>
</ds:datastoreItem>
</file>

<file path=customXml/itemProps2.xml><?xml version="1.0" encoding="utf-8"?>
<ds:datastoreItem xmlns:ds="http://schemas.openxmlformats.org/officeDocument/2006/customXml" ds:itemID="{44402924-2309-41C8-B467-FB0968EEB9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3c4a1c-e017-4d66-9e67-218047e46dfe"/>
    <ds:schemaRef ds:uri="ff804206-f34c-4cf1-a530-088e515a7286"/>
    <ds:schemaRef ds:uri="00a4df5b-51f4-4e7a-b755-8a381a6dfb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C10985-9DE9-448D-BEC4-4B19D85C842B}">
  <ds:schemaRefs>
    <ds:schemaRef ds:uri="http://schemas.microsoft.com/sharepoint/v3/contenttype/forms"/>
  </ds:schemaRefs>
</ds:datastoreItem>
</file>

<file path=customXml/itemProps4.xml><?xml version="1.0" encoding="utf-8"?>
<ds:datastoreItem xmlns:ds="http://schemas.openxmlformats.org/officeDocument/2006/customXml" ds:itemID="{E4C7F663-F130-43D0-9299-F17A9C280E4A}">
  <ds:schemaRefs>
    <ds:schemaRef ds:uri="http://schemas.microsoft.com/office/2006/metadata/properties"/>
    <ds:schemaRef ds:uri="http://schemas.microsoft.com/office/infopath/2007/PartnerControls"/>
    <ds:schemaRef ds:uri="4f3c4a1c-e017-4d66-9e67-218047e46dfe"/>
    <ds:schemaRef ds:uri="00a4df5b-51f4-4e7a-b755-8a381a6dfbc5"/>
    <ds:schemaRef ds:uri="ff804206-f34c-4cf1-a530-088e515a7286"/>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85</Pages>
  <Words>19986</Words>
  <Characters>115525</Characters>
  <Application>Microsoft Office Word</Application>
  <DocSecurity>0</DocSecurity>
  <Lines>3300</Lines>
  <Paragraphs>1522</Paragraphs>
  <ScaleCrop>false</ScaleCrop>
  <HeadingPairs>
    <vt:vector size="2" baseType="variant">
      <vt:variant>
        <vt:lpstr>Title</vt:lpstr>
      </vt:variant>
      <vt:variant>
        <vt:i4>1</vt:i4>
      </vt:variant>
    </vt:vector>
  </HeadingPairs>
  <TitlesOfParts>
    <vt:vector size="1" baseType="lpstr">
      <vt:lpstr>Commissioning for Pae Ora Healthy Futures</vt:lpstr>
    </vt:vector>
  </TitlesOfParts>
  <Company/>
  <LinksUpToDate>false</LinksUpToDate>
  <CharactersWithSpaces>133989</CharactersWithSpaces>
  <SharedDoc>false</SharedDoc>
  <HLinks>
    <vt:vector size="558" baseType="variant">
      <vt:variant>
        <vt:i4>6225985</vt:i4>
      </vt:variant>
      <vt:variant>
        <vt:i4>330</vt:i4>
      </vt:variant>
      <vt:variant>
        <vt:i4>0</vt:i4>
      </vt:variant>
      <vt:variant>
        <vt:i4>5</vt:i4>
      </vt:variant>
      <vt:variant>
        <vt:lpwstr>http://www.msd.govt.nz/about-msd-and-our-work/publications-resources/planning-strategy/social-sector-commissioning/index.html</vt:lpwstr>
      </vt:variant>
      <vt:variant>
        <vt:lpwstr/>
      </vt:variant>
      <vt:variant>
        <vt:i4>17825898</vt:i4>
      </vt:variant>
      <vt:variant>
        <vt:i4>327</vt:i4>
      </vt:variant>
      <vt:variant>
        <vt:i4>0</vt:i4>
      </vt:variant>
      <vt:variant>
        <vt:i4>5</vt:i4>
      </vt:variant>
      <vt:variant>
        <vt:lpwstr>https://teara.govt.nz/en/whanau-Māori-and-family/page-1</vt:lpwstr>
      </vt:variant>
      <vt:variant>
        <vt:lpwstr/>
      </vt:variant>
      <vt:variant>
        <vt:i4>6684779</vt:i4>
      </vt:variant>
      <vt:variant>
        <vt:i4>324</vt:i4>
      </vt:variant>
      <vt:variant>
        <vt:i4>0</vt:i4>
      </vt:variant>
      <vt:variant>
        <vt:i4>5</vt:i4>
      </vt:variant>
      <vt:variant>
        <vt:lpwstr>https://waitangitribunal.govt.nz/inquiries/kaupapa-inquiries/health-services-and-outcomes-inquiry/</vt:lpwstr>
      </vt:variant>
      <vt:variant>
        <vt:lpwstr/>
      </vt:variant>
      <vt:variant>
        <vt:i4>7864427</vt:i4>
      </vt:variant>
      <vt:variant>
        <vt:i4>321</vt:i4>
      </vt:variant>
      <vt:variant>
        <vt:i4>0</vt:i4>
      </vt:variant>
      <vt:variant>
        <vt:i4>5</vt:i4>
      </vt:variant>
      <vt:variant>
        <vt:lpwstr>http://www.kingsfund.org.uk/sites/default/files/2021-07/Understanding_integration_2021_guide_2.pdf</vt:lpwstr>
      </vt:variant>
      <vt:variant>
        <vt:lpwstr/>
      </vt:variant>
      <vt:variant>
        <vt:i4>7274551</vt:i4>
      </vt:variant>
      <vt:variant>
        <vt:i4>318</vt:i4>
      </vt:variant>
      <vt:variant>
        <vt:i4>0</vt:i4>
      </vt:variant>
      <vt:variant>
        <vt:i4>5</vt:i4>
      </vt:variant>
      <vt:variant>
        <vt:lpwstr>http://www.treasury.govt.nz/sites/default/files/2015-07/cba-guide-jul15.pdf</vt:lpwstr>
      </vt:variant>
      <vt:variant>
        <vt:lpwstr/>
      </vt:variant>
      <vt:variant>
        <vt:i4>4522007</vt:i4>
      </vt:variant>
      <vt:variant>
        <vt:i4>315</vt:i4>
      </vt:variant>
      <vt:variant>
        <vt:i4>0</vt:i4>
      </vt:variant>
      <vt:variant>
        <vt:i4>5</vt:i4>
      </vt:variant>
      <vt:variant>
        <vt:lpwstr>https://locality.org.uk/wp-content/uploads/2018/03/Locality-Report-Diseconomies-updated-single-pages-Jan-2017.pdf</vt:lpwstr>
      </vt:variant>
      <vt:variant>
        <vt:lpwstr/>
      </vt:variant>
      <vt:variant>
        <vt:i4>5111901</vt:i4>
      </vt:variant>
      <vt:variant>
        <vt:i4>312</vt:i4>
      </vt:variant>
      <vt:variant>
        <vt:i4>0</vt:i4>
      </vt:variant>
      <vt:variant>
        <vt:i4>5</vt:i4>
      </vt:variant>
      <vt:variant>
        <vt:lpwstr>https://neweconomics.org/2014/06/commissioning-outcomes-co-production</vt:lpwstr>
      </vt:variant>
      <vt:variant>
        <vt:lpwstr/>
      </vt:variant>
      <vt:variant>
        <vt:i4>4259909</vt:i4>
      </vt:variant>
      <vt:variant>
        <vt:i4>309</vt:i4>
      </vt:variant>
      <vt:variant>
        <vt:i4>0</vt:i4>
      </vt:variant>
      <vt:variant>
        <vt:i4>5</vt:i4>
      </vt:variant>
      <vt:variant>
        <vt:lpwstr>https://pharmac.govt.nz/about/access-equity/achieving-medicine-access-equity-in-aotearoa-new-zealand-towards-a-theory-of-change/</vt:lpwstr>
      </vt:variant>
      <vt:variant>
        <vt:lpwstr/>
      </vt:variant>
      <vt:variant>
        <vt:i4>2949171</vt:i4>
      </vt:variant>
      <vt:variant>
        <vt:i4>306</vt:i4>
      </vt:variant>
      <vt:variant>
        <vt:i4>0</vt:i4>
      </vt:variant>
      <vt:variant>
        <vt:i4>5</vt:i4>
      </vt:variant>
      <vt:variant>
        <vt:lpwstr>http://dx.doi.org/10.1787/9789264279865-en</vt:lpwstr>
      </vt:variant>
      <vt:variant>
        <vt:lpwstr/>
      </vt:variant>
      <vt:variant>
        <vt:i4>393225</vt:i4>
      </vt:variant>
      <vt:variant>
        <vt:i4>303</vt:i4>
      </vt:variant>
      <vt:variant>
        <vt:i4>0</vt:i4>
      </vt:variant>
      <vt:variant>
        <vt:i4>5</vt:i4>
      </vt:variant>
      <vt:variant>
        <vt:lpwstr>https://www.tpk.govt.nz/en/mo-te-puni-kokiri/corporate-documents/cabinet-papers/all-cabinet-papers/covid19-response-responding-to-community-need</vt:lpwstr>
      </vt:variant>
      <vt:variant>
        <vt:lpwstr/>
      </vt:variant>
      <vt:variant>
        <vt:i4>2031621</vt:i4>
      </vt:variant>
      <vt:variant>
        <vt:i4>300</vt:i4>
      </vt:variant>
      <vt:variant>
        <vt:i4>0</vt:i4>
      </vt:variant>
      <vt:variant>
        <vt:i4>5</vt:i4>
      </vt:variant>
      <vt:variant>
        <vt:lpwstr>https://oag.parliament.nz/2008/procurement-guide</vt:lpwstr>
      </vt:variant>
      <vt:variant>
        <vt:lpwstr/>
      </vt:variant>
      <vt:variant>
        <vt:i4>7209082</vt:i4>
      </vt:variant>
      <vt:variant>
        <vt:i4>297</vt:i4>
      </vt:variant>
      <vt:variant>
        <vt:i4>0</vt:i4>
      </vt:variant>
      <vt:variant>
        <vt:i4>5</vt:i4>
      </vt:variant>
      <vt:variant>
        <vt:lpwstr>https://www.transport.govt.nz/assets/Uploads/Intervention-Logic-Mapping.pdf</vt:lpwstr>
      </vt:variant>
      <vt:variant>
        <vt:lpwstr/>
      </vt:variant>
      <vt:variant>
        <vt:i4>262146</vt:i4>
      </vt:variant>
      <vt:variant>
        <vt:i4>294</vt:i4>
      </vt:variant>
      <vt:variant>
        <vt:i4>0</vt:i4>
      </vt:variant>
      <vt:variant>
        <vt:i4>5</vt:i4>
      </vt:variant>
      <vt:variant>
        <vt:lpwstr>http://www.health.govt.nz/publication/hui-whakaoranga-2021-summary-report</vt:lpwstr>
      </vt:variant>
      <vt:variant>
        <vt:lpwstr/>
      </vt:variant>
      <vt:variant>
        <vt:i4>2621497</vt:i4>
      </vt:variant>
      <vt:variant>
        <vt:i4>291</vt:i4>
      </vt:variant>
      <vt:variant>
        <vt:i4>0</vt:i4>
      </vt:variant>
      <vt:variant>
        <vt:i4>5</vt:i4>
      </vt:variant>
      <vt:variant>
        <vt:lpwstr>http://www.health.govt.nz/publication/commissioning-framework-mental-health-and-addiction-new-zealand-guide</vt:lpwstr>
      </vt:variant>
      <vt:variant>
        <vt:lpwstr/>
      </vt:variant>
      <vt:variant>
        <vt:i4>3670056</vt:i4>
      </vt:variant>
      <vt:variant>
        <vt:i4>288</vt:i4>
      </vt:variant>
      <vt:variant>
        <vt:i4>0</vt:i4>
      </vt:variant>
      <vt:variant>
        <vt:i4>5</vt:i4>
      </vt:variant>
      <vt:variant>
        <vt:lpwstr>http://www.msd.govt.nz/documents/about-msd-and-our-work/publications-resources/archive/1988-puaoteatatu.pdf</vt:lpwstr>
      </vt:variant>
      <vt:variant>
        <vt:lpwstr/>
      </vt:variant>
      <vt:variant>
        <vt:i4>7078007</vt:i4>
      </vt:variant>
      <vt:variant>
        <vt:i4>285</vt:i4>
      </vt:variant>
      <vt:variant>
        <vt:i4>0</vt:i4>
      </vt:variant>
      <vt:variant>
        <vt:i4>5</vt:i4>
      </vt:variant>
      <vt:variant>
        <vt:lpwstr>https://www.treasury.govt.nz/sites/default/files/2022-04/sp-wellbeing-aotearoa-new-zealand-12apr22.pdf</vt:lpwstr>
      </vt:variant>
      <vt:variant>
        <vt:lpwstr/>
      </vt:variant>
      <vt:variant>
        <vt:i4>3014698</vt:i4>
      </vt:variant>
      <vt:variant>
        <vt:i4>282</vt:i4>
      </vt:variant>
      <vt:variant>
        <vt:i4>0</vt:i4>
      </vt:variant>
      <vt:variant>
        <vt:i4>5</vt:i4>
      </vt:variant>
      <vt:variant>
        <vt:lpwstr>https://www.hqsc.govt.nz/consumer-hub/engaging-consumers-and-whanau/code-of-expectations-for-health-entities-engagement-with-consumers-and-whanau/</vt:lpwstr>
      </vt:variant>
      <vt:variant>
        <vt:lpwstr/>
      </vt:variant>
      <vt:variant>
        <vt:i4>6094925</vt:i4>
      </vt:variant>
      <vt:variant>
        <vt:i4>279</vt:i4>
      </vt:variant>
      <vt:variant>
        <vt:i4>0</vt:i4>
      </vt:variant>
      <vt:variant>
        <vt:i4>5</vt:i4>
      </vt:variant>
      <vt:variant>
        <vt:lpwstr>https://www.saxinstitute.org.au/wp-content/uploads/Commissioning-primary-health-care.pdf</vt:lpwstr>
      </vt:variant>
      <vt:variant>
        <vt:lpwstr/>
      </vt:variant>
      <vt:variant>
        <vt:i4>1245259</vt:i4>
      </vt:variant>
      <vt:variant>
        <vt:i4>276</vt:i4>
      </vt:variant>
      <vt:variant>
        <vt:i4>0</vt:i4>
      </vt:variant>
      <vt:variant>
        <vt:i4>5</vt:i4>
      </vt:variant>
      <vt:variant>
        <vt:lpwstr>http://www.productivity.govt.nz/inquiries/a-fair-chance-for-all/</vt:lpwstr>
      </vt:variant>
      <vt:variant>
        <vt:lpwstr/>
      </vt:variant>
      <vt:variant>
        <vt:i4>1966161</vt:i4>
      </vt:variant>
      <vt:variant>
        <vt:i4>273</vt:i4>
      </vt:variant>
      <vt:variant>
        <vt:i4>0</vt:i4>
      </vt:variant>
      <vt:variant>
        <vt:i4>5</vt:i4>
      </vt:variant>
      <vt:variant>
        <vt:lpwstr>http://dx.doi.org/10.1136/bmjopen-2012-001570</vt:lpwstr>
      </vt:variant>
      <vt:variant>
        <vt:lpwstr/>
      </vt:variant>
      <vt:variant>
        <vt:i4>5767184</vt:i4>
      </vt:variant>
      <vt:variant>
        <vt:i4>270</vt:i4>
      </vt:variant>
      <vt:variant>
        <vt:i4>0</vt:i4>
      </vt:variant>
      <vt:variant>
        <vt:i4>5</vt:i4>
      </vt:variant>
      <vt:variant>
        <vt:lpwstr>https://innovationforsocialchange.org/en/a-tool-to-develop-your-theory-of-change/</vt:lpwstr>
      </vt:variant>
      <vt:variant>
        <vt:lpwstr/>
      </vt:variant>
      <vt:variant>
        <vt:i4>18</vt:i4>
      </vt:variant>
      <vt:variant>
        <vt:i4>267</vt:i4>
      </vt:variant>
      <vt:variant>
        <vt:i4>0</vt:i4>
      </vt:variant>
      <vt:variant>
        <vt:i4>5</vt:i4>
      </vt:variant>
      <vt:variant>
        <vt:lpwstr>https://doi.org/10.1038/s41431-019-0555-6</vt:lpwstr>
      </vt:variant>
      <vt:variant>
        <vt:lpwstr/>
      </vt:variant>
      <vt:variant>
        <vt:i4>1310772</vt:i4>
      </vt:variant>
      <vt:variant>
        <vt:i4>248</vt:i4>
      </vt:variant>
      <vt:variant>
        <vt:i4>0</vt:i4>
      </vt:variant>
      <vt:variant>
        <vt:i4>5</vt:i4>
      </vt:variant>
      <vt:variant>
        <vt:lpwstr/>
      </vt:variant>
      <vt:variant>
        <vt:lpwstr>_Toc114238289</vt:lpwstr>
      </vt:variant>
      <vt:variant>
        <vt:i4>1310772</vt:i4>
      </vt:variant>
      <vt:variant>
        <vt:i4>242</vt:i4>
      </vt:variant>
      <vt:variant>
        <vt:i4>0</vt:i4>
      </vt:variant>
      <vt:variant>
        <vt:i4>5</vt:i4>
      </vt:variant>
      <vt:variant>
        <vt:lpwstr/>
      </vt:variant>
      <vt:variant>
        <vt:lpwstr>_Toc114238288</vt:lpwstr>
      </vt:variant>
      <vt:variant>
        <vt:i4>1310772</vt:i4>
      </vt:variant>
      <vt:variant>
        <vt:i4>236</vt:i4>
      </vt:variant>
      <vt:variant>
        <vt:i4>0</vt:i4>
      </vt:variant>
      <vt:variant>
        <vt:i4>5</vt:i4>
      </vt:variant>
      <vt:variant>
        <vt:lpwstr/>
      </vt:variant>
      <vt:variant>
        <vt:lpwstr>_Toc114238283</vt:lpwstr>
      </vt:variant>
      <vt:variant>
        <vt:i4>1310772</vt:i4>
      </vt:variant>
      <vt:variant>
        <vt:i4>230</vt:i4>
      </vt:variant>
      <vt:variant>
        <vt:i4>0</vt:i4>
      </vt:variant>
      <vt:variant>
        <vt:i4>5</vt:i4>
      </vt:variant>
      <vt:variant>
        <vt:lpwstr/>
      </vt:variant>
      <vt:variant>
        <vt:lpwstr>_Toc114238282</vt:lpwstr>
      </vt:variant>
      <vt:variant>
        <vt:i4>1638457</vt:i4>
      </vt:variant>
      <vt:variant>
        <vt:i4>221</vt:i4>
      </vt:variant>
      <vt:variant>
        <vt:i4>0</vt:i4>
      </vt:variant>
      <vt:variant>
        <vt:i4>5</vt:i4>
      </vt:variant>
      <vt:variant>
        <vt:lpwstr/>
      </vt:variant>
      <vt:variant>
        <vt:lpwstr>_Toc114648810</vt:lpwstr>
      </vt:variant>
      <vt:variant>
        <vt:i4>1572921</vt:i4>
      </vt:variant>
      <vt:variant>
        <vt:i4>215</vt:i4>
      </vt:variant>
      <vt:variant>
        <vt:i4>0</vt:i4>
      </vt:variant>
      <vt:variant>
        <vt:i4>5</vt:i4>
      </vt:variant>
      <vt:variant>
        <vt:lpwstr/>
      </vt:variant>
      <vt:variant>
        <vt:lpwstr>_Toc114648809</vt:lpwstr>
      </vt:variant>
      <vt:variant>
        <vt:i4>1572921</vt:i4>
      </vt:variant>
      <vt:variant>
        <vt:i4>209</vt:i4>
      </vt:variant>
      <vt:variant>
        <vt:i4>0</vt:i4>
      </vt:variant>
      <vt:variant>
        <vt:i4>5</vt:i4>
      </vt:variant>
      <vt:variant>
        <vt:lpwstr/>
      </vt:variant>
      <vt:variant>
        <vt:lpwstr>_Toc114648808</vt:lpwstr>
      </vt:variant>
      <vt:variant>
        <vt:i4>1572921</vt:i4>
      </vt:variant>
      <vt:variant>
        <vt:i4>203</vt:i4>
      </vt:variant>
      <vt:variant>
        <vt:i4>0</vt:i4>
      </vt:variant>
      <vt:variant>
        <vt:i4>5</vt:i4>
      </vt:variant>
      <vt:variant>
        <vt:lpwstr/>
      </vt:variant>
      <vt:variant>
        <vt:lpwstr>_Toc114648807</vt:lpwstr>
      </vt:variant>
      <vt:variant>
        <vt:i4>1572921</vt:i4>
      </vt:variant>
      <vt:variant>
        <vt:i4>197</vt:i4>
      </vt:variant>
      <vt:variant>
        <vt:i4>0</vt:i4>
      </vt:variant>
      <vt:variant>
        <vt:i4>5</vt:i4>
      </vt:variant>
      <vt:variant>
        <vt:lpwstr/>
      </vt:variant>
      <vt:variant>
        <vt:lpwstr>_Toc114648806</vt:lpwstr>
      </vt:variant>
      <vt:variant>
        <vt:i4>1572921</vt:i4>
      </vt:variant>
      <vt:variant>
        <vt:i4>191</vt:i4>
      </vt:variant>
      <vt:variant>
        <vt:i4>0</vt:i4>
      </vt:variant>
      <vt:variant>
        <vt:i4>5</vt:i4>
      </vt:variant>
      <vt:variant>
        <vt:lpwstr/>
      </vt:variant>
      <vt:variant>
        <vt:lpwstr>_Toc114648805</vt:lpwstr>
      </vt:variant>
      <vt:variant>
        <vt:i4>1572921</vt:i4>
      </vt:variant>
      <vt:variant>
        <vt:i4>185</vt:i4>
      </vt:variant>
      <vt:variant>
        <vt:i4>0</vt:i4>
      </vt:variant>
      <vt:variant>
        <vt:i4>5</vt:i4>
      </vt:variant>
      <vt:variant>
        <vt:lpwstr/>
      </vt:variant>
      <vt:variant>
        <vt:lpwstr>_Toc114648804</vt:lpwstr>
      </vt:variant>
      <vt:variant>
        <vt:i4>1572921</vt:i4>
      </vt:variant>
      <vt:variant>
        <vt:i4>179</vt:i4>
      </vt:variant>
      <vt:variant>
        <vt:i4>0</vt:i4>
      </vt:variant>
      <vt:variant>
        <vt:i4>5</vt:i4>
      </vt:variant>
      <vt:variant>
        <vt:lpwstr/>
      </vt:variant>
      <vt:variant>
        <vt:lpwstr>_Toc114648803</vt:lpwstr>
      </vt:variant>
      <vt:variant>
        <vt:i4>1572921</vt:i4>
      </vt:variant>
      <vt:variant>
        <vt:i4>173</vt:i4>
      </vt:variant>
      <vt:variant>
        <vt:i4>0</vt:i4>
      </vt:variant>
      <vt:variant>
        <vt:i4>5</vt:i4>
      </vt:variant>
      <vt:variant>
        <vt:lpwstr/>
      </vt:variant>
      <vt:variant>
        <vt:lpwstr>_Toc114648802</vt:lpwstr>
      </vt:variant>
      <vt:variant>
        <vt:i4>1572921</vt:i4>
      </vt:variant>
      <vt:variant>
        <vt:i4>167</vt:i4>
      </vt:variant>
      <vt:variant>
        <vt:i4>0</vt:i4>
      </vt:variant>
      <vt:variant>
        <vt:i4>5</vt:i4>
      </vt:variant>
      <vt:variant>
        <vt:lpwstr/>
      </vt:variant>
      <vt:variant>
        <vt:lpwstr>_Toc114648801</vt:lpwstr>
      </vt:variant>
      <vt:variant>
        <vt:i4>1572921</vt:i4>
      </vt:variant>
      <vt:variant>
        <vt:i4>161</vt:i4>
      </vt:variant>
      <vt:variant>
        <vt:i4>0</vt:i4>
      </vt:variant>
      <vt:variant>
        <vt:i4>5</vt:i4>
      </vt:variant>
      <vt:variant>
        <vt:lpwstr/>
      </vt:variant>
      <vt:variant>
        <vt:lpwstr>_Toc114648800</vt:lpwstr>
      </vt:variant>
      <vt:variant>
        <vt:i4>1114166</vt:i4>
      </vt:variant>
      <vt:variant>
        <vt:i4>155</vt:i4>
      </vt:variant>
      <vt:variant>
        <vt:i4>0</vt:i4>
      </vt:variant>
      <vt:variant>
        <vt:i4>5</vt:i4>
      </vt:variant>
      <vt:variant>
        <vt:lpwstr/>
      </vt:variant>
      <vt:variant>
        <vt:lpwstr>_Toc114648799</vt:lpwstr>
      </vt:variant>
      <vt:variant>
        <vt:i4>1114166</vt:i4>
      </vt:variant>
      <vt:variant>
        <vt:i4>149</vt:i4>
      </vt:variant>
      <vt:variant>
        <vt:i4>0</vt:i4>
      </vt:variant>
      <vt:variant>
        <vt:i4>5</vt:i4>
      </vt:variant>
      <vt:variant>
        <vt:lpwstr/>
      </vt:variant>
      <vt:variant>
        <vt:lpwstr>_Toc114648798</vt:lpwstr>
      </vt:variant>
      <vt:variant>
        <vt:i4>1114166</vt:i4>
      </vt:variant>
      <vt:variant>
        <vt:i4>143</vt:i4>
      </vt:variant>
      <vt:variant>
        <vt:i4>0</vt:i4>
      </vt:variant>
      <vt:variant>
        <vt:i4>5</vt:i4>
      </vt:variant>
      <vt:variant>
        <vt:lpwstr/>
      </vt:variant>
      <vt:variant>
        <vt:lpwstr>_Toc114648797</vt:lpwstr>
      </vt:variant>
      <vt:variant>
        <vt:i4>1114166</vt:i4>
      </vt:variant>
      <vt:variant>
        <vt:i4>137</vt:i4>
      </vt:variant>
      <vt:variant>
        <vt:i4>0</vt:i4>
      </vt:variant>
      <vt:variant>
        <vt:i4>5</vt:i4>
      </vt:variant>
      <vt:variant>
        <vt:lpwstr/>
      </vt:variant>
      <vt:variant>
        <vt:lpwstr>_Toc114648796</vt:lpwstr>
      </vt:variant>
      <vt:variant>
        <vt:i4>1114166</vt:i4>
      </vt:variant>
      <vt:variant>
        <vt:i4>131</vt:i4>
      </vt:variant>
      <vt:variant>
        <vt:i4>0</vt:i4>
      </vt:variant>
      <vt:variant>
        <vt:i4>5</vt:i4>
      </vt:variant>
      <vt:variant>
        <vt:lpwstr/>
      </vt:variant>
      <vt:variant>
        <vt:lpwstr>_Toc114648795</vt:lpwstr>
      </vt:variant>
      <vt:variant>
        <vt:i4>1114166</vt:i4>
      </vt:variant>
      <vt:variant>
        <vt:i4>125</vt:i4>
      </vt:variant>
      <vt:variant>
        <vt:i4>0</vt:i4>
      </vt:variant>
      <vt:variant>
        <vt:i4>5</vt:i4>
      </vt:variant>
      <vt:variant>
        <vt:lpwstr/>
      </vt:variant>
      <vt:variant>
        <vt:lpwstr>_Toc114648794</vt:lpwstr>
      </vt:variant>
      <vt:variant>
        <vt:i4>1114166</vt:i4>
      </vt:variant>
      <vt:variant>
        <vt:i4>119</vt:i4>
      </vt:variant>
      <vt:variant>
        <vt:i4>0</vt:i4>
      </vt:variant>
      <vt:variant>
        <vt:i4>5</vt:i4>
      </vt:variant>
      <vt:variant>
        <vt:lpwstr/>
      </vt:variant>
      <vt:variant>
        <vt:lpwstr>_Toc114648793</vt:lpwstr>
      </vt:variant>
      <vt:variant>
        <vt:i4>1114166</vt:i4>
      </vt:variant>
      <vt:variant>
        <vt:i4>113</vt:i4>
      </vt:variant>
      <vt:variant>
        <vt:i4>0</vt:i4>
      </vt:variant>
      <vt:variant>
        <vt:i4>5</vt:i4>
      </vt:variant>
      <vt:variant>
        <vt:lpwstr/>
      </vt:variant>
      <vt:variant>
        <vt:lpwstr>_Toc114648792</vt:lpwstr>
      </vt:variant>
      <vt:variant>
        <vt:i4>1114166</vt:i4>
      </vt:variant>
      <vt:variant>
        <vt:i4>107</vt:i4>
      </vt:variant>
      <vt:variant>
        <vt:i4>0</vt:i4>
      </vt:variant>
      <vt:variant>
        <vt:i4>5</vt:i4>
      </vt:variant>
      <vt:variant>
        <vt:lpwstr/>
      </vt:variant>
      <vt:variant>
        <vt:lpwstr>_Toc114648790</vt:lpwstr>
      </vt:variant>
      <vt:variant>
        <vt:i4>1048630</vt:i4>
      </vt:variant>
      <vt:variant>
        <vt:i4>101</vt:i4>
      </vt:variant>
      <vt:variant>
        <vt:i4>0</vt:i4>
      </vt:variant>
      <vt:variant>
        <vt:i4>5</vt:i4>
      </vt:variant>
      <vt:variant>
        <vt:lpwstr/>
      </vt:variant>
      <vt:variant>
        <vt:lpwstr>_Toc114648789</vt:lpwstr>
      </vt:variant>
      <vt:variant>
        <vt:i4>1048630</vt:i4>
      </vt:variant>
      <vt:variant>
        <vt:i4>95</vt:i4>
      </vt:variant>
      <vt:variant>
        <vt:i4>0</vt:i4>
      </vt:variant>
      <vt:variant>
        <vt:i4>5</vt:i4>
      </vt:variant>
      <vt:variant>
        <vt:lpwstr/>
      </vt:variant>
      <vt:variant>
        <vt:lpwstr>_Toc114648788</vt:lpwstr>
      </vt:variant>
      <vt:variant>
        <vt:i4>1048630</vt:i4>
      </vt:variant>
      <vt:variant>
        <vt:i4>89</vt:i4>
      </vt:variant>
      <vt:variant>
        <vt:i4>0</vt:i4>
      </vt:variant>
      <vt:variant>
        <vt:i4>5</vt:i4>
      </vt:variant>
      <vt:variant>
        <vt:lpwstr/>
      </vt:variant>
      <vt:variant>
        <vt:lpwstr>_Toc114648787</vt:lpwstr>
      </vt:variant>
      <vt:variant>
        <vt:i4>1048630</vt:i4>
      </vt:variant>
      <vt:variant>
        <vt:i4>83</vt:i4>
      </vt:variant>
      <vt:variant>
        <vt:i4>0</vt:i4>
      </vt:variant>
      <vt:variant>
        <vt:i4>5</vt:i4>
      </vt:variant>
      <vt:variant>
        <vt:lpwstr/>
      </vt:variant>
      <vt:variant>
        <vt:lpwstr>_Toc114648786</vt:lpwstr>
      </vt:variant>
      <vt:variant>
        <vt:i4>1048630</vt:i4>
      </vt:variant>
      <vt:variant>
        <vt:i4>77</vt:i4>
      </vt:variant>
      <vt:variant>
        <vt:i4>0</vt:i4>
      </vt:variant>
      <vt:variant>
        <vt:i4>5</vt:i4>
      </vt:variant>
      <vt:variant>
        <vt:lpwstr/>
      </vt:variant>
      <vt:variant>
        <vt:lpwstr>_Toc114648785</vt:lpwstr>
      </vt:variant>
      <vt:variant>
        <vt:i4>1048630</vt:i4>
      </vt:variant>
      <vt:variant>
        <vt:i4>71</vt:i4>
      </vt:variant>
      <vt:variant>
        <vt:i4>0</vt:i4>
      </vt:variant>
      <vt:variant>
        <vt:i4>5</vt:i4>
      </vt:variant>
      <vt:variant>
        <vt:lpwstr/>
      </vt:variant>
      <vt:variant>
        <vt:lpwstr>_Toc114648784</vt:lpwstr>
      </vt:variant>
      <vt:variant>
        <vt:i4>1048630</vt:i4>
      </vt:variant>
      <vt:variant>
        <vt:i4>65</vt:i4>
      </vt:variant>
      <vt:variant>
        <vt:i4>0</vt:i4>
      </vt:variant>
      <vt:variant>
        <vt:i4>5</vt:i4>
      </vt:variant>
      <vt:variant>
        <vt:lpwstr/>
      </vt:variant>
      <vt:variant>
        <vt:lpwstr>_Toc114648782</vt:lpwstr>
      </vt:variant>
      <vt:variant>
        <vt:i4>1048630</vt:i4>
      </vt:variant>
      <vt:variant>
        <vt:i4>59</vt:i4>
      </vt:variant>
      <vt:variant>
        <vt:i4>0</vt:i4>
      </vt:variant>
      <vt:variant>
        <vt:i4>5</vt:i4>
      </vt:variant>
      <vt:variant>
        <vt:lpwstr/>
      </vt:variant>
      <vt:variant>
        <vt:lpwstr>_Toc114648781</vt:lpwstr>
      </vt:variant>
      <vt:variant>
        <vt:i4>1048630</vt:i4>
      </vt:variant>
      <vt:variant>
        <vt:i4>53</vt:i4>
      </vt:variant>
      <vt:variant>
        <vt:i4>0</vt:i4>
      </vt:variant>
      <vt:variant>
        <vt:i4>5</vt:i4>
      </vt:variant>
      <vt:variant>
        <vt:lpwstr/>
      </vt:variant>
      <vt:variant>
        <vt:lpwstr>_Toc114648780</vt:lpwstr>
      </vt:variant>
      <vt:variant>
        <vt:i4>2031670</vt:i4>
      </vt:variant>
      <vt:variant>
        <vt:i4>47</vt:i4>
      </vt:variant>
      <vt:variant>
        <vt:i4>0</vt:i4>
      </vt:variant>
      <vt:variant>
        <vt:i4>5</vt:i4>
      </vt:variant>
      <vt:variant>
        <vt:lpwstr/>
      </vt:variant>
      <vt:variant>
        <vt:lpwstr>_Toc114648779</vt:lpwstr>
      </vt:variant>
      <vt:variant>
        <vt:i4>2031670</vt:i4>
      </vt:variant>
      <vt:variant>
        <vt:i4>41</vt:i4>
      </vt:variant>
      <vt:variant>
        <vt:i4>0</vt:i4>
      </vt:variant>
      <vt:variant>
        <vt:i4>5</vt:i4>
      </vt:variant>
      <vt:variant>
        <vt:lpwstr/>
      </vt:variant>
      <vt:variant>
        <vt:lpwstr>_Toc114648778</vt:lpwstr>
      </vt:variant>
      <vt:variant>
        <vt:i4>2031670</vt:i4>
      </vt:variant>
      <vt:variant>
        <vt:i4>35</vt:i4>
      </vt:variant>
      <vt:variant>
        <vt:i4>0</vt:i4>
      </vt:variant>
      <vt:variant>
        <vt:i4>5</vt:i4>
      </vt:variant>
      <vt:variant>
        <vt:lpwstr/>
      </vt:variant>
      <vt:variant>
        <vt:lpwstr>_Toc114648777</vt:lpwstr>
      </vt:variant>
      <vt:variant>
        <vt:i4>2031670</vt:i4>
      </vt:variant>
      <vt:variant>
        <vt:i4>29</vt:i4>
      </vt:variant>
      <vt:variant>
        <vt:i4>0</vt:i4>
      </vt:variant>
      <vt:variant>
        <vt:i4>5</vt:i4>
      </vt:variant>
      <vt:variant>
        <vt:lpwstr/>
      </vt:variant>
      <vt:variant>
        <vt:lpwstr>_Toc114648776</vt:lpwstr>
      </vt:variant>
      <vt:variant>
        <vt:i4>2031670</vt:i4>
      </vt:variant>
      <vt:variant>
        <vt:i4>23</vt:i4>
      </vt:variant>
      <vt:variant>
        <vt:i4>0</vt:i4>
      </vt:variant>
      <vt:variant>
        <vt:i4>5</vt:i4>
      </vt:variant>
      <vt:variant>
        <vt:lpwstr/>
      </vt:variant>
      <vt:variant>
        <vt:lpwstr>_Toc114648775</vt:lpwstr>
      </vt:variant>
      <vt:variant>
        <vt:i4>2031670</vt:i4>
      </vt:variant>
      <vt:variant>
        <vt:i4>17</vt:i4>
      </vt:variant>
      <vt:variant>
        <vt:i4>0</vt:i4>
      </vt:variant>
      <vt:variant>
        <vt:i4>5</vt:i4>
      </vt:variant>
      <vt:variant>
        <vt:lpwstr/>
      </vt:variant>
      <vt:variant>
        <vt:lpwstr>_Toc114648774</vt:lpwstr>
      </vt:variant>
      <vt:variant>
        <vt:i4>2031670</vt:i4>
      </vt:variant>
      <vt:variant>
        <vt:i4>11</vt:i4>
      </vt:variant>
      <vt:variant>
        <vt:i4>0</vt:i4>
      </vt:variant>
      <vt:variant>
        <vt:i4>5</vt:i4>
      </vt:variant>
      <vt:variant>
        <vt:lpwstr/>
      </vt:variant>
      <vt:variant>
        <vt:lpwstr>_Toc114648773</vt:lpwstr>
      </vt:variant>
      <vt:variant>
        <vt:i4>2031670</vt:i4>
      </vt:variant>
      <vt:variant>
        <vt:i4>5</vt:i4>
      </vt:variant>
      <vt:variant>
        <vt:i4>0</vt:i4>
      </vt:variant>
      <vt:variant>
        <vt:i4>5</vt:i4>
      </vt:variant>
      <vt:variant>
        <vt:lpwstr/>
      </vt:variant>
      <vt:variant>
        <vt:lpwstr>_Toc114648772</vt:lpwstr>
      </vt:variant>
      <vt:variant>
        <vt:i4>2228269</vt:i4>
      </vt:variant>
      <vt:variant>
        <vt:i4>0</vt:i4>
      </vt:variant>
      <vt:variant>
        <vt:i4>0</vt:i4>
      </vt:variant>
      <vt:variant>
        <vt:i4>5</vt:i4>
      </vt:variant>
      <vt:variant>
        <vt:lpwstr>http://health.govt.nz/</vt:lpwstr>
      </vt:variant>
      <vt:variant>
        <vt:lpwstr/>
      </vt:variant>
      <vt:variant>
        <vt:i4>22151286</vt:i4>
      </vt:variant>
      <vt:variant>
        <vt:i4>84</vt:i4>
      </vt:variant>
      <vt:variant>
        <vt:i4>0</vt:i4>
      </vt:variant>
      <vt:variant>
        <vt:i4>5</vt:i4>
      </vt:variant>
      <vt:variant>
        <vt:lpwstr>https://www.orangatamariki.govt.nz/about-us/how-we-work/strategic-partnerships-with-Māori/ngapuhi/</vt:lpwstr>
      </vt:variant>
      <vt:variant>
        <vt:lpwstr/>
      </vt:variant>
      <vt:variant>
        <vt:i4>131075</vt:i4>
      </vt:variant>
      <vt:variant>
        <vt:i4>81</vt:i4>
      </vt:variant>
      <vt:variant>
        <vt:i4>0</vt:i4>
      </vt:variant>
      <vt:variant>
        <vt:i4>5</vt:i4>
      </vt:variant>
      <vt:variant>
        <vt:lpwstr>https://evaluationhub.education.govt.nz/theory-of-change/a-theory-of-change/</vt:lpwstr>
      </vt:variant>
      <vt:variant>
        <vt:lpwstr/>
      </vt:variant>
      <vt:variant>
        <vt:i4>2162798</vt:i4>
      </vt:variant>
      <vt:variant>
        <vt:i4>78</vt:i4>
      </vt:variant>
      <vt:variant>
        <vt:i4>0</vt:i4>
      </vt:variant>
      <vt:variant>
        <vt:i4>5</vt:i4>
      </vt:variant>
      <vt:variant>
        <vt:lpwstr>https://www.nao.org.uk/decommissioning/</vt:lpwstr>
      </vt:variant>
      <vt:variant>
        <vt:lpwstr/>
      </vt:variant>
      <vt:variant>
        <vt:i4>5046349</vt:i4>
      </vt:variant>
      <vt:variant>
        <vt:i4>75</vt:i4>
      </vt:variant>
      <vt:variant>
        <vt:i4>0</vt:i4>
      </vt:variant>
      <vt:variant>
        <vt:i4>5</vt:i4>
      </vt:variant>
      <vt:variant>
        <vt:lpwstr>https://oag.parliament.nz/2009/rest-homes</vt:lpwstr>
      </vt:variant>
      <vt:variant>
        <vt:lpwstr/>
      </vt:variant>
      <vt:variant>
        <vt:i4>1245189</vt:i4>
      </vt:variant>
      <vt:variant>
        <vt:i4>72</vt:i4>
      </vt:variant>
      <vt:variant>
        <vt:i4>0</vt:i4>
      </vt:variant>
      <vt:variant>
        <vt:i4>5</vt:i4>
      </vt:variant>
      <vt:variant>
        <vt:lpwstr>https://www.procurement.govt.nz/procurement/</vt:lpwstr>
      </vt:variant>
      <vt:variant>
        <vt:lpwstr/>
      </vt:variant>
      <vt:variant>
        <vt:i4>8323181</vt:i4>
      </vt:variant>
      <vt:variant>
        <vt:i4>69</vt:i4>
      </vt:variant>
      <vt:variant>
        <vt:i4>0</vt:i4>
      </vt:variant>
      <vt:variant>
        <vt:i4>5</vt:i4>
      </vt:variant>
      <vt:variant>
        <vt:lpwstr>https://www.procurement.govt.nz/procurement/principles-charter-and-rules/government-procurement-principles/</vt:lpwstr>
      </vt:variant>
      <vt:variant>
        <vt:lpwstr/>
      </vt:variant>
      <vt:variant>
        <vt:i4>6815869</vt:i4>
      </vt:variant>
      <vt:variant>
        <vt:i4>66</vt:i4>
      </vt:variant>
      <vt:variant>
        <vt:i4>0</vt:i4>
      </vt:variant>
      <vt:variant>
        <vt:i4>5</vt:i4>
      </vt:variant>
      <vt:variant>
        <vt:lpwstr>https://www.treasury.govt.nz/information-and-services/state-sector-leadership/investment-management/better-business-cases/guidance</vt:lpwstr>
      </vt:variant>
      <vt:variant>
        <vt:lpwstr/>
      </vt:variant>
      <vt:variant>
        <vt:i4>4325399</vt:i4>
      </vt:variant>
      <vt:variant>
        <vt:i4>63</vt:i4>
      </vt:variant>
      <vt:variant>
        <vt:i4>0</vt:i4>
      </vt:variant>
      <vt:variant>
        <vt:i4>5</vt:i4>
      </vt:variant>
      <vt:variant>
        <vt:lpwstr>http://www.treasury.govt.nz/publications/guide/cbax-spreadsheet-model</vt:lpwstr>
      </vt:variant>
      <vt:variant>
        <vt:lpwstr/>
      </vt:variant>
      <vt:variant>
        <vt:i4>720977</vt:i4>
      </vt:variant>
      <vt:variant>
        <vt:i4>60</vt:i4>
      </vt:variant>
      <vt:variant>
        <vt:i4>0</vt:i4>
      </vt:variant>
      <vt:variant>
        <vt:i4>5</vt:i4>
      </vt:variant>
      <vt:variant>
        <vt:lpwstr>https://www.hqsc.govt.nz/our-programmes/partners-in-care/</vt:lpwstr>
      </vt:variant>
      <vt:variant>
        <vt:lpwstr/>
      </vt:variant>
      <vt:variant>
        <vt:i4>1638492</vt:i4>
      </vt:variant>
      <vt:variant>
        <vt:i4>57</vt:i4>
      </vt:variant>
      <vt:variant>
        <vt:i4>0</vt:i4>
      </vt:variant>
      <vt:variant>
        <vt:i4>5</vt:i4>
      </vt:variant>
      <vt:variant>
        <vt:lpwstr>https://servicedesigntools.org/tools</vt:lpwstr>
      </vt:variant>
      <vt:variant>
        <vt:lpwstr/>
      </vt:variant>
      <vt:variant>
        <vt:i4>3407979</vt:i4>
      </vt:variant>
      <vt:variant>
        <vt:i4>54</vt:i4>
      </vt:variant>
      <vt:variant>
        <vt:i4>0</vt:i4>
      </vt:variant>
      <vt:variant>
        <vt:i4>5</vt:i4>
      </vt:variant>
      <vt:variant>
        <vt:lpwstr>https://uxmastery.com/how-to-create-a-customer-journey-map/</vt:lpwstr>
      </vt:variant>
      <vt:variant>
        <vt:lpwstr/>
      </vt:variant>
      <vt:variant>
        <vt:i4>4784198</vt:i4>
      </vt:variant>
      <vt:variant>
        <vt:i4>51</vt:i4>
      </vt:variant>
      <vt:variant>
        <vt:i4>0</vt:i4>
      </vt:variant>
      <vt:variant>
        <vt:i4>5</vt:i4>
      </vt:variant>
      <vt:variant>
        <vt:lpwstr>https://gcs.civilservice.gov.uk/guidance/campaigns/customer-journey-mapping/</vt:lpwstr>
      </vt:variant>
      <vt:variant>
        <vt:lpwstr/>
      </vt:variant>
      <vt:variant>
        <vt:i4>6750325</vt:i4>
      </vt:variant>
      <vt:variant>
        <vt:i4>48</vt:i4>
      </vt:variant>
      <vt:variant>
        <vt:i4>0</vt:i4>
      </vt:variant>
      <vt:variant>
        <vt:i4>5</vt:i4>
      </vt:variant>
      <vt:variant>
        <vt:lpwstr>https://www.gov.uk/guidance/open-policy-making-toolkit/understanding-policy-problems-and-user-needs</vt:lpwstr>
      </vt:variant>
      <vt:variant>
        <vt:lpwstr>journey-mapping-introduction</vt:lpwstr>
      </vt:variant>
      <vt:variant>
        <vt:i4>3342433</vt:i4>
      </vt:variant>
      <vt:variant>
        <vt:i4>45</vt:i4>
      </vt:variant>
      <vt:variant>
        <vt:i4>0</vt:i4>
      </vt:variant>
      <vt:variant>
        <vt:i4>5</vt:i4>
      </vt:variant>
      <vt:variant>
        <vt:lpwstr>https://www.enablinggoodlives.co.nz/about-egl/resources/provider-resources/enabling-good-lives-toolbox/</vt:lpwstr>
      </vt:variant>
      <vt:variant>
        <vt:lpwstr/>
      </vt:variant>
      <vt:variant>
        <vt:i4>2293816</vt:i4>
      </vt:variant>
      <vt:variant>
        <vt:i4>42</vt:i4>
      </vt:variant>
      <vt:variant>
        <vt:i4>0</vt:i4>
      </vt:variant>
      <vt:variant>
        <vt:i4>5</vt:i4>
      </vt:variant>
      <vt:variant>
        <vt:lpwstr>https://www.treasury.govt.nz/information-and-services/state-sector-leadership/investment-management/plan-investment-choices/change-management-guidance</vt:lpwstr>
      </vt:variant>
      <vt:variant>
        <vt:lpwstr/>
      </vt:variant>
      <vt:variant>
        <vt:i4>7143459</vt:i4>
      </vt:variant>
      <vt:variant>
        <vt:i4>39</vt:i4>
      </vt:variant>
      <vt:variant>
        <vt:i4>0</vt:i4>
      </vt:variant>
      <vt:variant>
        <vt:i4>5</vt:i4>
      </vt:variant>
      <vt:variant>
        <vt:lpwstr>http://URL: www.hqsc.govt.nz/resources/resource-library/code-of-expectations-for-health-entities-engagement-with-consumers-and-whanau/</vt:lpwstr>
      </vt:variant>
      <vt:variant>
        <vt:lpwstr/>
      </vt:variant>
      <vt:variant>
        <vt:i4>3473460</vt:i4>
      </vt:variant>
      <vt:variant>
        <vt:i4>36</vt:i4>
      </vt:variant>
      <vt:variant>
        <vt:i4>0</vt:i4>
      </vt:variant>
      <vt:variant>
        <vt:i4>5</vt:i4>
      </vt:variant>
      <vt:variant>
        <vt:lpwstr>https://www.msd.govt.nz/about-msd-and-our-work/publications-resources/planning-strategy/social-sector-commissioning/index.html</vt:lpwstr>
      </vt:variant>
      <vt:variant>
        <vt:lpwstr/>
      </vt:variant>
      <vt:variant>
        <vt:i4>4849683</vt:i4>
      </vt:variant>
      <vt:variant>
        <vt:i4>33</vt:i4>
      </vt:variant>
      <vt:variant>
        <vt:i4>0</vt:i4>
      </vt:variant>
      <vt:variant>
        <vt:i4>5</vt:i4>
      </vt:variant>
      <vt:variant>
        <vt:lpwstr>http://www.treasury.govt.nz/information-and-services/nz-economy/higher-living-standards/he-ara-waiora</vt:lpwstr>
      </vt:variant>
      <vt:variant>
        <vt:lpwstr/>
      </vt:variant>
      <vt:variant>
        <vt:i4>6029339</vt:i4>
      </vt:variant>
      <vt:variant>
        <vt:i4>30</vt:i4>
      </vt:variant>
      <vt:variant>
        <vt:i4>0</vt:i4>
      </vt:variant>
      <vt:variant>
        <vt:i4>5</vt:i4>
      </vt:variant>
      <vt:variant>
        <vt:lpwstr>https://www.procurement.govt.nz/</vt:lpwstr>
      </vt:variant>
      <vt:variant>
        <vt:lpwstr/>
      </vt:variant>
      <vt:variant>
        <vt:i4>1376326</vt:i4>
      </vt:variant>
      <vt:variant>
        <vt:i4>27</vt:i4>
      </vt:variant>
      <vt:variant>
        <vt:i4>0</vt:i4>
      </vt:variant>
      <vt:variant>
        <vt:i4>5</vt:i4>
      </vt:variant>
      <vt:variant>
        <vt:lpwstr>https://www.procurement.govt.nz/procurement/principles-charter-and-rules/</vt:lpwstr>
      </vt:variant>
      <vt:variant>
        <vt:lpwstr/>
      </vt:variant>
      <vt:variant>
        <vt:i4>7209003</vt:i4>
      </vt:variant>
      <vt:variant>
        <vt:i4>24</vt:i4>
      </vt:variant>
      <vt:variant>
        <vt:i4>0</vt:i4>
      </vt:variant>
      <vt:variant>
        <vt:i4>5</vt:i4>
      </vt:variant>
      <vt:variant>
        <vt:lpwstr>https://nsfl.health.govt.nz/accountability/national-asset-management-programme</vt:lpwstr>
      </vt:variant>
      <vt:variant>
        <vt:lpwstr/>
      </vt:variant>
      <vt:variant>
        <vt:i4>3473533</vt:i4>
      </vt:variant>
      <vt:variant>
        <vt:i4>21</vt:i4>
      </vt:variant>
      <vt:variant>
        <vt:i4>0</vt:i4>
      </vt:variant>
      <vt:variant>
        <vt:i4>5</vt:i4>
      </vt:variant>
      <vt:variant>
        <vt:lpwstr>https://www.health.govt.nz/publication/position-statement-and-working-definitions-racism-and-anti-racism-health-system-aotearoa-new-zealand</vt:lpwstr>
      </vt:variant>
      <vt:variant>
        <vt:lpwstr/>
      </vt:variant>
      <vt:variant>
        <vt:i4>6225985</vt:i4>
      </vt:variant>
      <vt:variant>
        <vt:i4>18</vt:i4>
      </vt:variant>
      <vt:variant>
        <vt:i4>0</vt:i4>
      </vt:variant>
      <vt:variant>
        <vt:i4>5</vt:i4>
      </vt:variant>
      <vt:variant>
        <vt:lpwstr>http://www.msd.govt.nz/about-msd-and-our-work/publications-resources/planning-strategy/social-sector-commissioning/index.html</vt:lpwstr>
      </vt:variant>
      <vt:variant>
        <vt:lpwstr/>
      </vt:variant>
      <vt:variant>
        <vt:i4>4784153</vt:i4>
      </vt:variant>
      <vt:variant>
        <vt:i4>15</vt:i4>
      </vt:variant>
      <vt:variant>
        <vt:i4>0</vt:i4>
      </vt:variant>
      <vt:variant>
        <vt:i4>5</vt:i4>
      </vt:variant>
      <vt:variant>
        <vt:lpwstr>http://www.legislation.govt.nz/act/public/2022/0030/latest/versions.aspx</vt:lpwstr>
      </vt:variant>
      <vt:variant>
        <vt:lpwstr/>
      </vt:variant>
      <vt:variant>
        <vt:i4>1179741</vt:i4>
      </vt:variant>
      <vt:variant>
        <vt:i4>12</vt:i4>
      </vt:variant>
      <vt:variant>
        <vt:i4>0</vt:i4>
      </vt:variant>
      <vt:variant>
        <vt:i4>5</vt:i4>
      </vt:variant>
      <vt:variant>
        <vt:lpwstr>https://www.health.govt.nz/our-work/populations/maori-health/he-korowai-oranga/strengthening-he-korowai-oranga/treaty-waitangi-principles</vt:lpwstr>
      </vt:variant>
      <vt:variant>
        <vt:lpwstr/>
      </vt:variant>
      <vt:variant>
        <vt:i4>4063282</vt:i4>
      </vt:variant>
      <vt:variant>
        <vt:i4>9</vt:i4>
      </vt:variant>
      <vt:variant>
        <vt:i4>0</vt:i4>
      </vt:variant>
      <vt:variant>
        <vt:i4>5</vt:i4>
      </vt:variant>
      <vt:variant>
        <vt:lpwstr>https://www.enablinggoodlives.co.nz/about-egl/egl-approach/principles/</vt:lpwstr>
      </vt:variant>
      <vt:variant>
        <vt:lpwstr/>
      </vt:variant>
      <vt:variant>
        <vt:i4>3866678</vt:i4>
      </vt:variant>
      <vt:variant>
        <vt:i4>6</vt:i4>
      </vt:variant>
      <vt:variant>
        <vt:i4>0</vt:i4>
      </vt:variant>
      <vt:variant>
        <vt:i4>5</vt:i4>
      </vt:variant>
      <vt:variant>
        <vt:lpwstr>https://www.enablinggoodlives.co.nz/about-egl/egl-approach/vision/</vt:lpwstr>
      </vt:variant>
      <vt:variant>
        <vt:lpwstr/>
      </vt:variant>
      <vt:variant>
        <vt:i4>2293795</vt:i4>
      </vt:variant>
      <vt:variant>
        <vt:i4>3</vt:i4>
      </vt:variant>
      <vt:variant>
        <vt:i4>0</vt:i4>
      </vt:variant>
      <vt:variant>
        <vt:i4>5</vt:i4>
      </vt:variant>
      <vt:variant>
        <vt:lpwstr>https://www.health.govt.nz/our-work/populations/maori-health/he-korowai-oranga</vt:lpwstr>
      </vt:variant>
      <vt:variant>
        <vt:lpwstr/>
      </vt:variant>
      <vt:variant>
        <vt:i4>7929893</vt:i4>
      </vt:variant>
      <vt:variant>
        <vt:i4>0</vt:i4>
      </vt:variant>
      <vt:variant>
        <vt:i4>0</vt:i4>
      </vt:variant>
      <vt:variant>
        <vt:i4>5</vt:i4>
      </vt:variant>
      <vt:variant>
        <vt:lpwstr>http://www.health.govt.nz/about-ministry/what-we-do/work-programme-2019-20/achieving-equity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Commissioning for Pae Ora Healthy Futures</dc:title>
  <dc:subject/>
  <dc:creator>Ministry of Health</dc:creator>
  <cp:keywords/>
  <dc:description/>
  <cp:lastModifiedBy>Ministry of Health</cp:lastModifiedBy>
  <cp:revision>5</cp:revision>
  <cp:lastPrinted>2023-01-17T22:49:00Z</cp:lastPrinted>
  <dcterms:created xsi:type="dcterms:W3CDTF">2023-01-17T22:42:00Z</dcterms:created>
  <dcterms:modified xsi:type="dcterms:W3CDTF">2023-01-17T22:49:00Z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0x0101005DBFC9454AF665489687E7396D53C354</vt:lpwstr>
  </property>
  <property fmtid="{D5CDD505-2E9C-101B-9397-08002B2CF9AE}" pid="3" name="MediaServiceImageTags">
    <vt:lpwstr/>
  </property>
</Properties>
</file>