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312D" w14:textId="77777777" w:rsidR="00AF0BFB" w:rsidRDefault="00AF0BFB" w:rsidP="00AF0BFB">
      <w:pPr>
        <w:pStyle w:val="Title"/>
        <w:spacing w:after="120"/>
      </w:pPr>
      <w:r>
        <w:t>Ao Mai te Rā</w:t>
      </w:r>
    </w:p>
    <w:p w14:paraId="5E07591F" w14:textId="77777777" w:rsidR="00AF0BFB" w:rsidRPr="00926083" w:rsidRDefault="00AF0BFB" w:rsidP="00AF0BFB">
      <w:pPr>
        <w:pStyle w:val="Title"/>
        <w:spacing w:after="120"/>
      </w:pPr>
      <w:r>
        <w:t>The Anti-Racism Kaupapa</w:t>
      </w:r>
    </w:p>
    <w:p w14:paraId="5AF2E8EE" w14:textId="1B94D0E7" w:rsidR="00AF0BFB" w:rsidRDefault="00AF0BFB" w:rsidP="00AF0BFB">
      <w:pPr>
        <w:pStyle w:val="Subhead"/>
        <w:rPr>
          <w:i/>
          <w:iCs/>
        </w:rPr>
      </w:pPr>
      <w:r w:rsidRPr="00AF0BFB">
        <w:t>Best Practice Approaches to Addressing Racism</w:t>
      </w:r>
      <w:r>
        <w:br/>
      </w:r>
      <w:r>
        <w:br/>
      </w:r>
      <w:r w:rsidRPr="00F45B28">
        <w:rPr>
          <w:i/>
          <w:iCs/>
        </w:rPr>
        <w:t>Lessons for the Aotearoa New Zealand Health System</w:t>
      </w:r>
    </w:p>
    <w:p w14:paraId="33DED72A" w14:textId="7AEB5151" w:rsidR="00AF0BFB" w:rsidRPr="00F45B28" w:rsidRDefault="00AF0BFB" w:rsidP="00AF0BFB">
      <w:pPr>
        <w:pStyle w:val="Year"/>
      </w:pPr>
      <w:r w:rsidRPr="00F45B28">
        <w:t xml:space="preserve">Stage </w:t>
      </w:r>
      <w:r>
        <w:t>Two</w:t>
      </w:r>
      <w:r w:rsidRPr="00F45B28">
        <w:t xml:space="preserve"> Literature Review</w:t>
      </w:r>
    </w:p>
    <w:p w14:paraId="06F144E5" w14:textId="3641420E" w:rsidR="00AF0BFB" w:rsidRPr="00531E12" w:rsidRDefault="00122270" w:rsidP="00AF0BFB">
      <w:pPr>
        <w:pStyle w:val="Year"/>
        <w:spacing w:before="240"/>
      </w:pPr>
      <w:r>
        <w:t xml:space="preserve">August </w:t>
      </w:r>
      <w:r w:rsidR="00AF0BFB">
        <w:t>2022</w:t>
      </w:r>
    </w:p>
    <w:p w14:paraId="5C1CCC9F" w14:textId="77777777" w:rsidR="00C05132" w:rsidRDefault="00C05132" w:rsidP="00A06BE4"/>
    <w:p w14:paraId="57E2CB79" w14:textId="77777777" w:rsidR="00142954" w:rsidRPr="00142954" w:rsidRDefault="00142954" w:rsidP="00142954">
      <w:pPr>
        <w:sectPr w:rsidR="00142954" w:rsidRPr="00142954" w:rsidSect="005A79E5">
          <w:footerReference w:type="default" r:id="rId11"/>
          <w:pgSz w:w="11907" w:h="16834" w:code="9"/>
          <w:pgMar w:top="5670" w:right="1134" w:bottom="1134" w:left="1134" w:header="567" w:footer="851" w:gutter="0"/>
          <w:pgNumType w:start="1"/>
          <w:cols w:space="720"/>
        </w:sectPr>
      </w:pPr>
    </w:p>
    <w:p w14:paraId="3D7F613D" w14:textId="67153FCD" w:rsidR="00AF0BFB" w:rsidRPr="00C05132" w:rsidRDefault="00AF0BFB" w:rsidP="00AF0BFB">
      <w:pPr>
        <w:pStyle w:val="Imprint"/>
        <w:spacing w:before="1200"/>
        <w:rPr>
          <w:rFonts w:cs="Segoe UI"/>
        </w:rPr>
      </w:pPr>
      <w:r w:rsidRPr="00C05132">
        <w:rPr>
          <w:rFonts w:cs="Segoe UI"/>
        </w:rPr>
        <w:lastRenderedPageBreak/>
        <w:t xml:space="preserve">Citation: </w:t>
      </w:r>
      <w:r w:rsidR="001A06F2" w:rsidRPr="001A06F2">
        <w:rPr>
          <w:rFonts w:cs="Segoe UI"/>
        </w:rPr>
        <w:t>Williams M, McMeeking S</w:t>
      </w:r>
      <w:r w:rsidRPr="00C05132">
        <w:rPr>
          <w:rFonts w:cs="Segoe UI"/>
        </w:rPr>
        <w:t xml:space="preserve">. </w:t>
      </w:r>
      <w:r>
        <w:rPr>
          <w:rFonts w:cs="Segoe UI"/>
        </w:rPr>
        <w:t>202</w:t>
      </w:r>
      <w:r w:rsidR="00122270">
        <w:rPr>
          <w:rFonts w:cs="Segoe UI"/>
        </w:rPr>
        <w:t>3</w:t>
      </w:r>
      <w:r w:rsidRPr="00C05132">
        <w:rPr>
          <w:rFonts w:cs="Segoe UI"/>
        </w:rPr>
        <w:t xml:space="preserve">. </w:t>
      </w:r>
      <w:r w:rsidRPr="00AF0BFB">
        <w:rPr>
          <w:rFonts w:cs="Segoe UI"/>
          <w:i/>
        </w:rPr>
        <w:t>Best Practice Approaches to Addressing Racism</w:t>
      </w:r>
      <w:r w:rsidR="001A5934">
        <w:rPr>
          <w:rFonts w:cs="Segoe UI"/>
          <w:i/>
        </w:rPr>
        <w:t xml:space="preserve"> -</w:t>
      </w:r>
      <w:r>
        <w:rPr>
          <w:rFonts w:cs="Segoe UI"/>
          <w:i/>
        </w:rPr>
        <w:t xml:space="preserve"> </w:t>
      </w:r>
      <w:r w:rsidRPr="00F45B28">
        <w:rPr>
          <w:rFonts w:cs="Segoe UI"/>
          <w:i/>
        </w:rPr>
        <w:t>Lessons for the Aotearoa New Zealand Health System</w:t>
      </w:r>
      <w:r w:rsidR="006220E7">
        <w:rPr>
          <w:rFonts w:cs="Segoe UI"/>
          <w:i/>
        </w:rPr>
        <w:t xml:space="preserve"> (</w:t>
      </w:r>
      <w:r w:rsidRPr="00F45B28">
        <w:rPr>
          <w:rFonts w:cs="Segoe UI"/>
          <w:i/>
        </w:rPr>
        <w:t xml:space="preserve">Stage </w:t>
      </w:r>
      <w:r>
        <w:rPr>
          <w:rFonts w:cs="Segoe UI"/>
          <w:i/>
        </w:rPr>
        <w:t>Two</w:t>
      </w:r>
      <w:r w:rsidRPr="00F45B28">
        <w:rPr>
          <w:rFonts w:cs="Segoe UI"/>
          <w:i/>
        </w:rPr>
        <w:t xml:space="preserve"> Literature Review</w:t>
      </w:r>
      <w:r w:rsidR="006220E7">
        <w:rPr>
          <w:rFonts w:cs="Segoe UI"/>
          <w:i/>
        </w:rPr>
        <w:t>)</w:t>
      </w:r>
      <w:r w:rsidRPr="00C05132">
        <w:rPr>
          <w:rFonts w:cs="Segoe UI"/>
        </w:rPr>
        <w:t>. Wellington: Ministry of Health.</w:t>
      </w:r>
    </w:p>
    <w:p w14:paraId="7909192E" w14:textId="414DADFE" w:rsidR="00C86248" w:rsidRDefault="00AF0BFB">
      <w:pPr>
        <w:pStyle w:val="Imprint"/>
      </w:pPr>
      <w:r>
        <w:t xml:space="preserve">Published in </w:t>
      </w:r>
      <w:r w:rsidR="00122270">
        <w:t>February 2023</w:t>
      </w:r>
      <w:r>
        <w:t xml:space="preserve"> </w:t>
      </w:r>
      <w:r w:rsidR="00C86248">
        <w:t>by the</w:t>
      </w:r>
      <w:r w:rsidR="00442C1C">
        <w:t xml:space="preserve"> </w:t>
      </w:r>
      <w:r w:rsidR="00C86248">
        <w:t>Ministry of Health</w:t>
      </w:r>
      <w:r w:rsidR="00C86248">
        <w:br/>
        <w:t>PO Box 5013, Wellington</w:t>
      </w:r>
      <w:r w:rsidR="00A80363">
        <w:t xml:space="preserve"> 614</w:t>
      </w:r>
      <w:r w:rsidR="006041F0">
        <w:t>0</w:t>
      </w:r>
      <w:r w:rsidR="00C86248">
        <w:t xml:space="preserve">, </w:t>
      </w:r>
      <w:r w:rsidR="00571223">
        <w:t>New Zealand</w:t>
      </w:r>
    </w:p>
    <w:p w14:paraId="6D17E5E8" w14:textId="5389E26B" w:rsidR="00082CD6" w:rsidRPr="009C0F2D" w:rsidRDefault="00082CD6" w:rsidP="00082CD6">
      <w:pPr>
        <w:pStyle w:val="Imprint"/>
      </w:pPr>
      <w:r w:rsidRPr="0038148C">
        <w:t xml:space="preserve">HP </w:t>
      </w:r>
      <w:r w:rsidR="005618D9">
        <w:t>870</w:t>
      </w:r>
      <w:r w:rsidR="00DE4B2E">
        <w:t>7</w:t>
      </w:r>
    </w:p>
    <w:p w14:paraId="48DBDA36" w14:textId="77777777" w:rsidR="00C86248" w:rsidRDefault="008C64C4" w:rsidP="00A63DFF">
      <w:r>
        <w:rPr>
          <w:noProof/>
          <w:lang w:eastAsia="en-NZ"/>
        </w:rPr>
        <w:drawing>
          <wp:inline distT="0" distB="0" distL="0" distR="0" wp14:anchorId="6EF4539D" wp14:editId="6726CC82">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4"/>
          <w:footerReference w:type="default" r:id="rId15"/>
          <w:pgSz w:w="11907" w:h="16834" w:code="9"/>
          <w:pgMar w:top="1701" w:right="2268" w:bottom="1134" w:left="2268" w:header="0" w:footer="0" w:gutter="0"/>
          <w:cols w:space="720"/>
          <w:vAlign w:val="bottom"/>
        </w:sectPr>
      </w:pPr>
    </w:p>
    <w:p w14:paraId="1857CE1F" w14:textId="77777777" w:rsidR="00AF0BFB" w:rsidRDefault="00AF0BFB" w:rsidP="00AF0BFB">
      <w:pPr>
        <w:pStyle w:val="Heading1"/>
        <w:spacing w:before="0"/>
      </w:pPr>
      <w:bookmarkStart w:id="0" w:name="_Toc128056572"/>
      <w:bookmarkStart w:id="1" w:name="_Toc128660371"/>
      <w:bookmarkStart w:id="2" w:name="_Toc405792991"/>
      <w:bookmarkStart w:id="3" w:name="_Toc405793224"/>
      <w:r>
        <w:lastRenderedPageBreak/>
        <w:t>C</w:t>
      </w:r>
      <w:r w:rsidRPr="00F45B28">
        <w:t>ontext for this work</w:t>
      </w:r>
      <w:bookmarkEnd w:id="0"/>
      <w:bookmarkEnd w:id="1"/>
    </w:p>
    <w:p w14:paraId="1ABD5F9A" w14:textId="77777777" w:rsidR="00AF0BFB" w:rsidRPr="00AF0BFB" w:rsidRDefault="00AF0BFB" w:rsidP="00AF0BFB">
      <w:pPr>
        <w:rPr>
          <w:spacing w:val="-5"/>
        </w:rPr>
      </w:pPr>
      <w:r w:rsidRPr="00AF0BFB">
        <w:rPr>
          <w:spacing w:val="-5"/>
        </w:rPr>
        <w:t>Ao Mai te Rā: the Anti-Racism Kaupapa (Ao Mai te Rā) is a Manatū Hauora (Ministry of Health) initiative to support the way the health system understands, reacts and responds to racism in the Aotearoa New Zealand Health system.</w:t>
      </w:r>
    </w:p>
    <w:p w14:paraId="6E0955BC" w14:textId="77777777" w:rsidR="00AF0BFB" w:rsidRPr="00AF0BFB" w:rsidRDefault="00AF0BFB" w:rsidP="00AF0BFB">
      <w:pPr>
        <w:rPr>
          <w:spacing w:val="-5"/>
        </w:rPr>
      </w:pPr>
    </w:p>
    <w:p w14:paraId="772AEF60" w14:textId="77777777" w:rsidR="00AF0BFB" w:rsidRPr="00AF0BFB" w:rsidRDefault="00AF0BFB" w:rsidP="00AF0BFB">
      <w:pPr>
        <w:rPr>
          <w:spacing w:val="-5"/>
        </w:rPr>
      </w:pPr>
      <w:r w:rsidRPr="00AF0BFB">
        <w:rPr>
          <w:spacing w:val="-5"/>
        </w:rPr>
        <w:t>Phase one of Ao Mai te Rā comprises three literature reviews that can be read individually or as an integrated portfolio of work. This is the second literature review in the portfolio.</w:t>
      </w:r>
    </w:p>
    <w:p w14:paraId="452E2D3C" w14:textId="77777777" w:rsidR="00AF0BFB" w:rsidRPr="00AF0BFB" w:rsidRDefault="00AF0BFB" w:rsidP="00AF0BFB">
      <w:pPr>
        <w:rPr>
          <w:spacing w:val="-5"/>
        </w:rPr>
      </w:pPr>
    </w:p>
    <w:p w14:paraId="1203D871" w14:textId="2D83D75A" w:rsidR="00AF0BFB" w:rsidRDefault="00AF0BFB" w:rsidP="00AF0BFB">
      <w:pPr>
        <w:rPr>
          <w:spacing w:val="-5"/>
        </w:rPr>
      </w:pPr>
      <w:r w:rsidRPr="00AF0BFB">
        <w:rPr>
          <w:spacing w:val="-5"/>
        </w:rPr>
        <w:t>Collectively the three literature reviews have been used to inform the major outputs for phase one of Ao Mai te Rā. This review was completed by researchers from the University of Canterbury and Tokona Te Raki – Māori Futures Collective.</w:t>
      </w:r>
    </w:p>
    <w:p w14:paraId="38931881" w14:textId="77777777" w:rsidR="00AF0BFB" w:rsidRDefault="00AF0BFB" w:rsidP="00AF0BFB">
      <w:pPr>
        <w:rPr>
          <w:spacing w:val="-5"/>
        </w:rPr>
      </w:pPr>
    </w:p>
    <w:p w14:paraId="7E1FE234" w14:textId="77777777" w:rsidR="00AF0BFB" w:rsidRPr="00F45B28" w:rsidRDefault="00AF0BFB" w:rsidP="00AF0BFB">
      <w:pPr>
        <w:rPr>
          <w:b/>
          <w:bCs/>
        </w:rPr>
      </w:pPr>
      <w:r w:rsidRPr="00F45B28">
        <w:rPr>
          <w:b/>
          <w:bCs/>
        </w:rPr>
        <w:t>Kaituhi:</w:t>
      </w:r>
    </w:p>
    <w:p w14:paraId="35FEC2EA" w14:textId="77777777" w:rsidR="00AF0BFB" w:rsidRDefault="00AF0BFB" w:rsidP="00AF0BFB">
      <w:r>
        <w:t>Madi Williams</w:t>
      </w:r>
    </w:p>
    <w:p w14:paraId="098850B2" w14:textId="3160C64A" w:rsidR="00AF0BFB" w:rsidRDefault="00AF0BFB" w:rsidP="00AF0BFB">
      <w:r w:rsidRPr="00AF0BFB">
        <w:t>Sacha McMeeking</w:t>
      </w:r>
    </w:p>
    <w:p w14:paraId="4D8C6D4B" w14:textId="77777777" w:rsidR="00AF0BFB" w:rsidRDefault="00AF0BFB" w:rsidP="00AF0BFB"/>
    <w:p w14:paraId="1F49ABAB" w14:textId="77777777" w:rsidR="00AF0BFB" w:rsidRPr="00F45B28" w:rsidRDefault="00AF0BFB" w:rsidP="00AF0BFB">
      <w:pPr>
        <w:rPr>
          <w:b/>
          <w:bCs/>
        </w:rPr>
      </w:pPr>
      <w:r w:rsidRPr="00F45B28">
        <w:rPr>
          <w:b/>
          <w:bCs/>
        </w:rPr>
        <w:t>Kaiwhakahaere:</w:t>
      </w:r>
    </w:p>
    <w:p w14:paraId="684B754B" w14:textId="77777777" w:rsidR="00AF0BFB" w:rsidRDefault="00AF0BFB" w:rsidP="00AF0BFB">
      <w:r>
        <w:t xml:space="preserve">Dr Eruera Tarena </w:t>
      </w:r>
    </w:p>
    <w:p w14:paraId="31DFA499" w14:textId="77777777" w:rsidR="00AF0BFB" w:rsidRDefault="00AF0BFB" w:rsidP="00AF0BFB">
      <w:r>
        <w:t>Sacha McMeeking</w:t>
      </w:r>
    </w:p>
    <w:p w14:paraId="6BBA6010" w14:textId="77777777" w:rsidR="00AF0BFB" w:rsidRDefault="00AF0BFB" w:rsidP="00AF0BFB"/>
    <w:p w14:paraId="680447E3" w14:textId="77777777" w:rsidR="00AF0BFB" w:rsidRPr="00F45B28" w:rsidRDefault="00AF0BFB" w:rsidP="00AF0BFB">
      <w:pPr>
        <w:rPr>
          <w:b/>
          <w:bCs/>
        </w:rPr>
      </w:pPr>
      <w:r w:rsidRPr="00F45B28">
        <w:rPr>
          <w:b/>
          <w:bCs/>
        </w:rPr>
        <w:t>Kaiārahi/Expert Advisory Group:</w:t>
      </w:r>
    </w:p>
    <w:p w14:paraId="35D3C900" w14:textId="77777777" w:rsidR="00AF0BFB" w:rsidRDefault="00AF0BFB" w:rsidP="00AF0BFB">
      <w:r>
        <w:t xml:space="preserve">Dr. Tania Huria - Otago University </w:t>
      </w:r>
    </w:p>
    <w:p w14:paraId="6E2B9F39" w14:textId="77777777" w:rsidR="00AF0BFB" w:rsidRDefault="00AF0BFB" w:rsidP="00AF0BFB">
      <w:r>
        <w:t xml:space="preserve">Maira Pula - Otago University Associate Professor </w:t>
      </w:r>
    </w:p>
    <w:p w14:paraId="1D77EA25" w14:textId="18D2E86F" w:rsidR="00AF0BFB" w:rsidRDefault="00AF0BFB" w:rsidP="00AF0BFB">
      <w:r>
        <w:t>Traci Mafileo - Massey University</w:t>
      </w:r>
    </w:p>
    <w:p w14:paraId="0C321C31" w14:textId="1C5E4CD5" w:rsidR="00AF0BFB" w:rsidRDefault="00AF0BFB" w:rsidP="00AF0BFB">
      <w:r>
        <w:t>Professor Suzanne Pitama</w:t>
      </w:r>
    </w:p>
    <w:p w14:paraId="3C70FAF9" w14:textId="77777777" w:rsidR="00D662F8" w:rsidRDefault="00D662F8" w:rsidP="0046362D"/>
    <w:p w14:paraId="5558ECEF" w14:textId="77777777" w:rsidR="00571223" w:rsidRDefault="00571223" w:rsidP="0046362D">
      <w:pPr>
        <w:sectPr w:rsidR="00571223" w:rsidSect="001D3E4E">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4F867BCB" w14:textId="77777777" w:rsidR="00032C0A" w:rsidRDefault="00032C0A" w:rsidP="0046362D"/>
    <w:p w14:paraId="648D4F84" w14:textId="77777777" w:rsidR="00C86248" w:rsidRDefault="00C86248" w:rsidP="00025A6F">
      <w:pPr>
        <w:pStyle w:val="IntroHead"/>
      </w:pPr>
      <w:r>
        <w:t>Contents</w:t>
      </w:r>
      <w:bookmarkEnd w:id="2"/>
      <w:bookmarkEnd w:id="3"/>
    </w:p>
    <w:p w14:paraId="12D7F8D8" w14:textId="2B09B9CA" w:rsidR="00C12949" w:rsidRDefault="00C12949">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28660371" w:history="1">
        <w:r w:rsidRPr="00CA2552">
          <w:rPr>
            <w:rStyle w:val="Hyperlink"/>
            <w:noProof/>
          </w:rPr>
          <w:t>Context for this work</w:t>
        </w:r>
        <w:r>
          <w:rPr>
            <w:noProof/>
            <w:webHidden/>
          </w:rPr>
          <w:tab/>
        </w:r>
        <w:r>
          <w:rPr>
            <w:noProof/>
            <w:webHidden/>
          </w:rPr>
          <w:fldChar w:fldCharType="begin"/>
        </w:r>
        <w:r>
          <w:rPr>
            <w:noProof/>
            <w:webHidden/>
          </w:rPr>
          <w:instrText xml:space="preserve"> PAGEREF _Toc128660371 \h </w:instrText>
        </w:r>
        <w:r>
          <w:rPr>
            <w:noProof/>
            <w:webHidden/>
          </w:rPr>
        </w:r>
        <w:r>
          <w:rPr>
            <w:noProof/>
            <w:webHidden/>
          </w:rPr>
          <w:fldChar w:fldCharType="separate"/>
        </w:r>
        <w:r>
          <w:rPr>
            <w:noProof/>
            <w:webHidden/>
          </w:rPr>
          <w:t>iii</w:t>
        </w:r>
        <w:r>
          <w:rPr>
            <w:noProof/>
            <w:webHidden/>
          </w:rPr>
          <w:fldChar w:fldCharType="end"/>
        </w:r>
      </w:hyperlink>
    </w:p>
    <w:p w14:paraId="0272253A" w14:textId="103994D2" w:rsidR="00C12949" w:rsidRDefault="000F0021">
      <w:pPr>
        <w:pStyle w:val="TOC1"/>
        <w:rPr>
          <w:rFonts w:asciiTheme="minorHAnsi" w:eastAsiaTheme="minorEastAsia" w:hAnsiTheme="minorHAnsi" w:cstheme="minorBidi"/>
          <w:noProof/>
          <w:sz w:val="22"/>
          <w:szCs w:val="22"/>
          <w:lang w:eastAsia="en-NZ"/>
        </w:rPr>
      </w:pPr>
      <w:hyperlink w:anchor="_Toc128660372" w:history="1">
        <w:r w:rsidR="00C12949" w:rsidRPr="00CA2552">
          <w:rPr>
            <w:rStyle w:val="Hyperlink"/>
            <w:noProof/>
          </w:rPr>
          <w:t xml:space="preserve">Kupu Whakataki | </w:t>
        </w:r>
        <w:r w:rsidR="00C12949" w:rsidRPr="00CA2552">
          <w:rPr>
            <w:rStyle w:val="Hyperlink"/>
            <w:bCs/>
            <w:noProof/>
          </w:rPr>
          <w:t>Introduction</w:t>
        </w:r>
        <w:r w:rsidR="00C12949">
          <w:rPr>
            <w:noProof/>
            <w:webHidden/>
          </w:rPr>
          <w:tab/>
        </w:r>
        <w:r w:rsidR="00C12949">
          <w:rPr>
            <w:noProof/>
            <w:webHidden/>
          </w:rPr>
          <w:fldChar w:fldCharType="begin"/>
        </w:r>
        <w:r w:rsidR="00C12949">
          <w:rPr>
            <w:noProof/>
            <w:webHidden/>
          </w:rPr>
          <w:instrText xml:space="preserve"> PAGEREF _Toc128660372 \h </w:instrText>
        </w:r>
        <w:r w:rsidR="00C12949">
          <w:rPr>
            <w:noProof/>
            <w:webHidden/>
          </w:rPr>
        </w:r>
        <w:r w:rsidR="00C12949">
          <w:rPr>
            <w:noProof/>
            <w:webHidden/>
          </w:rPr>
          <w:fldChar w:fldCharType="separate"/>
        </w:r>
        <w:r w:rsidR="00C12949">
          <w:rPr>
            <w:noProof/>
            <w:webHidden/>
          </w:rPr>
          <w:t>1</w:t>
        </w:r>
        <w:r w:rsidR="00C12949">
          <w:rPr>
            <w:noProof/>
            <w:webHidden/>
          </w:rPr>
          <w:fldChar w:fldCharType="end"/>
        </w:r>
      </w:hyperlink>
    </w:p>
    <w:p w14:paraId="700AE2BB" w14:textId="0D48121A" w:rsidR="00C12949" w:rsidRDefault="000F0021">
      <w:pPr>
        <w:pStyle w:val="TOC1"/>
        <w:rPr>
          <w:rFonts w:asciiTheme="minorHAnsi" w:eastAsiaTheme="minorEastAsia" w:hAnsiTheme="minorHAnsi" w:cstheme="minorBidi"/>
          <w:noProof/>
          <w:sz w:val="22"/>
          <w:szCs w:val="22"/>
          <w:lang w:eastAsia="en-NZ"/>
        </w:rPr>
      </w:pPr>
      <w:hyperlink w:anchor="_Toc128660373" w:history="1">
        <w:r w:rsidR="00C12949" w:rsidRPr="00CA2552">
          <w:rPr>
            <w:rStyle w:val="Hyperlink"/>
            <w:rFonts w:eastAsia="Lucida Sans Unicode"/>
            <w:noProof/>
          </w:rPr>
          <w:t>Te Tiriti o Waitangi</w:t>
        </w:r>
        <w:r w:rsidR="00C12949">
          <w:rPr>
            <w:noProof/>
            <w:webHidden/>
          </w:rPr>
          <w:tab/>
        </w:r>
        <w:r w:rsidR="00C12949">
          <w:rPr>
            <w:noProof/>
            <w:webHidden/>
          </w:rPr>
          <w:fldChar w:fldCharType="begin"/>
        </w:r>
        <w:r w:rsidR="00C12949">
          <w:rPr>
            <w:noProof/>
            <w:webHidden/>
          </w:rPr>
          <w:instrText xml:space="preserve"> PAGEREF _Toc128660373 \h </w:instrText>
        </w:r>
        <w:r w:rsidR="00C12949">
          <w:rPr>
            <w:noProof/>
            <w:webHidden/>
          </w:rPr>
        </w:r>
        <w:r w:rsidR="00C12949">
          <w:rPr>
            <w:noProof/>
            <w:webHidden/>
          </w:rPr>
          <w:fldChar w:fldCharType="separate"/>
        </w:r>
        <w:r w:rsidR="00C12949">
          <w:rPr>
            <w:noProof/>
            <w:webHidden/>
          </w:rPr>
          <w:t>2</w:t>
        </w:r>
        <w:r w:rsidR="00C12949">
          <w:rPr>
            <w:noProof/>
            <w:webHidden/>
          </w:rPr>
          <w:fldChar w:fldCharType="end"/>
        </w:r>
      </w:hyperlink>
    </w:p>
    <w:p w14:paraId="6CA916C5" w14:textId="3D3EA907" w:rsidR="00C12949" w:rsidRDefault="000F0021">
      <w:pPr>
        <w:pStyle w:val="TOC1"/>
        <w:rPr>
          <w:rFonts w:asciiTheme="minorHAnsi" w:eastAsiaTheme="minorEastAsia" w:hAnsiTheme="minorHAnsi" w:cstheme="minorBidi"/>
          <w:noProof/>
          <w:sz w:val="22"/>
          <w:szCs w:val="22"/>
          <w:lang w:eastAsia="en-NZ"/>
        </w:rPr>
      </w:pPr>
      <w:hyperlink w:anchor="_Toc128660374" w:history="1">
        <w:r w:rsidR="00C12949" w:rsidRPr="00CA2552">
          <w:rPr>
            <w:rStyle w:val="Hyperlink"/>
            <w:rFonts w:eastAsia="Lucida Sans Unicode"/>
            <w:noProof/>
          </w:rPr>
          <w:t>Organisational levers for change</w:t>
        </w:r>
        <w:r w:rsidR="00C12949">
          <w:rPr>
            <w:noProof/>
            <w:webHidden/>
          </w:rPr>
          <w:tab/>
        </w:r>
        <w:r w:rsidR="00C12949">
          <w:rPr>
            <w:noProof/>
            <w:webHidden/>
          </w:rPr>
          <w:fldChar w:fldCharType="begin"/>
        </w:r>
        <w:r w:rsidR="00C12949">
          <w:rPr>
            <w:noProof/>
            <w:webHidden/>
          </w:rPr>
          <w:instrText xml:space="preserve"> PAGEREF _Toc128660374 \h </w:instrText>
        </w:r>
        <w:r w:rsidR="00C12949">
          <w:rPr>
            <w:noProof/>
            <w:webHidden/>
          </w:rPr>
        </w:r>
        <w:r w:rsidR="00C12949">
          <w:rPr>
            <w:noProof/>
            <w:webHidden/>
          </w:rPr>
          <w:fldChar w:fldCharType="separate"/>
        </w:r>
        <w:r w:rsidR="00C12949">
          <w:rPr>
            <w:noProof/>
            <w:webHidden/>
          </w:rPr>
          <w:t>2</w:t>
        </w:r>
        <w:r w:rsidR="00C12949">
          <w:rPr>
            <w:noProof/>
            <w:webHidden/>
          </w:rPr>
          <w:fldChar w:fldCharType="end"/>
        </w:r>
      </w:hyperlink>
    </w:p>
    <w:p w14:paraId="2DDB77A2" w14:textId="5E375C38" w:rsidR="00C12949" w:rsidRDefault="000F0021">
      <w:pPr>
        <w:pStyle w:val="TOC2"/>
        <w:rPr>
          <w:rFonts w:asciiTheme="minorHAnsi" w:eastAsiaTheme="minorEastAsia" w:hAnsiTheme="minorHAnsi" w:cstheme="minorBidi"/>
          <w:noProof/>
          <w:szCs w:val="22"/>
          <w:lang w:eastAsia="en-NZ"/>
        </w:rPr>
      </w:pPr>
      <w:hyperlink w:anchor="_Toc128660375" w:history="1">
        <w:r w:rsidR="00C12949" w:rsidRPr="00CA2552">
          <w:rPr>
            <w:rStyle w:val="Hyperlink"/>
            <w:noProof/>
          </w:rPr>
          <w:t>Leadership</w:t>
        </w:r>
        <w:r w:rsidR="00C12949">
          <w:rPr>
            <w:noProof/>
            <w:webHidden/>
          </w:rPr>
          <w:tab/>
        </w:r>
        <w:r w:rsidR="00C12949">
          <w:rPr>
            <w:noProof/>
            <w:webHidden/>
          </w:rPr>
          <w:fldChar w:fldCharType="begin"/>
        </w:r>
        <w:r w:rsidR="00C12949">
          <w:rPr>
            <w:noProof/>
            <w:webHidden/>
          </w:rPr>
          <w:instrText xml:space="preserve"> PAGEREF _Toc128660375 \h </w:instrText>
        </w:r>
        <w:r w:rsidR="00C12949">
          <w:rPr>
            <w:noProof/>
            <w:webHidden/>
          </w:rPr>
        </w:r>
        <w:r w:rsidR="00C12949">
          <w:rPr>
            <w:noProof/>
            <w:webHidden/>
          </w:rPr>
          <w:fldChar w:fldCharType="separate"/>
        </w:r>
        <w:r w:rsidR="00C12949">
          <w:rPr>
            <w:noProof/>
            <w:webHidden/>
          </w:rPr>
          <w:t>3</w:t>
        </w:r>
        <w:r w:rsidR="00C12949">
          <w:rPr>
            <w:noProof/>
            <w:webHidden/>
          </w:rPr>
          <w:fldChar w:fldCharType="end"/>
        </w:r>
      </w:hyperlink>
    </w:p>
    <w:p w14:paraId="57894343" w14:textId="3E2B308A" w:rsidR="00C12949" w:rsidRDefault="000F0021">
      <w:pPr>
        <w:pStyle w:val="TOC2"/>
        <w:rPr>
          <w:rFonts w:asciiTheme="minorHAnsi" w:eastAsiaTheme="minorEastAsia" w:hAnsiTheme="minorHAnsi" w:cstheme="minorBidi"/>
          <w:noProof/>
          <w:szCs w:val="22"/>
          <w:lang w:eastAsia="en-NZ"/>
        </w:rPr>
      </w:pPr>
      <w:hyperlink w:anchor="_Toc128660376" w:history="1">
        <w:r w:rsidR="00C12949" w:rsidRPr="00CA2552">
          <w:rPr>
            <w:rStyle w:val="Hyperlink"/>
            <w:noProof/>
          </w:rPr>
          <w:t>Narrative</w:t>
        </w:r>
        <w:r w:rsidR="00C12949">
          <w:rPr>
            <w:noProof/>
            <w:webHidden/>
          </w:rPr>
          <w:tab/>
        </w:r>
        <w:r w:rsidR="00C12949">
          <w:rPr>
            <w:noProof/>
            <w:webHidden/>
          </w:rPr>
          <w:fldChar w:fldCharType="begin"/>
        </w:r>
        <w:r w:rsidR="00C12949">
          <w:rPr>
            <w:noProof/>
            <w:webHidden/>
          </w:rPr>
          <w:instrText xml:space="preserve"> PAGEREF _Toc128660376 \h </w:instrText>
        </w:r>
        <w:r w:rsidR="00C12949">
          <w:rPr>
            <w:noProof/>
            <w:webHidden/>
          </w:rPr>
        </w:r>
        <w:r w:rsidR="00C12949">
          <w:rPr>
            <w:noProof/>
            <w:webHidden/>
          </w:rPr>
          <w:fldChar w:fldCharType="separate"/>
        </w:r>
        <w:r w:rsidR="00C12949">
          <w:rPr>
            <w:noProof/>
            <w:webHidden/>
          </w:rPr>
          <w:t>5</w:t>
        </w:r>
        <w:r w:rsidR="00C12949">
          <w:rPr>
            <w:noProof/>
            <w:webHidden/>
          </w:rPr>
          <w:fldChar w:fldCharType="end"/>
        </w:r>
      </w:hyperlink>
    </w:p>
    <w:p w14:paraId="47E65122" w14:textId="6F459F89" w:rsidR="00C12949" w:rsidRDefault="000F0021">
      <w:pPr>
        <w:pStyle w:val="TOC2"/>
        <w:rPr>
          <w:rFonts w:asciiTheme="minorHAnsi" w:eastAsiaTheme="minorEastAsia" w:hAnsiTheme="minorHAnsi" w:cstheme="minorBidi"/>
          <w:noProof/>
          <w:szCs w:val="22"/>
          <w:lang w:eastAsia="en-NZ"/>
        </w:rPr>
      </w:pPr>
      <w:hyperlink w:anchor="_Toc128660377" w:history="1">
        <w:r w:rsidR="00C12949" w:rsidRPr="00CA2552">
          <w:rPr>
            <w:rStyle w:val="Hyperlink"/>
            <w:rFonts w:eastAsia="Arial Unicode MS"/>
            <w:noProof/>
          </w:rPr>
          <w:t>Organisational Strategy and Goals</w:t>
        </w:r>
        <w:r w:rsidR="00C12949">
          <w:rPr>
            <w:noProof/>
            <w:webHidden/>
          </w:rPr>
          <w:tab/>
        </w:r>
        <w:r w:rsidR="00C12949">
          <w:rPr>
            <w:noProof/>
            <w:webHidden/>
          </w:rPr>
          <w:fldChar w:fldCharType="begin"/>
        </w:r>
        <w:r w:rsidR="00C12949">
          <w:rPr>
            <w:noProof/>
            <w:webHidden/>
          </w:rPr>
          <w:instrText xml:space="preserve"> PAGEREF _Toc128660377 \h </w:instrText>
        </w:r>
        <w:r w:rsidR="00C12949">
          <w:rPr>
            <w:noProof/>
            <w:webHidden/>
          </w:rPr>
        </w:r>
        <w:r w:rsidR="00C12949">
          <w:rPr>
            <w:noProof/>
            <w:webHidden/>
          </w:rPr>
          <w:fldChar w:fldCharType="separate"/>
        </w:r>
        <w:r w:rsidR="00C12949">
          <w:rPr>
            <w:noProof/>
            <w:webHidden/>
          </w:rPr>
          <w:t>7</w:t>
        </w:r>
        <w:r w:rsidR="00C12949">
          <w:rPr>
            <w:noProof/>
            <w:webHidden/>
          </w:rPr>
          <w:fldChar w:fldCharType="end"/>
        </w:r>
      </w:hyperlink>
    </w:p>
    <w:p w14:paraId="69C35F7D" w14:textId="27EFB360" w:rsidR="00C12949" w:rsidRDefault="000F0021">
      <w:pPr>
        <w:pStyle w:val="TOC2"/>
        <w:rPr>
          <w:rFonts w:asciiTheme="minorHAnsi" w:eastAsiaTheme="minorEastAsia" w:hAnsiTheme="minorHAnsi" w:cstheme="minorBidi"/>
          <w:noProof/>
          <w:szCs w:val="22"/>
          <w:lang w:eastAsia="en-NZ"/>
        </w:rPr>
      </w:pPr>
      <w:hyperlink w:anchor="_Toc128660378" w:history="1">
        <w:r w:rsidR="00C12949" w:rsidRPr="00CA2552">
          <w:rPr>
            <w:rStyle w:val="Hyperlink"/>
            <w:rFonts w:eastAsia="Arial Unicode MS"/>
            <w:noProof/>
          </w:rPr>
          <w:t>Budgets and Resourcing</w:t>
        </w:r>
        <w:r w:rsidR="00C12949">
          <w:rPr>
            <w:noProof/>
            <w:webHidden/>
          </w:rPr>
          <w:tab/>
        </w:r>
        <w:r w:rsidR="00C12949">
          <w:rPr>
            <w:noProof/>
            <w:webHidden/>
          </w:rPr>
          <w:fldChar w:fldCharType="begin"/>
        </w:r>
        <w:r w:rsidR="00C12949">
          <w:rPr>
            <w:noProof/>
            <w:webHidden/>
          </w:rPr>
          <w:instrText xml:space="preserve"> PAGEREF _Toc128660378 \h </w:instrText>
        </w:r>
        <w:r w:rsidR="00C12949">
          <w:rPr>
            <w:noProof/>
            <w:webHidden/>
          </w:rPr>
        </w:r>
        <w:r w:rsidR="00C12949">
          <w:rPr>
            <w:noProof/>
            <w:webHidden/>
          </w:rPr>
          <w:fldChar w:fldCharType="separate"/>
        </w:r>
        <w:r w:rsidR="00C12949">
          <w:rPr>
            <w:noProof/>
            <w:webHidden/>
          </w:rPr>
          <w:t>8</w:t>
        </w:r>
        <w:r w:rsidR="00C12949">
          <w:rPr>
            <w:noProof/>
            <w:webHidden/>
          </w:rPr>
          <w:fldChar w:fldCharType="end"/>
        </w:r>
      </w:hyperlink>
    </w:p>
    <w:p w14:paraId="07332BF6" w14:textId="5F74AD04" w:rsidR="00C12949" w:rsidRDefault="000F0021">
      <w:pPr>
        <w:pStyle w:val="TOC2"/>
        <w:rPr>
          <w:rFonts w:asciiTheme="minorHAnsi" w:eastAsiaTheme="minorEastAsia" w:hAnsiTheme="minorHAnsi" w:cstheme="minorBidi"/>
          <w:noProof/>
          <w:szCs w:val="22"/>
          <w:lang w:eastAsia="en-NZ"/>
        </w:rPr>
      </w:pPr>
      <w:hyperlink w:anchor="_Toc128660379" w:history="1">
        <w:r w:rsidR="00C12949" w:rsidRPr="00CA2552">
          <w:rPr>
            <w:rStyle w:val="Hyperlink"/>
            <w:rFonts w:eastAsia="Arial Unicode MS"/>
            <w:noProof/>
          </w:rPr>
          <w:t>Power and Commitment</w:t>
        </w:r>
        <w:r w:rsidR="00C12949">
          <w:rPr>
            <w:noProof/>
            <w:webHidden/>
          </w:rPr>
          <w:tab/>
        </w:r>
        <w:r w:rsidR="00C12949">
          <w:rPr>
            <w:noProof/>
            <w:webHidden/>
          </w:rPr>
          <w:fldChar w:fldCharType="begin"/>
        </w:r>
        <w:r w:rsidR="00C12949">
          <w:rPr>
            <w:noProof/>
            <w:webHidden/>
          </w:rPr>
          <w:instrText xml:space="preserve"> PAGEREF _Toc128660379 \h </w:instrText>
        </w:r>
        <w:r w:rsidR="00C12949">
          <w:rPr>
            <w:noProof/>
            <w:webHidden/>
          </w:rPr>
        </w:r>
        <w:r w:rsidR="00C12949">
          <w:rPr>
            <w:noProof/>
            <w:webHidden/>
          </w:rPr>
          <w:fldChar w:fldCharType="separate"/>
        </w:r>
        <w:r w:rsidR="00C12949">
          <w:rPr>
            <w:noProof/>
            <w:webHidden/>
          </w:rPr>
          <w:t>9</w:t>
        </w:r>
        <w:r w:rsidR="00C12949">
          <w:rPr>
            <w:noProof/>
            <w:webHidden/>
          </w:rPr>
          <w:fldChar w:fldCharType="end"/>
        </w:r>
      </w:hyperlink>
    </w:p>
    <w:p w14:paraId="512A1EE9" w14:textId="1C2D8CD6" w:rsidR="00C12949" w:rsidRDefault="000F0021">
      <w:pPr>
        <w:pStyle w:val="TOC2"/>
        <w:rPr>
          <w:rFonts w:asciiTheme="minorHAnsi" w:eastAsiaTheme="minorEastAsia" w:hAnsiTheme="minorHAnsi" w:cstheme="minorBidi"/>
          <w:noProof/>
          <w:szCs w:val="22"/>
          <w:lang w:eastAsia="en-NZ"/>
        </w:rPr>
      </w:pPr>
      <w:hyperlink w:anchor="_Toc128660380" w:history="1">
        <w:r w:rsidR="00C12949" w:rsidRPr="00CA2552">
          <w:rPr>
            <w:rStyle w:val="Hyperlink"/>
            <w:rFonts w:eastAsia="Arial Unicode MS"/>
            <w:noProof/>
          </w:rPr>
          <w:t>Diversity and Recruitment</w:t>
        </w:r>
        <w:r w:rsidR="00C12949">
          <w:rPr>
            <w:noProof/>
            <w:webHidden/>
          </w:rPr>
          <w:tab/>
        </w:r>
        <w:r w:rsidR="00C12949">
          <w:rPr>
            <w:noProof/>
            <w:webHidden/>
          </w:rPr>
          <w:fldChar w:fldCharType="begin"/>
        </w:r>
        <w:r w:rsidR="00C12949">
          <w:rPr>
            <w:noProof/>
            <w:webHidden/>
          </w:rPr>
          <w:instrText xml:space="preserve"> PAGEREF _Toc128660380 \h </w:instrText>
        </w:r>
        <w:r w:rsidR="00C12949">
          <w:rPr>
            <w:noProof/>
            <w:webHidden/>
          </w:rPr>
        </w:r>
        <w:r w:rsidR="00C12949">
          <w:rPr>
            <w:noProof/>
            <w:webHidden/>
          </w:rPr>
          <w:fldChar w:fldCharType="separate"/>
        </w:r>
        <w:r w:rsidR="00C12949">
          <w:rPr>
            <w:noProof/>
            <w:webHidden/>
          </w:rPr>
          <w:t>11</w:t>
        </w:r>
        <w:r w:rsidR="00C12949">
          <w:rPr>
            <w:noProof/>
            <w:webHidden/>
          </w:rPr>
          <w:fldChar w:fldCharType="end"/>
        </w:r>
      </w:hyperlink>
    </w:p>
    <w:p w14:paraId="57F0A05E" w14:textId="0DFA41CF" w:rsidR="00C12949" w:rsidRDefault="000F0021">
      <w:pPr>
        <w:pStyle w:val="TOC2"/>
        <w:rPr>
          <w:rFonts w:asciiTheme="minorHAnsi" w:eastAsiaTheme="minorEastAsia" w:hAnsiTheme="minorHAnsi" w:cstheme="minorBidi"/>
          <w:noProof/>
          <w:szCs w:val="22"/>
          <w:lang w:eastAsia="en-NZ"/>
        </w:rPr>
      </w:pPr>
      <w:hyperlink w:anchor="_Toc128660381" w:history="1">
        <w:r w:rsidR="00C12949" w:rsidRPr="00CA2552">
          <w:rPr>
            <w:rStyle w:val="Hyperlink"/>
            <w:rFonts w:eastAsia="Arial Unicode MS"/>
            <w:noProof/>
          </w:rPr>
          <w:t>Rewards and Promotions</w:t>
        </w:r>
        <w:r w:rsidR="00C12949">
          <w:rPr>
            <w:noProof/>
            <w:webHidden/>
          </w:rPr>
          <w:tab/>
        </w:r>
        <w:r w:rsidR="00C12949">
          <w:rPr>
            <w:noProof/>
            <w:webHidden/>
          </w:rPr>
          <w:fldChar w:fldCharType="begin"/>
        </w:r>
        <w:r w:rsidR="00C12949">
          <w:rPr>
            <w:noProof/>
            <w:webHidden/>
          </w:rPr>
          <w:instrText xml:space="preserve"> PAGEREF _Toc128660381 \h </w:instrText>
        </w:r>
        <w:r w:rsidR="00C12949">
          <w:rPr>
            <w:noProof/>
            <w:webHidden/>
          </w:rPr>
        </w:r>
        <w:r w:rsidR="00C12949">
          <w:rPr>
            <w:noProof/>
            <w:webHidden/>
          </w:rPr>
          <w:fldChar w:fldCharType="separate"/>
        </w:r>
        <w:r w:rsidR="00C12949">
          <w:rPr>
            <w:noProof/>
            <w:webHidden/>
          </w:rPr>
          <w:t>12</w:t>
        </w:r>
        <w:r w:rsidR="00C12949">
          <w:rPr>
            <w:noProof/>
            <w:webHidden/>
          </w:rPr>
          <w:fldChar w:fldCharType="end"/>
        </w:r>
      </w:hyperlink>
    </w:p>
    <w:p w14:paraId="45451A2D" w14:textId="3A37E866" w:rsidR="00C12949" w:rsidRDefault="000F0021">
      <w:pPr>
        <w:pStyle w:val="TOC2"/>
        <w:rPr>
          <w:rFonts w:asciiTheme="minorHAnsi" w:eastAsiaTheme="minorEastAsia" w:hAnsiTheme="minorHAnsi" w:cstheme="minorBidi"/>
          <w:noProof/>
          <w:szCs w:val="22"/>
          <w:lang w:eastAsia="en-NZ"/>
        </w:rPr>
      </w:pPr>
      <w:hyperlink w:anchor="_Toc128660382" w:history="1">
        <w:r w:rsidR="00C12949" w:rsidRPr="00CA2552">
          <w:rPr>
            <w:rStyle w:val="Hyperlink"/>
            <w:rFonts w:eastAsia="Arial Unicode MS"/>
            <w:noProof/>
          </w:rPr>
          <w:t>Disciplinary Processes and Accountability</w:t>
        </w:r>
        <w:r w:rsidR="00C12949">
          <w:rPr>
            <w:noProof/>
            <w:webHidden/>
          </w:rPr>
          <w:tab/>
        </w:r>
        <w:r w:rsidR="00C12949">
          <w:rPr>
            <w:noProof/>
            <w:webHidden/>
          </w:rPr>
          <w:fldChar w:fldCharType="begin"/>
        </w:r>
        <w:r w:rsidR="00C12949">
          <w:rPr>
            <w:noProof/>
            <w:webHidden/>
          </w:rPr>
          <w:instrText xml:space="preserve"> PAGEREF _Toc128660382 \h </w:instrText>
        </w:r>
        <w:r w:rsidR="00C12949">
          <w:rPr>
            <w:noProof/>
            <w:webHidden/>
          </w:rPr>
        </w:r>
        <w:r w:rsidR="00C12949">
          <w:rPr>
            <w:noProof/>
            <w:webHidden/>
          </w:rPr>
          <w:fldChar w:fldCharType="separate"/>
        </w:r>
        <w:r w:rsidR="00C12949">
          <w:rPr>
            <w:noProof/>
            <w:webHidden/>
          </w:rPr>
          <w:t>14</w:t>
        </w:r>
        <w:r w:rsidR="00C12949">
          <w:rPr>
            <w:noProof/>
            <w:webHidden/>
          </w:rPr>
          <w:fldChar w:fldCharType="end"/>
        </w:r>
      </w:hyperlink>
    </w:p>
    <w:p w14:paraId="070A1CFF" w14:textId="67E2FEF3" w:rsidR="00C12949" w:rsidRDefault="000F0021">
      <w:pPr>
        <w:pStyle w:val="TOC2"/>
        <w:rPr>
          <w:rFonts w:asciiTheme="minorHAnsi" w:eastAsiaTheme="minorEastAsia" w:hAnsiTheme="minorHAnsi" w:cstheme="minorBidi"/>
          <w:noProof/>
          <w:szCs w:val="22"/>
          <w:lang w:eastAsia="en-NZ"/>
        </w:rPr>
      </w:pPr>
      <w:hyperlink w:anchor="_Toc128660383" w:history="1">
        <w:r w:rsidR="00C12949" w:rsidRPr="00CA2552">
          <w:rPr>
            <w:rStyle w:val="Hyperlink"/>
            <w:rFonts w:eastAsia="Lucida Sans Unicode"/>
            <w:noProof/>
          </w:rPr>
          <w:t>Reflective Practices</w:t>
        </w:r>
        <w:r w:rsidR="00C12949">
          <w:rPr>
            <w:noProof/>
            <w:webHidden/>
          </w:rPr>
          <w:tab/>
        </w:r>
        <w:r w:rsidR="00C12949">
          <w:rPr>
            <w:noProof/>
            <w:webHidden/>
          </w:rPr>
          <w:fldChar w:fldCharType="begin"/>
        </w:r>
        <w:r w:rsidR="00C12949">
          <w:rPr>
            <w:noProof/>
            <w:webHidden/>
          </w:rPr>
          <w:instrText xml:space="preserve"> PAGEREF _Toc128660383 \h </w:instrText>
        </w:r>
        <w:r w:rsidR="00C12949">
          <w:rPr>
            <w:noProof/>
            <w:webHidden/>
          </w:rPr>
        </w:r>
        <w:r w:rsidR="00C12949">
          <w:rPr>
            <w:noProof/>
            <w:webHidden/>
          </w:rPr>
          <w:fldChar w:fldCharType="separate"/>
        </w:r>
        <w:r w:rsidR="00C12949">
          <w:rPr>
            <w:noProof/>
            <w:webHidden/>
          </w:rPr>
          <w:t>15</w:t>
        </w:r>
        <w:r w:rsidR="00C12949">
          <w:rPr>
            <w:noProof/>
            <w:webHidden/>
          </w:rPr>
          <w:fldChar w:fldCharType="end"/>
        </w:r>
      </w:hyperlink>
    </w:p>
    <w:p w14:paraId="2A0724A6" w14:textId="38DBF7E1" w:rsidR="00C12949" w:rsidRDefault="000F0021">
      <w:pPr>
        <w:pStyle w:val="TOC2"/>
        <w:rPr>
          <w:rFonts w:asciiTheme="minorHAnsi" w:eastAsiaTheme="minorEastAsia" w:hAnsiTheme="minorHAnsi" w:cstheme="minorBidi"/>
          <w:noProof/>
          <w:szCs w:val="22"/>
          <w:lang w:eastAsia="en-NZ"/>
        </w:rPr>
      </w:pPr>
      <w:hyperlink w:anchor="_Toc128660384" w:history="1">
        <w:r w:rsidR="00C12949" w:rsidRPr="00CA2552">
          <w:rPr>
            <w:rStyle w:val="Hyperlink"/>
            <w:noProof/>
          </w:rPr>
          <w:t>Training and Knowledge</w:t>
        </w:r>
        <w:r w:rsidR="00C12949">
          <w:rPr>
            <w:noProof/>
            <w:webHidden/>
          </w:rPr>
          <w:tab/>
        </w:r>
        <w:r w:rsidR="00C12949">
          <w:rPr>
            <w:noProof/>
            <w:webHidden/>
          </w:rPr>
          <w:fldChar w:fldCharType="begin"/>
        </w:r>
        <w:r w:rsidR="00C12949">
          <w:rPr>
            <w:noProof/>
            <w:webHidden/>
          </w:rPr>
          <w:instrText xml:space="preserve"> PAGEREF _Toc128660384 \h </w:instrText>
        </w:r>
        <w:r w:rsidR="00C12949">
          <w:rPr>
            <w:noProof/>
            <w:webHidden/>
          </w:rPr>
        </w:r>
        <w:r w:rsidR="00C12949">
          <w:rPr>
            <w:noProof/>
            <w:webHidden/>
          </w:rPr>
          <w:fldChar w:fldCharType="separate"/>
        </w:r>
        <w:r w:rsidR="00C12949">
          <w:rPr>
            <w:noProof/>
            <w:webHidden/>
          </w:rPr>
          <w:t>17</w:t>
        </w:r>
        <w:r w:rsidR="00C12949">
          <w:rPr>
            <w:noProof/>
            <w:webHidden/>
          </w:rPr>
          <w:fldChar w:fldCharType="end"/>
        </w:r>
      </w:hyperlink>
    </w:p>
    <w:p w14:paraId="6F15CF1D" w14:textId="7FA36B7D" w:rsidR="00C12949" w:rsidRDefault="000F0021">
      <w:pPr>
        <w:pStyle w:val="TOC2"/>
        <w:rPr>
          <w:rFonts w:asciiTheme="minorHAnsi" w:eastAsiaTheme="minorEastAsia" w:hAnsiTheme="minorHAnsi" w:cstheme="minorBidi"/>
          <w:noProof/>
          <w:szCs w:val="22"/>
          <w:lang w:eastAsia="en-NZ"/>
        </w:rPr>
      </w:pPr>
      <w:hyperlink w:anchor="_Toc128660385" w:history="1">
        <w:r w:rsidR="00C12949" w:rsidRPr="00CA2552">
          <w:rPr>
            <w:rStyle w:val="Hyperlink"/>
            <w:rFonts w:eastAsia="Arial Unicode MS"/>
            <w:noProof/>
          </w:rPr>
          <w:t>Habitual Practices</w:t>
        </w:r>
        <w:r w:rsidR="00C12949">
          <w:rPr>
            <w:noProof/>
            <w:webHidden/>
          </w:rPr>
          <w:tab/>
        </w:r>
        <w:r w:rsidR="00C12949">
          <w:rPr>
            <w:noProof/>
            <w:webHidden/>
          </w:rPr>
          <w:fldChar w:fldCharType="begin"/>
        </w:r>
        <w:r w:rsidR="00C12949">
          <w:rPr>
            <w:noProof/>
            <w:webHidden/>
          </w:rPr>
          <w:instrText xml:space="preserve"> PAGEREF _Toc128660385 \h </w:instrText>
        </w:r>
        <w:r w:rsidR="00C12949">
          <w:rPr>
            <w:noProof/>
            <w:webHidden/>
          </w:rPr>
        </w:r>
        <w:r w:rsidR="00C12949">
          <w:rPr>
            <w:noProof/>
            <w:webHidden/>
          </w:rPr>
          <w:fldChar w:fldCharType="separate"/>
        </w:r>
        <w:r w:rsidR="00C12949">
          <w:rPr>
            <w:noProof/>
            <w:webHidden/>
          </w:rPr>
          <w:t>19</w:t>
        </w:r>
        <w:r w:rsidR="00C12949">
          <w:rPr>
            <w:noProof/>
            <w:webHidden/>
          </w:rPr>
          <w:fldChar w:fldCharType="end"/>
        </w:r>
      </w:hyperlink>
    </w:p>
    <w:p w14:paraId="32B7916F" w14:textId="4BB0621F" w:rsidR="00C12949" w:rsidRDefault="000F0021">
      <w:pPr>
        <w:pStyle w:val="TOC2"/>
        <w:rPr>
          <w:rFonts w:asciiTheme="minorHAnsi" w:eastAsiaTheme="minorEastAsia" w:hAnsiTheme="minorHAnsi" w:cstheme="minorBidi"/>
          <w:noProof/>
          <w:szCs w:val="22"/>
          <w:lang w:eastAsia="en-NZ"/>
        </w:rPr>
      </w:pPr>
      <w:hyperlink w:anchor="_Toc128660386" w:history="1">
        <w:r w:rsidR="00C12949" w:rsidRPr="00CA2552">
          <w:rPr>
            <w:rStyle w:val="Hyperlink"/>
            <w:noProof/>
          </w:rPr>
          <w:t>Evaluation of Organisational Shifts</w:t>
        </w:r>
        <w:r w:rsidR="00C12949">
          <w:rPr>
            <w:noProof/>
            <w:webHidden/>
          </w:rPr>
          <w:tab/>
        </w:r>
        <w:r w:rsidR="00C12949">
          <w:rPr>
            <w:noProof/>
            <w:webHidden/>
          </w:rPr>
          <w:fldChar w:fldCharType="begin"/>
        </w:r>
        <w:r w:rsidR="00C12949">
          <w:rPr>
            <w:noProof/>
            <w:webHidden/>
          </w:rPr>
          <w:instrText xml:space="preserve"> PAGEREF _Toc128660386 \h </w:instrText>
        </w:r>
        <w:r w:rsidR="00C12949">
          <w:rPr>
            <w:noProof/>
            <w:webHidden/>
          </w:rPr>
        </w:r>
        <w:r w:rsidR="00C12949">
          <w:rPr>
            <w:noProof/>
            <w:webHidden/>
          </w:rPr>
          <w:fldChar w:fldCharType="separate"/>
        </w:r>
        <w:r w:rsidR="00C12949">
          <w:rPr>
            <w:noProof/>
            <w:webHidden/>
          </w:rPr>
          <w:t>20</w:t>
        </w:r>
        <w:r w:rsidR="00C12949">
          <w:rPr>
            <w:noProof/>
            <w:webHidden/>
          </w:rPr>
          <w:fldChar w:fldCharType="end"/>
        </w:r>
      </w:hyperlink>
    </w:p>
    <w:p w14:paraId="47531994" w14:textId="157A09D9" w:rsidR="00C12949" w:rsidRDefault="000F0021">
      <w:pPr>
        <w:pStyle w:val="TOC2"/>
        <w:rPr>
          <w:rFonts w:asciiTheme="minorHAnsi" w:eastAsiaTheme="minorEastAsia" w:hAnsiTheme="minorHAnsi" w:cstheme="minorBidi"/>
          <w:noProof/>
          <w:szCs w:val="22"/>
          <w:lang w:eastAsia="en-NZ"/>
        </w:rPr>
      </w:pPr>
      <w:hyperlink w:anchor="_Toc128660387" w:history="1">
        <w:r w:rsidR="00C12949" w:rsidRPr="00CA2552">
          <w:rPr>
            <w:rStyle w:val="Hyperlink"/>
            <w:rFonts w:eastAsia="Arial Unicode MS"/>
            <w:noProof/>
          </w:rPr>
          <w:t>Equity Data Reporting</w:t>
        </w:r>
        <w:r w:rsidR="00C12949">
          <w:rPr>
            <w:noProof/>
            <w:webHidden/>
          </w:rPr>
          <w:tab/>
        </w:r>
        <w:r w:rsidR="00C12949">
          <w:rPr>
            <w:noProof/>
            <w:webHidden/>
          </w:rPr>
          <w:fldChar w:fldCharType="begin"/>
        </w:r>
        <w:r w:rsidR="00C12949">
          <w:rPr>
            <w:noProof/>
            <w:webHidden/>
          </w:rPr>
          <w:instrText xml:space="preserve"> PAGEREF _Toc128660387 \h </w:instrText>
        </w:r>
        <w:r w:rsidR="00C12949">
          <w:rPr>
            <w:noProof/>
            <w:webHidden/>
          </w:rPr>
        </w:r>
        <w:r w:rsidR="00C12949">
          <w:rPr>
            <w:noProof/>
            <w:webHidden/>
          </w:rPr>
          <w:fldChar w:fldCharType="separate"/>
        </w:r>
        <w:r w:rsidR="00C12949">
          <w:rPr>
            <w:noProof/>
            <w:webHidden/>
          </w:rPr>
          <w:t>21</w:t>
        </w:r>
        <w:r w:rsidR="00C12949">
          <w:rPr>
            <w:noProof/>
            <w:webHidden/>
          </w:rPr>
          <w:fldChar w:fldCharType="end"/>
        </w:r>
      </w:hyperlink>
    </w:p>
    <w:p w14:paraId="5A091CD4" w14:textId="280AE314" w:rsidR="00C12949" w:rsidRDefault="000F0021">
      <w:pPr>
        <w:pStyle w:val="TOC2"/>
        <w:rPr>
          <w:rFonts w:asciiTheme="minorHAnsi" w:eastAsiaTheme="minorEastAsia" w:hAnsiTheme="minorHAnsi" w:cstheme="minorBidi"/>
          <w:noProof/>
          <w:szCs w:val="22"/>
          <w:lang w:eastAsia="en-NZ"/>
        </w:rPr>
      </w:pPr>
      <w:hyperlink w:anchor="_Toc128660388" w:history="1">
        <w:r w:rsidR="00C12949" w:rsidRPr="00CA2552">
          <w:rPr>
            <w:rStyle w:val="Hyperlink"/>
            <w:rFonts w:eastAsia="Arial Unicode MS"/>
            <w:noProof/>
          </w:rPr>
          <w:t>Monitoring and Auditing</w:t>
        </w:r>
        <w:r w:rsidR="00C12949">
          <w:rPr>
            <w:noProof/>
            <w:webHidden/>
          </w:rPr>
          <w:tab/>
        </w:r>
        <w:r w:rsidR="00C12949">
          <w:rPr>
            <w:noProof/>
            <w:webHidden/>
          </w:rPr>
          <w:fldChar w:fldCharType="begin"/>
        </w:r>
        <w:r w:rsidR="00C12949">
          <w:rPr>
            <w:noProof/>
            <w:webHidden/>
          </w:rPr>
          <w:instrText xml:space="preserve"> PAGEREF _Toc128660388 \h </w:instrText>
        </w:r>
        <w:r w:rsidR="00C12949">
          <w:rPr>
            <w:noProof/>
            <w:webHidden/>
          </w:rPr>
        </w:r>
        <w:r w:rsidR="00C12949">
          <w:rPr>
            <w:noProof/>
            <w:webHidden/>
          </w:rPr>
          <w:fldChar w:fldCharType="separate"/>
        </w:r>
        <w:r w:rsidR="00C12949">
          <w:rPr>
            <w:noProof/>
            <w:webHidden/>
          </w:rPr>
          <w:t>22</w:t>
        </w:r>
        <w:r w:rsidR="00C12949">
          <w:rPr>
            <w:noProof/>
            <w:webHidden/>
          </w:rPr>
          <w:fldChar w:fldCharType="end"/>
        </w:r>
      </w:hyperlink>
    </w:p>
    <w:p w14:paraId="2AA3D798" w14:textId="72FBD9DD" w:rsidR="00C12949" w:rsidRDefault="000F0021">
      <w:pPr>
        <w:pStyle w:val="TOC1"/>
        <w:rPr>
          <w:rFonts w:asciiTheme="minorHAnsi" w:eastAsiaTheme="minorEastAsia" w:hAnsiTheme="minorHAnsi" w:cstheme="minorBidi"/>
          <w:noProof/>
          <w:sz w:val="22"/>
          <w:szCs w:val="22"/>
          <w:lang w:eastAsia="en-NZ"/>
        </w:rPr>
      </w:pPr>
      <w:hyperlink w:anchor="_Toc128660389" w:history="1">
        <w:r w:rsidR="00C12949" w:rsidRPr="00CA2552">
          <w:rPr>
            <w:rStyle w:val="Hyperlink"/>
            <w:rFonts w:eastAsia="Lucida Sans Unicode"/>
            <w:noProof/>
          </w:rPr>
          <w:t>Core Business Levers for Change</w:t>
        </w:r>
        <w:r w:rsidR="00C12949">
          <w:rPr>
            <w:noProof/>
            <w:webHidden/>
          </w:rPr>
          <w:tab/>
        </w:r>
        <w:r w:rsidR="00C12949">
          <w:rPr>
            <w:noProof/>
            <w:webHidden/>
          </w:rPr>
          <w:fldChar w:fldCharType="begin"/>
        </w:r>
        <w:r w:rsidR="00C12949">
          <w:rPr>
            <w:noProof/>
            <w:webHidden/>
          </w:rPr>
          <w:instrText xml:space="preserve"> PAGEREF _Toc128660389 \h </w:instrText>
        </w:r>
        <w:r w:rsidR="00C12949">
          <w:rPr>
            <w:noProof/>
            <w:webHidden/>
          </w:rPr>
        </w:r>
        <w:r w:rsidR="00C12949">
          <w:rPr>
            <w:noProof/>
            <w:webHidden/>
          </w:rPr>
          <w:fldChar w:fldCharType="separate"/>
        </w:r>
        <w:r w:rsidR="00C12949">
          <w:rPr>
            <w:noProof/>
            <w:webHidden/>
          </w:rPr>
          <w:t>24</w:t>
        </w:r>
        <w:r w:rsidR="00C12949">
          <w:rPr>
            <w:noProof/>
            <w:webHidden/>
          </w:rPr>
          <w:fldChar w:fldCharType="end"/>
        </w:r>
      </w:hyperlink>
    </w:p>
    <w:p w14:paraId="6A92AF3E" w14:textId="36FCA3DE" w:rsidR="00C12949" w:rsidRDefault="000F0021">
      <w:pPr>
        <w:pStyle w:val="TOC1"/>
        <w:rPr>
          <w:rFonts w:asciiTheme="minorHAnsi" w:eastAsiaTheme="minorEastAsia" w:hAnsiTheme="minorHAnsi" w:cstheme="minorBidi"/>
          <w:noProof/>
          <w:sz w:val="22"/>
          <w:szCs w:val="22"/>
          <w:lang w:eastAsia="en-NZ"/>
        </w:rPr>
      </w:pPr>
      <w:hyperlink w:anchor="_Toc128660390" w:history="1">
        <w:r w:rsidR="00C12949" w:rsidRPr="00CA2552">
          <w:rPr>
            <w:rStyle w:val="Hyperlink"/>
            <w:rFonts w:eastAsia="Arial Unicode MS"/>
            <w:noProof/>
          </w:rPr>
          <w:t>Recommended suite of anti-racism levers</w:t>
        </w:r>
        <w:r w:rsidR="00C12949">
          <w:rPr>
            <w:noProof/>
            <w:webHidden/>
          </w:rPr>
          <w:tab/>
        </w:r>
        <w:r w:rsidR="00C12949">
          <w:rPr>
            <w:noProof/>
            <w:webHidden/>
          </w:rPr>
          <w:fldChar w:fldCharType="begin"/>
        </w:r>
        <w:r w:rsidR="00C12949">
          <w:rPr>
            <w:noProof/>
            <w:webHidden/>
          </w:rPr>
          <w:instrText xml:space="preserve"> PAGEREF _Toc128660390 \h </w:instrText>
        </w:r>
        <w:r w:rsidR="00C12949">
          <w:rPr>
            <w:noProof/>
            <w:webHidden/>
          </w:rPr>
        </w:r>
        <w:r w:rsidR="00C12949">
          <w:rPr>
            <w:noProof/>
            <w:webHidden/>
          </w:rPr>
          <w:fldChar w:fldCharType="separate"/>
        </w:r>
        <w:r w:rsidR="00C12949">
          <w:rPr>
            <w:noProof/>
            <w:webHidden/>
          </w:rPr>
          <w:t>26</w:t>
        </w:r>
        <w:r w:rsidR="00C12949">
          <w:rPr>
            <w:noProof/>
            <w:webHidden/>
          </w:rPr>
          <w:fldChar w:fldCharType="end"/>
        </w:r>
      </w:hyperlink>
    </w:p>
    <w:p w14:paraId="1859D33D" w14:textId="79EA8DA0" w:rsidR="00C12949" w:rsidRDefault="000F0021">
      <w:pPr>
        <w:pStyle w:val="TOC1"/>
        <w:rPr>
          <w:rFonts w:asciiTheme="minorHAnsi" w:eastAsiaTheme="minorEastAsia" w:hAnsiTheme="minorHAnsi" w:cstheme="minorBidi"/>
          <w:noProof/>
          <w:sz w:val="22"/>
          <w:szCs w:val="22"/>
          <w:lang w:eastAsia="en-NZ"/>
        </w:rPr>
      </w:pPr>
      <w:hyperlink w:anchor="_Toc128660391" w:history="1">
        <w:r w:rsidR="00C12949" w:rsidRPr="00CA2552">
          <w:rPr>
            <w:rStyle w:val="Hyperlink"/>
            <w:rFonts w:eastAsia="Arial Unicode MS"/>
            <w:noProof/>
          </w:rPr>
          <w:t>Kupu Whakamutunga | Conclusion</w:t>
        </w:r>
        <w:r w:rsidR="00C12949">
          <w:rPr>
            <w:noProof/>
            <w:webHidden/>
          </w:rPr>
          <w:tab/>
        </w:r>
        <w:r w:rsidR="00C12949">
          <w:rPr>
            <w:noProof/>
            <w:webHidden/>
          </w:rPr>
          <w:fldChar w:fldCharType="begin"/>
        </w:r>
        <w:r w:rsidR="00C12949">
          <w:rPr>
            <w:noProof/>
            <w:webHidden/>
          </w:rPr>
          <w:instrText xml:space="preserve"> PAGEREF _Toc128660391 \h </w:instrText>
        </w:r>
        <w:r w:rsidR="00C12949">
          <w:rPr>
            <w:noProof/>
            <w:webHidden/>
          </w:rPr>
        </w:r>
        <w:r w:rsidR="00C12949">
          <w:rPr>
            <w:noProof/>
            <w:webHidden/>
          </w:rPr>
          <w:fldChar w:fldCharType="separate"/>
        </w:r>
        <w:r w:rsidR="00C12949">
          <w:rPr>
            <w:noProof/>
            <w:webHidden/>
          </w:rPr>
          <w:t>33</w:t>
        </w:r>
        <w:r w:rsidR="00C12949">
          <w:rPr>
            <w:noProof/>
            <w:webHidden/>
          </w:rPr>
          <w:fldChar w:fldCharType="end"/>
        </w:r>
      </w:hyperlink>
    </w:p>
    <w:p w14:paraId="133A9219" w14:textId="49098C59" w:rsidR="00C86248" w:rsidRDefault="00C12949">
      <w:r>
        <w:rPr>
          <w:rFonts w:ascii="Segoe UI Semibold" w:hAnsi="Segoe UI Semibold"/>
          <w:b/>
          <w:sz w:val="24"/>
        </w:rPr>
        <w:fldChar w:fldCharType="end"/>
      </w:r>
    </w:p>
    <w:p w14:paraId="4A6797B1" w14:textId="67E295F3" w:rsidR="002B76A7" w:rsidRDefault="002B76A7" w:rsidP="003A5FEA"/>
    <w:p w14:paraId="03333094" w14:textId="77777777" w:rsidR="001D3E4E" w:rsidRDefault="001D3E4E" w:rsidP="003A5FEA">
      <w:pPr>
        <w:sectPr w:rsidR="001D3E4E" w:rsidSect="0078658E">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1B1F70A9" w14:textId="6DEB9F02" w:rsidR="00E33E88" w:rsidRDefault="00E33E88" w:rsidP="00E33E88">
      <w:pPr>
        <w:pStyle w:val="Heading1"/>
        <w:spacing w:before="0"/>
      </w:pPr>
      <w:bookmarkStart w:id="4" w:name="_Toc128056574"/>
      <w:bookmarkStart w:id="5" w:name="_Toc128660372"/>
      <w:r w:rsidRPr="00C67BC1">
        <w:lastRenderedPageBreak/>
        <w:t>Kupu Whakataki</w:t>
      </w:r>
      <w:r>
        <w:t xml:space="preserve"> | </w:t>
      </w:r>
      <w:r w:rsidRPr="00C67BC1">
        <w:rPr>
          <w:b w:val="0"/>
          <w:bCs/>
        </w:rPr>
        <w:t>Introduction</w:t>
      </w:r>
      <w:bookmarkEnd w:id="4"/>
      <w:bookmarkEnd w:id="5"/>
    </w:p>
    <w:p w14:paraId="59CEB55B" w14:textId="77777777" w:rsidR="00E33E88" w:rsidRPr="00E33E88" w:rsidRDefault="00E33E88" w:rsidP="00E33E88">
      <w:pPr>
        <w:rPr>
          <w:w w:val="105"/>
        </w:rPr>
      </w:pPr>
      <w:r w:rsidRPr="00E33E88">
        <w:rPr>
          <w:w w:val="105"/>
        </w:rPr>
        <w:t>The purpose of this literature review is to explore best practice approaches to addressing racism in all its forms. The overarching question it seeks to answer is ‘what does the evidence define as being effective anti-racism action?’.</w:t>
      </w:r>
    </w:p>
    <w:p w14:paraId="6A104D7B" w14:textId="77777777" w:rsidR="00E33E88" w:rsidRPr="00E33E88" w:rsidRDefault="00E33E88" w:rsidP="00E33E88">
      <w:pPr>
        <w:rPr>
          <w:w w:val="105"/>
        </w:rPr>
      </w:pPr>
    </w:p>
    <w:p w14:paraId="2031CA5B" w14:textId="136D4B45" w:rsidR="00E33E88" w:rsidRDefault="00E33E88" w:rsidP="00E33E88">
      <w:pPr>
        <w:rPr>
          <w:w w:val="105"/>
        </w:rPr>
      </w:pPr>
      <w:r w:rsidRPr="00E33E88">
        <w:rPr>
          <w:w w:val="105"/>
        </w:rPr>
        <w:t>To reach this point this review draws on the anti-racism definition outlined in the stage one literature review ‘</w:t>
      </w:r>
      <w:r w:rsidRPr="00E33E88">
        <w:rPr>
          <w:w w:val="105"/>
          <w:u w:val="single"/>
        </w:rPr>
        <w:t>Evolution of racism and anti-racism. Lessons for the Aotearoa New Zealand health system</w:t>
      </w:r>
      <w:r w:rsidRPr="00E33E88">
        <w:rPr>
          <w:w w:val="105"/>
        </w:rPr>
        <w:t>’. Anti-racism is defined as:</w:t>
      </w:r>
    </w:p>
    <w:p w14:paraId="62ED5E38" w14:textId="47448779" w:rsidR="00E33E88" w:rsidRDefault="00E33E88" w:rsidP="00E33E88">
      <w:pPr>
        <w:rPr>
          <w:w w:val="105"/>
        </w:rPr>
      </w:pPr>
    </w:p>
    <w:p w14:paraId="2F865174" w14:textId="77777777" w:rsidR="00E33E88" w:rsidRPr="00E33E88" w:rsidRDefault="00E33E88" w:rsidP="00444D0E">
      <w:pPr>
        <w:ind w:left="284" w:right="424"/>
        <w:jc w:val="center"/>
        <w:rPr>
          <w:w w:val="105"/>
        </w:rPr>
      </w:pPr>
      <w:r w:rsidRPr="00E33E88">
        <w:rPr>
          <w:w w:val="105"/>
        </w:rPr>
        <w:t>Anti-racism actively opposes and addresses racism in all its forms.</w:t>
      </w:r>
    </w:p>
    <w:p w14:paraId="2B0E13D6" w14:textId="33059B1E" w:rsidR="00E33E88" w:rsidRPr="00C67BC1" w:rsidRDefault="00E33E88" w:rsidP="00444D0E">
      <w:pPr>
        <w:ind w:left="284" w:right="424"/>
        <w:jc w:val="center"/>
        <w:rPr>
          <w:w w:val="105"/>
        </w:rPr>
      </w:pPr>
      <w:r w:rsidRPr="00E33E88">
        <w:rPr>
          <w:w w:val="105"/>
        </w:rPr>
        <w:t>Anti-racism accepts the need to redistribute power, privilege, resources and opportunity. It requires people and institutions to examine their power and privilege and acknowledge and address power imbalances. It is an</w:t>
      </w:r>
      <w:r>
        <w:rPr>
          <w:w w:val="105"/>
        </w:rPr>
        <w:t xml:space="preserve"> </w:t>
      </w:r>
      <w:r w:rsidRPr="00E33E88">
        <w:rPr>
          <w:w w:val="105"/>
        </w:rPr>
        <w:t>essential enabler of wellbeing and equity, particularly for Māori, Pacific peoples</w:t>
      </w:r>
      <w:r>
        <w:rPr>
          <w:w w:val="105"/>
        </w:rPr>
        <w:t xml:space="preserve"> </w:t>
      </w:r>
      <w:r w:rsidRPr="00E33E88">
        <w:rPr>
          <w:w w:val="105"/>
        </w:rPr>
        <w:t>and communities of colour.</w:t>
      </w:r>
      <w:r>
        <w:rPr>
          <w:rStyle w:val="FootnoteReference"/>
          <w:w w:val="105"/>
        </w:rPr>
        <w:footnoteReference w:id="1"/>
      </w:r>
    </w:p>
    <w:p w14:paraId="312CB90F" w14:textId="77777777" w:rsidR="00E33E88" w:rsidRPr="00C67BC1" w:rsidRDefault="00E33E88" w:rsidP="00E33E88">
      <w:pPr>
        <w:rPr>
          <w:w w:val="105"/>
        </w:rPr>
      </w:pPr>
    </w:p>
    <w:p w14:paraId="6EB34E47" w14:textId="7D4A4C30" w:rsidR="00444D0E" w:rsidRPr="00444D0E" w:rsidRDefault="00444D0E" w:rsidP="00841590">
      <w:pPr>
        <w:ind w:right="-26"/>
        <w:rPr>
          <w:w w:val="105"/>
        </w:rPr>
      </w:pPr>
      <w:r w:rsidRPr="00444D0E">
        <w:rPr>
          <w:w w:val="105"/>
        </w:rPr>
        <w:t>The review examines the levers for change necessary to put aspects of the definition into practice. It explores the efficacy of each lever and draws out best practice approaches. It also draws insight from health system experts on the practical considerations that must be taken into account when applying a specific lever in a health system setting. The review concludes by offering critical recommendations on the suite of key</w:t>
      </w:r>
      <w:r>
        <w:rPr>
          <w:w w:val="105"/>
        </w:rPr>
        <w:t xml:space="preserve"> </w:t>
      </w:r>
      <w:r w:rsidRPr="00444D0E">
        <w:rPr>
          <w:w w:val="105"/>
        </w:rPr>
        <w:t>levers for change that are necessary if the health system is to develop an</w:t>
      </w:r>
      <w:r>
        <w:rPr>
          <w:w w:val="105"/>
        </w:rPr>
        <w:t xml:space="preserve"> </w:t>
      </w:r>
      <w:r w:rsidRPr="00444D0E">
        <w:rPr>
          <w:w w:val="105"/>
        </w:rPr>
        <w:t>anti-racism systems change model.</w:t>
      </w:r>
    </w:p>
    <w:p w14:paraId="6FCEF4D3" w14:textId="77777777" w:rsidR="00444D0E" w:rsidRPr="00444D0E" w:rsidRDefault="00444D0E" w:rsidP="00841590">
      <w:pPr>
        <w:ind w:right="-26"/>
        <w:rPr>
          <w:w w:val="105"/>
        </w:rPr>
      </w:pPr>
      <w:r w:rsidRPr="00444D0E">
        <w:rPr>
          <w:w w:val="105"/>
        </w:rPr>
        <w:t xml:space="preserve"> </w:t>
      </w:r>
    </w:p>
    <w:p w14:paraId="35344E73" w14:textId="6E7F7CE6" w:rsidR="00444D0E" w:rsidRPr="00444D0E" w:rsidRDefault="00444D0E" w:rsidP="00841590">
      <w:pPr>
        <w:ind w:right="-26"/>
        <w:rPr>
          <w:w w:val="105"/>
        </w:rPr>
      </w:pPr>
      <w:r w:rsidRPr="00444D0E">
        <w:rPr>
          <w:w w:val="105"/>
        </w:rPr>
        <w:t>The review is framed around a systems change approach to anti-racism. Racism is an intergenerational phenomenon with a complex web of causation, which means that no single intervention or approach will create deep or durable change.</w:t>
      </w:r>
      <w:r>
        <w:rPr>
          <w:w w:val="105"/>
        </w:rPr>
        <w:t xml:space="preserve"> </w:t>
      </w:r>
      <w:r w:rsidRPr="00444D0E">
        <w:rPr>
          <w:w w:val="105"/>
        </w:rPr>
        <w:t>Across literature and practice, creating an anti-racist future is seen to require multiple interventions that engage with different levels of racism (structural, institutional, interpersonal) and utilise different mechanisms for effecting change such as building awareness, inspiring changes of heart or compliance</w:t>
      </w:r>
      <w:r w:rsidR="00B17C31">
        <w:rPr>
          <w:w w:val="105"/>
        </w:rPr>
        <w:t>-</w:t>
      </w:r>
      <w:r w:rsidRPr="00444D0E">
        <w:rPr>
          <w:w w:val="105"/>
        </w:rPr>
        <w:t>based approaches.</w:t>
      </w:r>
    </w:p>
    <w:p w14:paraId="32B26B51" w14:textId="77777777" w:rsidR="00444D0E" w:rsidRPr="00444D0E" w:rsidRDefault="00444D0E" w:rsidP="00841590">
      <w:pPr>
        <w:ind w:right="-26"/>
        <w:rPr>
          <w:w w:val="105"/>
        </w:rPr>
      </w:pPr>
    </w:p>
    <w:p w14:paraId="58390FB2" w14:textId="39D67B45" w:rsidR="00E33E88" w:rsidRDefault="00444D0E" w:rsidP="00841590">
      <w:pPr>
        <w:ind w:right="-568"/>
        <w:rPr>
          <w:w w:val="105"/>
        </w:rPr>
      </w:pPr>
      <w:r w:rsidRPr="00444D0E">
        <w:rPr>
          <w:w w:val="105"/>
        </w:rPr>
        <w:t>The collective wisdom from this body of work is that embedding anti-racist practice into the health system will require the</w:t>
      </w:r>
      <w:r>
        <w:rPr>
          <w:w w:val="105"/>
        </w:rPr>
        <w:t xml:space="preserve"> </w:t>
      </w:r>
      <w:r w:rsidRPr="00444D0E">
        <w:rPr>
          <w:w w:val="105"/>
        </w:rPr>
        <w:t>use of multiple levers for change that are deployed to achieve mutually reinforcing interaction. This paper aims to provide</w:t>
      </w:r>
      <w:r>
        <w:rPr>
          <w:w w:val="105"/>
        </w:rPr>
        <w:t xml:space="preserve"> </w:t>
      </w:r>
      <w:r w:rsidRPr="00444D0E">
        <w:rPr>
          <w:w w:val="105"/>
        </w:rPr>
        <w:t>a foundational affinity for the levers for change that have been, or could be, used in anti-racist practice. The levers for change described in this paper are grouped in three sections:</w:t>
      </w:r>
    </w:p>
    <w:p w14:paraId="4640E867" w14:textId="77777777" w:rsidR="00444D0E" w:rsidRPr="00444D0E" w:rsidRDefault="00444D0E" w:rsidP="00444D0E">
      <w:pPr>
        <w:pStyle w:val="Bullet"/>
        <w:rPr>
          <w:rFonts w:eastAsia="Arial Unicode MS"/>
        </w:rPr>
      </w:pPr>
      <w:r w:rsidRPr="00444D0E">
        <w:rPr>
          <w:rFonts w:eastAsia="Arial Unicode MS"/>
        </w:rPr>
        <w:t>Te Tiriti o Waitangi/the Treaty of Waitangi</w:t>
      </w:r>
    </w:p>
    <w:p w14:paraId="43207F46" w14:textId="77777777" w:rsidR="00444D0E" w:rsidRPr="00444D0E" w:rsidRDefault="00444D0E" w:rsidP="00444D0E">
      <w:pPr>
        <w:pStyle w:val="Bullet"/>
        <w:rPr>
          <w:rFonts w:eastAsia="Arial Unicode MS"/>
        </w:rPr>
      </w:pPr>
      <w:r w:rsidRPr="00444D0E">
        <w:rPr>
          <w:rFonts w:eastAsia="Arial Unicode MS"/>
        </w:rPr>
        <w:t>Organisational Design Levers for Change</w:t>
      </w:r>
    </w:p>
    <w:p w14:paraId="0DEA34D1" w14:textId="711849D0" w:rsidR="00E33E88" w:rsidRPr="00444D0E" w:rsidRDefault="00444D0E" w:rsidP="00444D0E">
      <w:pPr>
        <w:pStyle w:val="Bullet"/>
        <w:tabs>
          <w:tab w:val="clear" w:pos="284"/>
        </w:tabs>
        <w:rPr>
          <w:rFonts w:eastAsia="Arial Unicode MS"/>
        </w:rPr>
      </w:pPr>
      <w:r w:rsidRPr="00444D0E">
        <w:rPr>
          <w:rFonts w:eastAsia="Arial Unicode MS"/>
        </w:rPr>
        <w:t>Core Business Levers for Change</w:t>
      </w:r>
    </w:p>
    <w:p w14:paraId="25D48A67" w14:textId="0FE30E0D" w:rsidR="00E33E88" w:rsidRDefault="00E33E88" w:rsidP="00E33E88">
      <w:pPr>
        <w:rPr>
          <w:rFonts w:eastAsia="Arial Unicode MS"/>
        </w:rPr>
        <w:sectPr w:rsidR="00E33E88" w:rsidSect="00841590">
          <w:footerReference w:type="even" r:id="rId24"/>
          <w:footerReference w:type="default" r:id="rId25"/>
          <w:pgSz w:w="11907" w:h="16840" w:code="9"/>
          <w:pgMar w:top="1276" w:right="1701" w:bottom="1134" w:left="1843" w:header="284" w:footer="425" w:gutter="284"/>
          <w:pgNumType w:start="1"/>
          <w:cols w:space="720"/>
        </w:sectPr>
      </w:pPr>
    </w:p>
    <w:p w14:paraId="7EDC2444" w14:textId="0E64BE05" w:rsidR="00603DF6" w:rsidRPr="00603DF6" w:rsidRDefault="00841590" w:rsidP="00841590">
      <w:pPr>
        <w:pStyle w:val="Heading1"/>
        <w:spacing w:before="0"/>
        <w:rPr>
          <w:rFonts w:eastAsia="Lucida Sans Unicode"/>
        </w:rPr>
      </w:pPr>
      <w:bookmarkStart w:id="6" w:name="_Toc128660373"/>
      <w:r w:rsidRPr="00603DF6">
        <w:rPr>
          <w:rFonts w:eastAsia="Lucida Sans Unicode"/>
        </w:rPr>
        <w:lastRenderedPageBreak/>
        <w:t>Te Tiriti o Waitangi</w:t>
      </w:r>
      <w:bookmarkEnd w:id="6"/>
    </w:p>
    <w:p w14:paraId="5E683851" w14:textId="77777777" w:rsidR="00603DF6" w:rsidRPr="00603DF6" w:rsidRDefault="00603DF6" w:rsidP="00603DF6">
      <w:pPr>
        <w:rPr>
          <w:rFonts w:eastAsia="Lucida Sans Unicode"/>
        </w:rPr>
      </w:pPr>
      <w:r w:rsidRPr="00603DF6">
        <w:rPr>
          <w:rFonts w:eastAsia="Lucida Sans Unicode"/>
        </w:rPr>
        <w:t>Te Tiriti o Waitangi (Te Tiriti) is central to national literature and practice in advancing</w:t>
      </w:r>
    </w:p>
    <w:p w14:paraId="70BF8CA5" w14:textId="6A908A90" w:rsidR="009A42D5" w:rsidRDefault="00603DF6" w:rsidP="00603DF6">
      <w:pPr>
        <w:rPr>
          <w:rFonts w:eastAsia="Lucida Sans Unicode"/>
        </w:rPr>
      </w:pPr>
      <w:r w:rsidRPr="00603DF6">
        <w:rPr>
          <w:rFonts w:eastAsia="Lucida Sans Unicode"/>
        </w:rPr>
        <w:t>anti-racism. We do not identify Te Tiriti as a specific lever as we consider it should be integrated into every lever for change, reflecting both its constitutional status as our founding document and the prevailing practice of cascading Te Tiriti application at structural, institutional and interpersonal levels.</w:t>
      </w:r>
    </w:p>
    <w:p w14:paraId="305F2B6C" w14:textId="77777777" w:rsidR="0064755D" w:rsidRDefault="0064755D" w:rsidP="0064755D">
      <w:pPr>
        <w:pStyle w:val="Heading1"/>
        <w:rPr>
          <w:rFonts w:eastAsia="Lucida Sans Unicode"/>
        </w:rPr>
        <w:sectPr w:rsidR="0064755D" w:rsidSect="00841590">
          <w:footerReference w:type="even" r:id="rId26"/>
          <w:footerReference w:type="default" r:id="rId27"/>
          <w:pgSz w:w="11907" w:h="16840" w:code="9"/>
          <w:pgMar w:top="1418" w:right="1701" w:bottom="1134" w:left="1843" w:header="284" w:footer="425" w:gutter="284"/>
          <w:pgNumType w:start="2"/>
          <w:cols w:space="720"/>
        </w:sectPr>
      </w:pPr>
    </w:p>
    <w:p w14:paraId="2040CF44" w14:textId="361A774A" w:rsidR="00841590" w:rsidRPr="0064755D" w:rsidRDefault="00841590" w:rsidP="008A6D86">
      <w:pPr>
        <w:pStyle w:val="Heading1"/>
        <w:spacing w:before="0"/>
        <w:rPr>
          <w:rFonts w:eastAsia="Lucida Sans Unicode"/>
        </w:rPr>
      </w:pPr>
      <w:bookmarkStart w:id="7" w:name="_Toc128660374"/>
      <w:r w:rsidRPr="0064755D">
        <w:rPr>
          <w:rFonts w:eastAsia="Lucida Sans Unicode"/>
        </w:rPr>
        <w:lastRenderedPageBreak/>
        <w:t>Organisational levers for change</w:t>
      </w:r>
      <w:bookmarkEnd w:id="7"/>
    </w:p>
    <w:p w14:paraId="03F21204" w14:textId="03822FFC" w:rsidR="00841590" w:rsidRDefault="00841590" w:rsidP="00841590">
      <w:pPr>
        <w:rPr>
          <w:rFonts w:eastAsia="Lucida Sans Unicode"/>
        </w:rPr>
      </w:pPr>
      <w:r w:rsidRPr="00841590">
        <w:rPr>
          <w:rFonts w:eastAsia="Lucida Sans Unicode"/>
        </w:rPr>
        <w:t>This section of the paper describes levers for change that relate to organisational design or how an organisation operates. Each lever focuses on a particular mechanism that could be used to advance anti-racism within an organisation. The levers we describe in this section are:</w:t>
      </w:r>
    </w:p>
    <w:p w14:paraId="0DC1FE1E" w14:textId="65A3AEAF" w:rsidR="00841590" w:rsidRPr="00841590" w:rsidRDefault="00841590" w:rsidP="00841590">
      <w:pPr>
        <w:pStyle w:val="Bullet"/>
        <w:rPr>
          <w:rFonts w:eastAsia="Lucida Sans Unicode"/>
        </w:rPr>
      </w:pPr>
      <w:r>
        <w:rPr>
          <w:rFonts w:eastAsia="Lucida Sans Unicode"/>
        </w:rPr>
        <w:t>Le</w:t>
      </w:r>
      <w:r w:rsidRPr="00841590">
        <w:rPr>
          <w:rFonts w:eastAsia="Lucida Sans Unicode"/>
        </w:rPr>
        <w:t>adership</w:t>
      </w:r>
    </w:p>
    <w:p w14:paraId="663E8110" w14:textId="3B89DB9F" w:rsidR="00841590" w:rsidRPr="00841590" w:rsidRDefault="00841590" w:rsidP="00841590">
      <w:pPr>
        <w:pStyle w:val="Bullet"/>
        <w:tabs>
          <w:tab w:val="clear" w:pos="284"/>
        </w:tabs>
        <w:rPr>
          <w:rFonts w:eastAsia="Lucida Sans Unicode"/>
        </w:rPr>
      </w:pPr>
      <w:r w:rsidRPr="00841590">
        <w:rPr>
          <w:rFonts w:eastAsia="Lucida Sans Unicode"/>
        </w:rPr>
        <w:t>Narrative</w:t>
      </w:r>
    </w:p>
    <w:p w14:paraId="06EA3D8D" w14:textId="528CA313" w:rsidR="00841590" w:rsidRPr="00841590" w:rsidRDefault="00841590" w:rsidP="00841590">
      <w:pPr>
        <w:pStyle w:val="Bullet"/>
        <w:tabs>
          <w:tab w:val="clear" w:pos="284"/>
        </w:tabs>
        <w:rPr>
          <w:rFonts w:eastAsia="Lucida Sans Unicode"/>
        </w:rPr>
      </w:pPr>
      <w:r w:rsidRPr="00841590">
        <w:rPr>
          <w:rFonts w:eastAsia="Lucida Sans Unicode"/>
        </w:rPr>
        <w:t>Organisational strategy and goals</w:t>
      </w:r>
    </w:p>
    <w:p w14:paraId="6347EB90" w14:textId="08DD6F3D" w:rsidR="00841590" w:rsidRPr="00841590" w:rsidRDefault="00841590" w:rsidP="00841590">
      <w:pPr>
        <w:pStyle w:val="Bullet"/>
        <w:tabs>
          <w:tab w:val="clear" w:pos="284"/>
        </w:tabs>
        <w:rPr>
          <w:rFonts w:eastAsia="Lucida Sans Unicode"/>
        </w:rPr>
      </w:pPr>
      <w:r w:rsidRPr="00841590">
        <w:rPr>
          <w:rFonts w:eastAsia="Lucida Sans Unicode"/>
        </w:rPr>
        <w:t>Budgets and resourcing</w:t>
      </w:r>
    </w:p>
    <w:p w14:paraId="5924ECFF" w14:textId="71F5BF13" w:rsidR="00841590" w:rsidRPr="00841590" w:rsidRDefault="00841590" w:rsidP="00841590">
      <w:pPr>
        <w:pStyle w:val="Bullet"/>
        <w:tabs>
          <w:tab w:val="clear" w:pos="284"/>
        </w:tabs>
        <w:rPr>
          <w:rFonts w:eastAsia="Lucida Sans Unicode"/>
        </w:rPr>
      </w:pPr>
      <w:r w:rsidRPr="00841590">
        <w:rPr>
          <w:rFonts w:eastAsia="Lucida Sans Unicode"/>
        </w:rPr>
        <w:t>Power and commitment</w:t>
      </w:r>
    </w:p>
    <w:p w14:paraId="78A4CBE0" w14:textId="3007CBB3" w:rsidR="00841590" w:rsidRPr="00841590" w:rsidRDefault="00841590" w:rsidP="00841590">
      <w:pPr>
        <w:pStyle w:val="Bullet"/>
        <w:tabs>
          <w:tab w:val="clear" w:pos="284"/>
        </w:tabs>
        <w:rPr>
          <w:rFonts w:eastAsia="Lucida Sans Unicode"/>
        </w:rPr>
      </w:pPr>
      <w:r w:rsidRPr="00841590">
        <w:rPr>
          <w:rFonts w:eastAsia="Lucida Sans Unicode"/>
        </w:rPr>
        <w:t>Diversity and recruitment</w:t>
      </w:r>
    </w:p>
    <w:p w14:paraId="652E3706" w14:textId="456B145C" w:rsidR="00841590" w:rsidRPr="00841590" w:rsidRDefault="00841590" w:rsidP="00841590">
      <w:pPr>
        <w:pStyle w:val="Bullet"/>
        <w:tabs>
          <w:tab w:val="clear" w:pos="284"/>
        </w:tabs>
        <w:rPr>
          <w:rFonts w:eastAsia="Lucida Sans Unicode"/>
        </w:rPr>
      </w:pPr>
      <w:r w:rsidRPr="00841590">
        <w:rPr>
          <w:rFonts w:eastAsia="Lucida Sans Unicode"/>
        </w:rPr>
        <w:t>Rewards and promotions</w:t>
      </w:r>
    </w:p>
    <w:p w14:paraId="3901DBB0" w14:textId="61799645" w:rsidR="00841590" w:rsidRPr="00841590" w:rsidRDefault="00841590" w:rsidP="00841590">
      <w:pPr>
        <w:pStyle w:val="Bullet"/>
        <w:tabs>
          <w:tab w:val="clear" w:pos="284"/>
        </w:tabs>
        <w:rPr>
          <w:rFonts w:eastAsia="Lucida Sans Unicode"/>
        </w:rPr>
      </w:pPr>
      <w:r w:rsidRPr="00841590">
        <w:rPr>
          <w:rFonts w:eastAsia="Lucida Sans Unicode"/>
        </w:rPr>
        <w:t>Disciplinary processes and accountability</w:t>
      </w:r>
    </w:p>
    <w:p w14:paraId="1755C81B" w14:textId="1DC21FFC" w:rsidR="00841590" w:rsidRPr="00841590" w:rsidRDefault="00841590" w:rsidP="00841590">
      <w:pPr>
        <w:pStyle w:val="Bullet"/>
        <w:tabs>
          <w:tab w:val="clear" w:pos="284"/>
        </w:tabs>
        <w:rPr>
          <w:rFonts w:eastAsia="Lucida Sans Unicode"/>
        </w:rPr>
      </w:pPr>
      <w:r w:rsidRPr="00841590">
        <w:rPr>
          <w:rFonts w:eastAsia="Lucida Sans Unicode"/>
        </w:rPr>
        <w:t>Reflective practices</w:t>
      </w:r>
    </w:p>
    <w:p w14:paraId="50EA6D21" w14:textId="4C066B12" w:rsidR="00841590" w:rsidRPr="00841590" w:rsidRDefault="00841590" w:rsidP="00841590">
      <w:pPr>
        <w:pStyle w:val="Bullet"/>
        <w:tabs>
          <w:tab w:val="clear" w:pos="284"/>
        </w:tabs>
        <w:rPr>
          <w:rFonts w:eastAsia="Lucida Sans Unicode"/>
        </w:rPr>
      </w:pPr>
      <w:r w:rsidRPr="00841590">
        <w:rPr>
          <w:rFonts w:eastAsia="Lucida Sans Unicode"/>
        </w:rPr>
        <w:t>Training and knowledge</w:t>
      </w:r>
    </w:p>
    <w:p w14:paraId="4C69631B" w14:textId="03FF1DFB" w:rsidR="00841590" w:rsidRPr="00841590" w:rsidRDefault="00841590" w:rsidP="00841590">
      <w:pPr>
        <w:pStyle w:val="Bullet"/>
        <w:tabs>
          <w:tab w:val="clear" w:pos="284"/>
        </w:tabs>
        <w:rPr>
          <w:rFonts w:eastAsia="Lucida Sans Unicode"/>
        </w:rPr>
      </w:pPr>
      <w:r w:rsidRPr="00841590">
        <w:rPr>
          <w:rFonts w:eastAsia="Lucida Sans Unicode"/>
        </w:rPr>
        <w:t>Habitual practices</w:t>
      </w:r>
    </w:p>
    <w:p w14:paraId="020BCDAB" w14:textId="11C7C84C" w:rsidR="00841590" w:rsidRPr="00841590" w:rsidRDefault="00841590" w:rsidP="00841590">
      <w:pPr>
        <w:pStyle w:val="Bullet"/>
        <w:tabs>
          <w:tab w:val="clear" w:pos="284"/>
        </w:tabs>
        <w:rPr>
          <w:rFonts w:eastAsia="Lucida Sans Unicode"/>
        </w:rPr>
      </w:pPr>
      <w:r w:rsidRPr="00841590">
        <w:rPr>
          <w:rFonts w:eastAsia="Lucida Sans Unicode"/>
        </w:rPr>
        <w:t>Evaluation of organisational shifts</w:t>
      </w:r>
    </w:p>
    <w:p w14:paraId="19DDB7D8" w14:textId="319F0D99" w:rsidR="00841590" w:rsidRPr="00841590" w:rsidRDefault="00841590" w:rsidP="00841590">
      <w:pPr>
        <w:pStyle w:val="Bullet"/>
        <w:tabs>
          <w:tab w:val="clear" w:pos="284"/>
        </w:tabs>
        <w:rPr>
          <w:rFonts w:eastAsia="Lucida Sans Unicode"/>
        </w:rPr>
      </w:pPr>
      <w:r w:rsidRPr="00841590">
        <w:rPr>
          <w:rFonts w:eastAsia="Lucida Sans Unicode"/>
        </w:rPr>
        <w:t>Equity data reporting</w:t>
      </w:r>
    </w:p>
    <w:p w14:paraId="49F29C02" w14:textId="77777777" w:rsidR="00841590" w:rsidRDefault="00841590" w:rsidP="00841590">
      <w:pPr>
        <w:pStyle w:val="Bullet"/>
        <w:tabs>
          <w:tab w:val="clear" w:pos="284"/>
        </w:tabs>
        <w:rPr>
          <w:rFonts w:eastAsia="Lucida Sans Unicode"/>
        </w:rPr>
        <w:sectPr w:rsidR="00841590" w:rsidSect="00841590">
          <w:pgSz w:w="11907" w:h="16840" w:code="9"/>
          <w:pgMar w:top="1418" w:right="1701" w:bottom="1134" w:left="1843" w:header="284" w:footer="425" w:gutter="284"/>
          <w:pgNumType w:start="2"/>
          <w:cols w:space="720"/>
        </w:sectPr>
      </w:pPr>
      <w:r w:rsidRPr="00841590">
        <w:rPr>
          <w:rFonts w:eastAsia="Lucida Sans Unicode"/>
        </w:rPr>
        <w:t>Monitoring and auditing</w:t>
      </w:r>
    </w:p>
    <w:p w14:paraId="151D9D10" w14:textId="77777777" w:rsidR="00841590" w:rsidRDefault="00841590" w:rsidP="00841590">
      <w:pPr>
        <w:pBdr>
          <w:top w:val="single" w:sz="4" w:space="1" w:color="0070C0"/>
        </w:pBdr>
        <w:rPr>
          <w:rFonts w:eastAsia="Lucida Sans Unicode"/>
        </w:rPr>
      </w:pPr>
    </w:p>
    <w:p w14:paraId="2C1F2BA8" w14:textId="35EE8E5C" w:rsidR="00841590" w:rsidRDefault="00841590" w:rsidP="00841590">
      <w:pPr>
        <w:pStyle w:val="Heading5"/>
        <w:jc w:val="center"/>
        <w:rPr>
          <w:rFonts w:eastAsia="Lucida Sans Unicode"/>
        </w:rPr>
      </w:pPr>
      <w:r w:rsidRPr="00C67BC1">
        <w:rPr>
          <w:rFonts w:eastAsia="Lucida Sans Unicode"/>
        </w:rPr>
        <w:t>“</w:t>
      </w:r>
      <w:r w:rsidRPr="00841590">
        <w:rPr>
          <w:rFonts w:eastAsia="Lucida Sans Unicode"/>
        </w:rPr>
        <w:t>Ki te kore he whakakitenga, ka ngaro te iwi</w:t>
      </w:r>
      <w:r w:rsidRPr="00081493">
        <w:rPr>
          <w:rFonts w:eastAsia="Lucida Sans Unicode"/>
        </w:rPr>
        <w:t>”</w:t>
      </w:r>
      <w:r w:rsidRPr="00C67BC1">
        <w:rPr>
          <w:rFonts w:eastAsia="Lucida Sans Unicode"/>
        </w:rPr>
        <w:t>.</w:t>
      </w:r>
    </w:p>
    <w:p w14:paraId="1BD822C9" w14:textId="59C50436" w:rsidR="00841590" w:rsidRPr="00841590" w:rsidRDefault="00841590" w:rsidP="00841590">
      <w:pPr>
        <w:pStyle w:val="Heading5"/>
        <w:jc w:val="center"/>
        <w:rPr>
          <w:rFonts w:eastAsia="Lucida Sans Unicode"/>
          <w:sz w:val="22"/>
          <w:szCs w:val="18"/>
        </w:rPr>
      </w:pPr>
      <w:r w:rsidRPr="00841590">
        <w:rPr>
          <w:rFonts w:eastAsia="Lucida Sans Unicode"/>
          <w:sz w:val="22"/>
          <w:szCs w:val="18"/>
        </w:rPr>
        <w:t>- Kiingi Tawhio</w:t>
      </w:r>
    </w:p>
    <w:p w14:paraId="42DA9264" w14:textId="77777777" w:rsidR="00841590" w:rsidRDefault="00841590" w:rsidP="00841590">
      <w:pPr>
        <w:rPr>
          <w:rFonts w:eastAsia="Lucida Sans Unicode"/>
        </w:rPr>
      </w:pPr>
    </w:p>
    <w:p w14:paraId="562ECF4F" w14:textId="3ACC132C" w:rsidR="00841590" w:rsidRPr="00561369" w:rsidRDefault="00841590" w:rsidP="00841590">
      <w:pPr>
        <w:jc w:val="center"/>
        <w:rPr>
          <w:rFonts w:eastAsia="Lucida Sans Unicode"/>
          <w:sz w:val="22"/>
          <w:szCs w:val="22"/>
        </w:rPr>
      </w:pPr>
      <w:r w:rsidRPr="00841590">
        <w:rPr>
          <w:rFonts w:eastAsia="Lucida Sans Unicode"/>
          <w:sz w:val="22"/>
          <w:szCs w:val="22"/>
        </w:rPr>
        <w:t>WITHOUT FORESIGHT OR VISION, THE PEOPLE WILL PERISH</w:t>
      </w:r>
    </w:p>
    <w:p w14:paraId="5CD3E064" w14:textId="77777777" w:rsidR="00841590" w:rsidRPr="00561369" w:rsidRDefault="00841590" w:rsidP="00841590">
      <w:pPr>
        <w:pBdr>
          <w:bottom w:val="single" w:sz="4" w:space="1" w:color="0070C0"/>
        </w:pBdr>
        <w:spacing w:after="120"/>
        <w:jc w:val="center"/>
        <w:rPr>
          <w:rFonts w:eastAsia="Lucida Sans Unicode"/>
          <w:sz w:val="22"/>
          <w:szCs w:val="22"/>
        </w:rPr>
      </w:pPr>
    </w:p>
    <w:p w14:paraId="47543C3C" w14:textId="77777777" w:rsidR="00841590" w:rsidRPr="00561369" w:rsidRDefault="00841590" w:rsidP="00841590">
      <w:pPr>
        <w:rPr>
          <w:rFonts w:eastAsia="Lucida Sans Unicode"/>
          <w:sz w:val="22"/>
          <w:szCs w:val="22"/>
        </w:rPr>
      </w:pPr>
    </w:p>
    <w:p w14:paraId="629BE2CD" w14:textId="77777777" w:rsidR="00841590" w:rsidRPr="00841590" w:rsidRDefault="00841590" w:rsidP="00841590">
      <w:pPr>
        <w:jc w:val="center"/>
        <w:rPr>
          <w:rFonts w:eastAsia="Lucida Sans Unicode"/>
          <w:sz w:val="22"/>
          <w:szCs w:val="22"/>
        </w:rPr>
      </w:pPr>
      <w:r w:rsidRPr="00841590">
        <w:rPr>
          <w:rFonts w:eastAsia="Lucida Sans Unicode"/>
          <w:sz w:val="22"/>
          <w:szCs w:val="22"/>
        </w:rPr>
        <w:t>Leaders are visionaries and champions of change.</w:t>
      </w:r>
    </w:p>
    <w:p w14:paraId="0597B6D2" w14:textId="1D9B7138" w:rsidR="00841590" w:rsidRPr="00561369" w:rsidRDefault="00841590" w:rsidP="00841590">
      <w:pPr>
        <w:jc w:val="center"/>
        <w:rPr>
          <w:rFonts w:eastAsia="Lucida Sans Unicode"/>
          <w:sz w:val="22"/>
          <w:szCs w:val="22"/>
        </w:rPr>
      </w:pPr>
      <w:r w:rsidRPr="00841590">
        <w:rPr>
          <w:rFonts w:eastAsia="Lucida Sans Unicode"/>
          <w:sz w:val="22"/>
          <w:szCs w:val="22"/>
        </w:rPr>
        <w:t>Leaders have the ability to shift mindsets and influence the way people</w:t>
      </w:r>
      <w:r>
        <w:rPr>
          <w:rFonts w:eastAsia="Lucida Sans Unicode"/>
          <w:sz w:val="22"/>
          <w:szCs w:val="22"/>
        </w:rPr>
        <w:br/>
      </w:r>
      <w:r w:rsidRPr="00841590">
        <w:rPr>
          <w:rFonts w:eastAsia="Lucida Sans Unicode"/>
          <w:sz w:val="22"/>
          <w:szCs w:val="22"/>
        </w:rPr>
        <w:t xml:space="preserve"> think about the world around them. They are crucial to building support for changes that make the biggest difference in people</w:t>
      </w:r>
      <w:r w:rsidR="00CD48CF">
        <w:rPr>
          <w:rFonts w:eastAsia="Lucida Sans Unicode"/>
          <w:sz w:val="22"/>
          <w:szCs w:val="22"/>
        </w:rPr>
        <w:t>’</w:t>
      </w:r>
      <w:r w:rsidRPr="00841590">
        <w:rPr>
          <w:rFonts w:eastAsia="Lucida Sans Unicode"/>
          <w:sz w:val="22"/>
          <w:szCs w:val="22"/>
        </w:rPr>
        <w:t>s lives.</w:t>
      </w:r>
      <w:r>
        <w:rPr>
          <w:rFonts w:eastAsia="Lucida Sans Unicode"/>
          <w:sz w:val="22"/>
          <w:szCs w:val="22"/>
        </w:rPr>
        <w:t xml:space="preserve"> </w:t>
      </w:r>
    </w:p>
    <w:p w14:paraId="3CF615E3" w14:textId="4584E0AF" w:rsidR="00841590" w:rsidRDefault="00841590" w:rsidP="00841590">
      <w:pPr>
        <w:pStyle w:val="Heading2"/>
      </w:pPr>
      <w:bookmarkStart w:id="8" w:name="_bookmark4"/>
      <w:bookmarkStart w:id="9" w:name="_Toc128660375"/>
      <w:bookmarkEnd w:id="8"/>
      <w:r w:rsidRPr="00841590">
        <w:t>Leadership</w:t>
      </w:r>
      <w:bookmarkEnd w:id="9"/>
      <w:r w:rsidRPr="00841590">
        <w:t xml:space="preserve"> </w:t>
      </w:r>
    </w:p>
    <w:p w14:paraId="359936FB" w14:textId="1627949C" w:rsidR="00841590" w:rsidRDefault="00841590" w:rsidP="00841590">
      <w:r>
        <w:t>Leadership, management and governance were often discussed in the literature as vital for creating change.</w:t>
      </w:r>
      <w:r w:rsidR="004D0223">
        <w:rPr>
          <w:rStyle w:val="FootnoteReference"/>
        </w:rPr>
        <w:footnoteReference w:id="2"/>
      </w:r>
      <w:r>
        <w:t xml:space="preserve"> Leadership is important because leaders champion change and help the organisation to make sense of it. Leaders can encourage aspirations and enhance sense-making. This helps to create a sense of belonging and ensures people commit to, and action change.</w:t>
      </w:r>
    </w:p>
    <w:p w14:paraId="51DF1A7E" w14:textId="77777777" w:rsidR="00841590" w:rsidRDefault="00841590" w:rsidP="00841590"/>
    <w:p w14:paraId="31741A41" w14:textId="3850D4B4" w:rsidR="00841590" w:rsidRDefault="00841590" w:rsidP="00841590">
      <w:r>
        <w:t>The efficacy and necessity of leadership as a lever for change is well established in both organisational culture change as well as anti-racism literature.</w:t>
      </w:r>
      <w:r w:rsidR="004D0223">
        <w:rPr>
          <w:rStyle w:val="FootnoteReference"/>
        </w:rPr>
        <w:footnoteReference w:id="3"/>
      </w:r>
      <w:r>
        <w:t xml:space="preserve"> Organisational culture insights are relevant as shifts in the organisational culture will be necessary to move toward, and sustain, anti-racism. There are a number of facets of leadership that are considered relevant to organisational culture change, such as the qualities of leaders, the extent to which a distributed network of leadership is present within an </w:t>
      </w:r>
      <w:r w:rsidR="00CD48CF">
        <w:t>o</w:t>
      </w:r>
      <w:r>
        <w:t>rganisation and the relationship between leaders and the wider organisation.</w:t>
      </w:r>
      <w:r w:rsidR="004D0223">
        <w:rPr>
          <w:rStyle w:val="FootnoteReference"/>
        </w:rPr>
        <w:footnoteReference w:id="4"/>
      </w:r>
      <w:r>
        <w:t xml:space="preserve"> Within </w:t>
      </w:r>
      <w:r>
        <w:lastRenderedPageBreak/>
        <w:t>anti-racism literature, leaders are often positioned as necessary champions responsible for creating impetus and coherence to the desired change, while also recognising that effective leadership must be supported by a matrix of reinforcing interventions.</w:t>
      </w:r>
      <w:r w:rsidR="004D0223">
        <w:rPr>
          <w:rStyle w:val="FootnoteReference"/>
        </w:rPr>
        <w:footnoteReference w:id="5"/>
      </w:r>
    </w:p>
    <w:p w14:paraId="4E1FF79E" w14:textId="77777777" w:rsidR="00841590" w:rsidRDefault="00841590" w:rsidP="00841590"/>
    <w:p w14:paraId="200C2AFA" w14:textId="7C5B1BC3" w:rsidR="00841590" w:rsidRDefault="00841590" w:rsidP="00841590">
      <w:r>
        <w:t>Leadership was regularly invoked by models of change in the literature including the Aotearoa Inclusivity Matrix, the Equity- Driven Systems Change (ESC) Model, and Critical Te Tiriti Analysis (CTA).</w:t>
      </w:r>
      <w:r w:rsidR="004D0223">
        <w:rPr>
          <w:rStyle w:val="FootnoteReference"/>
        </w:rPr>
        <w:footnoteReference w:id="6"/>
      </w:r>
      <w:r>
        <w:t xml:space="preserve"> The Building Organisational Capacity for Health Equity Action model identifies leadership as important at each level (individual, organisation, and system) in terms of equity.</w:t>
      </w:r>
      <w:r w:rsidR="004D0223">
        <w:rPr>
          <w:rStyle w:val="FootnoteReference"/>
        </w:rPr>
        <w:footnoteReference w:id="7"/>
      </w:r>
      <w:r>
        <w:t xml:space="preserve"> Deloitte’s model of diversity and inclusion likewise provides some insight. </w:t>
      </w:r>
    </w:p>
    <w:p w14:paraId="100A03BA" w14:textId="77777777" w:rsidR="00841590" w:rsidRDefault="00841590" w:rsidP="00841590"/>
    <w:p w14:paraId="6B417894" w14:textId="12B6DFA4" w:rsidR="00841590" w:rsidRDefault="00841590" w:rsidP="00841590">
      <w:r>
        <w:t>Two of the eight core truths proposed by Deloitte are, “Inclusive leaders cast a long shadow, and “Middle managers matter.” The third of four stages of change in their maturity model identifies a key characteristic as the accountability of leaders or managers to modelling inclusion and being committed in their role to creating change.</w:t>
      </w:r>
      <w:r w:rsidR="004D0223">
        <w:rPr>
          <w:rStyle w:val="FootnoteReference"/>
        </w:rPr>
        <w:footnoteReference w:id="8"/>
      </w:r>
    </w:p>
    <w:p w14:paraId="49BBB1A9" w14:textId="77777777" w:rsidR="00841590" w:rsidRDefault="00841590" w:rsidP="00841590"/>
    <w:p w14:paraId="51388F5E" w14:textId="0360D84D" w:rsidR="004D0223" w:rsidRDefault="00841590" w:rsidP="004D0223">
      <w:r>
        <w:t>The literature is clear on the importance of leadership in creating change. In order for this lever for change to be effective, there needs to be a better balance of power, where decisions are made with</w:t>
      </w:r>
      <w:r w:rsidR="004D0223">
        <w:t xml:space="preserve"> and by those impacted, including having diverse leadership that is reflective of the population it serves. Any leader involved in an anti-racist organisation needs to be committed to the values, vision and</w:t>
      </w:r>
      <w:r w:rsidR="00640DBA">
        <w:t xml:space="preserve"> </w:t>
      </w:r>
      <w:r w:rsidR="004D0223">
        <w:t>the movement.</w:t>
      </w:r>
    </w:p>
    <w:p w14:paraId="01E0FC78" w14:textId="77777777" w:rsidR="004D0223" w:rsidRDefault="004D0223" w:rsidP="004D0223"/>
    <w:p w14:paraId="2F42299D" w14:textId="77777777" w:rsidR="004D0223" w:rsidRDefault="004D0223" w:rsidP="004D0223">
      <w:r>
        <w:t>Health system experts identified a range of practical considerations that are particularly important when applying this lever in a health system setting.</w:t>
      </w:r>
    </w:p>
    <w:p w14:paraId="15AC6F4C" w14:textId="64C8EE7C" w:rsidR="00841590" w:rsidRDefault="004D0223" w:rsidP="004D0223">
      <w:r>
        <w:t>These included:</w:t>
      </w:r>
    </w:p>
    <w:p w14:paraId="3E275AEE" w14:textId="40D2C78A" w:rsidR="004D0223" w:rsidRDefault="004D0223" w:rsidP="004D0223">
      <w:pPr>
        <w:pStyle w:val="Bullet"/>
      </w:pPr>
      <w:r>
        <w:t>Clear and consistent position that anti-racism/ health equity transformation is an organisational priority</w:t>
      </w:r>
    </w:p>
    <w:p w14:paraId="2EBC4440" w14:textId="51CCEA56" w:rsidR="004D0223" w:rsidRDefault="004D0223" w:rsidP="004D0223">
      <w:pPr>
        <w:pStyle w:val="Bullet"/>
      </w:pPr>
      <w:r>
        <w:t xml:space="preserve"> Clear and consistent position that the organisation will honour Te Tiriti</w:t>
      </w:r>
    </w:p>
    <w:p w14:paraId="07931D4D" w14:textId="77777777" w:rsidR="004D0223" w:rsidRDefault="004D0223" w:rsidP="004D0223">
      <w:pPr>
        <w:pStyle w:val="Bullet"/>
      </w:pPr>
      <w:r>
        <w:t>Building internal will and commitment at all levels of leadership: top, middle and bottom</w:t>
      </w:r>
    </w:p>
    <w:p w14:paraId="31D7C27A" w14:textId="77777777" w:rsidR="004D0223" w:rsidRDefault="004D0223" w:rsidP="004D0223">
      <w:pPr>
        <w:pStyle w:val="Bullet"/>
      </w:pPr>
      <w:r>
        <w:t>Building relationships and alliances including external advocacy and movement building for change that contributes to leadership by creating visible accountability.</w:t>
      </w:r>
    </w:p>
    <w:p w14:paraId="3D4CA24E" w14:textId="77777777" w:rsidR="004D0223" w:rsidRDefault="004D0223" w:rsidP="004D0223">
      <w:pPr>
        <w:pStyle w:val="Bullet"/>
      </w:pPr>
      <w:r>
        <w:t>Modelling transparency and accountability reflecting a core principle of leadership to role model desired behaviour.</w:t>
      </w:r>
    </w:p>
    <w:p w14:paraId="0B71EC02" w14:textId="3D46D915" w:rsidR="004D0223" w:rsidRDefault="004D0223" w:rsidP="004D0223"/>
    <w:p w14:paraId="6202CD6C" w14:textId="1245EC76" w:rsidR="004D0223" w:rsidRDefault="004D0223" w:rsidP="004D0223">
      <w:r w:rsidRPr="004D0223">
        <w:t>We have identified</w:t>
      </w:r>
      <w:r w:rsidRPr="00D15D86">
        <w:rPr>
          <w:b/>
          <w:bCs/>
        </w:rPr>
        <w:t xml:space="preserve"> leadership</w:t>
      </w:r>
      <w:r w:rsidRPr="004D0223">
        <w:t xml:space="preserve"> as a crucial lever for change and propose a number of micro-levers that support this component of transformation.</w:t>
      </w:r>
    </w:p>
    <w:p w14:paraId="1F8D34E6" w14:textId="073320B8" w:rsidR="004D0223" w:rsidRDefault="004D0223" w:rsidP="004D0223"/>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0"/>
        <w:gridCol w:w="6089"/>
      </w:tblGrid>
      <w:tr w:rsidR="004D0223" w14:paraId="3921617F" w14:textId="77777777" w:rsidTr="004D0223">
        <w:tc>
          <w:tcPr>
            <w:tcW w:w="1980" w:type="dxa"/>
            <w:shd w:val="clear" w:color="auto" w:fill="D9D9D9" w:themeFill="background1" w:themeFillShade="D9"/>
          </w:tcPr>
          <w:p w14:paraId="45DBD351" w14:textId="2F078B4E" w:rsidR="004D0223" w:rsidRPr="004D0223" w:rsidRDefault="004D0223" w:rsidP="00640DBA">
            <w:pPr>
              <w:spacing w:before="60" w:after="60"/>
              <w:rPr>
                <w:b/>
                <w:bCs/>
              </w:rPr>
            </w:pPr>
            <w:r w:rsidRPr="004D0223">
              <w:rPr>
                <w:b/>
                <w:bCs/>
              </w:rPr>
              <w:t>Leadership</w:t>
            </w:r>
          </w:p>
        </w:tc>
        <w:tc>
          <w:tcPr>
            <w:tcW w:w="6089" w:type="dxa"/>
          </w:tcPr>
          <w:p w14:paraId="4B62E5AB" w14:textId="77777777" w:rsidR="004D0223" w:rsidRDefault="004D0223" w:rsidP="00360A8E">
            <w:pPr>
              <w:pStyle w:val="Bullet"/>
              <w:spacing w:before="60" w:after="60"/>
            </w:pPr>
            <w:r>
              <w:t>K1.1 Championing Mana Tangata</w:t>
            </w:r>
          </w:p>
          <w:p w14:paraId="2C11B9F3" w14:textId="77777777" w:rsidR="004D0223" w:rsidRDefault="004D0223" w:rsidP="00360A8E">
            <w:pPr>
              <w:pStyle w:val="Bullet"/>
              <w:spacing w:before="60" w:after="60"/>
            </w:pPr>
            <w:r>
              <w:t>K1.2 Building relationships and alliances</w:t>
            </w:r>
          </w:p>
          <w:p w14:paraId="1D469DD3" w14:textId="3F17572D" w:rsidR="004D0223" w:rsidRDefault="004D0223" w:rsidP="00360A8E">
            <w:pPr>
              <w:pStyle w:val="Bullet"/>
              <w:spacing w:before="60" w:after="60"/>
            </w:pPr>
            <w:r>
              <w:t>K1.3 Modelling transparency and accountability</w:t>
            </w:r>
          </w:p>
        </w:tc>
      </w:tr>
    </w:tbl>
    <w:p w14:paraId="66063539" w14:textId="5DC7E5F8" w:rsidR="004D0223" w:rsidRDefault="004D0223" w:rsidP="004D0223">
      <w:pPr>
        <w:pStyle w:val="Heading2"/>
      </w:pPr>
      <w:bookmarkStart w:id="10" w:name="_Toc128660376"/>
      <w:r>
        <w:t>Narrative</w:t>
      </w:r>
      <w:bookmarkEnd w:id="10"/>
    </w:p>
    <w:p w14:paraId="4149D2B7" w14:textId="71A65373" w:rsidR="004D0223" w:rsidRDefault="004D0223" w:rsidP="004D0223">
      <w:r>
        <w:t>Creating new narratives is an essential lever for systems change. The primary purpose of new narratives is to help shift societal values. Systems change was described as “the process of shifting narratives, relationships, and power in order to foster equity and self- determination.”</w:t>
      </w:r>
      <w:r w:rsidR="00D15D86">
        <w:rPr>
          <w:rStyle w:val="FootnoteReference"/>
        </w:rPr>
        <w:footnoteReference w:id="9"/>
      </w:r>
      <w:r>
        <w:t xml:space="preserve"> In order for change to occur at the systems level there needs to be significant shifts in the narratives that helped to build the system.</w:t>
      </w:r>
      <w:r>
        <w:rPr>
          <w:rStyle w:val="FootnoteReference"/>
        </w:rPr>
        <w:footnoteReference w:id="10"/>
      </w:r>
      <w:r>
        <w:t xml:space="preserve"> Narrative is likewise a crucial component of Critical Race Theory (CRT).</w:t>
      </w:r>
    </w:p>
    <w:p w14:paraId="48257E7D" w14:textId="77777777" w:rsidR="004D0223" w:rsidRDefault="004D0223" w:rsidP="004D0223"/>
    <w:p w14:paraId="5ACB6673" w14:textId="77777777" w:rsidR="00D15D86" w:rsidRDefault="004D0223" w:rsidP="00D15D86">
      <w:r>
        <w:t>Changing the narrative is vital because counter-narratives raise awareness as well as build empathy, contributing to an environment of change.</w:t>
      </w:r>
      <w:r w:rsidR="00D15D86">
        <w:rPr>
          <w:rStyle w:val="FootnoteReference"/>
        </w:rPr>
        <w:footnoteReference w:id="11"/>
      </w:r>
      <w:r>
        <w:t xml:space="preserve"> It enables people to identify with the human experience and gain a sense of shared humanity. Furthermore, it creates new cognitive frames for knowing and therefore also helps to create new societal frames for being.</w:t>
      </w:r>
      <w:r w:rsidR="00D15D86">
        <w:rPr>
          <w:rStyle w:val="FootnoteReference"/>
        </w:rPr>
        <w:footnoteReference w:id="12"/>
      </w:r>
      <w:r>
        <w:t xml:space="preserve"> We did not locate any empirical studies that provided robust insight into the efficacy of narrative framing as a lever for change, however, the theoretical base</w:t>
      </w:r>
      <w:r w:rsidR="00D15D86">
        <w:t xml:space="preserve"> and prominence within systems change practice are compelling grounds for its inclusion as a lever for change.</w:t>
      </w:r>
    </w:p>
    <w:p w14:paraId="48263BBE" w14:textId="77777777" w:rsidR="00D15D86" w:rsidRDefault="00D15D86" w:rsidP="00D15D86"/>
    <w:p w14:paraId="73F63F0D" w14:textId="61580340" w:rsidR="00D15D86" w:rsidRDefault="00D15D86" w:rsidP="00D15D86">
      <w:r>
        <w:t>Although the literature identified narrative as important, there was a lack of models that sufficiently engaged with building new narratives. This is reflective of a wider trend in the literature regarding models which primarily focus on the individual level. Deloitte identified the need to discuss diversity and inclusion as important.</w:t>
      </w:r>
      <w:r>
        <w:rPr>
          <w:rStyle w:val="FootnoteReference"/>
        </w:rPr>
        <w:footnoteReference w:id="13"/>
      </w:r>
      <w:r>
        <w:t xml:space="preserve"> The Disruptive Equity Education Project (DEEP) theory of change discussed how narrative is one of the key steps to creating change.</w:t>
      </w:r>
      <w:r>
        <w:rPr>
          <w:rStyle w:val="FootnoteReference"/>
        </w:rPr>
        <w:footnoteReference w:id="14"/>
      </w:r>
      <w:r>
        <w:t xml:space="preserve"> People engage with a storytelling framework to explain their experiences and then share these as a group to build a sense of shared understanding.</w:t>
      </w:r>
    </w:p>
    <w:p w14:paraId="48DDB961" w14:textId="77777777" w:rsidR="00D15D86" w:rsidRDefault="00D15D86" w:rsidP="00D15D86"/>
    <w:p w14:paraId="6DC2E749" w14:textId="0A4A0833" w:rsidR="00D15D86" w:rsidRDefault="00D15D86" w:rsidP="00D15D86">
      <w:r>
        <w:t>Our models identify narrative as an essential component of change in the anti-racism space. This emerged from the literature on CRT and its offspring, Critical Anti-Racism Theory (CART). For deep, sustainable change to occur there needs to be a shift in the narrative. Narratives help us to make sense of the world and through shifting narratives we can shift our future.</w:t>
      </w:r>
    </w:p>
    <w:p w14:paraId="692FC7A4" w14:textId="77777777" w:rsidR="00D15D86" w:rsidRDefault="00D15D86" w:rsidP="00D15D86">
      <w:r>
        <w:t xml:space="preserve"> </w:t>
      </w:r>
    </w:p>
    <w:p w14:paraId="07A281C4" w14:textId="427AA968" w:rsidR="00D15D86" w:rsidRDefault="00D15D86" w:rsidP="00D15D86">
      <w:r>
        <w:t>Health system experts identified a range of practical considerations that are particularly important when applying this lever in a health system setting. These included:</w:t>
      </w:r>
    </w:p>
    <w:p w14:paraId="6E3AF18D" w14:textId="77777777" w:rsidR="00D15D86" w:rsidRPr="00D15D86" w:rsidRDefault="00D15D86" w:rsidP="00D15D86">
      <w:pPr>
        <w:pStyle w:val="Bullet"/>
        <w:rPr>
          <w:rFonts w:eastAsia="Arial Unicode MS"/>
        </w:rPr>
      </w:pPr>
      <w:r w:rsidRPr="00D15D86">
        <w:rPr>
          <w:rFonts w:eastAsia="Arial Unicode MS"/>
        </w:rPr>
        <w:t>Leading with a strong positive vision anchored in Te Tiriti</w:t>
      </w:r>
    </w:p>
    <w:p w14:paraId="66519E17" w14:textId="77777777" w:rsidR="00D15D86" w:rsidRPr="00D15D86" w:rsidRDefault="00D15D86" w:rsidP="00D15D86">
      <w:pPr>
        <w:pStyle w:val="Bullet"/>
        <w:rPr>
          <w:rFonts w:eastAsia="Arial Unicode MS"/>
        </w:rPr>
      </w:pPr>
      <w:r w:rsidRPr="00D15D86">
        <w:rPr>
          <w:rFonts w:eastAsia="Arial Unicode MS"/>
        </w:rPr>
        <w:t>Building a shared understanding of racism and anti-racism</w:t>
      </w:r>
    </w:p>
    <w:p w14:paraId="642AB989" w14:textId="77777777" w:rsidR="00D15D86" w:rsidRPr="00D15D86" w:rsidRDefault="00D15D86" w:rsidP="00D15D86">
      <w:pPr>
        <w:pStyle w:val="Bullet"/>
        <w:rPr>
          <w:rFonts w:eastAsia="Arial Unicode MS"/>
        </w:rPr>
      </w:pPr>
      <w:r w:rsidRPr="00D15D86">
        <w:rPr>
          <w:rFonts w:eastAsia="Arial Unicode MS"/>
        </w:rPr>
        <w:t>New narrative reflects equality of paradigms (ie Western, Māori, Pacific and other knowledge systems are accorded equal respect and visibility)</w:t>
      </w:r>
    </w:p>
    <w:p w14:paraId="561CAD29" w14:textId="77777777" w:rsidR="00D15D86" w:rsidRPr="00D15D86" w:rsidRDefault="00D15D86" w:rsidP="00D15D86">
      <w:pPr>
        <w:pStyle w:val="Bullet"/>
        <w:rPr>
          <w:rFonts w:eastAsia="Arial Unicode MS"/>
        </w:rPr>
      </w:pPr>
      <w:r w:rsidRPr="00D15D86">
        <w:rPr>
          <w:rFonts w:eastAsia="Arial Unicode MS"/>
        </w:rPr>
        <w:t>Sharing stories of the lived experiences of racism and their impacts</w:t>
      </w:r>
    </w:p>
    <w:p w14:paraId="252BE96B" w14:textId="77777777" w:rsidR="00D15D86" w:rsidRPr="00D15D86" w:rsidRDefault="00D15D86" w:rsidP="00D15D86">
      <w:pPr>
        <w:pStyle w:val="Bullet"/>
        <w:rPr>
          <w:rFonts w:eastAsia="Arial Unicode MS"/>
        </w:rPr>
      </w:pPr>
      <w:r w:rsidRPr="00D15D86">
        <w:rPr>
          <w:rFonts w:eastAsia="Arial Unicode MS"/>
        </w:rPr>
        <w:t>Sharing stories of organisational contributions to racism</w:t>
      </w:r>
    </w:p>
    <w:p w14:paraId="76995B1C" w14:textId="040F748F" w:rsidR="009A42D5" w:rsidRDefault="00D15D86" w:rsidP="00D15D86">
      <w:pPr>
        <w:pStyle w:val="Bullet"/>
        <w:rPr>
          <w:rFonts w:eastAsia="Arial Unicode MS"/>
        </w:rPr>
      </w:pPr>
      <w:r w:rsidRPr="00D15D86">
        <w:rPr>
          <w:rFonts w:eastAsia="Arial Unicode MS"/>
        </w:rPr>
        <w:t>Promoting strengths and capabilities of ‘the other’ is important for reframing expectations to a ‘strengths-based’ foundation, including sharing positive stories and concrete examples of successes by under-served groups</w:t>
      </w:r>
      <w:r>
        <w:rPr>
          <w:rFonts w:eastAsia="Arial Unicode MS"/>
        </w:rPr>
        <w:t>.</w:t>
      </w:r>
    </w:p>
    <w:p w14:paraId="5FF74E1D" w14:textId="2D7CA945" w:rsidR="00D15D86" w:rsidRDefault="00D15D86" w:rsidP="00D15D86">
      <w:pPr>
        <w:rPr>
          <w:rFonts w:eastAsia="Arial Unicode MS"/>
        </w:rPr>
      </w:pPr>
    </w:p>
    <w:p w14:paraId="227683C6" w14:textId="12D8D348" w:rsidR="00D15D86" w:rsidRDefault="00D15D86" w:rsidP="00D15D86">
      <w:pPr>
        <w:rPr>
          <w:rFonts w:eastAsia="Arial Unicode MS"/>
        </w:rPr>
      </w:pPr>
      <w:r w:rsidRPr="00D15D86">
        <w:rPr>
          <w:rFonts w:eastAsia="Arial Unicode MS"/>
        </w:rPr>
        <w:t xml:space="preserve">We have identified </w:t>
      </w:r>
      <w:r w:rsidRPr="00D15D86">
        <w:rPr>
          <w:rFonts w:eastAsia="Arial Unicode MS"/>
          <w:b/>
          <w:bCs/>
        </w:rPr>
        <w:t>narrative</w:t>
      </w:r>
      <w:r w:rsidRPr="00D15D86">
        <w:rPr>
          <w:rFonts w:eastAsia="Arial Unicode MS"/>
        </w:rPr>
        <w:t xml:space="preserve"> as a lever for change and have proposed a number of micro-levers that support narrative transformation.</w:t>
      </w:r>
    </w:p>
    <w:p w14:paraId="232E1E6A" w14:textId="3B519742" w:rsidR="00D15D86" w:rsidRDefault="00D15D86" w:rsidP="00D15D86">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980"/>
        <w:gridCol w:w="6089"/>
      </w:tblGrid>
      <w:tr w:rsidR="00D15D86" w14:paraId="1D3EBC4D" w14:textId="77777777" w:rsidTr="00640DBA">
        <w:tc>
          <w:tcPr>
            <w:tcW w:w="1980" w:type="dxa"/>
            <w:shd w:val="clear" w:color="auto" w:fill="D9D9D9" w:themeFill="background1" w:themeFillShade="D9"/>
          </w:tcPr>
          <w:p w14:paraId="712BFD16" w14:textId="2553FFB1" w:rsidR="00D15D86" w:rsidRPr="004D0223" w:rsidRDefault="00D15D86" w:rsidP="00640DBA">
            <w:pPr>
              <w:spacing w:before="60" w:after="60"/>
              <w:rPr>
                <w:b/>
                <w:bCs/>
              </w:rPr>
            </w:pPr>
            <w:r w:rsidRPr="00D15D86">
              <w:rPr>
                <w:b/>
                <w:bCs/>
              </w:rPr>
              <w:t>Narrative</w:t>
            </w:r>
          </w:p>
        </w:tc>
        <w:tc>
          <w:tcPr>
            <w:tcW w:w="6089" w:type="dxa"/>
          </w:tcPr>
          <w:p w14:paraId="16B2171F" w14:textId="77777777" w:rsidR="00D15D86" w:rsidRDefault="00D15D86" w:rsidP="00360A8E">
            <w:pPr>
              <w:pStyle w:val="Bullet"/>
              <w:spacing w:before="60" w:after="60"/>
            </w:pPr>
            <w:r>
              <w:t xml:space="preserve">K2.1 Developing the Mana Tangata story </w:t>
            </w:r>
          </w:p>
          <w:p w14:paraId="20F19E68" w14:textId="4D56D18E" w:rsidR="00D15D86" w:rsidRDefault="00D15D86" w:rsidP="00360A8E">
            <w:pPr>
              <w:pStyle w:val="Bullet"/>
              <w:spacing w:before="60" w:after="60"/>
            </w:pPr>
            <w:r>
              <w:t>K2.2 Promoting accountability for history</w:t>
            </w:r>
          </w:p>
          <w:p w14:paraId="0864C74E" w14:textId="7056CF2C" w:rsidR="00D15D86" w:rsidRDefault="00D15D86" w:rsidP="00360A8E">
            <w:pPr>
              <w:pStyle w:val="Bullet"/>
              <w:spacing w:before="60" w:after="60"/>
            </w:pPr>
            <w:r>
              <w:t>K2.3 Promoting strengths and capabilities of ‘the other’</w:t>
            </w:r>
          </w:p>
        </w:tc>
      </w:tr>
    </w:tbl>
    <w:p w14:paraId="44249525" w14:textId="20595724" w:rsidR="00D15D86" w:rsidRDefault="00D15D86" w:rsidP="00D15D86">
      <w:pPr>
        <w:rPr>
          <w:rFonts w:eastAsia="Arial Unicode MS"/>
        </w:rPr>
      </w:pPr>
    </w:p>
    <w:p w14:paraId="1E70C803" w14:textId="67B5DCF3" w:rsidR="00640DBA" w:rsidRDefault="00640DBA" w:rsidP="00D15D86">
      <w:pPr>
        <w:rPr>
          <w:rFonts w:eastAsia="Arial Unicode MS"/>
        </w:rPr>
      </w:pPr>
    </w:p>
    <w:p w14:paraId="46EA4984" w14:textId="77777777" w:rsidR="00640DBA" w:rsidRDefault="00640DBA" w:rsidP="00D15D86">
      <w:pPr>
        <w:rPr>
          <w:rFonts w:eastAsia="Arial Unicode MS"/>
        </w:rPr>
      </w:pPr>
    </w:p>
    <w:p w14:paraId="29B658AA" w14:textId="77777777" w:rsidR="00640DBA" w:rsidRDefault="00640DBA" w:rsidP="00640DBA">
      <w:pPr>
        <w:pBdr>
          <w:top w:val="single" w:sz="4" w:space="1" w:color="0070C0"/>
        </w:pBdr>
        <w:rPr>
          <w:rFonts w:eastAsia="Lucida Sans Unicode"/>
        </w:rPr>
      </w:pPr>
    </w:p>
    <w:p w14:paraId="53742A07" w14:textId="04196DD0" w:rsidR="00640DBA" w:rsidRDefault="00640DBA" w:rsidP="00640DBA">
      <w:pPr>
        <w:pStyle w:val="Heading5"/>
        <w:jc w:val="center"/>
        <w:rPr>
          <w:rFonts w:eastAsia="Lucida Sans Unicode"/>
        </w:rPr>
      </w:pPr>
      <w:r w:rsidRPr="00C67BC1">
        <w:rPr>
          <w:rFonts w:eastAsia="Lucida Sans Unicode"/>
        </w:rPr>
        <w:t>“</w:t>
      </w:r>
      <w:r w:rsidRPr="00640DBA">
        <w:rPr>
          <w:rFonts w:eastAsia="Lucida Sans Unicode"/>
        </w:rPr>
        <w:t>Oranga taiao, Oranga tāngata</w:t>
      </w:r>
      <w:r w:rsidRPr="00081493">
        <w:rPr>
          <w:rFonts w:eastAsia="Lucida Sans Unicode"/>
        </w:rPr>
        <w:t>”</w:t>
      </w:r>
      <w:r w:rsidRPr="00C67BC1">
        <w:rPr>
          <w:rFonts w:eastAsia="Lucida Sans Unicode"/>
        </w:rPr>
        <w:t>.</w:t>
      </w:r>
    </w:p>
    <w:p w14:paraId="20E18DFD" w14:textId="77777777" w:rsidR="00640DBA" w:rsidRDefault="00640DBA" w:rsidP="00640DBA">
      <w:pPr>
        <w:rPr>
          <w:rFonts w:eastAsia="Lucida Sans Unicode"/>
        </w:rPr>
      </w:pPr>
    </w:p>
    <w:p w14:paraId="0AD7B04D" w14:textId="4E792FA7" w:rsidR="00640DBA" w:rsidRDefault="00640DBA" w:rsidP="00640DBA">
      <w:pPr>
        <w:pBdr>
          <w:bottom w:val="single" w:sz="4" w:space="1" w:color="0070C0"/>
        </w:pBdr>
        <w:spacing w:after="120"/>
        <w:jc w:val="center"/>
        <w:rPr>
          <w:rFonts w:eastAsia="Lucida Sans Unicode"/>
          <w:sz w:val="22"/>
          <w:szCs w:val="22"/>
        </w:rPr>
      </w:pPr>
      <w:r w:rsidRPr="00640DBA">
        <w:rPr>
          <w:rFonts w:eastAsia="Lucida Sans Unicode"/>
          <w:sz w:val="22"/>
          <w:szCs w:val="22"/>
        </w:rPr>
        <w:t>HEALTHY ENVIRONMENTS HEALTHY PEOPLE</w:t>
      </w:r>
    </w:p>
    <w:p w14:paraId="1A25EEDD" w14:textId="77777777" w:rsidR="00640DBA" w:rsidRPr="00561369" w:rsidRDefault="00640DBA" w:rsidP="00640DBA">
      <w:pPr>
        <w:pBdr>
          <w:bottom w:val="single" w:sz="4" w:space="1" w:color="0070C0"/>
        </w:pBdr>
        <w:spacing w:after="120"/>
        <w:jc w:val="center"/>
        <w:rPr>
          <w:rFonts w:eastAsia="Lucida Sans Unicode"/>
          <w:sz w:val="22"/>
          <w:szCs w:val="22"/>
        </w:rPr>
      </w:pPr>
    </w:p>
    <w:p w14:paraId="0F933791" w14:textId="77777777" w:rsidR="00640DBA" w:rsidRPr="00561369" w:rsidRDefault="00640DBA" w:rsidP="00640DBA">
      <w:pPr>
        <w:rPr>
          <w:rFonts w:eastAsia="Lucida Sans Unicode"/>
          <w:sz w:val="22"/>
          <w:szCs w:val="22"/>
        </w:rPr>
      </w:pPr>
    </w:p>
    <w:p w14:paraId="07DFFA69" w14:textId="56C00A56" w:rsidR="00640DBA" w:rsidRPr="00561369" w:rsidRDefault="00640DBA" w:rsidP="00640DBA">
      <w:pPr>
        <w:jc w:val="center"/>
        <w:rPr>
          <w:rFonts w:eastAsia="Lucida Sans Unicode"/>
          <w:sz w:val="22"/>
          <w:szCs w:val="22"/>
        </w:rPr>
      </w:pPr>
      <w:r w:rsidRPr="00640DBA">
        <w:rPr>
          <w:rFonts w:eastAsia="Lucida Sans Unicode"/>
          <w:sz w:val="22"/>
          <w:szCs w:val="22"/>
        </w:rPr>
        <w:t xml:space="preserve">Our operating environment plays a critical role in mitigating racism </w:t>
      </w:r>
      <w:r>
        <w:rPr>
          <w:rFonts w:eastAsia="Lucida Sans Unicode"/>
          <w:sz w:val="22"/>
          <w:szCs w:val="22"/>
        </w:rPr>
        <w:br/>
      </w:r>
      <w:r w:rsidRPr="00640DBA">
        <w:rPr>
          <w:rFonts w:eastAsia="Lucida Sans Unicode"/>
          <w:sz w:val="22"/>
          <w:szCs w:val="22"/>
        </w:rPr>
        <w:t xml:space="preserve">and enabling health equity. Creating the right conditions – transparent </w:t>
      </w:r>
      <w:r>
        <w:rPr>
          <w:rFonts w:eastAsia="Lucida Sans Unicode"/>
          <w:sz w:val="22"/>
          <w:szCs w:val="22"/>
        </w:rPr>
        <w:br/>
      </w:r>
      <w:r w:rsidRPr="00640DBA">
        <w:rPr>
          <w:rFonts w:eastAsia="Lucida Sans Unicode"/>
          <w:sz w:val="22"/>
          <w:szCs w:val="22"/>
        </w:rPr>
        <w:t xml:space="preserve">and equitable systems, strategies and policies – is conducive to the </w:t>
      </w:r>
      <w:r>
        <w:rPr>
          <w:rFonts w:eastAsia="Lucida Sans Unicode"/>
          <w:sz w:val="22"/>
          <w:szCs w:val="22"/>
        </w:rPr>
        <w:br/>
      </w:r>
      <w:r w:rsidRPr="00640DBA">
        <w:rPr>
          <w:rFonts w:eastAsia="Lucida Sans Unicode"/>
          <w:sz w:val="22"/>
          <w:szCs w:val="22"/>
        </w:rPr>
        <w:t>health and wellbeing of the people</w:t>
      </w:r>
      <w:r w:rsidRPr="00841590">
        <w:rPr>
          <w:rFonts w:eastAsia="Lucida Sans Unicode"/>
          <w:sz w:val="22"/>
          <w:szCs w:val="22"/>
        </w:rPr>
        <w:t>.</w:t>
      </w:r>
      <w:r>
        <w:rPr>
          <w:rFonts w:eastAsia="Lucida Sans Unicode"/>
          <w:sz w:val="22"/>
          <w:szCs w:val="22"/>
        </w:rPr>
        <w:t xml:space="preserve"> </w:t>
      </w:r>
    </w:p>
    <w:p w14:paraId="6CDAB35C" w14:textId="77777777" w:rsidR="00640DBA" w:rsidRDefault="00640DBA" w:rsidP="00D15D86">
      <w:pPr>
        <w:rPr>
          <w:rFonts w:eastAsia="Arial Unicode MS"/>
        </w:rPr>
        <w:sectPr w:rsidR="00640DBA" w:rsidSect="00841590">
          <w:pgSz w:w="11907" w:h="16840" w:code="9"/>
          <w:pgMar w:top="1418" w:right="1701" w:bottom="1134" w:left="1843" w:header="284" w:footer="425" w:gutter="284"/>
          <w:cols w:space="720"/>
        </w:sectPr>
      </w:pPr>
    </w:p>
    <w:p w14:paraId="45D1C4A1" w14:textId="77777777" w:rsidR="00640DBA" w:rsidRPr="00640DBA" w:rsidRDefault="00640DBA" w:rsidP="00640DBA">
      <w:pPr>
        <w:pStyle w:val="Heading2"/>
        <w:spacing w:before="0"/>
        <w:rPr>
          <w:rFonts w:eastAsia="Arial Unicode MS"/>
        </w:rPr>
      </w:pPr>
      <w:bookmarkStart w:id="11" w:name="_Toc128660377"/>
      <w:r w:rsidRPr="00640DBA">
        <w:rPr>
          <w:rFonts w:eastAsia="Arial Unicode MS"/>
        </w:rPr>
        <w:lastRenderedPageBreak/>
        <w:t>Organisational Strategy and Goals</w:t>
      </w:r>
      <w:bookmarkEnd w:id="11"/>
    </w:p>
    <w:p w14:paraId="1B7139F2" w14:textId="77777777" w:rsidR="00640DBA" w:rsidRPr="00640DBA" w:rsidRDefault="00640DBA" w:rsidP="00640DBA">
      <w:pPr>
        <w:rPr>
          <w:rFonts w:eastAsia="Arial Unicode MS"/>
        </w:rPr>
      </w:pPr>
      <w:r w:rsidRPr="00640DBA">
        <w:rPr>
          <w:rFonts w:eastAsia="Arial Unicode MS"/>
        </w:rPr>
        <w:t xml:space="preserve"> </w:t>
      </w:r>
    </w:p>
    <w:p w14:paraId="6A340DE1" w14:textId="0B90B71E" w:rsidR="00640DBA" w:rsidRPr="00640DBA" w:rsidRDefault="00640DBA" w:rsidP="00640DBA">
      <w:pPr>
        <w:rPr>
          <w:rFonts w:eastAsia="Arial Unicode MS"/>
        </w:rPr>
      </w:pPr>
      <w:r w:rsidRPr="00640DBA">
        <w:rPr>
          <w:rFonts w:eastAsia="Arial Unicode MS"/>
        </w:rPr>
        <w:t>Organisational goals were identified as important for change creation. Clear organisational goals help to build a sense of purpose while simultaneously</w:t>
      </w:r>
      <w:r>
        <w:rPr>
          <w:rFonts w:eastAsia="Arial Unicode MS"/>
        </w:rPr>
        <w:t xml:space="preserve"> </w:t>
      </w:r>
      <w:r w:rsidRPr="00640DBA">
        <w:rPr>
          <w:rFonts w:eastAsia="Arial Unicode MS"/>
        </w:rPr>
        <w:t>shifting organisational values, motivation, and resourcing.</w:t>
      </w:r>
      <w:r>
        <w:rPr>
          <w:rStyle w:val="FootnoteReference"/>
          <w:rFonts w:eastAsia="Arial Unicode MS"/>
        </w:rPr>
        <w:footnoteReference w:id="15"/>
      </w:r>
      <w:r w:rsidRPr="00640DBA">
        <w:rPr>
          <w:rFonts w:eastAsia="Arial Unicode MS"/>
        </w:rPr>
        <w:t xml:space="preserve"> Through creating organisational goals, a shared sense of belonging and individual commitment to change are fostered. It was also identified that the vision and values need to employ a shared language around key concepts.</w:t>
      </w:r>
    </w:p>
    <w:p w14:paraId="6A0552AB" w14:textId="77777777" w:rsidR="00640DBA" w:rsidRPr="00640DBA" w:rsidRDefault="00640DBA" w:rsidP="00640DBA">
      <w:pPr>
        <w:rPr>
          <w:rFonts w:eastAsia="Arial Unicode MS"/>
        </w:rPr>
      </w:pPr>
    </w:p>
    <w:p w14:paraId="69415378" w14:textId="46B9B9F3" w:rsidR="00640DBA" w:rsidRPr="00640DBA" w:rsidRDefault="00640DBA" w:rsidP="00640DBA">
      <w:pPr>
        <w:rPr>
          <w:rFonts w:eastAsia="Arial Unicode MS"/>
        </w:rPr>
      </w:pPr>
      <w:r w:rsidRPr="00640DBA">
        <w:rPr>
          <w:rFonts w:eastAsia="Arial Unicode MS"/>
        </w:rPr>
        <w:t>Academic literature affirms the importance and prevalence of organisational strategy and goals, and of exploring important nuances on how such goals are framed.</w:t>
      </w:r>
      <w:r>
        <w:rPr>
          <w:rStyle w:val="FootnoteReference"/>
          <w:rFonts w:eastAsia="Arial Unicode MS"/>
        </w:rPr>
        <w:footnoteReference w:id="16"/>
      </w:r>
      <w:r w:rsidRPr="00640DBA">
        <w:rPr>
          <w:rFonts w:eastAsia="Arial Unicode MS"/>
        </w:rPr>
        <w:t xml:space="preserve"> Some commentators also caution against the potential for over-confidence in high level goals if they are too ethereal to be applied practically by staff.</w:t>
      </w:r>
      <w:r>
        <w:rPr>
          <w:rStyle w:val="FootnoteReference"/>
          <w:rFonts w:eastAsia="Arial Unicode MS"/>
        </w:rPr>
        <w:footnoteReference w:id="17"/>
      </w:r>
    </w:p>
    <w:p w14:paraId="0A2C0B46" w14:textId="77777777" w:rsidR="00640DBA" w:rsidRPr="00640DBA" w:rsidRDefault="00640DBA" w:rsidP="00640DBA">
      <w:pPr>
        <w:rPr>
          <w:rFonts w:eastAsia="Arial Unicode MS"/>
        </w:rPr>
      </w:pPr>
    </w:p>
    <w:p w14:paraId="36C2E9EB" w14:textId="4C75B450" w:rsidR="00640DBA" w:rsidRPr="00640DBA" w:rsidRDefault="00640DBA" w:rsidP="00640DBA">
      <w:pPr>
        <w:rPr>
          <w:rFonts w:eastAsia="Arial Unicode MS"/>
        </w:rPr>
      </w:pPr>
      <w:r w:rsidRPr="00640DBA">
        <w:rPr>
          <w:rFonts w:eastAsia="Arial Unicode MS"/>
        </w:rPr>
        <w:t>Organisational goals were identified in some existing models as necessary</w:t>
      </w:r>
      <w:r w:rsidR="00796DEB">
        <w:rPr>
          <w:rFonts w:eastAsia="Arial Unicode MS"/>
        </w:rPr>
        <w:t xml:space="preserve"> </w:t>
      </w:r>
      <w:r w:rsidRPr="00640DBA">
        <w:rPr>
          <w:rFonts w:eastAsia="Arial Unicode MS"/>
        </w:rPr>
        <w:t>for change. One of the eight core truths of diversity and inclusion identified by Deloitte is, “tangible goals make ambition real.”</w:t>
      </w:r>
      <w:r>
        <w:rPr>
          <w:rStyle w:val="FootnoteReference"/>
          <w:rFonts w:eastAsia="Arial Unicode MS"/>
        </w:rPr>
        <w:footnoteReference w:id="18"/>
      </w:r>
      <w:r w:rsidRPr="00640DBA">
        <w:rPr>
          <w:rFonts w:eastAsia="Arial Unicode MS"/>
        </w:rPr>
        <w:t xml:space="preserve"> In the ESC Model there are some key requirements for implementing change, one of which is about vision and</w:t>
      </w:r>
      <w:r w:rsidR="00796DEB">
        <w:rPr>
          <w:rFonts w:eastAsia="Arial Unicode MS"/>
        </w:rPr>
        <w:t xml:space="preserve"> </w:t>
      </w:r>
      <w:r w:rsidRPr="00640DBA">
        <w:rPr>
          <w:rFonts w:eastAsia="Arial Unicode MS"/>
        </w:rPr>
        <w:t>values. The organisation needs to develop a shared vision and values for change processes to be successful.</w:t>
      </w:r>
      <w:r>
        <w:rPr>
          <w:rStyle w:val="FootnoteReference"/>
          <w:rFonts w:eastAsia="Arial Unicode MS"/>
        </w:rPr>
        <w:footnoteReference w:id="19"/>
      </w:r>
      <w:r w:rsidRPr="00640DBA">
        <w:rPr>
          <w:rFonts w:eastAsia="Arial Unicode MS"/>
        </w:rPr>
        <w:t xml:space="preserve"> A suggestion from the DEEP, was to create an equity mission statement to help transform the organisation’s culture.</w:t>
      </w:r>
      <w:r>
        <w:rPr>
          <w:rStyle w:val="FootnoteReference"/>
          <w:rFonts w:eastAsia="Arial Unicode MS"/>
        </w:rPr>
        <w:footnoteReference w:id="20"/>
      </w:r>
    </w:p>
    <w:p w14:paraId="6E94A161" w14:textId="77777777" w:rsidR="00640DBA" w:rsidRPr="00640DBA" w:rsidRDefault="00640DBA" w:rsidP="00640DBA">
      <w:pPr>
        <w:rPr>
          <w:rFonts w:eastAsia="Arial Unicode MS"/>
        </w:rPr>
      </w:pPr>
    </w:p>
    <w:p w14:paraId="627FA501" w14:textId="63C80849" w:rsidR="00640DBA" w:rsidRPr="00640DBA" w:rsidRDefault="00640DBA" w:rsidP="00640DBA">
      <w:pPr>
        <w:rPr>
          <w:rFonts w:eastAsia="Arial Unicode MS"/>
        </w:rPr>
      </w:pPr>
      <w:r w:rsidRPr="00640DBA">
        <w:rPr>
          <w:rFonts w:eastAsia="Arial Unicode MS"/>
        </w:rPr>
        <w:t>An organisational strategy and goals help to build movement and momentum for change. More importantly, they help to shift organisational values. One way</w:t>
      </w:r>
      <w:r w:rsidR="00796DEB">
        <w:rPr>
          <w:rFonts w:eastAsia="Arial Unicode MS"/>
        </w:rPr>
        <w:t xml:space="preserve"> </w:t>
      </w:r>
      <w:r w:rsidRPr="00640DBA">
        <w:rPr>
          <w:rFonts w:eastAsia="Arial Unicode MS"/>
        </w:rPr>
        <w:t>of doing this is ensuring the goals are</w:t>
      </w:r>
      <w:r w:rsidR="00796DEB">
        <w:rPr>
          <w:rFonts w:eastAsia="Arial Unicode MS"/>
        </w:rPr>
        <w:t xml:space="preserve"> </w:t>
      </w:r>
      <w:r w:rsidRPr="00640DBA">
        <w:rPr>
          <w:rFonts w:eastAsia="Arial Unicode MS"/>
        </w:rPr>
        <w:t>included in criteria for decision-making and resource allocation. It is crucial that the organisational goals extend to action such as influencing decision-making</w:t>
      </w:r>
      <w:r w:rsidR="00796DEB">
        <w:rPr>
          <w:rFonts w:eastAsia="Arial Unicode MS"/>
        </w:rPr>
        <w:t xml:space="preserve"> </w:t>
      </w:r>
      <w:r w:rsidRPr="00640DBA">
        <w:rPr>
          <w:rFonts w:eastAsia="Arial Unicode MS"/>
        </w:rPr>
        <w:t>and resourcing.</w:t>
      </w:r>
    </w:p>
    <w:p w14:paraId="55EA0894" w14:textId="77777777" w:rsidR="00640DBA" w:rsidRPr="00640DBA" w:rsidRDefault="00640DBA" w:rsidP="00640DBA">
      <w:pPr>
        <w:rPr>
          <w:rFonts w:eastAsia="Arial Unicode MS"/>
        </w:rPr>
      </w:pPr>
    </w:p>
    <w:p w14:paraId="2A9B7A7A" w14:textId="0BF2C3F8" w:rsidR="00640DBA" w:rsidRDefault="00640DBA" w:rsidP="00640DBA">
      <w:pPr>
        <w:rPr>
          <w:rFonts w:eastAsia="Arial Unicode MS"/>
        </w:rPr>
      </w:pPr>
      <w:r w:rsidRPr="00640DBA">
        <w:rPr>
          <w:rFonts w:eastAsia="Arial Unicode MS"/>
        </w:rPr>
        <w:t>Health system experts identified a range of practical considerations that are particularly important when applying this lever in a health system setting. These included:</w:t>
      </w:r>
    </w:p>
    <w:p w14:paraId="6C0045DB" w14:textId="77777777" w:rsidR="00796DEB" w:rsidRPr="00796DEB" w:rsidRDefault="00796DEB" w:rsidP="00796DEB">
      <w:pPr>
        <w:pStyle w:val="Bullet"/>
        <w:rPr>
          <w:rFonts w:eastAsia="Arial Unicode MS"/>
        </w:rPr>
      </w:pPr>
      <w:r w:rsidRPr="00796DEB">
        <w:rPr>
          <w:rFonts w:eastAsia="Arial Unicode MS"/>
        </w:rPr>
        <w:t>Organisation has an anti-racism strategy with clear positioning statement</w:t>
      </w:r>
    </w:p>
    <w:p w14:paraId="6184E23C" w14:textId="77777777" w:rsidR="00796DEB" w:rsidRPr="00796DEB" w:rsidRDefault="00796DEB" w:rsidP="00796DEB">
      <w:pPr>
        <w:pStyle w:val="Bullet"/>
        <w:rPr>
          <w:rFonts w:eastAsia="Arial Unicode MS"/>
        </w:rPr>
      </w:pPr>
      <w:r w:rsidRPr="00796DEB">
        <w:rPr>
          <w:rFonts w:eastAsia="Arial Unicode MS"/>
        </w:rPr>
        <w:t>Organisation integrates anti-racism into overarching strategy</w:t>
      </w:r>
    </w:p>
    <w:p w14:paraId="41E8056B" w14:textId="77777777" w:rsidR="00796DEB" w:rsidRPr="00796DEB" w:rsidRDefault="00796DEB" w:rsidP="00796DEB">
      <w:pPr>
        <w:pStyle w:val="Bullet"/>
        <w:rPr>
          <w:rFonts w:eastAsia="Arial Unicode MS"/>
        </w:rPr>
      </w:pPr>
      <w:r w:rsidRPr="00796DEB">
        <w:rPr>
          <w:rFonts w:eastAsia="Arial Unicode MS"/>
        </w:rPr>
        <w:t>Values, purpose, leadership, ownership, planning, performance, and accountability structures align to anti- racist strategy</w:t>
      </w:r>
    </w:p>
    <w:p w14:paraId="7D24A9BE" w14:textId="77777777" w:rsidR="00796DEB" w:rsidRPr="00796DEB" w:rsidRDefault="00796DEB" w:rsidP="00796DEB">
      <w:pPr>
        <w:pStyle w:val="Bullet"/>
        <w:rPr>
          <w:rFonts w:eastAsia="Arial Unicode MS"/>
        </w:rPr>
      </w:pPr>
      <w:r w:rsidRPr="00796DEB">
        <w:rPr>
          <w:rFonts w:eastAsia="Arial Unicode MS"/>
        </w:rPr>
        <w:lastRenderedPageBreak/>
        <w:t>Organisational policy recognises and values creating space for under-served groups to have autonomy over delivery on their aspirations</w:t>
      </w:r>
    </w:p>
    <w:p w14:paraId="0290CFFE" w14:textId="77777777" w:rsidR="00796DEB" w:rsidRPr="00796DEB" w:rsidRDefault="00796DEB" w:rsidP="00796DEB">
      <w:pPr>
        <w:pStyle w:val="Bullet"/>
        <w:rPr>
          <w:rFonts w:eastAsia="Arial Unicode MS"/>
        </w:rPr>
      </w:pPr>
      <w:r w:rsidRPr="00796DEB">
        <w:rPr>
          <w:rFonts w:eastAsia="Arial Unicode MS"/>
        </w:rPr>
        <w:t>Contracting arrangements with under- served groups to deliver on their aspirations is based on high-trust, multi-year delivery and flexibility to evolve the delivery</w:t>
      </w:r>
    </w:p>
    <w:p w14:paraId="08880165" w14:textId="77777777" w:rsidR="00796DEB" w:rsidRPr="00796DEB" w:rsidRDefault="00796DEB" w:rsidP="00796DEB">
      <w:pPr>
        <w:pStyle w:val="Bullet"/>
        <w:rPr>
          <w:rFonts w:eastAsia="Arial Unicode MS"/>
        </w:rPr>
      </w:pPr>
      <w:r w:rsidRPr="00796DEB">
        <w:rPr>
          <w:rFonts w:eastAsia="Arial Unicode MS"/>
        </w:rPr>
        <w:t>Driving accountability for achieving Mana Tangata goals embeds meaningful community partnerships that provide for community accountability</w:t>
      </w:r>
    </w:p>
    <w:p w14:paraId="7B54C6B3" w14:textId="2C2ABFCE" w:rsidR="00796DEB" w:rsidRDefault="00796DEB" w:rsidP="00796DEB">
      <w:pPr>
        <w:rPr>
          <w:rFonts w:eastAsia="Arial Unicode MS"/>
        </w:rPr>
      </w:pPr>
    </w:p>
    <w:p w14:paraId="7F0D1A2C" w14:textId="10346233" w:rsidR="00796DEB" w:rsidRDefault="00796DEB" w:rsidP="00796DEB">
      <w:pPr>
        <w:rPr>
          <w:rFonts w:eastAsia="Arial Unicode MS"/>
        </w:rPr>
      </w:pPr>
      <w:r w:rsidRPr="00796DEB">
        <w:rPr>
          <w:rFonts w:eastAsia="Arial Unicode MS"/>
        </w:rPr>
        <w:t xml:space="preserve">We have identified </w:t>
      </w:r>
      <w:r w:rsidRPr="00796DEB">
        <w:rPr>
          <w:rFonts w:eastAsia="Arial Unicode MS"/>
          <w:b/>
          <w:bCs/>
        </w:rPr>
        <w:t>organisational strategy and goals</w:t>
      </w:r>
      <w:r w:rsidRPr="00796DEB">
        <w:rPr>
          <w:rFonts w:eastAsia="Arial Unicode MS"/>
        </w:rPr>
        <w:t xml:space="preserve"> as a lever for change and propose a number of micro-levers that support this component of transformation.</w:t>
      </w:r>
    </w:p>
    <w:p w14:paraId="5006F739" w14:textId="77777777" w:rsidR="00796DEB" w:rsidRDefault="00796DEB" w:rsidP="00796DEB">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10"/>
        <w:gridCol w:w="5659"/>
      </w:tblGrid>
      <w:tr w:rsidR="00796DEB" w14:paraId="008A8D07" w14:textId="77777777" w:rsidTr="00A762B7">
        <w:tc>
          <w:tcPr>
            <w:tcW w:w="2410" w:type="dxa"/>
            <w:shd w:val="clear" w:color="auto" w:fill="D9D9D9" w:themeFill="background1" w:themeFillShade="D9"/>
          </w:tcPr>
          <w:p w14:paraId="36472431" w14:textId="4D57E05A" w:rsidR="00796DEB" w:rsidRPr="004D0223" w:rsidRDefault="00796DEB" w:rsidP="00186B5B">
            <w:pPr>
              <w:spacing w:before="60" w:after="60"/>
              <w:rPr>
                <w:b/>
                <w:bCs/>
              </w:rPr>
            </w:pPr>
            <w:r w:rsidRPr="00796DEB">
              <w:rPr>
                <w:b/>
                <w:bCs/>
              </w:rPr>
              <w:t>Organisational goals and strategy</w:t>
            </w:r>
          </w:p>
        </w:tc>
        <w:tc>
          <w:tcPr>
            <w:tcW w:w="5659" w:type="dxa"/>
          </w:tcPr>
          <w:p w14:paraId="0086FF04" w14:textId="77777777" w:rsidR="00796DEB" w:rsidRDefault="00796DEB" w:rsidP="00360A8E">
            <w:pPr>
              <w:pStyle w:val="Bullet"/>
              <w:spacing w:before="60" w:after="60"/>
            </w:pPr>
            <w:r>
              <w:t xml:space="preserve">T1.1 Developing and adopting a Mana Tangata strategy </w:t>
            </w:r>
          </w:p>
          <w:p w14:paraId="569A40FA" w14:textId="17B47206" w:rsidR="00796DEB" w:rsidRDefault="00796DEB" w:rsidP="00360A8E">
            <w:pPr>
              <w:pStyle w:val="Bullet"/>
              <w:spacing w:before="60" w:after="60"/>
            </w:pPr>
            <w:r>
              <w:t>T1.2 Integrating Mana Tangata into overarching strategy</w:t>
            </w:r>
          </w:p>
          <w:p w14:paraId="5315A5E8" w14:textId="76BBA4F6" w:rsidR="00796DEB" w:rsidRDefault="00796DEB" w:rsidP="00360A8E">
            <w:pPr>
              <w:pStyle w:val="Bullet"/>
              <w:spacing w:before="60" w:after="60"/>
            </w:pPr>
            <w:r>
              <w:t>T1.3 Driving accountability for achieving Mana Tangata goals</w:t>
            </w:r>
          </w:p>
        </w:tc>
      </w:tr>
    </w:tbl>
    <w:p w14:paraId="63D38901" w14:textId="77777777" w:rsidR="00796DEB" w:rsidRPr="00796DEB" w:rsidRDefault="00796DEB" w:rsidP="00796DEB">
      <w:pPr>
        <w:pStyle w:val="Heading2"/>
        <w:rPr>
          <w:rFonts w:eastAsia="Arial Unicode MS"/>
        </w:rPr>
      </w:pPr>
      <w:bookmarkStart w:id="12" w:name="_Toc128660378"/>
      <w:r w:rsidRPr="00796DEB">
        <w:rPr>
          <w:rFonts w:eastAsia="Arial Unicode MS"/>
        </w:rPr>
        <w:t>Budgets and Resourcing</w:t>
      </w:r>
      <w:bookmarkEnd w:id="12"/>
    </w:p>
    <w:p w14:paraId="453BDF94" w14:textId="77777777" w:rsidR="00796DEB" w:rsidRPr="00796DEB" w:rsidRDefault="00796DEB" w:rsidP="00796DEB">
      <w:pPr>
        <w:rPr>
          <w:rFonts w:eastAsia="Arial Unicode MS"/>
        </w:rPr>
      </w:pPr>
      <w:r w:rsidRPr="00796DEB">
        <w:rPr>
          <w:rFonts w:eastAsia="Arial Unicode MS"/>
        </w:rPr>
        <w:t>Budgets and resourcing are vital components of change creation. It is necessary to align resources with values and priorities to ensure sustainable change. For this to occur, there needs to be criteria for decision-making regarding resourcing that reflects the organisation’s values. This will lead to new and innovative approaches which can then be used as evidence of value. This creates movement and momentum for change and helps to reinforce the values and priorities of the organisation.</w:t>
      </w:r>
    </w:p>
    <w:p w14:paraId="24FD000B" w14:textId="77777777" w:rsidR="00796DEB" w:rsidRPr="00796DEB" w:rsidRDefault="00796DEB" w:rsidP="00796DEB">
      <w:pPr>
        <w:rPr>
          <w:rFonts w:eastAsia="Arial Unicode MS"/>
        </w:rPr>
      </w:pPr>
    </w:p>
    <w:p w14:paraId="6532FCFD" w14:textId="49CDB7B7" w:rsidR="00796DEB" w:rsidRPr="00796DEB" w:rsidRDefault="00796DEB" w:rsidP="00796DEB">
      <w:pPr>
        <w:rPr>
          <w:rFonts w:eastAsia="Arial Unicode MS"/>
        </w:rPr>
      </w:pPr>
      <w:r w:rsidRPr="00796DEB">
        <w:rPr>
          <w:rFonts w:eastAsia="Arial Unicode MS"/>
        </w:rPr>
        <w:t>Sufficient resourcing was identified throughout the practice literature, including financial and human resources, but is not well examined in the academic literature, perhaps because it is a relatively common</w:t>
      </w:r>
      <w:r w:rsidR="00C379F3">
        <w:rPr>
          <w:rFonts w:eastAsia="Arial Unicode MS"/>
        </w:rPr>
        <w:t>-</w:t>
      </w:r>
      <w:r w:rsidRPr="00796DEB">
        <w:rPr>
          <w:rFonts w:eastAsia="Arial Unicode MS"/>
        </w:rPr>
        <w:t>sense corollary to any change programme. Financial resourcing also requires quality budgeting and planning processes. Human resources are crucial in terms of leadership, hiring, and resourcing to ensure change can be maintained</w:t>
      </w:r>
      <w:r>
        <w:rPr>
          <w:rFonts w:eastAsia="Arial Unicode MS"/>
        </w:rPr>
        <w:t xml:space="preserve"> </w:t>
      </w:r>
      <w:r w:rsidRPr="00796DEB">
        <w:rPr>
          <w:rFonts w:eastAsia="Arial Unicode MS"/>
        </w:rPr>
        <w:t>and driven.</w:t>
      </w:r>
    </w:p>
    <w:p w14:paraId="70205C09" w14:textId="77777777" w:rsidR="00796DEB" w:rsidRPr="00796DEB" w:rsidRDefault="00796DEB" w:rsidP="00796DEB">
      <w:pPr>
        <w:rPr>
          <w:rFonts w:eastAsia="Arial Unicode MS"/>
        </w:rPr>
      </w:pPr>
    </w:p>
    <w:p w14:paraId="4C0A455B" w14:textId="264C9FC0" w:rsidR="00796DEB" w:rsidRDefault="00796DEB" w:rsidP="00796DEB">
      <w:pPr>
        <w:rPr>
          <w:rFonts w:eastAsia="Arial Unicode MS"/>
        </w:rPr>
      </w:pPr>
      <w:r w:rsidRPr="00796DEB">
        <w:rPr>
          <w:rFonts w:eastAsia="Arial Unicode MS"/>
        </w:rPr>
        <w:t>In terms of models, adequate resourcing was specifically identified in the ESC Model, Critical Te Tiriti Analysis (CTA), and the Beloved Community’s Equity Audit. The ESC Model discussed human resources in the college context and argued that action is crucial and, “Once plans have been made, community colleges must put them into practice.</w:t>
      </w:r>
      <w:r>
        <w:rPr>
          <w:rFonts w:eastAsia="Arial Unicode MS"/>
        </w:rPr>
        <w:t xml:space="preserve"> </w:t>
      </w:r>
      <w:r w:rsidRPr="00796DEB">
        <w:rPr>
          <w:rFonts w:eastAsia="Arial Unicode MS"/>
        </w:rPr>
        <w:t>Successful implementation depends on the availability of sufficient human and financial resources.”</w:t>
      </w:r>
      <w:r>
        <w:rPr>
          <w:rStyle w:val="FootnoteReference"/>
          <w:rFonts w:eastAsia="Arial Unicode MS"/>
        </w:rPr>
        <w:footnoteReference w:id="21"/>
      </w:r>
      <w:r w:rsidRPr="00796DEB">
        <w:rPr>
          <w:rFonts w:eastAsia="Arial Unicode MS"/>
        </w:rPr>
        <w:t xml:space="preserve"> The need for budgets and resourcing to be directed</w:t>
      </w:r>
      <w:r>
        <w:rPr>
          <w:rFonts w:eastAsia="Arial Unicode MS"/>
        </w:rPr>
        <w:t xml:space="preserve"> </w:t>
      </w:r>
      <w:r w:rsidRPr="00796DEB">
        <w:rPr>
          <w:rFonts w:eastAsia="Arial Unicode MS"/>
        </w:rPr>
        <w:t>towards anti-racism efforts is of crucial importance and a significant component of the tikanga level of our theory of change. The current environment is one of low trust and low innovation. There needs to be a shift from high competition and control within health contracting to ensure that solutions are sustainable and effective. The future state lies in creating a high trust, high innovation, high return environment for anti-racism to thrive.</w:t>
      </w:r>
    </w:p>
    <w:p w14:paraId="54ED1DD9" w14:textId="77777777" w:rsidR="00796DEB" w:rsidRDefault="00796DEB" w:rsidP="00796DEB">
      <w:pPr>
        <w:rPr>
          <w:rFonts w:eastAsia="Arial Unicode MS"/>
        </w:rPr>
      </w:pPr>
    </w:p>
    <w:p w14:paraId="44A7F2D4" w14:textId="62980549" w:rsidR="00796DEB" w:rsidRDefault="00796DEB" w:rsidP="00796DEB">
      <w:pPr>
        <w:rPr>
          <w:rFonts w:eastAsia="Arial Unicode MS"/>
        </w:rPr>
      </w:pPr>
      <w:r w:rsidRPr="00796DEB">
        <w:rPr>
          <w:rFonts w:eastAsia="Arial Unicode MS"/>
        </w:rPr>
        <w:t>Health system experts identified a range of practical considerations that are particularly important when applying this lever in a health system setting. These included:</w:t>
      </w:r>
    </w:p>
    <w:p w14:paraId="558B119F" w14:textId="77777777" w:rsidR="00796DEB" w:rsidRPr="00796DEB" w:rsidRDefault="00796DEB" w:rsidP="00796DEB">
      <w:pPr>
        <w:pStyle w:val="Bullet"/>
        <w:rPr>
          <w:rFonts w:eastAsia="Arial Unicode MS"/>
        </w:rPr>
      </w:pPr>
      <w:r w:rsidRPr="00796DEB">
        <w:rPr>
          <w:rFonts w:eastAsia="Arial Unicode MS"/>
        </w:rPr>
        <w:t>Anti-racism goals and strategies have budget allocation</w:t>
      </w:r>
    </w:p>
    <w:p w14:paraId="532FD787" w14:textId="77777777" w:rsidR="00796DEB" w:rsidRPr="00796DEB" w:rsidRDefault="00796DEB" w:rsidP="00796DEB">
      <w:pPr>
        <w:pStyle w:val="Bullet"/>
        <w:rPr>
          <w:rFonts w:eastAsia="Arial Unicode MS"/>
        </w:rPr>
      </w:pPr>
      <w:r w:rsidRPr="00796DEB">
        <w:rPr>
          <w:rFonts w:eastAsia="Arial Unicode MS"/>
        </w:rPr>
        <w:t>Expenditure (including commissioning) prioritises equitable outcomes</w:t>
      </w:r>
    </w:p>
    <w:p w14:paraId="6D6C3CEB" w14:textId="77777777" w:rsidR="00796DEB" w:rsidRPr="00796DEB" w:rsidRDefault="00796DEB" w:rsidP="00796DEB">
      <w:pPr>
        <w:pStyle w:val="Bullet"/>
        <w:rPr>
          <w:rFonts w:eastAsia="Arial Unicode MS"/>
        </w:rPr>
      </w:pPr>
      <w:r w:rsidRPr="00796DEB">
        <w:rPr>
          <w:rFonts w:eastAsia="Arial Unicode MS"/>
        </w:rPr>
        <w:t>Expenditure is assessed for fairness and proportionality against interest groups and equity outcomes</w:t>
      </w:r>
    </w:p>
    <w:p w14:paraId="6C69EC45" w14:textId="77777777" w:rsidR="00796DEB" w:rsidRPr="00796DEB" w:rsidRDefault="00796DEB" w:rsidP="00796DEB">
      <w:pPr>
        <w:pStyle w:val="Bullet"/>
        <w:rPr>
          <w:rFonts w:eastAsia="Arial Unicode MS"/>
        </w:rPr>
      </w:pPr>
      <w:r w:rsidRPr="00796DEB">
        <w:rPr>
          <w:rFonts w:eastAsia="Arial Unicode MS"/>
        </w:rPr>
        <w:t>Equity/anti-racism goals and strategies have organisational capacity and expert capability for delivery, potentially including a backbone team that is resourced to be fully designated to coordinate change efforts across layers and divisions of the organisation</w:t>
      </w:r>
    </w:p>
    <w:p w14:paraId="1801EDF3" w14:textId="09B14C57" w:rsidR="00796DEB" w:rsidRDefault="00796DEB" w:rsidP="00796DEB">
      <w:pPr>
        <w:pStyle w:val="Bullet"/>
        <w:rPr>
          <w:rFonts w:eastAsia="Arial Unicode MS"/>
        </w:rPr>
      </w:pPr>
      <w:r w:rsidRPr="00796DEB">
        <w:rPr>
          <w:rFonts w:eastAsia="Arial Unicode MS"/>
        </w:rPr>
        <w:t>Budgets provide adequate resource for tailored by responses to be led by under-served groups (eg by Māori for Māori) including tailored products, services and delivery channels</w:t>
      </w:r>
      <w:r>
        <w:rPr>
          <w:rFonts w:eastAsia="Arial Unicode MS"/>
        </w:rPr>
        <w:t>.</w:t>
      </w:r>
    </w:p>
    <w:p w14:paraId="71CA6631" w14:textId="7CBF55AA" w:rsidR="00796DEB" w:rsidRDefault="00796DEB" w:rsidP="00796DEB">
      <w:pPr>
        <w:rPr>
          <w:rFonts w:eastAsia="Arial Unicode MS"/>
        </w:rPr>
      </w:pPr>
    </w:p>
    <w:p w14:paraId="5346624D" w14:textId="4E6FBA8E" w:rsidR="00796DEB" w:rsidRDefault="00796DEB" w:rsidP="00796DEB">
      <w:pPr>
        <w:rPr>
          <w:rFonts w:eastAsia="Arial Unicode MS"/>
        </w:rPr>
      </w:pPr>
      <w:r w:rsidRPr="00796DEB">
        <w:rPr>
          <w:rFonts w:eastAsia="Arial Unicode MS"/>
        </w:rPr>
        <w:t xml:space="preserve">We have identified </w:t>
      </w:r>
      <w:r w:rsidRPr="00796DEB">
        <w:rPr>
          <w:rFonts w:eastAsia="Arial Unicode MS"/>
          <w:b/>
          <w:bCs/>
        </w:rPr>
        <w:t>budget and resourcing</w:t>
      </w:r>
      <w:r w:rsidRPr="00796DEB">
        <w:rPr>
          <w:rFonts w:eastAsia="Arial Unicode MS"/>
        </w:rPr>
        <w:t xml:space="preserve"> as a lever for change and propose a micro-lever that support this component of transformation.</w:t>
      </w:r>
    </w:p>
    <w:p w14:paraId="2F54A8C9" w14:textId="77777777" w:rsidR="00796DEB" w:rsidRPr="00796DEB" w:rsidRDefault="00796DEB" w:rsidP="00796DEB">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10"/>
        <w:gridCol w:w="5659"/>
      </w:tblGrid>
      <w:tr w:rsidR="00796DEB" w14:paraId="3E7ACE74" w14:textId="77777777" w:rsidTr="00A762B7">
        <w:tc>
          <w:tcPr>
            <w:tcW w:w="2410" w:type="dxa"/>
            <w:shd w:val="clear" w:color="auto" w:fill="D9D9D9" w:themeFill="background1" w:themeFillShade="D9"/>
          </w:tcPr>
          <w:p w14:paraId="6AFF87F4" w14:textId="3F1879C3" w:rsidR="00796DEB" w:rsidRPr="004D0223" w:rsidRDefault="00796DEB" w:rsidP="00A96C4F">
            <w:pPr>
              <w:spacing w:before="60" w:after="60"/>
              <w:rPr>
                <w:b/>
                <w:bCs/>
              </w:rPr>
            </w:pPr>
            <w:r w:rsidRPr="00796DEB">
              <w:rPr>
                <w:b/>
                <w:bCs/>
              </w:rPr>
              <w:t>Budgets and resourcing</w:t>
            </w:r>
          </w:p>
        </w:tc>
        <w:tc>
          <w:tcPr>
            <w:tcW w:w="5659" w:type="dxa"/>
          </w:tcPr>
          <w:p w14:paraId="3D8BFD22" w14:textId="55ACF96C" w:rsidR="00796DEB" w:rsidRDefault="00796DEB" w:rsidP="00360A8E">
            <w:pPr>
              <w:pStyle w:val="Bullet"/>
              <w:spacing w:before="60" w:after="60"/>
            </w:pPr>
            <w:r w:rsidRPr="00796DEB">
              <w:t>Anti-racism goals and strategies have sufficient budget</w:t>
            </w:r>
            <w:r w:rsidR="00C36E14">
              <w:t xml:space="preserve"> </w:t>
            </w:r>
            <w:r w:rsidRPr="00796DEB">
              <w:t>allocation</w:t>
            </w:r>
          </w:p>
        </w:tc>
      </w:tr>
    </w:tbl>
    <w:p w14:paraId="12C64A76" w14:textId="77777777" w:rsidR="00B70D88" w:rsidRPr="00B70D88" w:rsidRDefault="00B70D88" w:rsidP="00B70D88">
      <w:pPr>
        <w:pStyle w:val="Heading2"/>
        <w:rPr>
          <w:rFonts w:eastAsia="Arial Unicode MS"/>
        </w:rPr>
      </w:pPr>
      <w:bookmarkStart w:id="13" w:name="_Toc128660379"/>
      <w:r w:rsidRPr="00B70D88">
        <w:rPr>
          <w:rFonts w:eastAsia="Arial Unicode MS"/>
        </w:rPr>
        <w:t>Power and Commitment</w:t>
      </w:r>
      <w:bookmarkEnd w:id="13"/>
    </w:p>
    <w:p w14:paraId="06167171" w14:textId="4D2E6422" w:rsidR="00B70D88" w:rsidRPr="00B70D88" w:rsidRDefault="00B70D88" w:rsidP="00B70D88">
      <w:pPr>
        <w:rPr>
          <w:rFonts w:eastAsia="Arial Unicode MS"/>
        </w:rPr>
      </w:pPr>
      <w:r w:rsidRPr="00B70D88">
        <w:rPr>
          <w:rFonts w:eastAsia="Arial Unicode MS"/>
        </w:rPr>
        <w:t>Power and how it is exercised (and by whom) was identified in the literature as crucial for systems change.</w:t>
      </w:r>
      <w:r>
        <w:rPr>
          <w:rStyle w:val="FootnoteReference"/>
          <w:rFonts w:eastAsia="Arial Unicode MS"/>
        </w:rPr>
        <w:footnoteReference w:id="22"/>
      </w:r>
      <w:r w:rsidRPr="00B70D88">
        <w:rPr>
          <w:rFonts w:eastAsia="Arial Unicode MS"/>
        </w:rPr>
        <w:t xml:space="preserve"> The purpose of exercise of power as a lever for change, is changing organisational decision-making and helping to shift organisational priorities and values. It works by creating strong relationships, building trust and empathy, and the creation of new shared values.</w:t>
      </w:r>
      <w:r>
        <w:rPr>
          <w:rStyle w:val="FootnoteReference"/>
          <w:rFonts w:eastAsia="Arial Unicode MS"/>
        </w:rPr>
        <w:footnoteReference w:id="23"/>
      </w:r>
      <w:r w:rsidRPr="00B70D88">
        <w:rPr>
          <w:rFonts w:eastAsia="Arial Unicode MS"/>
        </w:rPr>
        <w:t xml:space="preserve"> By engaging with new ideas regarding power, assumptions are made visible.</w:t>
      </w:r>
      <w:r>
        <w:rPr>
          <w:rStyle w:val="FootnoteReference"/>
          <w:rFonts w:eastAsia="Arial Unicode MS"/>
        </w:rPr>
        <w:footnoteReference w:id="24"/>
      </w:r>
      <w:r>
        <w:rPr>
          <w:rFonts w:eastAsia="Arial Unicode MS"/>
        </w:rPr>
        <w:t xml:space="preserve"> </w:t>
      </w:r>
      <w:r w:rsidRPr="00B70D88">
        <w:rPr>
          <w:rFonts w:eastAsia="Arial Unicode MS"/>
        </w:rPr>
        <w:t>This enables the organisation’s priorities</w:t>
      </w:r>
      <w:r>
        <w:rPr>
          <w:rFonts w:eastAsia="Arial Unicode MS"/>
        </w:rPr>
        <w:t xml:space="preserve"> </w:t>
      </w:r>
      <w:r w:rsidRPr="00B70D88">
        <w:rPr>
          <w:rFonts w:eastAsia="Arial Unicode MS"/>
        </w:rPr>
        <w:t>to change and results in a different decision with better outcomes.</w:t>
      </w:r>
    </w:p>
    <w:p w14:paraId="260AC123" w14:textId="77777777" w:rsidR="00B70D88" w:rsidRPr="00B70D88" w:rsidRDefault="00B70D88" w:rsidP="00B70D88">
      <w:pPr>
        <w:rPr>
          <w:rFonts w:eastAsia="Arial Unicode MS"/>
        </w:rPr>
      </w:pPr>
    </w:p>
    <w:p w14:paraId="05A02154" w14:textId="6B444860" w:rsidR="00B70D88" w:rsidRPr="00B70D88" w:rsidRDefault="00B70D88" w:rsidP="00B70D88">
      <w:pPr>
        <w:rPr>
          <w:rFonts w:eastAsia="Arial Unicode MS"/>
        </w:rPr>
      </w:pPr>
      <w:r w:rsidRPr="00B70D88">
        <w:rPr>
          <w:rFonts w:eastAsia="Arial Unicode MS"/>
        </w:rPr>
        <w:t>Engaging with the structural allocation of power is a recurrent focal point in the literature, especially in relation to Te Tiriti obligations.</w:t>
      </w:r>
      <w:r>
        <w:rPr>
          <w:rStyle w:val="FootnoteReference"/>
          <w:rFonts w:eastAsia="Arial Unicode MS"/>
        </w:rPr>
        <w:footnoteReference w:id="25"/>
      </w:r>
      <w:r w:rsidRPr="00B70D88">
        <w:rPr>
          <w:rFonts w:eastAsia="Arial Unicode MS"/>
        </w:rPr>
        <w:t xml:space="preserve"> The importance of doing so</w:t>
      </w:r>
    </w:p>
    <w:p w14:paraId="00749374" w14:textId="2679186A" w:rsidR="00B70D88" w:rsidRPr="00B70D88" w:rsidRDefault="00B70D88" w:rsidP="00B70D88">
      <w:pPr>
        <w:rPr>
          <w:rFonts w:eastAsia="Arial Unicode MS"/>
        </w:rPr>
      </w:pPr>
      <w:r w:rsidRPr="00B70D88">
        <w:rPr>
          <w:rFonts w:eastAsia="Arial Unicode MS"/>
        </w:rPr>
        <w:lastRenderedPageBreak/>
        <w:t>is substantiated by analysis of how power dynamics contributed to racism with the corollary that redistributing power is a necessary component of an anti-racist future. Perhaps given the relative recency of power sharing arrangements within the</w:t>
      </w:r>
      <w:r>
        <w:rPr>
          <w:rFonts w:eastAsia="Arial Unicode MS"/>
        </w:rPr>
        <w:t xml:space="preserve"> </w:t>
      </w:r>
      <w:r w:rsidRPr="00B70D88">
        <w:rPr>
          <w:rFonts w:eastAsia="Arial Unicode MS"/>
        </w:rPr>
        <w:t>health system, it is too early for an analysis of impact.</w:t>
      </w:r>
    </w:p>
    <w:p w14:paraId="13497427" w14:textId="77777777" w:rsidR="00B70D88" w:rsidRPr="00B70D88" w:rsidRDefault="00B70D88" w:rsidP="00B70D88">
      <w:pPr>
        <w:rPr>
          <w:rFonts w:eastAsia="Arial Unicode MS"/>
        </w:rPr>
      </w:pPr>
    </w:p>
    <w:p w14:paraId="0C21D976" w14:textId="1E8AA356" w:rsidR="00796DEB" w:rsidRDefault="00B70D88" w:rsidP="00B70D88">
      <w:pPr>
        <w:rPr>
          <w:rFonts w:eastAsia="Arial Unicode MS"/>
        </w:rPr>
      </w:pPr>
      <w:r w:rsidRPr="00B70D88">
        <w:rPr>
          <w:rFonts w:eastAsia="Arial Unicode MS"/>
        </w:rPr>
        <w:t>The literature identified the need for shared voice and power to bring about sustainable and effective change.</w:t>
      </w:r>
      <w:r>
        <w:rPr>
          <w:rStyle w:val="FootnoteReference"/>
          <w:rFonts w:eastAsia="Arial Unicode MS"/>
        </w:rPr>
        <w:footnoteReference w:id="26"/>
      </w:r>
      <w:r w:rsidRPr="00B70D88">
        <w:rPr>
          <w:rFonts w:eastAsia="Arial Unicode MS"/>
        </w:rPr>
        <w:t xml:space="preserve"> There needs to</w:t>
      </w:r>
      <w:r>
        <w:rPr>
          <w:rFonts w:eastAsia="Arial Unicode MS"/>
        </w:rPr>
        <w:t xml:space="preserve"> </w:t>
      </w:r>
      <w:r w:rsidRPr="00B70D88">
        <w:rPr>
          <w:rFonts w:eastAsia="Arial Unicode MS"/>
        </w:rPr>
        <w:t>be dialogue and discussion followed by power redistribution. Some equity focused models identified this in particular: A question from the Beloved Community’s Equity Audit is, “To what extent does an individual, regardless of demographics</w:t>
      </w:r>
      <w:r>
        <w:rPr>
          <w:rFonts w:eastAsia="Arial Unicode MS"/>
        </w:rPr>
        <w:t xml:space="preserve"> </w:t>
      </w:r>
      <w:r w:rsidRPr="00B70D88">
        <w:rPr>
          <w:rFonts w:eastAsia="Arial Unicode MS"/>
        </w:rPr>
        <w:t>or identities, have actual shared voice and shared power? To what extent do we create a space for all identities to advocate for themselves (shared voice) and to participate in decision-making for themselves and their community (shared power)?”</w:t>
      </w:r>
      <w:r>
        <w:rPr>
          <w:rStyle w:val="FootnoteReference"/>
          <w:rFonts w:eastAsia="Arial Unicode MS"/>
        </w:rPr>
        <w:footnoteReference w:id="27"/>
      </w:r>
      <w:r w:rsidRPr="00B70D88">
        <w:rPr>
          <w:rFonts w:eastAsia="Arial Unicode MS"/>
        </w:rPr>
        <w:t xml:space="preserve"> Similarly, the ESC Model proposed that, “Dialogue among people of diverse backgrounds and experiences</w:t>
      </w:r>
      <w:r>
        <w:rPr>
          <w:rFonts w:eastAsia="Arial Unicode MS"/>
        </w:rPr>
        <w:t xml:space="preserve"> </w:t>
      </w:r>
      <w:r w:rsidRPr="00B70D88">
        <w:rPr>
          <w:rFonts w:eastAsia="Arial Unicode MS"/>
        </w:rPr>
        <w:t>is needed to construct the fullest possible understanding of diversity, inclusion,</w:t>
      </w:r>
      <w:r>
        <w:rPr>
          <w:rFonts w:eastAsia="Arial Unicode MS"/>
        </w:rPr>
        <w:t xml:space="preserve"> </w:t>
      </w:r>
      <w:r w:rsidRPr="00B70D88">
        <w:rPr>
          <w:rFonts w:eastAsia="Arial Unicode MS"/>
        </w:rPr>
        <w:t>and equity dynamics in a college and community.”</w:t>
      </w:r>
      <w:r>
        <w:rPr>
          <w:rStyle w:val="FootnoteReference"/>
          <w:rFonts w:eastAsia="Arial Unicode MS"/>
        </w:rPr>
        <w:footnoteReference w:id="28"/>
      </w:r>
    </w:p>
    <w:p w14:paraId="47A8DF67" w14:textId="348F3EFF" w:rsidR="00B34396" w:rsidRDefault="00B34396" w:rsidP="00B70D88">
      <w:pPr>
        <w:rPr>
          <w:rFonts w:eastAsia="Arial Unicode MS"/>
        </w:rPr>
      </w:pPr>
    </w:p>
    <w:p w14:paraId="05AA7E85" w14:textId="1BB75EC3" w:rsidR="00B34396" w:rsidRPr="00B34396" w:rsidRDefault="00B34396" w:rsidP="00B34396">
      <w:pPr>
        <w:rPr>
          <w:rFonts w:eastAsia="Arial Unicode MS"/>
        </w:rPr>
      </w:pPr>
      <w:r w:rsidRPr="00B34396">
        <w:rPr>
          <w:rFonts w:eastAsia="Arial Unicode MS"/>
        </w:rPr>
        <w:t>Despite power sharing and how it is exercised being a crucial component of equity and systems change, there was a lack of substantial literature in terms of it being applied. Most models focused on the individual level without engaging sufficiently with power and</w:t>
      </w:r>
      <w:r>
        <w:rPr>
          <w:rFonts w:eastAsia="Arial Unicode MS"/>
        </w:rPr>
        <w:t xml:space="preserve"> </w:t>
      </w:r>
      <w:r w:rsidRPr="00B34396">
        <w:rPr>
          <w:rFonts w:eastAsia="Arial Unicode MS"/>
        </w:rPr>
        <w:t>power dynamics. The QuakeLab Inclusion Maturity Model (QuakeLab Model) provided interesting discussion on power dynamics and proposed, “Innovative Inclusion” which is “actively and consistently … [uses] innovative and new methods of work steeped in anti-racism, feminism, anti-oppressive, anti-capitalist, and pro-Indigenous ways of knowing and working.”</w:t>
      </w:r>
      <w:r>
        <w:rPr>
          <w:rStyle w:val="FootnoteReference"/>
          <w:rFonts w:eastAsia="Arial Unicode MS"/>
        </w:rPr>
        <w:footnoteReference w:id="29"/>
      </w:r>
    </w:p>
    <w:p w14:paraId="78C47919" w14:textId="77777777" w:rsidR="00B34396" w:rsidRPr="00B34396" w:rsidRDefault="00B34396" w:rsidP="00B34396">
      <w:pPr>
        <w:rPr>
          <w:rFonts w:eastAsia="Arial Unicode MS"/>
        </w:rPr>
      </w:pPr>
    </w:p>
    <w:p w14:paraId="76708889" w14:textId="6CD5BD49" w:rsidR="00B34396" w:rsidRDefault="00B34396" w:rsidP="00B34396">
      <w:pPr>
        <w:rPr>
          <w:rFonts w:eastAsia="Arial Unicode MS"/>
        </w:rPr>
      </w:pPr>
      <w:r w:rsidRPr="00B34396">
        <w:rPr>
          <w:rFonts w:eastAsia="Arial Unicode MS"/>
        </w:rPr>
        <w:t>Our theory of change identifies power as essential and utilises the example of power in terms of policy. Without a rebalancing of power, policy is done to people and groups who are excluded from decision-making. When power</w:t>
      </w:r>
      <w:r>
        <w:rPr>
          <w:rFonts w:eastAsia="Arial Unicode MS"/>
        </w:rPr>
        <w:t xml:space="preserve"> </w:t>
      </w:r>
      <w:r w:rsidRPr="00B34396">
        <w:rPr>
          <w:rFonts w:eastAsia="Arial Unicode MS"/>
        </w:rPr>
        <w:t>is balanced, policy is made with those people, and power is exercised by them</w:t>
      </w:r>
      <w:r>
        <w:rPr>
          <w:rFonts w:eastAsia="Arial Unicode MS"/>
        </w:rPr>
        <w:t xml:space="preserve"> </w:t>
      </w:r>
      <w:r w:rsidRPr="00B34396">
        <w:rPr>
          <w:rFonts w:eastAsia="Arial Unicode MS"/>
        </w:rPr>
        <w:t>as well. An important component of rebalancing power is inclusive collaboration and engagement through strengthening relationships, including bringing in external people to collaborate on, and drive change.</w:t>
      </w:r>
      <w:r>
        <w:rPr>
          <w:rFonts w:eastAsia="Arial Unicode MS"/>
        </w:rPr>
        <w:t xml:space="preserve"> </w:t>
      </w:r>
      <w:r w:rsidRPr="00B34396">
        <w:rPr>
          <w:rFonts w:eastAsia="Arial Unicode MS"/>
        </w:rPr>
        <w:t>Health system experts identified a range of practical considerations that are particularly important when applying this lever in a health system setting.</w:t>
      </w:r>
      <w:r>
        <w:rPr>
          <w:rFonts w:eastAsia="Arial Unicode MS"/>
        </w:rPr>
        <w:t xml:space="preserve"> </w:t>
      </w:r>
      <w:r w:rsidRPr="00B34396">
        <w:rPr>
          <w:rFonts w:eastAsia="Arial Unicode MS"/>
        </w:rPr>
        <w:t>These included:</w:t>
      </w:r>
    </w:p>
    <w:p w14:paraId="0AAD6446" w14:textId="1F2C2E52" w:rsidR="00B34396" w:rsidRPr="00B34396" w:rsidRDefault="00B34396" w:rsidP="00B34396">
      <w:pPr>
        <w:pStyle w:val="Bullet"/>
        <w:rPr>
          <w:rFonts w:eastAsia="Arial Unicode MS"/>
        </w:rPr>
      </w:pPr>
      <w:r w:rsidRPr="00B34396">
        <w:rPr>
          <w:rFonts w:eastAsia="Arial Unicode MS"/>
        </w:rPr>
        <w:t>Key decision-making structures or protocols in place to ensure under-served groups have an effective voice and shared responsibilities for decision making</w:t>
      </w:r>
    </w:p>
    <w:p w14:paraId="38EC8C66" w14:textId="77777777" w:rsidR="00B34396" w:rsidRPr="00B34396" w:rsidRDefault="00B34396" w:rsidP="00B34396">
      <w:pPr>
        <w:pStyle w:val="Bullet"/>
        <w:rPr>
          <w:rFonts w:eastAsia="Arial Unicode MS"/>
        </w:rPr>
      </w:pPr>
      <w:r w:rsidRPr="00B34396">
        <w:rPr>
          <w:rFonts w:eastAsia="Arial Unicode MS"/>
        </w:rPr>
        <w:lastRenderedPageBreak/>
        <w:t>Organisation supports participation of under-served groups across decision making loci</w:t>
      </w:r>
    </w:p>
    <w:p w14:paraId="65D2FD05" w14:textId="77777777" w:rsidR="00B34396" w:rsidRPr="00B34396" w:rsidRDefault="00B34396" w:rsidP="00B34396">
      <w:pPr>
        <w:pStyle w:val="Bullet"/>
        <w:rPr>
          <w:rFonts w:eastAsia="Arial Unicode MS"/>
        </w:rPr>
      </w:pPr>
      <w:r w:rsidRPr="00B34396">
        <w:rPr>
          <w:rFonts w:eastAsia="Arial Unicode MS"/>
        </w:rPr>
        <w:t>Shared power influences budget allocation</w:t>
      </w:r>
    </w:p>
    <w:p w14:paraId="6A418C18" w14:textId="77777777" w:rsidR="00B34396" w:rsidRPr="00B34396" w:rsidRDefault="00B34396" w:rsidP="00B34396">
      <w:pPr>
        <w:pStyle w:val="Bullet"/>
        <w:rPr>
          <w:rFonts w:eastAsia="Arial Unicode MS"/>
        </w:rPr>
      </w:pPr>
      <w:r w:rsidRPr="00B34396">
        <w:rPr>
          <w:rFonts w:eastAsia="Arial Unicode MS"/>
        </w:rPr>
        <w:t>Shared power influences organisational strategy and priorities</w:t>
      </w:r>
    </w:p>
    <w:p w14:paraId="18947F29" w14:textId="12030D84" w:rsidR="00B34396" w:rsidRDefault="00B34396" w:rsidP="00B34396">
      <w:pPr>
        <w:rPr>
          <w:rFonts w:eastAsia="Arial Unicode MS"/>
        </w:rPr>
      </w:pPr>
    </w:p>
    <w:p w14:paraId="1A2A44EA" w14:textId="5ECB7D79" w:rsidR="00B34396" w:rsidRDefault="00B34396" w:rsidP="00B34396">
      <w:pPr>
        <w:rPr>
          <w:rFonts w:eastAsia="Arial Unicode MS"/>
        </w:rPr>
      </w:pPr>
      <w:r w:rsidRPr="00B34396">
        <w:rPr>
          <w:rFonts w:eastAsia="Arial Unicode MS"/>
        </w:rPr>
        <w:t xml:space="preserve">We have identified </w:t>
      </w:r>
      <w:r w:rsidRPr="00B34396">
        <w:rPr>
          <w:rFonts w:eastAsia="Arial Unicode MS"/>
          <w:b/>
          <w:bCs/>
        </w:rPr>
        <w:t>power and commitment</w:t>
      </w:r>
      <w:r w:rsidRPr="00B34396">
        <w:rPr>
          <w:rFonts w:eastAsia="Arial Unicode MS"/>
        </w:rPr>
        <w:t xml:space="preserve"> as a lever for change and propose a number of micro-levers that support this component of transformation.</w:t>
      </w:r>
    </w:p>
    <w:p w14:paraId="3F9970C9" w14:textId="7C88A316" w:rsidR="00B34396" w:rsidRDefault="00B34396" w:rsidP="00B34396">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268"/>
        <w:gridCol w:w="5801"/>
      </w:tblGrid>
      <w:tr w:rsidR="00B34396" w14:paraId="61F40915" w14:textId="77777777" w:rsidTr="00A762B7">
        <w:tc>
          <w:tcPr>
            <w:tcW w:w="2268" w:type="dxa"/>
            <w:shd w:val="clear" w:color="auto" w:fill="D9D9D9" w:themeFill="background1" w:themeFillShade="D9"/>
          </w:tcPr>
          <w:p w14:paraId="08272829" w14:textId="2A5DCC2A" w:rsidR="00B34396" w:rsidRPr="004D0223" w:rsidRDefault="00B34396" w:rsidP="00B34396">
            <w:pPr>
              <w:spacing w:before="60" w:after="60"/>
              <w:rPr>
                <w:b/>
                <w:bCs/>
              </w:rPr>
            </w:pPr>
            <w:r w:rsidRPr="00B34396">
              <w:rPr>
                <w:b/>
                <w:bCs/>
              </w:rPr>
              <w:t>Power and Commitment</w:t>
            </w:r>
          </w:p>
        </w:tc>
        <w:tc>
          <w:tcPr>
            <w:tcW w:w="5801" w:type="dxa"/>
          </w:tcPr>
          <w:p w14:paraId="29D3BA0C" w14:textId="77777777" w:rsidR="00B34396" w:rsidRDefault="00B34396" w:rsidP="00360A8E">
            <w:pPr>
              <w:pStyle w:val="Bullet"/>
              <w:spacing w:before="60" w:after="60"/>
            </w:pPr>
            <w:r>
              <w:t>T2.1 Governance-level power-sharing</w:t>
            </w:r>
          </w:p>
          <w:p w14:paraId="3A9528FD" w14:textId="77777777" w:rsidR="00B34396" w:rsidRDefault="00B34396" w:rsidP="00360A8E">
            <w:pPr>
              <w:pStyle w:val="Bullet"/>
              <w:spacing w:before="60" w:after="60"/>
            </w:pPr>
            <w:r>
              <w:t>T2.2 High-trust contracting for service delivery</w:t>
            </w:r>
          </w:p>
          <w:p w14:paraId="613C50C9" w14:textId="07524875" w:rsidR="00B34396" w:rsidRDefault="00B34396" w:rsidP="00360A8E">
            <w:pPr>
              <w:pStyle w:val="Bullet"/>
              <w:spacing w:before="60" w:after="60"/>
            </w:pPr>
            <w:r>
              <w:t>T2.3 Mana Tangata strategy and goals have sufficient budget and resource</w:t>
            </w:r>
          </w:p>
        </w:tc>
      </w:tr>
    </w:tbl>
    <w:p w14:paraId="72BEA12E" w14:textId="77777777" w:rsidR="00186B5B" w:rsidRPr="00186B5B" w:rsidRDefault="00186B5B" w:rsidP="00186B5B">
      <w:pPr>
        <w:pStyle w:val="Heading2"/>
        <w:rPr>
          <w:rFonts w:eastAsia="Arial Unicode MS"/>
        </w:rPr>
      </w:pPr>
      <w:bookmarkStart w:id="14" w:name="_Toc128660380"/>
      <w:r w:rsidRPr="00186B5B">
        <w:rPr>
          <w:rFonts w:eastAsia="Arial Unicode MS"/>
        </w:rPr>
        <w:t>Diversity and Recruitment</w:t>
      </w:r>
      <w:bookmarkEnd w:id="14"/>
    </w:p>
    <w:p w14:paraId="163A4ECF" w14:textId="77777777" w:rsidR="00186B5B" w:rsidRPr="00186B5B" w:rsidRDefault="00186B5B" w:rsidP="00186B5B">
      <w:pPr>
        <w:rPr>
          <w:rFonts w:eastAsia="Arial Unicode MS"/>
        </w:rPr>
      </w:pPr>
      <w:r w:rsidRPr="00186B5B">
        <w:rPr>
          <w:rFonts w:eastAsia="Arial Unicode MS"/>
        </w:rPr>
        <w:t>Diverse recruitment is one of the most common approaches to creating</w:t>
      </w:r>
    </w:p>
    <w:p w14:paraId="55EE20A8" w14:textId="77777777" w:rsidR="00186B5B" w:rsidRPr="00186B5B" w:rsidRDefault="00186B5B" w:rsidP="00186B5B">
      <w:pPr>
        <w:rPr>
          <w:rFonts w:eastAsia="Arial Unicode MS"/>
        </w:rPr>
      </w:pPr>
      <w:r w:rsidRPr="00186B5B">
        <w:rPr>
          <w:rFonts w:eastAsia="Arial Unicode MS"/>
        </w:rPr>
        <w:t>change. It was identified in much of the literature as an often-used method for enhancing equity.</w:t>
      </w:r>
    </w:p>
    <w:p w14:paraId="2B67B57C" w14:textId="77777777" w:rsidR="00186B5B" w:rsidRPr="00186B5B" w:rsidRDefault="00186B5B" w:rsidP="00186B5B">
      <w:pPr>
        <w:rPr>
          <w:rFonts w:eastAsia="Arial Unicode MS"/>
        </w:rPr>
      </w:pPr>
    </w:p>
    <w:p w14:paraId="396066B4" w14:textId="18BBF650" w:rsidR="00186B5B" w:rsidRPr="00186B5B" w:rsidRDefault="00186B5B" w:rsidP="00186B5B">
      <w:pPr>
        <w:rPr>
          <w:rFonts w:eastAsia="Arial Unicode MS"/>
        </w:rPr>
      </w:pPr>
      <w:r w:rsidRPr="00186B5B">
        <w:rPr>
          <w:rFonts w:eastAsia="Arial Unicode MS"/>
        </w:rPr>
        <w:t>The purpose of diverse recruitment is to grow organisational capabilities through diversity, in order to shift organisational values. It works on the idea that through growing a diverse workforce, more diverse thinking will present and allow for deeper dialogue to occur. While this</w:t>
      </w:r>
      <w:r>
        <w:rPr>
          <w:rFonts w:eastAsia="Arial Unicode MS"/>
        </w:rPr>
        <w:t xml:space="preserve"> </w:t>
      </w:r>
      <w:r w:rsidRPr="00186B5B">
        <w:rPr>
          <w:rFonts w:eastAsia="Arial Unicode MS"/>
        </w:rPr>
        <w:t>is a noble aim, it is only one lever and not enough on its own to create sustainable change. It remains focused on the individual level. Therefore, it can be useful but needs to be combined with other levers being pulled simultaneously</w:t>
      </w:r>
      <w:r>
        <w:rPr>
          <w:rFonts w:eastAsia="Arial Unicode MS"/>
        </w:rPr>
        <w:t xml:space="preserve"> </w:t>
      </w:r>
      <w:r w:rsidRPr="00186B5B">
        <w:rPr>
          <w:rFonts w:eastAsia="Arial Unicode MS"/>
        </w:rPr>
        <w:t>to affect change.</w:t>
      </w:r>
    </w:p>
    <w:p w14:paraId="4250E93F" w14:textId="77777777" w:rsidR="00186B5B" w:rsidRPr="00186B5B" w:rsidRDefault="00186B5B" w:rsidP="00186B5B">
      <w:pPr>
        <w:rPr>
          <w:rFonts w:eastAsia="Arial Unicode MS"/>
        </w:rPr>
      </w:pPr>
    </w:p>
    <w:p w14:paraId="6935EAFD" w14:textId="4394453E" w:rsidR="00186B5B" w:rsidRPr="00186B5B" w:rsidRDefault="00186B5B" w:rsidP="00186B5B">
      <w:pPr>
        <w:rPr>
          <w:rFonts w:eastAsia="Arial Unicode MS"/>
        </w:rPr>
      </w:pPr>
      <w:r w:rsidRPr="00186B5B">
        <w:rPr>
          <w:rFonts w:eastAsia="Arial Unicode MS"/>
        </w:rPr>
        <w:t>However, the academic literature, as well as practice-based insights reinforce that diverse recruitment is ineffective in</w:t>
      </w:r>
      <w:r>
        <w:rPr>
          <w:rFonts w:eastAsia="Arial Unicode MS"/>
        </w:rPr>
        <w:t xml:space="preserve"> </w:t>
      </w:r>
      <w:r w:rsidRPr="00186B5B">
        <w:rPr>
          <w:rFonts w:eastAsia="Arial Unicode MS"/>
        </w:rPr>
        <w:t>isolation and can expose the ‘diverse hires’</w:t>
      </w:r>
      <w:r>
        <w:rPr>
          <w:rFonts w:eastAsia="Arial Unicode MS"/>
        </w:rPr>
        <w:t xml:space="preserve"> </w:t>
      </w:r>
      <w:r w:rsidRPr="00186B5B">
        <w:rPr>
          <w:rFonts w:eastAsia="Arial Unicode MS"/>
        </w:rPr>
        <w:t>to various forms of harm arising from</w:t>
      </w:r>
      <w:r>
        <w:rPr>
          <w:rFonts w:eastAsia="Arial Unicode MS"/>
        </w:rPr>
        <w:t xml:space="preserve"> </w:t>
      </w:r>
      <w:r w:rsidRPr="00186B5B">
        <w:rPr>
          <w:rFonts w:eastAsia="Arial Unicode MS"/>
        </w:rPr>
        <w:t>pre-existing racism and organisational culture.</w:t>
      </w:r>
      <w:r>
        <w:rPr>
          <w:rStyle w:val="FootnoteReference"/>
          <w:rFonts w:eastAsia="Arial Unicode MS"/>
        </w:rPr>
        <w:footnoteReference w:id="30"/>
      </w:r>
      <w:r w:rsidRPr="00186B5B">
        <w:rPr>
          <w:rFonts w:eastAsia="Arial Unicode MS"/>
        </w:rPr>
        <w:t xml:space="preserve"> This was also discussed as being a limited approach and one that alone is insufficient for anti-racism. To be effective, it is also necessary to recognise and remove the significant barriers</w:t>
      </w:r>
      <w:r>
        <w:rPr>
          <w:rFonts w:eastAsia="Arial Unicode MS"/>
        </w:rPr>
        <w:t xml:space="preserve"> </w:t>
      </w:r>
      <w:r w:rsidRPr="00186B5B">
        <w:rPr>
          <w:rFonts w:eastAsia="Arial Unicode MS"/>
        </w:rPr>
        <w:t>and biases that disadvantage diverse appointments.</w:t>
      </w:r>
      <w:r>
        <w:rPr>
          <w:rStyle w:val="FootnoteReference"/>
          <w:rFonts w:eastAsia="Arial Unicode MS"/>
        </w:rPr>
        <w:footnoteReference w:id="31"/>
      </w:r>
    </w:p>
    <w:p w14:paraId="5484D69B" w14:textId="77777777" w:rsidR="00186B5B" w:rsidRPr="00186B5B" w:rsidRDefault="00186B5B" w:rsidP="00186B5B">
      <w:pPr>
        <w:rPr>
          <w:rFonts w:eastAsia="Arial Unicode MS"/>
        </w:rPr>
      </w:pPr>
    </w:p>
    <w:p w14:paraId="20E57B8E" w14:textId="44A4AFEB" w:rsidR="00B34396" w:rsidRDefault="00186B5B" w:rsidP="00186B5B">
      <w:pPr>
        <w:rPr>
          <w:rFonts w:eastAsia="Arial Unicode MS"/>
        </w:rPr>
      </w:pPr>
      <w:r w:rsidRPr="00186B5B">
        <w:rPr>
          <w:rFonts w:eastAsia="Arial Unicode MS"/>
        </w:rPr>
        <w:t>Diverse recruitment was identified as part of the following models:</w:t>
      </w:r>
    </w:p>
    <w:p w14:paraId="7C2C0EED" w14:textId="3F9ACE2E" w:rsidR="00186B5B" w:rsidRPr="00186B5B" w:rsidRDefault="00186B5B" w:rsidP="00186B5B">
      <w:pPr>
        <w:pStyle w:val="Bullet"/>
        <w:rPr>
          <w:rFonts w:eastAsia="Arial Unicode MS"/>
        </w:rPr>
      </w:pPr>
      <w:r w:rsidRPr="00186B5B">
        <w:rPr>
          <w:rFonts w:eastAsia="Arial Unicode MS"/>
        </w:rPr>
        <w:t>Aotearoa Inclusivity Matrix – two of the seven key components in this model were “diversity infrastructure” and “diverse recruitment.”</w:t>
      </w:r>
      <w:r>
        <w:rPr>
          <w:rStyle w:val="FootnoteReference"/>
          <w:rFonts w:eastAsia="Arial Unicode MS"/>
        </w:rPr>
        <w:footnoteReference w:id="32"/>
      </w:r>
    </w:p>
    <w:p w14:paraId="6BA79173" w14:textId="2ACB934B" w:rsidR="00186B5B" w:rsidRPr="00186B5B" w:rsidRDefault="00186B5B" w:rsidP="00186B5B">
      <w:pPr>
        <w:pStyle w:val="Bullet"/>
        <w:rPr>
          <w:rFonts w:eastAsia="Arial Unicode MS"/>
        </w:rPr>
      </w:pPr>
      <w:r w:rsidRPr="00186B5B">
        <w:rPr>
          <w:rFonts w:eastAsia="Arial Unicode MS"/>
        </w:rPr>
        <w:lastRenderedPageBreak/>
        <w:t>Deloitte Diversity and Inclusion Model – the first two core truths identified in this model are “diversity of thinking is the new frontier” and “diversity without inclusion is not enough.”</w:t>
      </w:r>
      <w:r>
        <w:rPr>
          <w:rStyle w:val="FootnoteReference"/>
          <w:rFonts w:eastAsia="Arial Unicode MS"/>
        </w:rPr>
        <w:footnoteReference w:id="33"/>
      </w:r>
    </w:p>
    <w:p w14:paraId="1683C744" w14:textId="7584070A" w:rsidR="00186B5B" w:rsidRPr="00186B5B" w:rsidRDefault="00186B5B" w:rsidP="00186B5B">
      <w:pPr>
        <w:pStyle w:val="Bullet"/>
        <w:rPr>
          <w:rFonts w:eastAsia="Arial Unicode MS"/>
        </w:rPr>
      </w:pPr>
      <w:r w:rsidRPr="00186B5B">
        <w:rPr>
          <w:rFonts w:eastAsia="Arial Unicode MS"/>
        </w:rPr>
        <w:t>QuakeLab Model – this model identifies diverse recruitment as a common approach but acknowledges that focusing solely on diversity is the “bare minimum” and not enough on its own.</w:t>
      </w:r>
      <w:r>
        <w:rPr>
          <w:rStyle w:val="FootnoteReference"/>
          <w:rFonts w:eastAsia="Arial Unicode MS"/>
        </w:rPr>
        <w:footnoteReference w:id="34"/>
      </w:r>
    </w:p>
    <w:p w14:paraId="7CFDB165" w14:textId="78C7460E" w:rsidR="00186B5B" w:rsidRDefault="00186B5B" w:rsidP="00955B98">
      <w:pPr>
        <w:rPr>
          <w:rFonts w:eastAsia="Arial Unicode MS"/>
        </w:rPr>
      </w:pPr>
    </w:p>
    <w:p w14:paraId="0FD78E7C" w14:textId="4B37A458" w:rsidR="00955B98" w:rsidRDefault="00955B98" w:rsidP="00955B98">
      <w:pPr>
        <w:rPr>
          <w:rFonts w:eastAsia="Arial Unicode MS"/>
        </w:rPr>
      </w:pPr>
      <w:r w:rsidRPr="00955B98">
        <w:rPr>
          <w:rFonts w:eastAsia="Arial Unicode MS"/>
        </w:rPr>
        <w:t>Health system experts identified a range of practical considerations that are particularly important when applying this lever in a health system setting.</w:t>
      </w:r>
      <w:r>
        <w:rPr>
          <w:rFonts w:eastAsia="Arial Unicode MS"/>
        </w:rPr>
        <w:t xml:space="preserve"> </w:t>
      </w:r>
      <w:r w:rsidRPr="00955B98">
        <w:rPr>
          <w:rFonts w:eastAsia="Arial Unicode MS"/>
        </w:rPr>
        <w:t>These included:</w:t>
      </w:r>
    </w:p>
    <w:p w14:paraId="02908F4B" w14:textId="77777777" w:rsidR="00955B98" w:rsidRPr="00955B98" w:rsidRDefault="00955B98" w:rsidP="00955B98">
      <w:pPr>
        <w:pStyle w:val="Bullet"/>
        <w:rPr>
          <w:rFonts w:eastAsia="Arial Unicode MS"/>
        </w:rPr>
      </w:pPr>
      <w:r w:rsidRPr="00955B98">
        <w:rPr>
          <w:rFonts w:eastAsia="Arial Unicode MS"/>
        </w:rPr>
        <w:t>Increase critical mass of diversity hires</w:t>
      </w:r>
    </w:p>
    <w:p w14:paraId="7ED5F4A7" w14:textId="77777777" w:rsidR="00955B98" w:rsidRPr="00955B98" w:rsidRDefault="00955B98" w:rsidP="00955B98">
      <w:pPr>
        <w:pStyle w:val="Bullet"/>
        <w:rPr>
          <w:rFonts w:eastAsia="Arial Unicode MS"/>
        </w:rPr>
      </w:pPr>
      <w:r w:rsidRPr="00955B98">
        <w:rPr>
          <w:rFonts w:eastAsia="Arial Unicode MS"/>
        </w:rPr>
        <w:t>Embed anti-racism into job descriptions and recruitment processes</w:t>
      </w:r>
    </w:p>
    <w:p w14:paraId="7117A4A7" w14:textId="77777777" w:rsidR="00955B98" w:rsidRPr="00955B98" w:rsidRDefault="00955B98" w:rsidP="00955B98">
      <w:pPr>
        <w:pStyle w:val="Bullet"/>
        <w:rPr>
          <w:rFonts w:eastAsia="Arial Unicode MS"/>
        </w:rPr>
      </w:pPr>
      <w:r w:rsidRPr="00955B98">
        <w:rPr>
          <w:rFonts w:eastAsia="Arial Unicode MS"/>
        </w:rPr>
        <w:t>Ensure appropriate spaces for practices by under-served groups to occur</w:t>
      </w:r>
    </w:p>
    <w:p w14:paraId="3314807F" w14:textId="77777777" w:rsidR="00955B98" w:rsidRPr="00955B98" w:rsidRDefault="00955B98" w:rsidP="00955B98">
      <w:pPr>
        <w:pStyle w:val="Bullet"/>
        <w:rPr>
          <w:rFonts w:eastAsia="Arial Unicode MS"/>
        </w:rPr>
      </w:pPr>
      <w:r w:rsidRPr="00955B98">
        <w:rPr>
          <w:rFonts w:eastAsia="Arial Unicode MS"/>
        </w:rPr>
        <w:t>Encouragement and practical allowance for ‘diversity hires’ to provide mutual support (wānanga, talanoa etc)</w:t>
      </w:r>
    </w:p>
    <w:p w14:paraId="6DEB0F52" w14:textId="3AE82A26" w:rsidR="00955B98" w:rsidRDefault="00955B98" w:rsidP="00955B98">
      <w:pPr>
        <w:pStyle w:val="Bullet"/>
        <w:rPr>
          <w:rFonts w:eastAsia="Arial Unicode MS"/>
        </w:rPr>
      </w:pPr>
      <w:r w:rsidRPr="00955B98">
        <w:rPr>
          <w:rFonts w:eastAsia="Arial Unicode MS"/>
        </w:rPr>
        <w:t>Increase advancement to leadership positions</w:t>
      </w:r>
      <w:r w:rsidR="00A96C4F">
        <w:rPr>
          <w:rFonts w:eastAsia="Arial Unicode MS"/>
        </w:rPr>
        <w:t>.</w:t>
      </w:r>
    </w:p>
    <w:p w14:paraId="77A5B584" w14:textId="2B316E42" w:rsidR="00A96C4F" w:rsidRDefault="00A96C4F" w:rsidP="00A96C4F">
      <w:pPr>
        <w:rPr>
          <w:rFonts w:eastAsia="Arial Unicode MS"/>
        </w:rPr>
      </w:pPr>
    </w:p>
    <w:p w14:paraId="225FA3A2" w14:textId="269B99D5" w:rsidR="00A96C4F" w:rsidRDefault="00A96C4F" w:rsidP="00A96C4F">
      <w:pPr>
        <w:rPr>
          <w:rFonts w:eastAsia="Arial Unicode MS"/>
        </w:rPr>
      </w:pPr>
      <w:r w:rsidRPr="00A96C4F">
        <w:rPr>
          <w:rFonts w:eastAsia="Arial Unicode MS"/>
        </w:rPr>
        <w:t xml:space="preserve">We have identified </w:t>
      </w:r>
      <w:r w:rsidRPr="00A96C4F">
        <w:rPr>
          <w:rFonts w:eastAsia="Arial Unicode MS"/>
          <w:b/>
          <w:bCs/>
        </w:rPr>
        <w:t>diversity and recruitment</w:t>
      </w:r>
      <w:r w:rsidRPr="00A96C4F">
        <w:rPr>
          <w:rFonts w:eastAsia="Arial Unicode MS"/>
        </w:rPr>
        <w:t xml:space="preserve"> as a lever for change and propose a number of micro-levers that support this component of transformation.</w:t>
      </w:r>
    </w:p>
    <w:p w14:paraId="3A6954AD" w14:textId="75E23195" w:rsidR="00A96C4F" w:rsidRDefault="00A96C4F" w:rsidP="00A96C4F">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268"/>
        <w:gridCol w:w="5801"/>
      </w:tblGrid>
      <w:tr w:rsidR="00A96C4F" w14:paraId="7EA02D5A" w14:textId="77777777" w:rsidTr="00A121FC">
        <w:tc>
          <w:tcPr>
            <w:tcW w:w="2268" w:type="dxa"/>
            <w:shd w:val="clear" w:color="auto" w:fill="D9D9D9" w:themeFill="background1" w:themeFillShade="D9"/>
          </w:tcPr>
          <w:p w14:paraId="3456F192" w14:textId="7BD0D1B8" w:rsidR="00A96C4F" w:rsidRPr="004D0223" w:rsidRDefault="00A96C4F" w:rsidP="00A121FC">
            <w:pPr>
              <w:spacing w:before="60" w:after="60"/>
              <w:rPr>
                <w:b/>
                <w:bCs/>
              </w:rPr>
            </w:pPr>
            <w:r w:rsidRPr="00A96C4F">
              <w:rPr>
                <w:b/>
                <w:bCs/>
              </w:rPr>
              <w:t>Diversity and Recruitment</w:t>
            </w:r>
          </w:p>
        </w:tc>
        <w:tc>
          <w:tcPr>
            <w:tcW w:w="5801" w:type="dxa"/>
          </w:tcPr>
          <w:p w14:paraId="0288C0F2" w14:textId="77777777" w:rsidR="00A96C4F" w:rsidRDefault="00A96C4F" w:rsidP="00360A8E">
            <w:pPr>
              <w:pStyle w:val="Bullet"/>
              <w:spacing w:before="60" w:after="60"/>
            </w:pPr>
            <w:r>
              <w:t>T3.1 Diversity</w:t>
            </w:r>
          </w:p>
          <w:p w14:paraId="3C4D5AC6" w14:textId="535EAEC6" w:rsidR="00A96C4F" w:rsidRDefault="00A96C4F" w:rsidP="00360A8E">
            <w:pPr>
              <w:pStyle w:val="Bullet"/>
              <w:spacing w:before="60" w:after="60"/>
            </w:pPr>
            <w:r>
              <w:t>T3.2 Diversity promotion</w:t>
            </w:r>
          </w:p>
        </w:tc>
      </w:tr>
    </w:tbl>
    <w:p w14:paraId="79B6FD9F" w14:textId="1F8C48D3" w:rsidR="00BF4062" w:rsidRPr="00BF4062" w:rsidRDefault="00A96C4F" w:rsidP="00BF4062">
      <w:pPr>
        <w:pStyle w:val="Heading2"/>
        <w:rPr>
          <w:rFonts w:eastAsia="Arial Unicode MS"/>
        </w:rPr>
      </w:pPr>
      <w:bookmarkStart w:id="15" w:name="_Toc128660381"/>
      <w:r>
        <w:rPr>
          <w:rFonts w:eastAsia="Arial Unicode MS"/>
        </w:rPr>
        <w:t>R</w:t>
      </w:r>
      <w:r w:rsidR="00BF4062" w:rsidRPr="00BF4062">
        <w:rPr>
          <w:rFonts w:eastAsia="Arial Unicode MS"/>
        </w:rPr>
        <w:t>ewards and Promotions</w:t>
      </w:r>
      <w:bookmarkEnd w:id="15"/>
    </w:p>
    <w:p w14:paraId="7C2CAC2D" w14:textId="00F3A52A" w:rsidR="00BF4062" w:rsidRPr="00BF4062" w:rsidRDefault="00BF4062" w:rsidP="00BF4062">
      <w:pPr>
        <w:rPr>
          <w:rFonts w:eastAsia="Arial Unicode MS"/>
        </w:rPr>
      </w:pPr>
      <w:r w:rsidRPr="00BF4062">
        <w:rPr>
          <w:rFonts w:eastAsia="Arial Unicode MS"/>
        </w:rPr>
        <w:t>One lever for change is reward and promotion to incentivise behaviour change. It also ensures that the values of the organisation are aligned with those working in the</w:t>
      </w:r>
      <w:r>
        <w:rPr>
          <w:rFonts w:eastAsia="Arial Unicode MS"/>
        </w:rPr>
        <w:t xml:space="preserve"> </w:t>
      </w:r>
      <w:r w:rsidRPr="00BF4062">
        <w:rPr>
          <w:rFonts w:eastAsia="Arial Unicode MS"/>
        </w:rPr>
        <w:t>organisation. This works because the reward system represents values, which then shapes the behaviour and expectations of the organisation, and further, it shapes individual behaviour and serves to embed cultural norms.</w:t>
      </w:r>
    </w:p>
    <w:p w14:paraId="58D63E72" w14:textId="77777777" w:rsidR="00BF4062" w:rsidRPr="00BF4062" w:rsidRDefault="00BF4062" w:rsidP="00BF4062">
      <w:pPr>
        <w:rPr>
          <w:rFonts w:eastAsia="Arial Unicode MS"/>
        </w:rPr>
      </w:pPr>
    </w:p>
    <w:p w14:paraId="15C600C5" w14:textId="63EB9B90" w:rsidR="00BF4062" w:rsidRPr="00BF4062" w:rsidRDefault="00BF4062" w:rsidP="00BF4062">
      <w:pPr>
        <w:rPr>
          <w:rFonts w:eastAsia="Arial Unicode MS"/>
        </w:rPr>
      </w:pPr>
      <w:r w:rsidRPr="00BF4062">
        <w:rPr>
          <w:rFonts w:eastAsia="Arial Unicode MS"/>
        </w:rPr>
        <w:t>It was acknowledged that there is a need to ingrain diversity and inclusion into organisational culture but it was less clear on how. There was some discussion</w:t>
      </w:r>
      <w:r>
        <w:rPr>
          <w:rStyle w:val="FootnoteReference"/>
          <w:rFonts w:eastAsia="Arial Unicode MS"/>
        </w:rPr>
        <w:footnoteReference w:id="35"/>
      </w:r>
      <w:r w:rsidRPr="00BF4062">
        <w:rPr>
          <w:rFonts w:eastAsia="Arial Unicode MS"/>
        </w:rPr>
        <w:t xml:space="preserve"> of the need for rewards such as incentives and promotions in the literature. The literature described how it is important to have “systems regulations that indicate what will be rewarded/punished” and that these are “particularly powerful regulatory mechanisms.”</w:t>
      </w:r>
      <w:r>
        <w:rPr>
          <w:rStyle w:val="FootnoteReference"/>
          <w:rFonts w:eastAsia="Arial Unicode MS"/>
        </w:rPr>
        <w:footnoteReference w:id="36"/>
      </w:r>
      <w:r w:rsidRPr="00BF4062">
        <w:rPr>
          <w:rFonts w:eastAsia="Arial Unicode MS"/>
        </w:rPr>
        <w:t xml:space="preserve"> The literature identified that there needs to be inclusive career development. This is taking it further than simply diversity hiring,</w:t>
      </w:r>
      <w:r>
        <w:rPr>
          <w:rFonts w:eastAsia="Arial Unicode MS"/>
        </w:rPr>
        <w:t xml:space="preserve"> </w:t>
      </w:r>
      <w:r w:rsidRPr="00BF4062">
        <w:rPr>
          <w:rFonts w:eastAsia="Arial Unicode MS"/>
        </w:rPr>
        <w:t xml:space="preserve">and requires clear </w:t>
      </w:r>
      <w:r w:rsidRPr="00BF4062">
        <w:rPr>
          <w:rFonts w:eastAsia="Arial Unicode MS"/>
        </w:rPr>
        <w:lastRenderedPageBreak/>
        <w:t>pathways for people to progress within the organisation. It needs to be embedded in the processes and structure of an organisation for sustainable change.</w:t>
      </w:r>
    </w:p>
    <w:p w14:paraId="68183CC9" w14:textId="77777777" w:rsidR="00BF4062" w:rsidRPr="00BF4062" w:rsidRDefault="00BF4062" w:rsidP="00BF4062">
      <w:pPr>
        <w:rPr>
          <w:rFonts w:eastAsia="Arial Unicode MS"/>
        </w:rPr>
      </w:pPr>
    </w:p>
    <w:p w14:paraId="7550F1E9" w14:textId="319DB34C" w:rsidR="00BF4062" w:rsidRPr="00BF4062" w:rsidRDefault="00BF4062" w:rsidP="00BF4062">
      <w:pPr>
        <w:rPr>
          <w:rFonts w:eastAsia="Arial Unicode MS"/>
        </w:rPr>
      </w:pPr>
      <w:r w:rsidRPr="00BF4062">
        <w:rPr>
          <w:rFonts w:eastAsia="Arial Unicode MS"/>
        </w:rPr>
        <w:t>A starting point for this can be to “Conduct an inclusive talent management audit. Examine whether your HR practices and talent systems are working equitably</w:t>
      </w:r>
      <w:r>
        <w:rPr>
          <w:rFonts w:eastAsia="Arial Unicode MS"/>
        </w:rPr>
        <w:t xml:space="preserve"> </w:t>
      </w:r>
      <w:r w:rsidRPr="00BF4062">
        <w:rPr>
          <w:rFonts w:eastAsia="Arial Unicode MS"/>
        </w:rPr>
        <w:t>for everyone.”</w:t>
      </w:r>
      <w:r>
        <w:rPr>
          <w:rStyle w:val="FootnoteReference"/>
          <w:rFonts w:eastAsia="Arial Unicode MS"/>
        </w:rPr>
        <w:footnoteReference w:id="37"/>
      </w:r>
      <w:r w:rsidRPr="00BF4062">
        <w:rPr>
          <w:rFonts w:eastAsia="Arial Unicode MS"/>
        </w:rPr>
        <w:t xml:space="preserve"> For instance, the Aotearoa Inclusivity Matrix states that there needs to be a shift from the bare minimum of meeting legal requirements through to the final stage where diversity and inclusion is “embedded in culturally supportive career development systems.”</w:t>
      </w:r>
      <w:r w:rsidR="006C5210">
        <w:rPr>
          <w:rStyle w:val="FootnoteReference"/>
          <w:rFonts w:eastAsia="Arial Unicode MS"/>
        </w:rPr>
        <w:footnoteReference w:id="38"/>
      </w:r>
      <w:r w:rsidRPr="00BF4062">
        <w:rPr>
          <w:rFonts w:eastAsia="Arial Unicode MS"/>
        </w:rPr>
        <w:t xml:space="preserve"> Other models that mentioned this lever are, the Beloved Community’s Equity Audit, Australian</w:t>
      </w:r>
    </w:p>
    <w:p w14:paraId="3D5D705B" w14:textId="31639CBE" w:rsidR="00BF4062" w:rsidRPr="00BF4062" w:rsidRDefault="00BF4062" w:rsidP="00BF4062">
      <w:pPr>
        <w:rPr>
          <w:rFonts w:eastAsia="Arial Unicode MS"/>
        </w:rPr>
      </w:pPr>
      <w:r w:rsidRPr="00BF4062">
        <w:rPr>
          <w:rFonts w:eastAsia="Arial Unicode MS"/>
        </w:rPr>
        <w:t>HR Institute, and Korn Ferry. The latter included a measurement of the “extent an organisation has integrated diversity and inclusion into their talent systems.”</w:t>
      </w:r>
      <w:r w:rsidR="006C5210">
        <w:rPr>
          <w:rStyle w:val="FootnoteReference"/>
          <w:rFonts w:eastAsia="Arial Unicode MS"/>
        </w:rPr>
        <w:footnoteReference w:id="39"/>
      </w:r>
    </w:p>
    <w:p w14:paraId="44AC1E83" w14:textId="77777777" w:rsidR="00BF4062" w:rsidRPr="00BF4062" w:rsidRDefault="00BF4062" w:rsidP="00BF4062">
      <w:pPr>
        <w:rPr>
          <w:rFonts w:eastAsia="Arial Unicode MS"/>
        </w:rPr>
      </w:pPr>
    </w:p>
    <w:p w14:paraId="1A1B5E0F" w14:textId="77777777" w:rsidR="00BF4062" w:rsidRPr="00BF4062" w:rsidRDefault="00BF4062" w:rsidP="00BF4062">
      <w:pPr>
        <w:rPr>
          <w:rFonts w:eastAsia="Arial Unicode MS"/>
        </w:rPr>
      </w:pPr>
      <w:r w:rsidRPr="00BF4062">
        <w:rPr>
          <w:rFonts w:eastAsia="Arial Unicode MS"/>
        </w:rPr>
        <w:t>Health system experts identified a range of practical considerations that are particularly important when applying this lever in a health system setting.</w:t>
      </w:r>
    </w:p>
    <w:p w14:paraId="1F0BCAC4" w14:textId="6C1AC250" w:rsidR="00BF4062" w:rsidRDefault="00BF4062" w:rsidP="00BF4062">
      <w:pPr>
        <w:rPr>
          <w:rFonts w:eastAsia="Arial Unicode MS"/>
        </w:rPr>
      </w:pPr>
      <w:r w:rsidRPr="00BF4062">
        <w:rPr>
          <w:rFonts w:eastAsia="Arial Unicode MS"/>
        </w:rPr>
        <w:t>These included:</w:t>
      </w:r>
    </w:p>
    <w:p w14:paraId="4D49D79D" w14:textId="77777777" w:rsidR="006C5210" w:rsidRPr="006C5210" w:rsidRDefault="006C5210" w:rsidP="006C5210">
      <w:pPr>
        <w:pStyle w:val="Bullet"/>
        <w:rPr>
          <w:rFonts w:eastAsia="Arial Unicode MS"/>
        </w:rPr>
      </w:pPr>
      <w:r w:rsidRPr="006C5210">
        <w:rPr>
          <w:rFonts w:eastAsia="Arial Unicode MS"/>
        </w:rPr>
        <w:t>Staff performance management system integrates ‘cultural competency’ and anti-racism, including as a factor for promotion or other reward</w:t>
      </w:r>
    </w:p>
    <w:p w14:paraId="24E1761B" w14:textId="77777777" w:rsidR="006C5210" w:rsidRPr="006C5210" w:rsidRDefault="006C5210" w:rsidP="006C5210">
      <w:pPr>
        <w:pStyle w:val="Bullet"/>
        <w:rPr>
          <w:rFonts w:eastAsia="Arial Unicode MS"/>
        </w:rPr>
      </w:pPr>
      <w:r w:rsidRPr="006C5210">
        <w:rPr>
          <w:rFonts w:eastAsia="Arial Unicode MS"/>
        </w:rPr>
        <w:t>Staff performance management system includes formal success factors related to anti-racism/mana tangata</w:t>
      </w:r>
    </w:p>
    <w:p w14:paraId="787CBC00" w14:textId="77777777" w:rsidR="006C5210" w:rsidRPr="006C5210" w:rsidRDefault="006C5210" w:rsidP="006C5210">
      <w:pPr>
        <w:pStyle w:val="Bullet"/>
        <w:rPr>
          <w:rFonts w:eastAsia="Arial Unicode MS"/>
        </w:rPr>
      </w:pPr>
      <w:r w:rsidRPr="006C5210">
        <w:rPr>
          <w:rFonts w:eastAsia="Arial Unicode MS"/>
        </w:rPr>
        <w:t>Organisation uses financial or other rewards to incentivise desired priority behaviour changes aligned to anti- racism/mana tangata at individual and sub-unit level</w:t>
      </w:r>
    </w:p>
    <w:p w14:paraId="599D6F05" w14:textId="31F273B4" w:rsidR="006C5210" w:rsidRDefault="006C5210" w:rsidP="006C5210">
      <w:pPr>
        <w:rPr>
          <w:rFonts w:eastAsia="Arial Unicode MS"/>
        </w:rPr>
      </w:pPr>
    </w:p>
    <w:p w14:paraId="3D4D8DDE" w14:textId="10F58FC8" w:rsidR="006C5210" w:rsidRPr="00955B98" w:rsidRDefault="006C5210" w:rsidP="006C5210">
      <w:pPr>
        <w:rPr>
          <w:rFonts w:eastAsia="Arial Unicode MS"/>
        </w:rPr>
      </w:pPr>
      <w:r w:rsidRPr="006C5210">
        <w:rPr>
          <w:rFonts w:eastAsia="Arial Unicode MS"/>
        </w:rPr>
        <w:t xml:space="preserve">We have identified </w:t>
      </w:r>
      <w:r w:rsidRPr="006C5210">
        <w:rPr>
          <w:rFonts w:eastAsia="Arial Unicode MS"/>
          <w:b/>
          <w:bCs/>
        </w:rPr>
        <w:t>rewards and promotions</w:t>
      </w:r>
      <w:r w:rsidRPr="006C5210">
        <w:rPr>
          <w:rFonts w:eastAsia="Arial Unicode MS"/>
        </w:rPr>
        <w:t xml:space="preserve"> as a lever for change and propose a micro-lever that supports this component of transformation.</w:t>
      </w:r>
    </w:p>
    <w:p w14:paraId="30A897F7" w14:textId="5D58A15D" w:rsidR="00955B98" w:rsidRDefault="00955B98" w:rsidP="00955B98">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268"/>
        <w:gridCol w:w="5801"/>
      </w:tblGrid>
      <w:tr w:rsidR="006C5210" w14:paraId="14162C6D" w14:textId="77777777" w:rsidTr="00A762B7">
        <w:tc>
          <w:tcPr>
            <w:tcW w:w="2268" w:type="dxa"/>
            <w:shd w:val="clear" w:color="auto" w:fill="D9D9D9" w:themeFill="background1" w:themeFillShade="D9"/>
          </w:tcPr>
          <w:p w14:paraId="3DBA3C54" w14:textId="06BA8664" w:rsidR="006C5210" w:rsidRPr="004D0223" w:rsidRDefault="006C5210" w:rsidP="00A121FC">
            <w:pPr>
              <w:spacing w:before="60" w:after="60"/>
              <w:rPr>
                <w:b/>
                <w:bCs/>
              </w:rPr>
            </w:pPr>
            <w:r w:rsidRPr="006C5210">
              <w:rPr>
                <w:b/>
                <w:bCs/>
              </w:rPr>
              <w:t>Rewards and Promotions</w:t>
            </w:r>
          </w:p>
        </w:tc>
        <w:tc>
          <w:tcPr>
            <w:tcW w:w="5801" w:type="dxa"/>
          </w:tcPr>
          <w:p w14:paraId="52D36D55" w14:textId="2C838913" w:rsidR="006C5210" w:rsidRDefault="006C5210" w:rsidP="00360A8E">
            <w:pPr>
              <w:pStyle w:val="Bullet"/>
              <w:spacing w:before="60" w:after="60"/>
            </w:pPr>
            <w:r w:rsidRPr="006C5210">
              <w:t>Rewards and incentives</w:t>
            </w:r>
          </w:p>
        </w:tc>
      </w:tr>
    </w:tbl>
    <w:p w14:paraId="7691E3F7" w14:textId="77777777" w:rsidR="00A96C4F" w:rsidRDefault="00A96C4F" w:rsidP="006C5210">
      <w:pPr>
        <w:pStyle w:val="Heading2"/>
        <w:rPr>
          <w:rFonts w:eastAsia="Arial Unicode MS"/>
        </w:rPr>
        <w:sectPr w:rsidR="00A96C4F" w:rsidSect="00841590">
          <w:pgSz w:w="11907" w:h="16840" w:code="9"/>
          <w:pgMar w:top="1418" w:right="1701" w:bottom="1134" w:left="1843" w:header="284" w:footer="425" w:gutter="284"/>
          <w:cols w:space="720"/>
        </w:sectPr>
      </w:pPr>
    </w:p>
    <w:p w14:paraId="4E7ECBBE" w14:textId="7263B7DF" w:rsidR="006C5210" w:rsidRPr="006C5210" w:rsidRDefault="006C5210" w:rsidP="00A96C4F">
      <w:pPr>
        <w:pStyle w:val="Heading2"/>
        <w:spacing w:before="0"/>
        <w:rPr>
          <w:rFonts w:eastAsia="Arial Unicode MS"/>
        </w:rPr>
      </w:pPr>
      <w:bookmarkStart w:id="16" w:name="_Toc128660382"/>
      <w:r w:rsidRPr="006C5210">
        <w:rPr>
          <w:rFonts w:eastAsia="Arial Unicode MS"/>
        </w:rPr>
        <w:lastRenderedPageBreak/>
        <w:t>Disciplinary Processes and Accountability</w:t>
      </w:r>
      <w:bookmarkEnd w:id="16"/>
    </w:p>
    <w:p w14:paraId="31379BED" w14:textId="5DAB4336" w:rsidR="006C5210" w:rsidRPr="006C5210" w:rsidRDefault="006C5210" w:rsidP="006C5210">
      <w:pPr>
        <w:rPr>
          <w:rFonts w:eastAsia="Arial Unicode MS"/>
        </w:rPr>
      </w:pPr>
      <w:r w:rsidRPr="006C5210">
        <w:rPr>
          <w:rFonts w:eastAsia="Arial Unicode MS"/>
        </w:rPr>
        <w:t>The purpose of this lever is to align behaviours with values and to ensure everyone is committed to change. For this to work, the disciplinary action and codes of behaviour need to reflect the values.</w:t>
      </w:r>
      <w:r>
        <w:rPr>
          <w:rFonts w:eastAsia="Arial Unicode MS"/>
        </w:rPr>
        <w:t xml:space="preserve"> </w:t>
      </w:r>
      <w:r w:rsidRPr="006C5210">
        <w:rPr>
          <w:rFonts w:eastAsia="Arial Unicode MS"/>
        </w:rPr>
        <w:t>This in turn influences individual behaviour to align with the overall values.</w:t>
      </w:r>
    </w:p>
    <w:p w14:paraId="3D659B7B" w14:textId="77777777" w:rsidR="006C5210" w:rsidRPr="006C5210" w:rsidRDefault="006C5210" w:rsidP="006C5210">
      <w:pPr>
        <w:rPr>
          <w:rFonts w:eastAsia="Arial Unicode MS"/>
        </w:rPr>
      </w:pPr>
    </w:p>
    <w:p w14:paraId="745024C9" w14:textId="0383E300" w:rsidR="006C5210" w:rsidRPr="006C5210" w:rsidRDefault="006C5210" w:rsidP="006C5210">
      <w:pPr>
        <w:rPr>
          <w:rFonts w:eastAsia="Arial Unicode MS"/>
        </w:rPr>
      </w:pPr>
      <w:r w:rsidRPr="006C5210">
        <w:rPr>
          <w:rFonts w:eastAsia="Arial Unicode MS"/>
        </w:rPr>
        <w:t>At an organisational level, the literature discussed getting an external organisation or group who are committed to anti-racism work to hold an organisation accountable.</w:t>
      </w:r>
      <w:r>
        <w:rPr>
          <w:rStyle w:val="FootnoteReference"/>
          <w:rFonts w:eastAsia="Arial Unicode MS"/>
        </w:rPr>
        <w:footnoteReference w:id="40"/>
      </w:r>
      <w:r w:rsidRPr="006C5210">
        <w:rPr>
          <w:rFonts w:eastAsia="Arial Unicode MS"/>
        </w:rPr>
        <w:t xml:space="preserve"> As with many terms in the literature, there is little clarity on what accountability exactly is and how it should be undertaken. It was stressed that there needs to be a clear understanding within an organisation that is developed for that context.</w:t>
      </w:r>
      <w:r>
        <w:rPr>
          <w:rFonts w:eastAsia="Arial Unicode MS"/>
        </w:rPr>
        <w:t xml:space="preserve"> </w:t>
      </w:r>
      <w:r w:rsidRPr="006C5210">
        <w:rPr>
          <w:rFonts w:eastAsia="Arial Unicode MS"/>
        </w:rPr>
        <w:t>Accountability and action need to be brought forward because “as a deliberate intention of an entire organisation requires clear, consistent, and repeated communication.”</w:t>
      </w:r>
      <w:r>
        <w:rPr>
          <w:rStyle w:val="FootnoteReference"/>
          <w:rFonts w:eastAsia="Arial Unicode MS"/>
        </w:rPr>
        <w:footnoteReference w:id="41"/>
      </w:r>
    </w:p>
    <w:p w14:paraId="41A01D0B" w14:textId="739B7B01" w:rsidR="006C5210" w:rsidRDefault="006C5210" w:rsidP="006C5210">
      <w:pPr>
        <w:rPr>
          <w:rFonts w:eastAsia="Arial Unicode MS"/>
        </w:rPr>
      </w:pPr>
    </w:p>
    <w:p w14:paraId="1DA41734" w14:textId="0080B16B" w:rsidR="006C5210" w:rsidRPr="006C5210" w:rsidRDefault="006C5210" w:rsidP="006C5210">
      <w:pPr>
        <w:rPr>
          <w:rFonts w:eastAsia="Arial Unicode MS"/>
        </w:rPr>
      </w:pPr>
      <w:r w:rsidRPr="006C5210">
        <w:rPr>
          <w:rFonts w:eastAsia="Arial Unicode MS"/>
        </w:rPr>
        <w:t>Accountability requires an obligation to provide an account; a forum for the account to be discussed; and the opportunity for reward or sanction.</w:t>
      </w:r>
      <w:r>
        <w:rPr>
          <w:rStyle w:val="FootnoteReference"/>
          <w:rFonts w:eastAsia="Arial Unicode MS"/>
        </w:rPr>
        <w:footnoteReference w:id="42"/>
      </w:r>
      <w:r w:rsidRPr="006C5210">
        <w:rPr>
          <w:rFonts w:eastAsia="Arial Unicode MS"/>
        </w:rPr>
        <w:t xml:space="preserve"> Importantly accountability requires</w:t>
      </w:r>
      <w:r w:rsidR="00A762B7">
        <w:rPr>
          <w:rFonts w:eastAsia="Arial Unicode MS"/>
        </w:rPr>
        <w:t xml:space="preserve"> </w:t>
      </w:r>
      <w:r w:rsidRPr="006C5210">
        <w:rPr>
          <w:rFonts w:eastAsia="Arial Unicode MS"/>
        </w:rPr>
        <w:t>consistent benchmarking. If the goal posts</w:t>
      </w:r>
      <w:r w:rsidR="00A762B7">
        <w:rPr>
          <w:rFonts w:eastAsia="Arial Unicode MS"/>
        </w:rPr>
        <w:t xml:space="preserve"> </w:t>
      </w:r>
      <w:r w:rsidRPr="006C5210">
        <w:rPr>
          <w:rFonts w:eastAsia="Arial Unicode MS"/>
        </w:rPr>
        <w:t>–</w:t>
      </w:r>
      <w:r w:rsidR="00A762B7">
        <w:rPr>
          <w:rFonts w:eastAsia="Arial Unicode MS"/>
        </w:rPr>
        <w:t xml:space="preserve"> </w:t>
      </w:r>
      <w:r w:rsidRPr="006C5210">
        <w:rPr>
          <w:rFonts w:eastAsia="Arial Unicode MS"/>
        </w:rPr>
        <w:t>evaluation criteria – continue to move, then it is impossible to hold or be held accountable over time in a consistent way. Another essential aspect of accountability is the process of determining those evaluation criteria. This should be led</w:t>
      </w:r>
      <w:r w:rsidR="00A762B7">
        <w:rPr>
          <w:rFonts w:eastAsia="Arial Unicode MS"/>
        </w:rPr>
        <w:t xml:space="preserve"> </w:t>
      </w:r>
      <w:r w:rsidRPr="006C5210">
        <w:rPr>
          <w:rFonts w:eastAsia="Arial Unicode MS"/>
        </w:rPr>
        <w:t>by those who are most affected by the activities – those holding and being held accountable – together. Participatory accountability requires extensive and</w:t>
      </w:r>
      <w:r w:rsidR="00A762B7">
        <w:rPr>
          <w:rFonts w:eastAsia="Arial Unicode MS"/>
        </w:rPr>
        <w:t xml:space="preserve"> </w:t>
      </w:r>
      <w:r w:rsidRPr="006C5210">
        <w:rPr>
          <w:rFonts w:eastAsia="Arial Unicode MS"/>
        </w:rPr>
        <w:t>meaningful consultation prior to establishing the criteria through which organisations are held accountable. If we ground accountability in the community – grounded accountability</w:t>
      </w:r>
      <w:r w:rsidR="00A762B7">
        <w:rPr>
          <w:rFonts w:eastAsia="Arial Unicode MS"/>
        </w:rPr>
        <w:t xml:space="preserve"> </w:t>
      </w:r>
      <w:r w:rsidRPr="006C5210">
        <w:rPr>
          <w:rFonts w:eastAsia="Arial Unicode MS"/>
        </w:rPr>
        <w:t>–</w:t>
      </w:r>
      <w:r w:rsidR="00A762B7">
        <w:rPr>
          <w:rFonts w:eastAsia="Arial Unicode MS"/>
        </w:rPr>
        <w:t xml:space="preserve"> </w:t>
      </w:r>
      <w:r w:rsidRPr="006C5210">
        <w:rPr>
          <w:rFonts w:eastAsia="Arial Unicode MS"/>
        </w:rPr>
        <w:t>then there is more likely to be buy-in from the community and from the organisation, and this will ultimately lead to more meaningful outcomes over time.</w:t>
      </w:r>
    </w:p>
    <w:p w14:paraId="3B1AE368" w14:textId="77777777" w:rsidR="006C5210" w:rsidRPr="006C5210" w:rsidRDefault="006C5210" w:rsidP="006C5210">
      <w:pPr>
        <w:rPr>
          <w:rFonts w:eastAsia="Arial Unicode MS"/>
        </w:rPr>
      </w:pPr>
    </w:p>
    <w:p w14:paraId="4C610B07" w14:textId="2F9D67D5" w:rsidR="006C5210" w:rsidRPr="006C5210" w:rsidRDefault="006C5210" w:rsidP="006C5210">
      <w:pPr>
        <w:rPr>
          <w:rFonts w:eastAsia="Arial Unicode MS"/>
        </w:rPr>
      </w:pPr>
      <w:r w:rsidRPr="006C5210">
        <w:rPr>
          <w:rFonts w:eastAsia="Arial Unicode MS"/>
        </w:rPr>
        <w:t>One of the best examples from the literature explaining the importance of accountability and who is being held accountable, by whom is: “the social justice community struggles</w:t>
      </w:r>
      <w:r w:rsidR="00A762B7">
        <w:rPr>
          <w:rFonts w:eastAsia="Arial Unicode MS"/>
        </w:rPr>
        <w:t xml:space="preserve"> </w:t>
      </w:r>
      <w:r w:rsidRPr="006C5210">
        <w:rPr>
          <w:rFonts w:eastAsia="Arial Unicode MS"/>
        </w:rPr>
        <w:t>to negotiate a system of accountability to funders generally not located in or made up of communities being organized or served and social justice gets defined in terms of access rather than equity.”</w:t>
      </w:r>
      <w:r>
        <w:rPr>
          <w:rStyle w:val="FootnoteReference"/>
          <w:rFonts w:eastAsia="Arial Unicode MS"/>
        </w:rPr>
        <w:footnoteReference w:id="43"/>
      </w:r>
      <w:r w:rsidRPr="006C5210">
        <w:rPr>
          <w:rFonts w:eastAsia="Arial Unicode MS"/>
        </w:rPr>
        <w:t xml:space="preserve"> An important aspect of accountability is action and this was acknowledged in the existing literature.</w:t>
      </w:r>
    </w:p>
    <w:p w14:paraId="41F0E59B" w14:textId="77777777" w:rsidR="006C5210" w:rsidRPr="006C5210" w:rsidRDefault="006C5210" w:rsidP="006C5210">
      <w:pPr>
        <w:rPr>
          <w:rFonts w:eastAsia="Arial Unicode MS"/>
        </w:rPr>
      </w:pPr>
    </w:p>
    <w:p w14:paraId="4E433E7E" w14:textId="55A01A50" w:rsidR="006C5210" w:rsidRPr="006C5210" w:rsidRDefault="006C5210" w:rsidP="006C5210">
      <w:pPr>
        <w:rPr>
          <w:rFonts w:eastAsia="Arial Unicode MS"/>
        </w:rPr>
      </w:pPr>
      <w:r w:rsidRPr="006C5210">
        <w:rPr>
          <w:rFonts w:eastAsia="Arial Unicode MS"/>
        </w:rPr>
        <w:t xml:space="preserve">For this to occur there needs to be a shift from being accountable to stakeholders concerned about profit, to being accountable to those being affected. Being accountable to those groups does not mean solving racism becomes the problem of </w:t>
      </w:r>
      <w:r w:rsidRPr="006C5210">
        <w:rPr>
          <w:rFonts w:eastAsia="Arial Unicode MS"/>
        </w:rPr>
        <w:lastRenderedPageBreak/>
        <w:t>minority groups, but it does ensure there is accountability. And</w:t>
      </w:r>
      <w:r w:rsidR="00856EF7">
        <w:rPr>
          <w:rFonts w:eastAsia="Arial Unicode MS"/>
        </w:rPr>
        <w:t xml:space="preserve"> </w:t>
      </w:r>
      <w:r w:rsidRPr="006C5210">
        <w:rPr>
          <w:rFonts w:eastAsia="Arial Unicode MS"/>
        </w:rPr>
        <w:t>a broader ethic of when everyone does the heavy lifting the load gets lighter.</w:t>
      </w:r>
    </w:p>
    <w:p w14:paraId="04C13720" w14:textId="77777777" w:rsidR="006C5210" w:rsidRPr="006C5210" w:rsidRDefault="006C5210" w:rsidP="006C5210">
      <w:pPr>
        <w:rPr>
          <w:rFonts w:eastAsia="Arial Unicode MS"/>
        </w:rPr>
      </w:pPr>
    </w:p>
    <w:p w14:paraId="2DCBE6C8" w14:textId="44A52FD8" w:rsidR="006C5210" w:rsidRDefault="006C5210" w:rsidP="006C5210">
      <w:pPr>
        <w:rPr>
          <w:rFonts w:eastAsia="Arial Unicode MS"/>
        </w:rPr>
      </w:pPr>
      <w:r w:rsidRPr="006C5210">
        <w:rPr>
          <w:rFonts w:eastAsia="Arial Unicode MS"/>
        </w:rPr>
        <w:t>Health system experts identified a range of practical considerations that are particularly important when applying this lever in a health system setting. These included:</w:t>
      </w:r>
    </w:p>
    <w:p w14:paraId="14841ED8" w14:textId="77777777" w:rsidR="00A762B7" w:rsidRPr="00A762B7" w:rsidRDefault="00A762B7" w:rsidP="00A762B7">
      <w:pPr>
        <w:pStyle w:val="Bullet"/>
        <w:rPr>
          <w:rFonts w:eastAsia="Arial Unicode MS"/>
        </w:rPr>
      </w:pPr>
      <w:r w:rsidRPr="00A762B7">
        <w:rPr>
          <w:rFonts w:eastAsia="Arial Unicode MS"/>
        </w:rPr>
        <w:t>Racism is integrated into disciplinary code to create zero tolerance culture</w:t>
      </w:r>
    </w:p>
    <w:p w14:paraId="2BA00D27" w14:textId="77777777" w:rsidR="00A762B7" w:rsidRPr="00A762B7" w:rsidRDefault="00A762B7" w:rsidP="00A762B7">
      <w:pPr>
        <w:pStyle w:val="Bullet"/>
        <w:rPr>
          <w:rFonts w:eastAsia="Arial Unicode MS"/>
        </w:rPr>
      </w:pPr>
      <w:r w:rsidRPr="00A762B7">
        <w:rPr>
          <w:rFonts w:eastAsia="Arial Unicode MS"/>
        </w:rPr>
        <w:t>Visibility of responses to allegations of inconsistent conduct</w:t>
      </w:r>
    </w:p>
    <w:p w14:paraId="37686538" w14:textId="77777777" w:rsidR="00A762B7" w:rsidRDefault="00A762B7" w:rsidP="00A762B7">
      <w:pPr>
        <w:rPr>
          <w:rFonts w:eastAsia="Arial Unicode MS"/>
        </w:rPr>
      </w:pPr>
    </w:p>
    <w:p w14:paraId="102946AA" w14:textId="3AFFF27B" w:rsidR="00A762B7" w:rsidRDefault="00A762B7" w:rsidP="00A762B7">
      <w:pPr>
        <w:rPr>
          <w:rFonts w:eastAsia="Arial Unicode MS"/>
        </w:rPr>
      </w:pPr>
      <w:r w:rsidRPr="00A762B7">
        <w:rPr>
          <w:rFonts w:eastAsia="Arial Unicode MS"/>
        </w:rPr>
        <w:t xml:space="preserve">We have identified </w:t>
      </w:r>
      <w:r w:rsidRPr="00A96C4F">
        <w:rPr>
          <w:rFonts w:eastAsia="Arial Unicode MS"/>
          <w:b/>
          <w:bCs/>
        </w:rPr>
        <w:t>disciplinary processes and accountability</w:t>
      </w:r>
      <w:r w:rsidRPr="00A762B7">
        <w:rPr>
          <w:rFonts w:eastAsia="Arial Unicode MS"/>
        </w:rPr>
        <w:t xml:space="preserve"> as a lever for change and propose a micro-lever that supports this component of transformation.</w:t>
      </w:r>
    </w:p>
    <w:p w14:paraId="5078B8EF" w14:textId="77777777" w:rsidR="00A762B7" w:rsidRDefault="00A762B7" w:rsidP="00A762B7">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10"/>
        <w:gridCol w:w="5659"/>
      </w:tblGrid>
      <w:tr w:rsidR="00A762B7" w14:paraId="1E2638E5" w14:textId="77777777" w:rsidTr="00A762B7">
        <w:tc>
          <w:tcPr>
            <w:tcW w:w="2410" w:type="dxa"/>
            <w:shd w:val="clear" w:color="auto" w:fill="D9D9D9" w:themeFill="background1" w:themeFillShade="D9"/>
          </w:tcPr>
          <w:p w14:paraId="425B9997" w14:textId="1F05CBEC" w:rsidR="00A762B7" w:rsidRPr="004D0223" w:rsidRDefault="00A762B7" w:rsidP="00A96C4F">
            <w:pPr>
              <w:spacing w:before="60" w:after="60"/>
              <w:ind w:right="28"/>
              <w:rPr>
                <w:b/>
                <w:bCs/>
              </w:rPr>
            </w:pPr>
            <w:r w:rsidRPr="00A762B7">
              <w:rPr>
                <w:b/>
                <w:bCs/>
              </w:rPr>
              <w:t>Disciplinary Processes and Accountability</w:t>
            </w:r>
          </w:p>
        </w:tc>
        <w:tc>
          <w:tcPr>
            <w:tcW w:w="5659" w:type="dxa"/>
          </w:tcPr>
          <w:p w14:paraId="4F201DDB" w14:textId="5C5172A6" w:rsidR="00A762B7" w:rsidRDefault="00A762B7" w:rsidP="00360A8E">
            <w:pPr>
              <w:pStyle w:val="Bullet"/>
              <w:spacing w:before="60" w:after="60"/>
            </w:pPr>
            <w:r w:rsidRPr="00A762B7">
              <w:t>Disciplinary code</w:t>
            </w:r>
          </w:p>
        </w:tc>
      </w:tr>
    </w:tbl>
    <w:p w14:paraId="75DB9EC7" w14:textId="69008A64" w:rsidR="00856EF7" w:rsidRDefault="00856EF7" w:rsidP="00A762B7">
      <w:pPr>
        <w:rPr>
          <w:rFonts w:eastAsia="Arial Unicode MS"/>
        </w:rPr>
      </w:pPr>
    </w:p>
    <w:p w14:paraId="54CA1F21" w14:textId="6919180B" w:rsidR="006C170E" w:rsidRDefault="006C170E" w:rsidP="00A762B7">
      <w:pPr>
        <w:rPr>
          <w:rFonts w:eastAsia="Arial Unicode MS"/>
        </w:rPr>
      </w:pPr>
    </w:p>
    <w:p w14:paraId="02BC3CC9" w14:textId="77777777" w:rsidR="006C170E" w:rsidRDefault="006C170E" w:rsidP="00A762B7">
      <w:pPr>
        <w:rPr>
          <w:rFonts w:eastAsia="Arial Unicode MS"/>
        </w:rPr>
      </w:pPr>
    </w:p>
    <w:p w14:paraId="1142CEFB" w14:textId="77777777" w:rsidR="00856EF7" w:rsidRDefault="00856EF7" w:rsidP="00856EF7">
      <w:pPr>
        <w:pBdr>
          <w:top w:val="single" w:sz="4" w:space="1" w:color="0070C0"/>
        </w:pBdr>
        <w:rPr>
          <w:rFonts w:eastAsia="Lucida Sans Unicode"/>
        </w:rPr>
      </w:pPr>
    </w:p>
    <w:p w14:paraId="4B0B357F" w14:textId="27DDC2E6" w:rsidR="00856EF7" w:rsidRDefault="00856EF7" w:rsidP="00856EF7">
      <w:pPr>
        <w:pStyle w:val="Heading5"/>
        <w:jc w:val="center"/>
        <w:rPr>
          <w:rFonts w:eastAsia="Lucida Sans Unicode"/>
        </w:rPr>
      </w:pPr>
      <w:r w:rsidRPr="00C67BC1">
        <w:rPr>
          <w:rFonts w:eastAsia="Lucida Sans Unicode"/>
        </w:rPr>
        <w:t>“</w:t>
      </w:r>
      <w:r w:rsidRPr="00856EF7">
        <w:rPr>
          <w:rFonts w:eastAsia="Lucida Sans Unicode"/>
        </w:rPr>
        <w:t>Mā te huruhuru ka rere te manu</w:t>
      </w:r>
      <w:r w:rsidRPr="00081493">
        <w:rPr>
          <w:rFonts w:eastAsia="Lucida Sans Unicode"/>
        </w:rPr>
        <w:t>”</w:t>
      </w:r>
    </w:p>
    <w:p w14:paraId="08101977" w14:textId="77777777" w:rsidR="00856EF7" w:rsidRDefault="00856EF7" w:rsidP="00856EF7">
      <w:pPr>
        <w:rPr>
          <w:rFonts w:eastAsia="Lucida Sans Unicode"/>
        </w:rPr>
      </w:pPr>
    </w:p>
    <w:p w14:paraId="6CAD92EA" w14:textId="4F08ACFD" w:rsidR="00856EF7" w:rsidRDefault="00856EF7" w:rsidP="00856EF7">
      <w:pPr>
        <w:pBdr>
          <w:bottom w:val="single" w:sz="4" w:space="1" w:color="0070C0"/>
        </w:pBdr>
        <w:spacing w:after="120"/>
        <w:jc w:val="center"/>
        <w:rPr>
          <w:rFonts w:eastAsia="Lucida Sans Unicode"/>
          <w:sz w:val="22"/>
          <w:szCs w:val="22"/>
        </w:rPr>
      </w:pPr>
      <w:r w:rsidRPr="00856EF7">
        <w:rPr>
          <w:rFonts w:eastAsia="Lucida Sans Unicode"/>
          <w:sz w:val="22"/>
          <w:szCs w:val="22"/>
        </w:rPr>
        <w:t>ADORN THE BIRD WITH FEATHERS SO IT MAY SOAR</w:t>
      </w:r>
    </w:p>
    <w:p w14:paraId="59EA0D0C" w14:textId="77777777" w:rsidR="00856EF7" w:rsidRPr="00561369" w:rsidRDefault="00856EF7" w:rsidP="00856EF7">
      <w:pPr>
        <w:pBdr>
          <w:bottom w:val="single" w:sz="4" w:space="1" w:color="0070C0"/>
        </w:pBdr>
        <w:spacing w:after="120"/>
        <w:jc w:val="center"/>
        <w:rPr>
          <w:rFonts w:eastAsia="Lucida Sans Unicode"/>
          <w:sz w:val="22"/>
          <w:szCs w:val="22"/>
        </w:rPr>
      </w:pPr>
    </w:p>
    <w:p w14:paraId="030370E3" w14:textId="77777777" w:rsidR="00856EF7" w:rsidRPr="00561369" w:rsidRDefault="00856EF7" w:rsidP="00856EF7">
      <w:pPr>
        <w:rPr>
          <w:rFonts w:eastAsia="Lucida Sans Unicode"/>
          <w:sz w:val="22"/>
          <w:szCs w:val="22"/>
        </w:rPr>
      </w:pPr>
    </w:p>
    <w:p w14:paraId="5268E986" w14:textId="77777777" w:rsidR="00856EF7" w:rsidRPr="00856EF7" w:rsidRDefault="00856EF7" w:rsidP="00856EF7">
      <w:pPr>
        <w:jc w:val="center"/>
        <w:rPr>
          <w:rFonts w:eastAsia="Lucida Sans Unicode"/>
          <w:sz w:val="22"/>
          <w:szCs w:val="22"/>
        </w:rPr>
      </w:pPr>
      <w:r w:rsidRPr="00856EF7">
        <w:rPr>
          <w:rFonts w:eastAsia="Lucida Sans Unicode"/>
          <w:sz w:val="22"/>
          <w:szCs w:val="22"/>
        </w:rPr>
        <w:t>There is always room to learn and grow.</w:t>
      </w:r>
    </w:p>
    <w:p w14:paraId="360E5AAE" w14:textId="2009394C" w:rsidR="00856EF7" w:rsidRDefault="00856EF7" w:rsidP="00856EF7">
      <w:pPr>
        <w:jc w:val="center"/>
        <w:rPr>
          <w:rFonts w:eastAsia="Lucida Sans Unicode"/>
          <w:sz w:val="22"/>
          <w:szCs w:val="22"/>
        </w:rPr>
      </w:pPr>
      <w:r w:rsidRPr="00856EF7">
        <w:rPr>
          <w:rFonts w:eastAsia="Lucida Sans Unicode"/>
          <w:sz w:val="22"/>
          <w:szCs w:val="22"/>
        </w:rPr>
        <w:t xml:space="preserve">Creating new capabilities helps us to transform our practice. </w:t>
      </w:r>
      <w:r>
        <w:rPr>
          <w:rFonts w:eastAsia="Lucida Sans Unicode"/>
          <w:sz w:val="22"/>
          <w:szCs w:val="22"/>
        </w:rPr>
        <w:br/>
      </w:r>
      <w:r w:rsidRPr="00856EF7">
        <w:rPr>
          <w:rFonts w:eastAsia="Lucida Sans Unicode"/>
          <w:sz w:val="22"/>
          <w:szCs w:val="22"/>
        </w:rPr>
        <w:t xml:space="preserve">The more experiences we are given the more we will learn. </w:t>
      </w:r>
      <w:r>
        <w:rPr>
          <w:rFonts w:eastAsia="Lucida Sans Unicode"/>
          <w:sz w:val="22"/>
          <w:szCs w:val="22"/>
        </w:rPr>
        <w:br/>
      </w:r>
      <w:r w:rsidRPr="00856EF7">
        <w:rPr>
          <w:rFonts w:eastAsia="Lucida Sans Unicode"/>
          <w:sz w:val="22"/>
          <w:szCs w:val="22"/>
        </w:rPr>
        <w:t>The more strengths we have the higher we will fly.</w:t>
      </w:r>
    </w:p>
    <w:p w14:paraId="1CE7EC28" w14:textId="085B8251" w:rsidR="00856EF7" w:rsidRDefault="00856EF7" w:rsidP="00856EF7">
      <w:pPr>
        <w:jc w:val="center"/>
        <w:rPr>
          <w:rFonts w:eastAsia="Lucida Sans Unicode"/>
          <w:sz w:val="22"/>
          <w:szCs w:val="22"/>
        </w:rPr>
      </w:pPr>
    </w:p>
    <w:p w14:paraId="187370AA" w14:textId="77777777" w:rsidR="00856EF7" w:rsidRPr="00856EF7" w:rsidRDefault="00856EF7" w:rsidP="00856EF7">
      <w:pPr>
        <w:pStyle w:val="Heading2"/>
        <w:rPr>
          <w:rFonts w:eastAsia="Lucida Sans Unicode"/>
        </w:rPr>
      </w:pPr>
      <w:bookmarkStart w:id="17" w:name="_Toc128660383"/>
      <w:r w:rsidRPr="00856EF7">
        <w:rPr>
          <w:rFonts w:eastAsia="Lucida Sans Unicode"/>
        </w:rPr>
        <w:t>Reflective Practices</w:t>
      </w:r>
      <w:bookmarkEnd w:id="17"/>
    </w:p>
    <w:p w14:paraId="1FB5E9E6" w14:textId="6244E059" w:rsidR="00856EF7" w:rsidRPr="00856EF7" w:rsidRDefault="00856EF7" w:rsidP="00856EF7">
      <w:pPr>
        <w:rPr>
          <w:rFonts w:eastAsia="Lucida Sans Unicode"/>
        </w:rPr>
      </w:pPr>
      <w:r w:rsidRPr="00856EF7">
        <w:rPr>
          <w:rFonts w:eastAsia="Lucida Sans Unicode"/>
        </w:rPr>
        <w:t>Reflective practice is important for shifting mindsets and behaviours. Through this practice people unpack their surface assumptions which leads to enhanced self-awareness and different decision-making.</w:t>
      </w:r>
      <w:r>
        <w:rPr>
          <w:rStyle w:val="FootnoteReference"/>
          <w:rFonts w:eastAsia="Lucida Sans Unicode"/>
        </w:rPr>
        <w:footnoteReference w:id="44"/>
      </w:r>
    </w:p>
    <w:p w14:paraId="11889D68" w14:textId="77777777" w:rsidR="00856EF7" w:rsidRDefault="00856EF7" w:rsidP="00856EF7">
      <w:pPr>
        <w:rPr>
          <w:rFonts w:eastAsia="Lucida Sans Unicode"/>
        </w:rPr>
      </w:pPr>
    </w:p>
    <w:p w14:paraId="5F66600A" w14:textId="0E7C71C3" w:rsidR="00856EF7" w:rsidRPr="00856EF7" w:rsidRDefault="00856EF7" w:rsidP="00856EF7">
      <w:pPr>
        <w:rPr>
          <w:rFonts w:eastAsia="Lucida Sans Unicode"/>
        </w:rPr>
      </w:pPr>
      <w:r w:rsidRPr="00856EF7">
        <w:rPr>
          <w:rFonts w:eastAsia="Lucida Sans Unicode"/>
        </w:rPr>
        <w:t>This can occur on the organisational level, as everyone in the organisation reflects on it. It works by asking a reflective question(s) and then the individual analysis of the question. This increases visibility of the issue and enhances awareness and provides a platform</w:t>
      </w:r>
      <w:r>
        <w:rPr>
          <w:rFonts w:eastAsia="Lucida Sans Unicode"/>
        </w:rPr>
        <w:t xml:space="preserve"> </w:t>
      </w:r>
      <w:r w:rsidRPr="00856EF7">
        <w:rPr>
          <w:rFonts w:eastAsia="Lucida Sans Unicode"/>
        </w:rPr>
        <w:t>for accountability, which is crucial and discussed in-depth further on.</w:t>
      </w:r>
      <w:r>
        <w:rPr>
          <w:rStyle w:val="FootnoteReference"/>
          <w:rFonts w:eastAsia="Lucida Sans Unicode"/>
        </w:rPr>
        <w:footnoteReference w:id="45"/>
      </w:r>
      <w:r w:rsidRPr="00856EF7">
        <w:rPr>
          <w:rFonts w:eastAsia="Lucida Sans Unicode"/>
        </w:rPr>
        <w:t xml:space="preserve"> These steps mean that there is a process of collective sense-making between the individuals as well as the organisation. Ideally, this then leads to it being put into practice and </w:t>
      </w:r>
      <w:r w:rsidRPr="00856EF7">
        <w:rPr>
          <w:rFonts w:eastAsia="Lucida Sans Unicode"/>
        </w:rPr>
        <w:lastRenderedPageBreak/>
        <w:t>therefore influences decision-making and change. All of this causes the movement and momentum to build and eventually causes</w:t>
      </w:r>
      <w:r>
        <w:rPr>
          <w:rFonts w:eastAsia="Lucida Sans Unicode"/>
        </w:rPr>
        <w:t xml:space="preserve"> </w:t>
      </w:r>
      <w:r w:rsidRPr="00856EF7">
        <w:rPr>
          <w:rFonts w:eastAsia="Lucida Sans Unicode"/>
        </w:rPr>
        <w:t>values to shift.</w:t>
      </w:r>
      <w:r>
        <w:rPr>
          <w:rStyle w:val="FootnoteReference"/>
          <w:rFonts w:eastAsia="Lucida Sans Unicode"/>
        </w:rPr>
        <w:footnoteReference w:id="46"/>
      </w:r>
    </w:p>
    <w:p w14:paraId="757F3E0A" w14:textId="77777777" w:rsidR="00856EF7" w:rsidRPr="00856EF7" w:rsidRDefault="00856EF7" w:rsidP="00856EF7">
      <w:pPr>
        <w:rPr>
          <w:rFonts w:eastAsia="Lucida Sans Unicode"/>
        </w:rPr>
      </w:pPr>
    </w:p>
    <w:p w14:paraId="55A0CC95" w14:textId="4289AC4A" w:rsidR="00856EF7" w:rsidRPr="00856EF7" w:rsidRDefault="00856EF7" w:rsidP="00856EF7">
      <w:pPr>
        <w:rPr>
          <w:rFonts w:eastAsia="Lucida Sans Unicode"/>
        </w:rPr>
      </w:pPr>
      <w:r w:rsidRPr="00856EF7">
        <w:rPr>
          <w:rFonts w:eastAsia="Lucida Sans Unicode"/>
        </w:rPr>
        <w:t>Reflective practice is a significant component of existing models.</w:t>
      </w:r>
      <w:r>
        <w:rPr>
          <w:rFonts w:eastAsia="Lucida Sans Unicode"/>
        </w:rPr>
        <w:t xml:space="preserve"> </w:t>
      </w:r>
      <w:r w:rsidRPr="00856EF7">
        <w:rPr>
          <w:rFonts w:eastAsia="Lucida Sans Unicode"/>
        </w:rPr>
        <w:t>Organisational Capacity Assessment Tools (OCAT) in particular are geared towards individual reflection. One of their key aims is to “Provide a framework that facilitates individual reflections about an organisation’s trajectory.”</w:t>
      </w:r>
      <w:r>
        <w:rPr>
          <w:rStyle w:val="FootnoteReference"/>
          <w:rFonts w:eastAsia="Lucida Sans Unicode"/>
        </w:rPr>
        <w:footnoteReference w:id="47"/>
      </w:r>
      <w:r w:rsidRPr="00856EF7">
        <w:rPr>
          <w:rFonts w:eastAsia="Lucida Sans Unicode"/>
        </w:rPr>
        <w:t xml:space="preserve"> So, primarily individual reflection, but with the aim that this will influence the organisation also.</w:t>
      </w:r>
      <w:r>
        <w:rPr>
          <w:rFonts w:eastAsia="Lucida Sans Unicode"/>
        </w:rPr>
        <w:t xml:space="preserve"> </w:t>
      </w:r>
      <w:r w:rsidRPr="00856EF7">
        <w:rPr>
          <w:rFonts w:eastAsia="Lucida Sans Unicode"/>
        </w:rPr>
        <w:t>An example of an OCAT is the Building Organisational Capacity for Health Equity Action tool. The purpose of which is to</w:t>
      </w:r>
      <w:r>
        <w:rPr>
          <w:rFonts w:eastAsia="Lucida Sans Unicode"/>
        </w:rPr>
        <w:t xml:space="preserve"> </w:t>
      </w:r>
      <w:r w:rsidRPr="00856EF7">
        <w:rPr>
          <w:rFonts w:eastAsia="Lucida Sans Unicode"/>
        </w:rPr>
        <w:t>facilitate “learning, sharing and reflection on what’s needed to enable action for health equity” across the organisation.</w:t>
      </w:r>
      <w:r>
        <w:rPr>
          <w:rStyle w:val="FootnoteReference"/>
          <w:rFonts w:eastAsia="Lucida Sans Unicode"/>
        </w:rPr>
        <w:footnoteReference w:id="48"/>
      </w:r>
      <w:r w:rsidRPr="00856EF7">
        <w:rPr>
          <w:rFonts w:eastAsia="Lucida Sans Unicode"/>
        </w:rPr>
        <w:t xml:space="preserve"> The ESC Model likewise acknowledges that “Organisational change requires individual change, as well. The reflection and</w:t>
      </w:r>
      <w:r>
        <w:rPr>
          <w:rFonts w:eastAsia="Lucida Sans Unicode"/>
        </w:rPr>
        <w:t xml:space="preserve"> </w:t>
      </w:r>
      <w:r w:rsidRPr="00856EF7">
        <w:rPr>
          <w:rFonts w:eastAsia="Lucida Sans Unicode"/>
        </w:rPr>
        <w:t>learning at the heart of such change are supported by the development of learning communities with safe and open spaces for dialogue on difficult issues related to race, class, and other dimensions of equity.”</w:t>
      </w:r>
      <w:r>
        <w:rPr>
          <w:rStyle w:val="FootnoteReference"/>
          <w:rFonts w:eastAsia="Lucida Sans Unicode"/>
        </w:rPr>
        <w:footnoteReference w:id="49"/>
      </w:r>
      <w:r w:rsidRPr="00856EF7">
        <w:rPr>
          <w:rFonts w:eastAsia="Lucida Sans Unicode"/>
        </w:rPr>
        <w:t xml:space="preserve"> The best description and example of this is the DEEP theory of change. The first step of this model is labelled the ‘Reckoning’ and this stage is described as ‘the window versus the mirror.’ A majority of people</w:t>
      </w:r>
      <w:r>
        <w:rPr>
          <w:rFonts w:eastAsia="Lucida Sans Unicode"/>
        </w:rPr>
        <w:t xml:space="preserve"> </w:t>
      </w:r>
      <w:r w:rsidRPr="00856EF7">
        <w:rPr>
          <w:rFonts w:eastAsia="Lucida Sans Unicode"/>
        </w:rPr>
        <w:t>are ready to externalise the situation by looking out ‘the window’ of race and equity. It is only when you hold up the ‘mirror’</w:t>
      </w:r>
      <w:r>
        <w:rPr>
          <w:rFonts w:eastAsia="Lucida Sans Unicode"/>
        </w:rPr>
        <w:t xml:space="preserve"> </w:t>
      </w:r>
      <w:r w:rsidRPr="00856EF7">
        <w:rPr>
          <w:rFonts w:eastAsia="Lucida Sans Unicode"/>
        </w:rPr>
        <w:t>that they are confronted with their own assumptions and biases. Another key step is “Inner Work” and this was described</w:t>
      </w:r>
      <w:r>
        <w:rPr>
          <w:rFonts w:eastAsia="Lucida Sans Unicode"/>
        </w:rPr>
        <w:t xml:space="preserve"> </w:t>
      </w:r>
      <w:r w:rsidRPr="00856EF7">
        <w:rPr>
          <w:rFonts w:eastAsia="Lucida Sans Unicode"/>
        </w:rPr>
        <w:t>as the “deepest” part as people need to “unpack their assumptions and biases.”</w:t>
      </w:r>
      <w:r w:rsidR="00305096">
        <w:rPr>
          <w:rStyle w:val="FootnoteReference"/>
          <w:rFonts w:eastAsia="Lucida Sans Unicode"/>
        </w:rPr>
        <w:footnoteReference w:id="50"/>
      </w:r>
    </w:p>
    <w:p w14:paraId="14D552D0" w14:textId="77777777" w:rsidR="00856EF7" w:rsidRPr="00856EF7" w:rsidRDefault="00856EF7" w:rsidP="00856EF7">
      <w:pPr>
        <w:rPr>
          <w:rFonts w:eastAsia="Lucida Sans Unicode"/>
        </w:rPr>
      </w:pPr>
    </w:p>
    <w:p w14:paraId="39A3115A" w14:textId="4B9249EA" w:rsidR="00856EF7" w:rsidRDefault="00856EF7" w:rsidP="00856EF7">
      <w:pPr>
        <w:rPr>
          <w:rFonts w:eastAsia="Lucida Sans Unicode"/>
        </w:rPr>
      </w:pPr>
      <w:r w:rsidRPr="00856EF7">
        <w:rPr>
          <w:rFonts w:eastAsia="Lucida Sans Unicode"/>
        </w:rPr>
        <w:t>While primarily an individual lever, it is intended to shift habits and behaviours which create change across the levels. It helps to create a shared sense of purpose and assists people to see and</w:t>
      </w:r>
      <w:r w:rsidR="00305096">
        <w:rPr>
          <w:rFonts w:eastAsia="Lucida Sans Unicode"/>
        </w:rPr>
        <w:t xml:space="preserve"> </w:t>
      </w:r>
      <w:r w:rsidRPr="00856EF7">
        <w:rPr>
          <w:rFonts w:eastAsia="Lucida Sans Unicode"/>
        </w:rPr>
        <w:t>respond to difference and this empowers all. This is a stark contrast to the current state which is a colour-blind, denial of difference approach where neutrality is seen as impartiality. Reflective practice is considered to enhance our sense of shared humanity which gets us further together thereby helping to shift societal paradigms and values.</w:t>
      </w:r>
    </w:p>
    <w:p w14:paraId="462A6EA6" w14:textId="64E3AB92" w:rsidR="00305096" w:rsidRDefault="00305096" w:rsidP="00856EF7">
      <w:pPr>
        <w:rPr>
          <w:rFonts w:eastAsia="Lucida Sans Unicode"/>
        </w:rPr>
      </w:pPr>
    </w:p>
    <w:p w14:paraId="0D39F501" w14:textId="1F3AC462" w:rsidR="00305096" w:rsidRDefault="00305096" w:rsidP="00305096">
      <w:pPr>
        <w:rPr>
          <w:rFonts w:eastAsia="Lucida Sans Unicode"/>
        </w:rPr>
      </w:pPr>
      <w:r w:rsidRPr="00305096">
        <w:rPr>
          <w:rFonts w:eastAsia="Lucida Sans Unicode"/>
        </w:rPr>
        <w:t>Health system experts identified a range of practical considerations that are particularly important when applying this lever in a health system setting.</w:t>
      </w:r>
      <w:r>
        <w:rPr>
          <w:rFonts w:eastAsia="Lucida Sans Unicode"/>
        </w:rPr>
        <w:t xml:space="preserve"> </w:t>
      </w:r>
      <w:r w:rsidRPr="00305096">
        <w:rPr>
          <w:rFonts w:eastAsia="Lucida Sans Unicode"/>
        </w:rPr>
        <w:t>These included:</w:t>
      </w:r>
    </w:p>
    <w:p w14:paraId="448A96C9" w14:textId="77777777" w:rsidR="00305096" w:rsidRPr="00305096" w:rsidRDefault="00305096" w:rsidP="00305096">
      <w:pPr>
        <w:pStyle w:val="Bullet"/>
        <w:rPr>
          <w:rFonts w:eastAsia="Lucida Sans Unicode"/>
        </w:rPr>
      </w:pPr>
      <w:r w:rsidRPr="00305096">
        <w:rPr>
          <w:rFonts w:eastAsia="Lucida Sans Unicode"/>
        </w:rPr>
        <w:t>Organisation uses reflective practice tools to understand where they are on the continuum of racism and chart their journey towards anti-racism</w:t>
      </w:r>
    </w:p>
    <w:p w14:paraId="63A53475" w14:textId="79AF31B5" w:rsidR="00305096" w:rsidRPr="00305096" w:rsidRDefault="00305096" w:rsidP="00305096">
      <w:pPr>
        <w:pStyle w:val="Bullet"/>
        <w:rPr>
          <w:rFonts w:eastAsia="Lucida Sans Unicode"/>
        </w:rPr>
      </w:pPr>
      <w:r w:rsidRPr="00305096">
        <w:rPr>
          <w:rFonts w:eastAsia="Lucida Sans Unicode"/>
        </w:rPr>
        <w:t>There is a broad understanding of the assumptions and ‘taken for granted’ elements of the organisation that contribute to disadvantage (ie the organisation has seen the ‘train tracks’ that embed the status quo)</w:t>
      </w:r>
    </w:p>
    <w:p w14:paraId="7CFF33A1" w14:textId="1A7FFA52" w:rsidR="00305096" w:rsidRPr="00305096" w:rsidRDefault="00305096" w:rsidP="00305096">
      <w:pPr>
        <w:pStyle w:val="Bullet"/>
        <w:rPr>
          <w:rFonts w:eastAsia="Lucida Sans Unicode"/>
        </w:rPr>
      </w:pPr>
      <w:r w:rsidRPr="00305096">
        <w:rPr>
          <w:rFonts w:eastAsia="Lucida Sans Unicode"/>
        </w:rPr>
        <w:t xml:space="preserve"> Organisation uses reflective practice tools to question assumptions and ‘taken for granted’ processes that embed racism (ie habitual triggers to see the ‘train tracks’)</w:t>
      </w:r>
    </w:p>
    <w:p w14:paraId="656CAD3C" w14:textId="77777777" w:rsidR="00305096" w:rsidRPr="00305096" w:rsidRDefault="00305096" w:rsidP="00305096">
      <w:pPr>
        <w:pStyle w:val="Bullet"/>
        <w:rPr>
          <w:rFonts w:eastAsia="Lucida Sans Unicode"/>
        </w:rPr>
      </w:pPr>
      <w:r w:rsidRPr="00305096">
        <w:rPr>
          <w:rFonts w:eastAsia="Lucida Sans Unicode"/>
        </w:rPr>
        <w:lastRenderedPageBreak/>
        <w:t>Reflective practices are embedded into organisational processes, including investment proposals (business cases) and decision making on strategic issues with formal tools (eg Health Equity Assessment Tool (HEAT),</w:t>
      </w:r>
    </w:p>
    <w:p w14:paraId="153EB97B" w14:textId="77777777" w:rsidR="00305096" w:rsidRPr="00305096" w:rsidRDefault="00305096" w:rsidP="00305096">
      <w:pPr>
        <w:pStyle w:val="Bullet"/>
        <w:rPr>
          <w:rFonts w:eastAsia="Lucida Sans Unicode"/>
        </w:rPr>
      </w:pPr>
      <w:r w:rsidRPr="00305096">
        <w:rPr>
          <w:rFonts w:eastAsia="Lucida Sans Unicode"/>
        </w:rPr>
        <w:t>Critical Te Tiriti etc)</w:t>
      </w:r>
    </w:p>
    <w:p w14:paraId="225E5FA1" w14:textId="77777777" w:rsidR="00305096" w:rsidRPr="00305096" w:rsidRDefault="00305096" w:rsidP="00305096">
      <w:pPr>
        <w:pStyle w:val="Bullet"/>
        <w:rPr>
          <w:rFonts w:eastAsia="Lucida Sans Unicode"/>
        </w:rPr>
      </w:pPr>
      <w:r w:rsidRPr="00305096">
        <w:rPr>
          <w:rFonts w:eastAsia="Lucida Sans Unicode"/>
        </w:rPr>
        <w:t>Reflective practices are habitual in initiative planning and debriefing</w:t>
      </w:r>
    </w:p>
    <w:p w14:paraId="2C8C9F05" w14:textId="3AB2CAFF" w:rsidR="00305096" w:rsidRDefault="00305096" w:rsidP="00305096">
      <w:pPr>
        <w:rPr>
          <w:rFonts w:eastAsia="Lucida Sans Unicode"/>
        </w:rPr>
      </w:pPr>
    </w:p>
    <w:p w14:paraId="78225CBE" w14:textId="3416658F" w:rsidR="00305096" w:rsidRPr="00561369" w:rsidRDefault="00305096" w:rsidP="00305096">
      <w:pPr>
        <w:rPr>
          <w:rFonts w:eastAsia="Lucida Sans Unicode"/>
        </w:rPr>
      </w:pPr>
      <w:r w:rsidRPr="00305096">
        <w:rPr>
          <w:rFonts w:eastAsia="Lucida Sans Unicode"/>
        </w:rPr>
        <w:t xml:space="preserve">We have identified </w:t>
      </w:r>
      <w:r w:rsidRPr="00305096">
        <w:rPr>
          <w:rFonts w:eastAsia="Lucida Sans Unicode"/>
          <w:b/>
          <w:bCs/>
        </w:rPr>
        <w:t>reflective practice</w:t>
      </w:r>
      <w:r w:rsidRPr="00305096">
        <w:rPr>
          <w:rFonts w:eastAsia="Lucida Sans Unicode"/>
        </w:rPr>
        <w:t xml:space="preserve"> as a lever for change and propose a micro-lever that supports this component of transformation.</w:t>
      </w:r>
    </w:p>
    <w:p w14:paraId="58E46870" w14:textId="68E23C07" w:rsidR="00A762B7" w:rsidRDefault="00A762B7" w:rsidP="00A762B7">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10"/>
        <w:gridCol w:w="5659"/>
      </w:tblGrid>
      <w:tr w:rsidR="00305096" w14:paraId="24788CA3" w14:textId="77777777" w:rsidTr="00A121FC">
        <w:tc>
          <w:tcPr>
            <w:tcW w:w="2410" w:type="dxa"/>
            <w:shd w:val="clear" w:color="auto" w:fill="D9D9D9" w:themeFill="background1" w:themeFillShade="D9"/>
          </w:tcPr>
          <w:p w14:paraId="7661FB90" w14:textId="5BBCA0CF" w:rsidR="00305096" w:rsidRPr="004D0223" w:rsidRDefault="00305096" w:rsidP="00A96C4F">
            <w:pPr>
              <w:spacing w:before="60" w:after="60"/>
              <w:ind w:right="28"/>
              <w:rPr>
                <w:b/>
                <w:bCs/>
              </w:rPr>
            </w:pPr>
            <w:r w:rsidRPr="00305096">
              <w:rPr>
                <w:b/>
                <w:bCs/>
              </w:rPr>
              <w:t>Reflective Practice</w:t>
            </w:r>
          </w:p>
        </w:tc>
        <w:tc>
          <w:tcPr>
            <w:tcW w:w="5659" w:type="dxa"/>
          </w:tcPr>
          <w:p w14:paraId="27FCB355" w14:textId="53038D6C" w:rsidR="00305096" w:rsidRDefault="00305096" w:rsidP="00360A8E">
            <w:pPr>
              <w:pStyle w:val="Bullet"/>
              <w:spacing w:before="60" w:after="60"/>
            </w:pPr>
            <w:r w:rsidRPr="00305096">
              <w:t>R2.1 Organisation uses reflective practice tools (e.g. CTA, HEAT etc).</w:t>
            </w:r>
          </w:p>
        </w:tc>
      </w:tr>
    </w:tbl>
    <w:p w14:paraId="69E72768" w14:textId="6BC52848" w:rsidR="00305096" w:rsidRPr="006C170E" w:rsidRDefault="00305096" w:rsidP="006C170E">
      <w:pPr>
        <w:pStyle w:val="Heading2"/>
      </w:pPr>
      <w:bookmarkStart w:id="18" w:name="_Toc128660384"/>
      <w:r w:rsidRPr="006C170E">
        <w:t>Training and Knowledge</w:t>
      </w:r>
      <w:bookmarkEnd w:id="18"/>
    </w:p>
    <w:p w14:paraId="755E53A5" w14:textId="1CC8311B" w:rsidR="00305096" w:rsidRPr="00305096" w:rsidRDefault="00305096" w:rsidP="00305096">
      <w:pPr>
        <w:rPr>
          <w:rFonts w:eastAsia="Arial Unicode MS"/>
        </w:rPr>
      </w:pPr>
      <w:r w:rsidRPr="00305096">
        <w:rPr>
          <w:rFonts w:eastAsia="Arial Unicode MS"/>
        </w:rPr>
        <w:t>Training and knowledge growth are common approaches to creating change, and while of some use, are very limited on their own. It is sometimes referred</w:t>
      </w:r>
      <w:r>
        <w:rPr>
          <w:rFonts w:eastAsia="Arial Unicode MS"/>
        </w:rPr>
        <w:t xml:space="preserve"> </w:t>
      </w:r>
      <w:r w:rsidRPr="00305096">
        <w:rPr>
          <w:rFonts w:eastAsia="Arial Unicode MS"/>
        </w:rPr>
        <w:t>to in the literature as professional development. Training is intended to grow awareness and build consciousness around important issues. It is focused on building knowledge and the individual application of this knowledge. It is hoped that changing mindsets and behaviours through training will contribute to collective sense-making. A majority of existing models include training and enhanced knowledge but many more recent models also acknowledge the</w:t>
      </w:r>
      <w:r>
        <w:rPr>
          <w:rFonts w:eastAsia="Arial Unicode MS"/>
        </w:rPr>
        <w:t xml:space="preserve"> </w:t>
      </w:r>
      <w:r w:rsidRPr="00305096">
        <w:rPr>
          <w:rFonts w:eastAsia="Arial Unicode MS"/>
        </w:rPr>
        <w:t>limitations of this approach on its own.</w:t>
      </w:r>
    </w:p>
    <w:p w14:paraId="3EBBCB1D" w14:textId="77777777" w:rsidR="00305096" w:rsidRPr="00305096" w:rsidRDefault="00305096" w:rsidP="00305096">
      <w:pPr>
        <w:rPr>
          <w:rFonts w:eastAsia="Arial Unicode MS"/>
        </w:rPr>
      </w:pPr>
    </w:p>
    <w:p w14:paraId="65F83D1D" w14:textId="62CFBC4F" w:rsidR="00305096" w:rsidRPr="00305096" w:rsidRDefault="00305096" w:rsidP="00305096">
      <w:pPr>
        <w:rPr>
          <w:rFonts w:eastAsia="Arial Unicode MS"/>
        </w:rPr>
      </w:pPr>
      <w:r w:rsidRPr="00305096">
        <w:rPr>
          <w:rFonts w:eastAsia="Arial Unicode MS"/>
        </w:rPr>
        <w:t>Anti-racism literature has a substantial body of work related to the importance of training, with an overt call to increase knowledge and understanding of the genesis and impacts of training, as</w:t>
      </w:r>
      <w:r>
        <w:rPr>
          <w:rFonts w:eastAsia="Arial Unicode MS"/>
        </w:rPr>
        <w:t xml:space="preserve"> </w:t>
      </w:r>
      <w:r w:rsidRPr="00305096">
        <w:rPr>
          <w:rFonts w:eastAsia="Arial Unicode MS"/>
        </w:rPr>
        <w:t>well as practising anti-racism.</w:t>
      </w:r>
      <w:r w:rsidR="00C36E14">
        <w:rPr>
          <w:rStyle w:val="FootnoteReference"/>
          <w:rFonts w:eastAsia="Arial Unicode MS"/>
        </w:rPr>
        <w:footnoteReference w:id="51"/>
      </w:r>
      <w:r w:rsidRPr="00305096">
        <w:rPr>
          <w:rFonts w:eastAsia="Arial Unicode MS"/>
        </w:rPr>
        <w:t xml:space="preserve"> Some studies have found anti-racist training can increase allyship behaviours and build anti-racist practices.</w:t>
      </w:r>
      <w:r w:rsidR="00C36E14">
        <w:rPr>
          <w:rStyle w:val="FootnoteReference"/>
          <w:rFonts w:eastAsia="Arial Unicode MS"/>
        </w:rPr>
        <w:footnoteReference w:id="52"/>
      </w:r>
      <w:r w:rsidRPr="00305096">
        <w:rPr>
          <w:rFonts w:eastAsia="Arial Unicode MS"/>
        </w:rPr>
        <w:t xml:space="preserve"> However, the literature also cautions that training can be counterproductive, producing perverse outcomes such as polarisation and embedding pre-existing views,</w:t>
      </w:r>
      <w:r w:rsidR="00C36E14">
        <w:rPr>
          <w:rStyle w:val="FootnoteReference"/>
          <w:rFonts w:eastAsia="Arial Unicode MS"/>
        </w:rPr>
        <w:footnoteReference w:id="53"/>
      </w:r>
      <w:r w:rsidRPr="00305096">
        <w:rPr>
          <w:rFonts w:eastAsia="Arial Unicode MS"/>
        </w:rPr>
        <w:t xml:space="preserve"> and that more broadly, training is more</w:t>
      </w:r>
      <w:r>
        <w:rPr>
          <w:rFonts w:eastAsia="Arial Unicode MS"/>
        </w:rPr>
        <w:t xml:space="preserve"> </w:t>
      </w:r>
      <w:r w:rsidRPr="00305096">
        <w:rPr>
          <w:rFonts w:eastAsia="Arial Unicode MS"/>
        </w:rPr>
        <w:t>likely to shape behaviour than engage with deeper attitudinal dispositions.</w:t>
      </w:r>
      <w:r w:rsidR="00C36E14">
        <w:rPr>
          <w:rStyle w:val="FootnoteReference"/>
          <w:rFonts w:eastAsia="Arial Unicode MS"/>
        </w:rPr>
        <w:footnoteReference w:id="54"/>
      </w:r>
      <w:r w:rsidRPr="00305096">
        <w:rPr>
          <w:rFonts w:eastAsia="Arial Unicode MS"/>
        </w:rPr>
        <w:t xml:space="preserve"> Other commentators emphasise that the efficacy of training is contingent on a suite of companion initiatives, such as reflective practice and deeper consideration of structural contributors to racism.</w:t>
      </w:r>
      <w:r w:rsidR="00C36E14">
        <w:rPr>
          <w:rStyle w:val="FootnoteReference"/>
          <w:rFonts w:eastAsia="Arial Unicode MS"/>
        </w:rPr>
        <w:footnoteReference w:id="55"/>
      </w:r>
    </w:p>
    <w:p w14:paraId="524718AA" w14:textId="78C5A007" w:rsidR="00305096" w:rsidRPr="00305096" w:rsidRDefault="00305096" w:rsidP="00305096">
      <w:pPr>
        <w:rPr>
          <w:rFonts w:eastAsia="Arial Unicode MS"/>
        </w:rPr>
      </w:pPr>
      <w:r w:rsidRPr="00305096">
        <w:rPr>
          <w:rFonts w:eastAsia="Arial Unicode MS"/>
        </w:rPr>
        <w:lastRenderedPageBreak/>
        <w:t>The Western States Center in their work on dismantling racism described diversity training as “Good for business but insufficient for social change.”</w:t>
      </w:r>
      <w:r w:rsidR="00C36E14">
        <w:rPr>
          <w:rStyle w:val="FootnoteReference"/>
          <w:rFonts w:eastAsia="Arial Unicode MS"/>
        </w:rPr>
        <w:footnoteReference w:id="56"/>
      </w:r>
      <w:r w:rsidRPr="00305096">
        <w:rPr>
          <w:rFonts w:eastAsia="Arial Unicode MS"/>
        </w:rPr>
        <w:t xml:space="preserve"> The training approach is grounded in the idea that racism is “the result of individual action: personal prejudice or stereotyping.”</w:t>
      </w:r>
      <w:r w:rsidR="00C36E14">
        <w:rPr>
          <w:rStyle w:val="FootnoteReference"/>
          <w:rFonts w:eastAsia="Arial Unicode MS"/>
        </w:rPr>
        <w:footnoteReference w:id="57"/>
      </w:r>
      <w:r w:rsidRPr="00305096">
        <w:rPr>
          <w:rFonts w:eastAsia="Arial Unicode MS"/>
        </w:rPr>
        <w:t xml:space="preserve"> A useful analogy from</w:t>
      </w:r>
      <w:r>
        <w:rPr>
          <w:rFonts w:eastAsia="Arial Unicode MS"/>
        </w:rPr>
        <w:t xml:space="preserve"> </w:t>
      </w:r>
      <w:r w:rsidRPr="00305096">
        <w:rPr>
          <w:rFonts w:eastAsia="Arial Unicode MS"/>
        </w:rPr>
        <w:t>the literature was related to the police in New York City shooting an unarmed black man, “a diversity approach might pursue sensitivity training for the officers, a racial justice perspective would hold the entire criminal justice system accountable and demand systemic change.”</w:t>
      </w:r>
      <w:r w:rsidR="00C36E14">
        <w:rPr>
          <w:rStyle w:val="FootnoteReference"/>
          <w:rFonts w:eastAsia="Arial Unicode MS"/>
        </w:rPr>
        <w:footnoteReference w:id="58"/>
      </w:r>
    </w:p>
    <w:p w14:paraId="0C8A224E" w14:textId="77777777" w:rsidR="00305096" w:rsidRPr="00305096" w:rsidRDefault="00305096" w:rsidP="00305096">
      <w:pPr>
        <w:rPr>
          <w:rFonts w:eastAsia="Arial Unicode MS"/>
        </w:rPr>
      </w:pPr>
    </w:p>
    <w:p w14:paraId="105CEB08" w14:textId="4A649BDC" w:rsidR="00305096" w:rsidRPr="00305096" w:rsidRDefault="00305096" w:rsidP="00305096">
      <w:pPr>
        <w:rPr>
          <w:rFonts w:eastAsia="Arial Unicode MS"/>
        </w:rPr>
      </w:pPr>
      <w:r w:rsidRPr="00305096">
        <w:rPr>
          <w:rFonts w:eastAsia="Arial Unicode MS"/>
        </w:rPr>
        <w:t>Therefore it is concluded that while diversity training can be useful, it has notable limitations and is best deployed amongst a suite of companion levers to make a worthwhile contribution to anti- racism. This is why our model makes an explicit stance against training our way out of structural racism through cultural</w:t>
      </w:r>
      <w:r>
        <w:rPr>
          <w:rFonts w:eastAsia="Arial Unicode MS"/>
        </w:rPr>
        <w:t xml:space="preserve"> </w:t>
      </w:r>
      <w:r w:rsidRPr="00305096">
        <w:rPr>
          <w:rFonts w:eastAsia="Arial Unicode MS"/>
        </w:rPr>
        <w:t>competency frameworks as a singular lever, while recognising the contributions training has made to positively shaping our recent past.</w:t>
      </w:r>
    </w:p>
    <w:p w14:paraId="57B13E6A" w14:textId="77777777" w:rsidR="00305096" w:rsidRPr="00305096" w:rsidRDefault="00305096" w:rsidP="00305096">
      <w:pPr>
        <w:rPr>
          <w:rFonts w:eastAsia="Arial Unicode MS"/>
        </w:rPr>
      </w:pPr>
    </w:p>
    <w:p w14:paraId="6FA692CE" w14:textId="4D903602" w:rsidR="00305096" w:rsidRDefault="00305096" w:rsidP="00305096">
      <w:pPr>
        <w:rPr>
          <w:rFonts w:eastAsia="Arial Unicode MS"/>
        </w:rPr>
      </w:pPr>
      <w:r w:rsidRPr="00305096">
        <w:rPr>
          <w:rFonts w:eastAsia="Arial Unicode MS"/>
        </w:rPr>
        <w:t>Health system experts identified a range of practical considerations that are particularly important when applying this lever in a health system setting.</w:t>
      </w:r>
      <w:r>
        <w:rPr>
          <w:rFonts w:eastAsia="Arial Unicode MS"/>
        </w:rPr>
        <w:t xml:space="preserve"> </w:t>
      </w:r>
      <w:r w:rsidRPr="00305096">
        <w:rPr>
          <w:rFonts w:eastAsia="Arial Unicode MS"/>
        </w:rPr>
        <w:t>These included:</w:t>
      </w:r>
    </w:p>
    <w:p w14:paraId="30E93E29" w14:textId="77777777" w:rsidR="00305096" w:rsidRPr="00305096" w:rsidRDefault="00305096" w:rsidP="00305096">
      <w:pPr>
        <w:pStyle w:val="Bullet"/>
        <w:rPr>
          <w:rFonts w:eastAsia="Arial Unicode MS"/>
        </w:rPr>
      </w:pPr>
      <w:r w:rsidRPr="00305096">
        <w:rPr>
          <w:rFonts w:eastAsia="Arial Unicode MS"/>
        </w:rPr>
        <w:t>Anti-racism training is mandatory within an organisation</w:t>
      </w:r>
    </w:p>
    <w:p w14:paraId="7F02796A" w14:textId="77777777" w:rsidR="00305096" w:rsidRPr="00305096" w:rsidRDefault="00305096" w:rsidP="00305096">
      <w:pPr>
        <w:pStyle w:val="Bullet"/>
        <w:rPr>
          <w:rFonts w:eastAsia="Arial Unicode MS"/>
        </w:rPr>
      </w:pPr>
      <w:r w:rsidRPr="00305096">
        <w:rPr>
          <w:rFonts w:eastAsia="Arial Unicode MS"/>
        </w:rPr>
        <w:t>Wānanga to unpack history &amp; impacts of racism and how it manifests in organisational systems</w:t>
      </w:r>
    </w:p>
    <w:p w14:paraId="1CF8E580" w14:textId="77777777" w:rsidR="00305096" w:rsidRPr="00305096" w:rsidRDefault="00305096" w:rsidP="00305096">
      <w:pPr>
        <w:pStyle w:val="Bullet"/>
        <w:rPr>
          <w:rFonts w:eastAsia="Arial Unicode MS"/>
        </w:rPr>
      </w:pPr>
      <w:r w:rsidRPr="00305096">
        <w:rPr>
          <w:rFonts w:eastAsia="Arial Unicode MS"/>
        </w:rPr>
        <w:t>Wānanga to unpack positive benefits of anti-racism</w:t>
      </w:r>
    </w:p>
    <w:p w14:paraId="13891B12" w14:textId="77777777" w:rsidR="00305096" w:rsidRPr="00305096" w:rsidRDefault="00305096" w:rsidP="00305096">
      <w:pPr>
        <w:pStyle w:val="Bullet"/>
        <w:rPr>
          <w:rFonts w:eastAsia="Arial Unicode MS"/>
        </w:rPr>
      </w:pPr>
      <w:r w:rsidRPr="00305096">
        <w:rPr>
          <w:rFonts w:eastAsia="Arial Unicode MS"/>
        </w:rPr>
        <w:t>Equip people with the skills and language to call out racism</w:t>
      </w:r>
    </w:p>
    <w:p w14:paraId="0DE04487" w14:textId="77777777" w:rsidR="00305096" w:rsidRPr="00305096" w:rsidRDefault="00305096" w:rsidP="00305096">
      <w:pPr>
        <w:pStyle w:val="Bullet"/>
        <w:rPr>
          <w:rFonts w:eastAsia="Arial Unicode MS"/>
        </w:rPr>
      </w:pPr>
      <w:r w:rsidRPr="00305096">
        <w:rPr>
          <w:rFonts w:eastAsia="Arial Unicode MS"/>
        </w:rPr>
        <w:t>Building cultural and reo competency</w:t>
      </w:r>
    </w:p>
    <w:p w14:paraId="6FB1B15A" w14:textId="77777777" w:rsidR="00305096" w:rsidRPr="00305096" w:rsidRDefault="00305096" w:rsidP="00305096">
      <w:pPr>
        <w:pStyle w:val="Bullet"/>
        <w:rPr>
          <w:rFonts w:eastAsia="Arial Unicode MS"/>
        </w:rPr>
      </w:pPr>
      <w:r w:rsidRPr="00305096">
        <w:rPr>
          <w:rFonts w:eastAsia="Arial Unicode MS"/>
        </w:rPr>
        <w:t>Build anti-racism into workforce training provision</w:t>
      </w:r>
    </w:p>
    <w:p w14:paraId="3074CE15" w14:textId="055D95D2" w:rsidR="00305096" w:rsidRDefault="00305096" w:rsidP="00305096">
      <w:pPr>
        <w:rPr>
          <w:rFonts w:eastAsia="Arial Unicode MS"/>
        </w:rPr>
      </w:pPr>
    </w:p>
    <w:p w14:paraId="72494C2A" w14:textId="52DB551B" w:rsidR="00305096" w:rsidRDefault="00C36E14" w:rsidP="00305096">
      <w:pPr>
        <w:rPr>
          <w:rFonts w:eastAsia="Arial Unicode MS"/>
        </w:rPr>
      </w:pPr>
      <w:r w:rsidRPr="00C36E14">
        <w:rPr>
          <w:rFonts w:eastAsia="Arial Unicode MS"/>
        </w:rPr>
        <w:t xml:space="preserve">We have identified </w:t>
      </w:r>
      <w:r w:rsidRPr="00C36E14">
        <w:rPr>
          <w:rFonts w:eastAsia="Arial Unicode MS"/>
          <w:b/>
          <w:bCs/>
        </w:rPr>
        <w:t>training and knowledge</w:t>
      </w:r>
      <w:r w:rsidRPr="00C36E14">
        <w:rPr>
          <w:rFonts w:eastAsia="Arial Unicode MS"/>
        </w:rPr>
        <w:t xml:space="preserve"> as a lever for change and propose a micro-lever that supports this component of transformation.</w:t>
      </w:r>
    </w:p>
    <w:p w14:paraId="435CC79F" w14:textId="5962FE4B" w:rsidR="00C36E14" w:rsidRDefault="00C36E14" w:rsidP="00305096">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10"/>
        <w:gridCol w:w="5659"/>
      </w:tblGrid>
      <w:tr w:rsidR="00C36E14" w14:paraId="19D12826" w14:textId="77777777" w:rsidTr="00A121FC">
        <w:tc>
          <w:tcPr>
            <w:tcW w:w="2410" w:type="dxa"/>
            <w:shd w:val="clear" w:color="auto" w:fill="D9D9D9" w:themeFill="background1" w:themeFillShade="D9"/>
          </w:tcPr>
          <w:p w14:paraId="7B26AA61" w14:textId="211A01CA" w:rsidR="00C36E14" w:rsidRPr="004D0223" w:rsidRDefault="00C36E14" w:rsidP="00A96C4F">
            <w:pPr>
              <w:spacing w:before="60" w:after="60"/>
              <w:ind w:right="28"/>
              <w:rPr>
                <w:b/>
                <w:bCs/>
              </w:rPr>
            </w:pPr>
            <w:r w:rsidRPr="00C36E14">
              <w:rPr>
                <w:b/>
                <w:bCs/>
              </w:rPr>
              <w:t>Training and knowledge</w:t>
            </w:r>
          </w:p>
        </w:tc>
        <w:tc>
          <w:tcPr>
            <w:tcW w:w="5659" w:type="dxa"/>
          </w:tcPr>
          <w:p w14:paraId="15633411" w14:textId="5E8937C6" w:rsidR="00C36E14" w:rsidRDefault="00C36E14" w:rsidP="00360A8E">
            <w:pPr>
              <w:pStyle w:val="Bullet"/>
              <w:spacing w:before="60" w:after="60"/>
            </w:pPr>
            <w:r w:rsidRPr="00C36E14">
              <w:t>R1.1 Mana Tangata in training</w:t>
            </w:r>
          </w:p>
        </w:tc>
      </w:tr>
    </w:tbl>
    <w:p w14:paraId="35A6AEAF" w14:textId="77777777" w:rsidR="006C170E" w:rsidRDefault="006C170E" w:rsidP="002C1C4B">
      <w:pPr>
        <w:pStyle w:val="Heading2"/>
        <w:rPr>
          <w:rFonts w:eastAsia="Arial Unicode MS"/>
        </w:rPr>
        <w:sectPr w:rsidR="006C170E" w:rsidSect="00841590">
          <w:pgSz w:w="11907" w:h="16840" w:code="9"/>
          <w:pgMar w:top="1418" w:right="1701" w:bottom="1134" w:left="1843" w:header="284" w:footer="425" w:gutter="284"/>
          <w:cols w:space="720"/>
        </w:sectPr>
      </w:pPr>
    </w:p>
    <w:p w14:paraId="465495A8" w14:textId="0A7495E2" w:rsidR="002C1C4B" w:rsidRPr="002C1C4B" w:rsidRDefault="002C1C4B" w:rsidP="006C170E">
      <w:pPr>
        <w:pStyle w:val="Heading2"/>
        <w:spacing w:before="0"/>
        <w:rPr>
          <w:rFonts w:eastAsia="Arial Unicode MS"/>
        </w:rPr>
      </w:pPr>
      <w:bookmarkStart w:id="19" w:name="_Toc128660385"/>
      <w:r w:rsidRPr="002C1C4B">
        <w:rPr>
          <w:rFonts w:eastAsia="Arial Unicode MS"/>
        </w:rPr>
        <w:lastRenderedPageBreak/>
        <w:t>Habitual Practices</w:t>
      </w:r>
      <w:bookmarkEnd w:id="19"/>
    </w:p>
    <w:p w14:paraId="35FE3AE7" w14:textId="0C92496F" w:rsidR="002C1C4B" w:rsidRDefault="002C1C4B" w:rsidP="002C1C4B">
      <w:pPr>
        <w:rPr>
          <w:rFonts w:eastAsia="Arial Unicode MS"/>
        </w:rPr>
      </w:pPr>
      <w:r w:rsidRPr="002C1C4B">
        <w:rPr>
          <w:rFonts w:eastAsia="Arial Unicode MS"/>
        </w:rPr>
        <w:t>The need for equity to become part of the habitual practices and routines of an organisation was discussed in the literature. In a system, routines and habits “emerge from long standing formal and informal protocols and procedures that guide, maintain, and constrain”, people’s behaviour within the system.</w:t>
      </w:r>
      <w:r>
        <w:rPr>
          <w:rStyle w:val="FootnoteReference"/>
          <w:rFonts w:eastAsia="Arial Unicode MS"/>
        </w:rPr>
        <w:footnoteReference w:id="59"/>
      </w:r>
      <w:r w:rsidRPr="002C1C4B">
        <w:rPr>
          <w:rFonts w:eastAsia="Arial Unicode MS"/>
        </w:rPr>
        <w:t xml:space="preserve"> In other words, policy change also needs to be accompanied by changes to the routines and habits of an organisation.</w:t>
      </w:r>
    </w:p>
    <w:p w14:paraId="0D42AB9F" w14:textId="77777777" w:rsidR="002C1C4B" w:rsidRPr="002C1C4B" w:rsidRDefault="002C1C4B" w:rsidP="002C1C4B">
      <w:pPr>
        <w:rPr>
          <w:rFonts w:eastAsia="Arial Unicode MS"/>
        </w:rPr>
      </w:pPr>
    </w:p>
    <w:p w14:paraId="752686D5" w14:textId="51BEA1D1" w:rsidR="002C1C4B" w:rsidRDefault="002C1C4B" w:rsidP="002C1C4B">
      <w:pPr>
        <w:rPr>
          <w:rFonts w:eastAsia="Arial Unicode MS"/>
        </w:rPr>
      </w:pPr>
      <w:r w:rsidRPr="002C1C4B">
        <w:rPr>
          <w:rFonts w:eastAsia="Arial Unicode MS"/>
        </w:rPr>
        <w:t>As is common across many levers, leaders play an important role in helping to create these practices and new norms. There needs to be a process of normalising the collective consideration of equity and anti-racism within an organisation to create change on a significant scale.</w:t>
      </w:r>
    </w:p>
    <w:p w14:paraId="1952AB77" w14:textId="77777777" w:rsidR="002C1C4B" w:rsidRPr="002C1C4B" w:rsidRDefault="002C1C4B" w:rsidP="002C1C4B">
      <w:pPr>
        <w:rPr>
          <w:rFonts w:eastAsia="Arial Unicode MS"/>
        </w:rPr>
      </w:pPr>
    </w:p>
    <w:p w14:paraId="46E5B558" w14:textId="7FB5C918" w:rsidR="002C1C4B" w:rsidRDefault="002C1C4B" w:rsidP="002C1C4B">
      <w:pPr>
        <w:rPr>
          <w:rFonts w:eastAsia="Arial Unicode MS"/>
        </w:rPr>
      </w:pPr>
      <w:r w:rsidRPr="002C1C4B">
        <w:rPr>
          <w:rFonts w:eastAsia="Arial Unicode MS"/>
        </w:rPr>
        <w:t>Deloitte’s model is a good example of this and it seeks to, “Rewire the system to rewire the behaviours.”</w:t>
      </w:r>
      <w:r>
        <w:rPr>
          <w:rStyle w:val="FootnoteReference"/>
          <w:rFonts w:eastAsia="Arial Unicode MS"/>
        </w:rPr>
        <w:footnoteReference w:id="60"/>
      </w:r>
      <w:r w:rsidRPr="002C1C4B">
        <w:rPr>
          <w:rFonts w:eastAsia="Arial Unicode MS"/>
        </w:rPr>
        <w:t xml:space="preserve"> An important aspect is leadership and ownership of change. In the final of three levels, the Deloitte model mentions the need for senior leadership commitment and a strategy for culture change. The final step then describes how equity has</w:t>
      </w:r>
      <w:r>
        <w:rPr>
          <w:rFonts w:eastAsia="Arial Unicode MS"/>
        </w:rPr>
        <w:t xml:space="preserve"> </w:t>
      </w:r>
      <w:r w:rsidRPr="002C1C4B">
        <w:rPr>
          <w:rFonts w:eastAsia="Arial Unicode MS"/>
        </w:rPr>
        <w:t>been integrated “into all aspects of the organisation – e.g. behaviors, structures, and systems.”</w:t>
      </w:r>
      <w:r>
        <w:rPr>
          <w:rStyle w:val="FootnoteReference"/>
          <w:rFonts w:eastAsia="Arial Unicode MS"/>
        </w:rPr>
        <w:footnoteReference w:id="61"/>
      </w:r>
      <w:r w:rsidRPr="002C1C4B">
        <w:rPr>
          <w:rFonts w:eastAsia="Arial Unicode MS"/>
        </w:rPr>
        <w:t xml:space="preserve"> Similarly, the Beloved</w:t>
      </w:r>
      <w:r>
        <w:rPr>
          <w:rFonts w:eastAsia="Arial Unicode MS"/>
        </w:rPr>
        <w:t xml:space="preserve"> </w:t>
      </w:r>
      <w:r w:rsidRPr="002C1C4B">
        <w:rPr>
          <w:rFonts w:eastAsia="Arial Unicode MS"/>
        </w:rPr>
        <w:t>Community Equity Audit proposes that equity commitments need to be “deeply embedded in the practices and</w:t>
      </w:r>
      <w:r>
        <w:rPr>
          <w:rFonts w:eastAsia="Arial Unicode MS"/>
        </w:rPr>
        <w:t xml:space="preserve"> </w:t>
      </w:r>
      <w:r w:rsidRPr="002C1C4B">
        <w:rPr>
          <w:rFonts w:eastAsia="Arial Unicode MS"/>
        </w:rPr>
        <w:t>policies throughout every function of an organisation’s operations.”</w:t>
      </w:r>
      <w:r>
        <w:rPr>
          <w:rStyle w:val="FootnoteReference"/>
          <w:rFonts w:eastAsia="Arial Unicode MS"/>
        </w:rPr>
        <w:footnoteReference w:id="62"/>
      </w:r>
    </w:p>
    <w:p w14:paraId="7493FE4F" w14:textId="77777777" w:rsidR="002C1C4B" w:rsidRPr="002C1C4B" w:rsidRDefault="002C1C4B" w:rsidP="002C1C4B">
      <w:pPr>
        <w:rPr>
          <w:rFonts w:eastAsia="Arial Unicode MS"/>
        </w:rPr>
      </w:pPr>
    </w:p>
    <w:p w14:paraId="212D4433" w14:textId="6E7DEC55" w:rsidR="002C1C4B" w:rsidRDefault="002C1C4B" w:rsidP="002C1C4B">
      <w:pPr>
        <w:rPr>
          <w:rFonts w:eastAsia="Arial Unicode MS"/>
        </w:rPr>
      </w:pPr>
      <w:r w:rsidRPr="002C1C4B">
        <w:rPr>
          <w:rFonts w:eastAsia="Arial Unicode MS"/>
        </w:rPr>
        <w:t>Health system experts identified a range of practical considerations that are particularly important when applying this lever in a health system setting.</w:t>
      </w:r>
      <w:r>
        <w:rPr>
          <w:rFonts w:eastAsia="Arial Unicode MS"/>
        </w:rPr>
        <w:t xml:space="preserve"> </w:t>
      </w:r>
      <w:r w:rsidRPr="002C1C4B">
        <w:rPr>
          <w:rFonts w:eastAsia="Arial Unicode MS"/>
        </w:rPr>
        <w:t>These included:</w:t>
      </w:r>
    </w:p>
    <w:p w14:paraId="7EB28CF8" w14:textId="77777777" w:rsidR="002C1C4B" w:rsidRPr="002C1C4B" w:rsidRDefault="002C1C4B" w:rsidP="002C1C4B">
      <w:pPr>
        <w:pStyle w:val="Bullet"/>
        <w:rPr>
          <w:rFonts w:eastAsia="Arial Unicode MS"/>
        </w:rPr>
      </w:pPr>
      <w:r w:rsidRPr="002C1C4B">
        <w:rPr>
          <w:rFonts w:eastAsia="Arial Unicode MS"/>
        </w:rPr>
        <w:t>Creating safe spaces to call out racism</w:t>
      </w:r>
    </w:p>
    <w:p w14:paraId="22D710CA" w14:textId="77777777" w:rsidR="002C1C4B" w:rsidRPr="002C1C4B" w:rsidRDefault="002C1C4B" w:rsidP="002C1C4B">
      <w:pPr>
        <w:pStyle w:val="Bullet"/>
        <w:rPr>
          <w:rFonts w:eastAsia="Arial Unicode MS"/>
        </w:rPr>
      </w:pPr>
      <w:r w:rsidRPr="002C1C4B">
        <w:rPr>
          <w:rFonts w:eastAsia="Arial Unicode MS"/>
        </w:rPr>
        <w:t>Incorporating anti-racism into everyday meetings and routines</w:t>
      </w:r>
    </w:p>
    <w:p w14:paraId="2FABD140" w14:textId="77777777" w:rsidR="002C1C4B" w:rsidRPr="002C1C4B" w:rsidRDefault="002C1C4B" w:rsidP="002C1C4B">
      <w:pPr>
        <w:pStyle w:val="Bullet"/>
        <w:rPr>
          <w:rFonts w:eastAsia="Arial Unicode MS"/>
        </w:rPr>
      </w:pPr>
      <w:r w:rsidRPr="002C1C4B">
        <w:rPr>
          <w:rFonts w:eastAsia="Arial Unicode MS"/>
        </w:rPr>
        <w:t>Leader’s role model anti-racist practice</w:t>
      </w:r>
    </w:p>
    <w:p w14:paraId="6D87631B" w14:textId="77777777" w:rsidR="002C1C4B" w:rsidRPr="002C1C4B" w:rsidRDefault="002C1C4B" w:rsidP="002C1C4B">
      <w:pPr>
        <w:pStyle w:val="Bullet"/>
        <w:rPr>
          <w:rFonts w:eastAsia="Arial Unicode MS"/>
        </w:rPr>
      </w:pPr>
      <w:r w:rsidRPr="002C1C4B">
        <w:rPr>
          <w:rFonts w:eastAsia="Arial Unicode MS"/>
        </w:rPr>
        <w:t>Anti-racist/ equity seeking behaviour is incentivised and celebrated across the organisation</w:t>
      </w:r>
    </w:p>
    <w:p w14:paraId="7DF2015C" w14:textId="77777777" w:rsidR="002C1C4B" w:rsidRPr="002C1C4B" w:rsidRDefault="002C1C4B" w:rsidP="002C1C4B">
      <w:pPr>
        <w:pStyle w:val="Bullet"/>
        <w:rPr>
          <w:rFonts w:eastAsia="Arial Unicode MS"/>
        </w:rPr>
      </w:pPr>
      <w:r w:rsidRPr="002C1C4B">
        <w:rPr>
          <w:rFonts w:eastAsia="Arial Unicode MS"/>
        </w:rPr>
        <w:t>Habitual practice reflects an ethic of service to communities and under- served groups</w:t>
      </w:r>
    </w:p>
    <w:p w14:paraId="482B1EAE" w14:textId="77777777" w:rsidR="002C1C4B" w:rsidRPr="002C1C4B" w:rsidRDefault="002C1C4B" w:rsidP="002C1C4B">
      <w:pPr>
        <w:pStyle w:val="Bullet"/>
        <w:rPr>
          <w:rFonts w:eastAsia="Arial Unicode MS"/>
        </w:rPr>
      </w:pPr>
      <w:r w:rsidRPr="002C1C4B">
        <w:rPr>
          <w:rFonts w:eastAsia="Arial Unicode MS"/>
        </w:rPr>
        <w:t>Habitual practice places priority on relationships and the va (space between people(s))</w:t>
      </w:r>
    </w:p>
    <w:p w14:paraId="6FE06B97" w14:textId="1775ECE4" w:rsidR="002C1C4B" w:rsidRDefault="002C1C4B" w:rsidP="002C1C4B">
      <w:pPr>
        <w:pStyle w:val="Bullet"/>
        <w:rPr>
          <w:rFonts w:eastAsia="Arial Unicode MS"/>
        </w:rPr>
      </w:pPr>
      <w:r w:rsidRPr="002C1C4B">
        <w:rPr>
          <w:rFonts w:eastAsia="Arial Unicode MS"/>
        </w:rPr>
        <w:t>Tools and resources to embed anti- racism into habitual practice (eg nudges and information material)</w:t>
      </w:r>
      <w:r>
        <w:rPr>
          <w:rFonts w:eastAsia="Arial Unicode MS"/>
        </w:rPr>
        <w:t>.</w:t>
      </w:r>
    </w:p>
    <w:p w14:paraId="220D9690" w14:textId="7E55D179" w:rsidR="002C1C4B" w:rsidRDefault="002C1C4B" w:rsidP="002C1C4B">
      <w:pPr>
        <w:rPr>
          <w:rFonts w:eastAsia="Arial Unicode MS"/>
        </w:rPr>
      </w:pPr>
    </w:p>
    <w:p w14:paraId="3D5213E1" w14:textId="3E0E019A" w:rsidR="002C1C4B" w:rsidRDefault="002C1C4B" w:rsidP="002C1C4B">
      <w:pPr>
        <w:rPr>
          <w:rFonts w:eastAsia="Arial Unicode MS"/>
        </w:rPr>
      </w:pPr>
      <w:r w:rsidRPr="002C1C4B">
        <w:rPr>
          <w:rFonts w:eastAsia="Arial Unicode MS"/>
        </w:rPr>
        <w:t>We have identified habitual practices as a lever for change and propose a micro-lever that supports this component of transformation.</w:t>
      </w:r>
    </w:p>
    <w:p w14:paraId="3A6044DE" w14:textId="1A3EBCE9" w:rsidR="002C1C4B" w:rsidRDefault="002C1C4B" w:rsidP="002C1C4B">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694"/>
        <w:gridCol w:w="5375"/>
      </w:tblGrid>
      <w:tr w:rsidR="002C1C4B" w14:paraId="1549C391" w14:textId="77777777" w:rsidTr="002C1C4B">
        <w:tc>
          <w:tcPr>
            <w:tcW w:w="2694" w:type="dxa"/>
            <w:shd w:val="clear" w:color="auto" w:fill="D9D9D9" w:themeFill="background1" w:themeFillShade="D9"/>
          </w:tcPr>
          <w:p w14:paraId="1105C5B9" w14:textId="5122C492" w:rsidR="002C1C4B" w:rsidRPr="004D0223" w:rsidRDefault="002C1C4B" w:rsidP="00A96C4F">
            <w:pPr>
              <w:spacing w:before="60" w:after="60"/>
              <w:ind w:right="28"/>
              <w:rPr>
                <w:b/>
                <w:bCs/>
              </w:rPr>
            </w:pPr>
            <w:r w:rsidRPr="002C1C4B">
              <w:rPr>
                <w:b/>
                <w:bCs/>
              </w:rPr>
              <w:t>Habitual practices that normalise the collective consideration of equity factors</w:t>
            </w:r>
          </w:p>
        </w:tc>
        <w:tc>
          <w:tcPr>
            <w:tcW w:w="5375" w:type="dxa"/>
          </w:tcPr>
          <w:p w14:paraId="257F075A" w14:textId="5CA23BE5" w:rsidR="002C1C4B" w:rsidRDefault="002C1C4B" w:rsidP="00360A8E">
            <w:pPr>
              <w:pStyle w:val="Bullet"/>
              <w:spacing w:before="60" w:after="60"/>
            </w:pPr>
            <w:r w:rsidRPr="002C1C4B">
              <w:t>R2.1 Mana Tangata practice</w:t>
            </w:r>
          </w:p>
        </w:tc>
      </w:tr>
    </w:tbl>
    <w:p w14:paraId="451EA10C" w14:textId="77777777" w:rsidR="002C1C4B" w:rsidRDefault="002C1C4B" w:rsidP="002C1C4B">
      <w:pPr>
        <w:rPr>
          <w:rFonts w:eastAsia="Arial Unicode MS"/>
        </w:rPr>
      </w:pPr>
    </w:p>
    <w:p w14:paraId="1DDA22DB" w14:textId="3FE2DDDB" w:rsidR="006C170E" w:rsidRDefault="006C170E" w:rsidP="002C1C4B">
      <w:pPr>
        <w:rPr>
          <w:rFonts w:eastAsia="Arial Unicode MS"/>
        </w:rPr>
      </w:pPr>
    </w:p>
    <w:p w14:paraId="7D65E7BB" w14:textId="77777777" w:rsidR="006C170E" w:rsidRDefault="006C170E" w:rsidP="002C1C4B">
      <w:pPr>
        <w:rPr>
          <w:rFonts w:eastAsia="Arial Unicode MS"/>
        </w:rPr>
      </w:pPr>
    </w:p>
    <w:p w14:paraId="36151F67" w14:textId="77777777" w:rsidR="002C1C4B" w:rsidRDefault="002C1C4B" w:rsidP="002C1C4B">
      <w:pPr>
        <w:pBdr>
          <w:top w:val="single" w:sz="4" w:space="1" w:color="0070C0"/>
        </w:pBdr>
        <w:rPr>
          <w:rFonts w:eastAsia="Lucida Sans Unicode"/>
        </w:rPr>
      </w:pPr>
    </w:p>
    <w:p w14:paraId="31814D2F" w14:textId="77777777" w:rsidR="002C1C4B" w:rsidRPr="002C1C4B" w:rsidRDefault="002C1C4B" w:rsidP="002C1C4B">
      <w:pPr>
        <w:pStyle w:val="Heading5"/>
        <w:jc w:val="center"/>
        <w:rPr>
          <w:rFonts w:eastAsia="Lucida Sans Unicode"/>
        </w:rPr>
      </w:pPr>
      <w:r w:rsidRPr="00C67BC1">
        <w:rPr>
          <w:rFonts w:eastAsia="Lucida Sans Unicode"/>
        </w:rPr>
        <w:t>“</w:t>
      </w:r>
      <w:r w:rsidRPr="002C1C4B">
        <w:rPr>
          <w:rFonts w:eastAsia="Lucida Sans Unicode"/>
        </w:rPr>
        <w:t xml:space="preserve">Ka koha te toi, ka </w:t>
      </w:r>
    </w:p>
    <w:p w14:paraId="63628B35" w14:textId="2A500653" w:rsidR="002C1C4B" w:rsidRDefault="002C1C4B" w:rsidP="002C1C4B">
      <w:pPr>
        <w:pStyle w:val="Heading5"/>
        <w:jc w:val="center"/>
        <w:rPr>
          <w:rFonts w:eastAsia="Lucida Sans Unicode"/>
        </w:rPr>
      </w:pPr>
      <w:r w:rsidRPr="002C1C4B">
        <w:rPr>
          <w:rFonts w:eastAsia="Lucida Sans Unicode"/>
        </w:rPr>
        <w:t>whai te māramatanga</w:t>
      </w:r>
      <w:r w:rsidRPr="00081493">
        <w:rPr>
          <w:rFonts w:eastAsia="Lucida Sans Unicode"/>
        </w:rPr>
        <w:t>”</w:t>
      </w:r>
    </w:p>
    <w:p w14:paraId="07259C3B" w14:textId="77777777" w:rsidR="002C1C4B" w:rsidRDefault="002C1C4B" w:rsidP="002C1C4B">
      <w:pPr>
        <w:rPr>
          <w:rFonts w:eastAsia="Lucida Sans Unicode"/>
        </w:rPr>
      </w:pPr>
    </w:p>
    <w:p w14:paraId="48E7260D" w14:textId="6FE4083E" w:rsidR="002C1C4B" w:rsidRPr="00561369" w:rsidRDefault="002C1C4B" w:rsidP="002C1C4B">
      <w:pPr>
        <w:jc w:val="center"/>
        <w:rPr>
          <w:rFonts w:eastAsia="Lucida Sans Unicode"/>
          <w:sz w:val="22"/>
          <w:szCs w:val="22"/>
        </w:rPr>
      </w:pPr>
      <w:r w:rsidRPr="002C1C4B">
        <w:rPr>
          <w:rFonts w:eastAsia="Lucida Sans Unicode"/>
          <w:sz w:val="22"/>
          <w:szCs w:val="22"/>
        </w:rPr>
        <w:t>IF KNOWLEDGE IS GATHERED, ENLIGHTENMENT WILL FOLLOW</w:t>
      </w:r>
    </w:p>
    <w:p w14:paraId="66AB976A" w14:textId="77777777" w:rsidR="002C1C4B" w:rsidRPr="00561369" w:rsidRDefault="002C1C4B" w:rsidP="002C1C4B">
      <w:pPr>
        <w:pBdr>
          <w:bottom w:val="single" w:sz="4" w:space="1" w:color="0070C0"/>
        </w:pBdr>
        <w:spacing w:after="120"/>
        <w:jc w:val="center"/>
        <w:rPr>
          <w:rFonts w:eastAsia="Lucida Sans Unicode"/>
          <w:sz w:val="22"/>
          <w:szCs w:val="22"/>
        </w:rPr>
      </w:pPr>
    </w:p>
    <w:p w14:paraId="5FDC9D6A" w14:textId="77777777" w:rsidR="002C1C4B" w:rsidRPr="00561369" w:rsidRDefault="002C1C4B" w:rsidP="002C1C4B">
      <w:pPr>
        <w:rPr>
          <w:rFonts w:eastAsia="Lucida Sans Unicode"/>
          <w:sz w:val="22"/>
          <w:szCs w:val="22"/>
        </w:rPr>
      </w:pPr>
    </w:p>
    <w:p w14:paraId="3A3D14FE" w14:textId="77777777" w:rsidR="002C1C4B" w:rsidRPr="002C1C4B" w:rsidRDefault="002C1C4B" w:rsidP="002C1C4B">
      <w:pPr>
        <w:jc w:val="center"/>
        <w:rPr>
          <w:rFonts w:eastAsia="Lucida Sans Unicode"/>
          <w:sz w:val="22"/>
          <w:szCs w:val="22"/>
        </w:rPr>
      </w:pPr>
      <w:r w:rsidRPr="002C1C4B">
        <w:rPr>
          <w:rFonts w:eastAsia="Lucida Sans Unicode"/>
          <w:sz w:val="22"/>
          <w:szCs w:val="22"/>
        </w:rPr>
        <w:t xml:space="preserve">On any journey, it is useful to know how far we have come, </w:t>
      </w:r>
    </w:p>
    <w:p w14:paraId="545B2040" w14:textId="77777777" w:rsidR="002C1C4B" w:rsidRPr="002C1C4B" w:rsidRDefault="002C1C4B" w:rsidP="002C1C4B">
      <w:pPr>
        <w:jc w:val="center"/>
        <w:rPr>
          <w:rFonts w:eastAsia="Lucida Sans Unicode"/>
          <w:sz w:val="22"/>
          <w:szCs w:val="22"/>
        </w:rPr>
      </w:pPr>
      <w:r w:rsidRPr="002C1C4B">
        <w:rPr>
          <w:rFonts w:eastAsia="Lucida Sans Unicode"/>
          <w:sz w:val="22"/>
          <w:szCs w:val="22"/>
        </w:rPr>
        <w:t>whether we are still tracking in the right direction, and how far</w:t>
      </w:r>
    </w:p>
    <w:p w14:paraId="46F11822" w14:textId="77777777" w:rsidR="002C1C4B" w:rsidRPr="002C1C4B" w:rsidRDefault="002C1C4B" w:rsidP="002C1C4B">
      <w:pPr>
        <w:jc w:val="center"/>
        <w:rPr>
          <w:rFonts w:eastAsia="Lucida Sans Unicode"/>
          <w:sz w:val="22"/>
          <w:szCs w:val="22"/>
        </w:rPr>
      </w:pPr>
      <w:r w:rsidRPr="002C1C4B">
        <w:rPr>
          <w:rFonts w:eastAsia="Lucida Sans Unicode"/>
          <w:sz w:val="22"/>
          <w:szCs w:val="22"/>
        </w:rPr>
        <w:t>there is to go. A clear picture of that should foster a sense of</w:t>
      </w:r>
    </w:p>
    <w:p w14:paraId="2A37A4DF" w14:textId="77777777" w:rsidR="002C1C4B" w:rsidRPr="002C1C4B" w:rsidRDefault="002C1C4B" w:rsidP="002C1C4B">
      <w:pPr>
        <w:jc w:val="center"/>
        <w:rPr>
          <w:rFonts w:eastAsia="Lucida Sans Unicode"/>
          <w:sz w:val="22"/>
          <w:szCs w:val="22"/>
        </w:rPr>
      </w:pPr>
      <w:r w:rsidRPr="002C1C4B">
        <w:rPr>
          <w:rFonts w:eastAsia="Lucida Sans Unicode"/>
          <w:sz w:val="22"/>
          <w:szCs w:val="22"/>
        </w:rPr>
        <w:t>urgency about how we accelerate progress, make good choices</w:t>
      </w:r>
    </w:p>
    <w:p w14:paraId="4E729829" w14:textId="49353745" w:rsidR="002C1C4B" w:rsidRDefault="002C1C4B" w:rsidP="002C1C4B">
      <w:pPr>
        <w:jc w:val="center"/>
        <w:rPr>
          <w:rFonts w:eastAsia="Lucida Sans Unicode"/>
          <w:sz w:val="22"/>
          <w:szCs w:val="22"/>
        </w:rPr>
      </w:pPr>
      <w:r w:rsidRPr="002C1C4B">
        <w:rPr>
          <w:rFonts w:eastAsia="Lucida Sans Unicode"/>
          <w:sz w:val="22"/>
          <w:szCs w:val="22"/>
        </w:rPr>
        <w:t>and have confidence in what has already been achieved.</w:t>
      </w:r>
    </w:p>
    <w:p w14:paraId="67C4A2D0" w14:textId="2B701652" w:rsidR="002C1C4B" w:rsidRDefault="002C1C4B" w:rsidP="002C1C4B">
      <w:pPr>
        <w:pStyle w:val="Heading2"/>
      </w:pPr>
      <w:bookmarkStart w:id="20" w:name="_Toc128660386"/>
      <w:r w:rsidRPr="002C1C4B">
        <w:t>Evaluation of Organisational Shifts</w:t>
      </w:r>
      <w:bookmarkEnd w:id="20"/>
    </w:p>
    <w:p w14:paraId="1B4DFB73" w14:textId="256D2590" w:rsidR="002C1C4B" w:rsidRPr="002C1C4B" w:rsidRDefault="002C1C4B" w:rsidP="00E4562A">
      <w:pPr>
        <w:ind w:right="-426"/>
        <w:rPr>
          <w:rFonts w:eastAsia="Arial Unicode MS"/>
        </w:rPr>
      </w:pPr>
      <w:r w:rsidRPr="002C1C4B">
        <w:rPr>
          <w:rFonts w:eastAsia="Arial Unicode MS"/>
        </w:rPr>
        <w:t>An important component of ensuring long-lasting change is evaluating organisational shifts to track progress and identify gaps. Evaluation of shifts was identified throughout the literature as an important lever. The organisation needs to be open to investigating</w:t>
      </w:r>
      <w:r>
        <w:rPr>
          <w:rFonts w:eastAsia="Arial Unicode MS"/>
        </w:rPr>
        <w:t xml:space="preserve"> </w:t>
      </w:r>
      <w:r w:rsidRPr="002C1C4B">
        <w:rPr>
          <w:rFonts w:eastAsia="Arial Unicode MS"/>
        </w:rPr>
        <w:t>their existing practices and to move beyond practices that are focused on ‘race neutrality’ and ideas of ‘colour blindness’.</w:t>
      </w:r>
      <w:r w:rsidR="00C250A8">
        <w:rPr>
          <w:rStyle w:val="FootnoteReference"/>
          <w:rFonts w:eastAsia="Arial Unicode MS"/>
        </w:rPr>
        <w:footnoteReference w:id="63"/>
      </w:r>
      <w:r w:rsidRPr="002C1C4B">
        <w:rPr>
          <w:rFonts w:eastAsia="Arial Unicode MS"/>
        </w:rPr>
        <w:t xml:space="preserve"> Furthermore, there needs to be rigorous evaluation of interventions to ensure deep and sustainable transformation. This cannot be an ad hoc process and needs to be a structured and consistent approach to</w:t>
      </w:r>
      <w:r>
        <w:rPr>
          <w:rFonts w:eastAsia="Arial Unicode MS"/>
        </w:rPr>
        <w:t xml:space="preserve"> </w:t>
      </w:r>
      <w:r w:rsidRPr="002C1C4B">
        <w:rPr>
          <w:rFonts w:eastAsia="Arial Unicode MS"/>
        </w:rPr>
        <w:t>regular evaluation.</w:t>
      </w:r>
      <w:r>
        <w:rPr>
          <w:rStyle w:val="FootnoteReference"/>
          <w:rFonts w:eastAsia="Arial Unicode MS"/>
        </w:rPr>
        <w:footnoteReference w:id="64"/>
      </w:r>
    </w:p>
    <w:p w14:paraId="19B4382E" w14:textId="77777777" w:rsidR="002C1C4B" w:rsidRPr="002C1C4B" w:rsidRDefault="002C1C4B" w:rsidP="002C1C4B">
      <w:pPr>
        <w:rPr>
          <w:rFonts w:eastAsia="Arial Unicode MS"/>
        </w:rPr>
      </w:pPr>
    </w:p>
    <w:p w14:paraId="5AB820E2" w14:textId="5B1086D1" w:rsidR="002C1C4B" w:rsidRPr="002C1C4B" w:rsidRDefault="002C1C4B" w:rsidP="00C250A8">
      <w:pPr>
        <w:rPr>
          <w:rFonts w:eastAsia="Arial Unicode MS"/>
        </w:rPr>
      </w:pPr>
      <w:r w:rsidRPr="002C1C4B">
        <w:rPr>
          <w:rFonts w:eastAsia="Arial Unicode MS"/>
        </w:rPr>
        <w:t>A good example of this is the HEAT model, the fourth step of which is to evaluate the outcomes of interventions.</w:t>
      </w:r>
      <w:r w:rsidR="00C250A8">
        <w:rPr>
          <w:rStyle w:val="FootnoteReference"/>
          <w:rFonts w:eastAsia="Arial Unicode MS"/>
        </w:rPr>
        <w:footnoteReference w:id="65"/>
      </w:r>
      <w:r w:rsidRPr="002C1C4B">
        <w:rPr>
          <w:rFonts w:eastAsia="Arial Unicode MS"/>
        </w:rPr>
        <w:t xml:space="preserve"> It is a common component of many models, especially equity audits</w:t>
      </w:r>
      <w:r>
        <w:rPr>
          <w:rFonts w:eastAsia="Arial Unicode MS"/>
        </w:rPr>
        <w:t xml:space="preserve"> </w:t>
      </w:r>
      <w:r w:rsidRPr="002C1C4B">
        <w:rPr>
          <w:rFonts w:eastAsia="Arial Unicode MS"/>
        </w:rPr>
        <w:t xml:space="preserve">and organisational assessments. Organisations need to “Commit to </w:t>
      </w:r>
      <w:r w:rsidRPr="002C1C4B">
        <w:rPr>
          <w:rFonts w:eastAsia="Arial Unicode MS"/>
        </w:rPr>
        <w:lastRenderedPageBreak/>
        <w:t>continual assessments of their</w:t>
      </w:r>
      <w:r>
        <w:rPr>
          <w:rFonts w:eastAsia="Arial Unicode MS"/>
        </w:rPr>
        <w:t xml:space="preserve"> </w:t>
      </w:r>
      <w:r w:rsidRPr="002C1C4B">
        <w:rPr>
          <w:rFonts w:eastAsia="Arial Unicode MS"/>
        </w:rPr>
        <w:t>organisation to create a process of ongoing evaluation of their race equity goals.”</w:t>
      </w:r>
      <w:r w:rsidR="00C250A8">
        <w:rPr>
          <w:rStyle w:val="FootnoteReference"/>
          <w:rFonts w:eastAsia="Arial Unicode MS"/>
        </w:rPr>
        <w:footnoteReference w:id="66"/>
      </w:r>
      <w:r w:rsidRPr="002C1C4B">
        <w:rPr>
          <w:rFonts w:eastAsia="Arial Unicode MS"/>
        </w:rPr>
        <w:t xml:space="preserve"> Another key example is CT Analysis which describes how “Ideally,</w:t>
      </w:r>
      <w:r>
        <w:rPr>
          <w:rFonts w:eastAsia="Arial Unicode MS"/>
        </w:rPr>
        <w:t xml:space="preserve"> </w:t>
      </w:r>
      <w:r w:rsidRPr="002C1C4B">
        <w:rPr>
          <w:rFonts w:eastAsia="Arial Unicode MS"/>
        </w:rPr>
        <w:t>evaluation requires a longitudinal dimension that produces research-based knowledge on what works and where improvements could be targeted.”</w:t>
      </w:r>
      <w:r w:rsidR="00C250A8">
        <w:rPr>
          <w:rStyle w:val="FootnoteReference"/>
          <w:rFonts w:eastAsia="Arial Unicode MS"/>
        </w:rPr>
        <w:footnoteReference w:id="67"/>
      </w:r>
    </w:p>
    <w:p w14:paraId="64D261E7" w14:textId="77777777" w:rsidR="002C1C4B" w:rsidRPr="002C1C4B" w:rsidRDefault="002C1C4B" w:rsidP="00C250A8">
      <w:pPr>
        <w:rPr>
          <w:rFonts w:eastAsia="Arial Unicode MS"/>
        </w:rPr>
      </w:pPr>
    </w:p>
    <w:p w14:paraId="7602D905" w14:textId="77777777" w:rsidR="002C1C4B" w:rsidRPr="002C1C4B" w:rsidRDefault="002C1C4B" w:rsidP="00C250A8">
      <w:pPr>
        <w:rPr>
          <w:rFonts w:eastAsia="Arial Unicode MS"/>
        </w:rPr>
      </w:pPr>
      <w:r w:rsidRPr="002C1C4B">
        <w:rPr>
          <w:rFonts w:eastAsia="Arial Unicode MS"/>
        </w:rPr>
        <w:t>Evaluation ensures that policies do not inadvertently cause inequity and create a strong evidence base for what works. The ideal result is a learning organisation that ensures consistent adaptation and pursuit of equitable anti-racist outcomes.</w:t>
      </w:r>
    </w:p>
    <w:p w14:paraId="664C898D" w14:textId="77777777" w:rsidR="002C1C4B" w:rsidRPr="002C1C4B" w:rsidRDefault="002C1C4B" w:rsidP="00C250A8">
      <w:pPr>
        <w:rPr>
          <w:rFonts w:eastAsia="Arial Unicode MS"/>
        </w:rPr>
      </w:pPr>
    </w:p>
    <w:p w14:paraId="061521A2" w14:textId="4C708212" w:rsidR="002C1C4B" w:rsidRDefault="002C1C4B" w:rsidP="00C250A8">
      <w:pPr>
        <w:rPr>
          <w:rFonts w:eastAsia="Arial Unicode MS"/>
        </w:rPr>
      </w:pPr>
      <w:r w:rsidRPr="002C1C4B">
        <w:rPr>
          <w:rFonts w:eastAsia="Arial Unicode MS"/>
        </w:rPr>
        <w:t>Health system experts identified a range of practical considerations that are particularly important when applying this lever in a health system setting.</w:t>
      </w:r>
      <w:r w:rsidR="00C250A8">
        <w:rPr>
          <w:rFonts w:eastAsia="Arial Unicode MS"/>
        </w:rPr>
        <w:t xml:space="preserve"> </w:t>
      </w:r>
      <w:r w:rsidRPr="002C1C4B">
        <w:rPr>
          <w:rFonts w:eastAsia="Arial Unicode MS"/>
        </w:rPr>
        <w:t>These included:</w:t>
      </w:r>
    </w:p>
    <w:p w14:paraId="2A2FF658" w14:textId="77777777" w:rsidR="00C250A8" w:rsidRPr="00C250A8" w:rsidRDefault="00C250A8" w:rsidP="00C250A8">
      <w:pPr>
        <w:pStyle w:val="Bullet"/>
        <w:rPr>
          <w:rFonts w:eastAsia="Arial Unicode MS"/>
        </w:rPr>
      </w:pPr>
      <w:r w:rsidRPr="00C250A8">
        <w:rPr>
          <w:rFonts w:eastAsia="Arial Unicode MS"/>
        </w:rPr>
        <w:t>Take structured ‘pulse checks’ on racism across the system</w:t>
      </w:r>
    </w:p>
    <w:p w14:paraId="0D0A4798" w14:textId="77777777" w:rsidR="00C250A8" w:rsidRPr="00C250A8" w:rsidRDefault="00C250A8" w:rsidP="00C250A8">
      <w:pPr>
        <w:pStyle w:val="Bullet"/>
        <w:rPr>
          <w:rFonts w:eastAsia="Arial Unicode MS"/>
        </w:rPr>
      </w:pPr>
      <w:r w:rsidRPr="00C250A8">
        <w:rPr>
          <w:rFonts w:eastAsia="Arial Unicode MS"/>
        </w:rPr>
        <w:t>Evaluate and provide feedback loops for emerging anti-racist practices</w:t>
      </w:r>
    </w:p>
    <w:p w14:paraId="5E69397B" w14:textId="77777777" w:rsidR="00C250A8" w:rsidRPr="00C250A8" w:rsidRDefault="00C250A8" w:rsidP="00C250A8">
      <w:pPr>
        <w:pStyle w:val="Bullet"/>
        <w:rPr>
          <w:rFonts w:eastAsia="Arial Unicode MS"/>
        </w:rPr>
      </w:pPr>
      <w:r w:rsidRPr="00C250A8">
        <w:rPr>
          <w:rFonts w:eastAsia="Arial Unicode MS"/>
        </w:rPr>
        <w:t>Shine the light on successes.</w:t>
      </w:r>
    </w:p>
    <w:p w14:paraId="133ADD89" w14:textId="0A458759" w:rsidR="00C250A8" w:rsidRDefault="00C250A8" w:rsidP="00C250A8">
      <w:pPr>
        <w:rPr>
          <w:rFonts w:eastAsia="Arial Unicode MS"/>
        </w:rPr>
      </w:pPr>
    </w:p>
    <w:p w14:paraId="286608BF" w14:textId="04CEEEF9" w:rsidR="00C250A8" w:rsidRDefault="00C250A8" w:rsidP="00C250A8">
      <w:pPr>
        <w:rPr>
          <w:rFonts w:eastAsia="Arial Unicode MS"/>
        </w:rPr>
      </w:pPr>
      <w:r w:rsidRPr="00C250A8">
        <w:rPr>
          <w:rFonts w:eastAsia="Arial Unicode MS"/>
        </w:rPr>
        <w:t xml:space="preserve">We have identified </w:t>
      </w:r>
      <w:r w:rsidRPr="00C250A8">
        <w:rPr>
          <w:rFonts w:eastAsia="Arial Unicode MS"/>
          <w:b/>
          <w:bCs/>
        </w:rPr>
        <w:t>evaluation of organisational shifts</w:t>
      </w:r>
      <w:r w:rsidRPr="00C250A8">
        <w:rPr>
          <w:rFonts w:eastAsia="Arial Unicode MS"/>
        </w:rPr>
        <w:t xml:space="preserve"> as a lever for change and propose a suite of micro-levers that support this component of transformation.</w:t>
      </w:r>
    </w:p>
    <w:p w14:paraId="11B27F68" w14:textId="07CE6E0F" w:rsidR="00C250A8" w:rsidRDefault="00C250A8" w:rsidP="00C250A8">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694"/>
        <w:gridCol w:w="5375"/>
      </w:tblGrid>
      <w:tr w:rsidR="00C250A8" w14:paraId="4F68EBDC" w14:textId="77777777" w:rsidTr="00A121FC">
        <w:tc>
          <w:tcPr>
            <w:tcW w:w="2694" w:type="dxa"/>
            <w:shd w:val="clear" w:color="auto" w:fill="D9D9D9" w:themeFill="background1" w:themeFillShade="D9"/>
          </w:tcPr>
          <w:p w14:paraId="63566DC1" w14:textId="622324D8" w:rsidR="00C250A8" w:rsidRPr="004D0223" w:rsidRDefault="00C250A8" w:rsidP="00A96C4F">
            <w:pPr>
              <w:spacing w:before="60" w:after="60"/>
              <w:ind w:right="28"/>
              <w:rPr>
                <w:b/>
                <w:bCs/>
              </w:rPr>
            </w:pPr>
            <w:r w:rsidRPr="00C250A8">
              <w:rPr>
                <w:b/>
                <w:bCs/>
              </w:rPr>
              <w:t>Evaluation of organisational shifts</w:t>
            </w:r>
          </w:p>
        </w:tc>
        <w:tc>
          <w:tcPr>
            <w:tcW w:w="5375" w:type="dxa"/>
          </w:tcPr>
          <w:p w14:paraId="4C87451C" w14:textId="77777777" w:rsidR="00C250A8" w:rsidRDefault="00C250A8" w:rsidP="00360A8E">
            <w:pPr>
              <w:pStyle w:val="Bullet"/>
              <w:spacing w:before="60" w:after="60"/>
            </w:pPr>
            <w:r w:rsidRPr="00C250A8">
              <w:t xml:space="preserve">P1.1 Mana Tangata data collection </w:t>
            </w:r>
          </w:p>
          <w:p w14:paraId="05BD6F71" w14:textId="6B84463B" w:rsidR="00C250A8" w:rsidRDefault="00C250A8" w:rsidP="00360A8E">
            <w:pPr>
              <w:pStyle w:val="Bullet"/>
              <w:spacing w:before="60" w:after="60"/>
            </w:pPr>
            <w:r w:rsidRPr="00C250A8">
              <w:t>P2.1 Practice reviews</w:t>
            </w:r>
          </w:p>
        </w:tc>
      </w:tr>
    </w:tbl>
    <w:p w14:paraId="37D827A2" w14:textId="77777777" w:rsidR="00C250A8" w:rsidRPr="00C250A8" w:rsidRDefault="00C250A8" w:rsidP="00C250A8">
      <w:pPr>
        <w:pStyle w:val="Heading2"/>
        <w:rPr>
          <w:rFonts w:eastAsia="Arial Unicode MS"/>
        </w:rPr>
      </w:pPr>
      <w:bookmarkStart w:id="21" w:name="_Toc128660387"/>
      <w:r w:rsidRPr="00C250A8">
        <w:rPr>
          <w:rFonts w:eastAsia="Arial Unicode MS"/>
        </w:rPr>
        <w:t>Equity Data Reporting</w:t>
      </w:r>
      <w:bookmarkEnd w:id="21"/>
    </w:p>
    <w:p w14:paraId="736ED27E" w14:textId="2DCC614E" w:rsidR="00C250A8" w:rsidRDefault="00C250A8" w:rsidP="00C250A8">
      <w:pPr>
        <w:rPr>
          <w:rFonts w:eastAsia="Arial Unicode MS"/>
        </w:rPr>
      </w:pPr>
      <w:r w:rsidRPr="00C250A8">
        <w:rPr>
          <w:rFonts w:eastAsia="Arial Unicode MS"/>
        </w:rPr>
        <w:t>Data and its usage was identified in the literature as a necessary lever for change. Although there is certainly a</w:t>
      </w:r>
      <w:r>
        <w:rPr>
          <w:rFonts w:eastAsia="Arial Unicode MS"/>
        </w:rPr>
        <w:t xml:space="preserve"> </w:t>
      </w:r>
      <w:r w:rsidRPr="00C250A8">
        <w:rPr>
          <w:rFonts w:eastAsia="Arial Unicode MS"/>
        </w:rPr>
        <w:t>need for further research, it is a growing area of research. Data has increasingly come under scrutiny for its biases. Four key areas were identified as necessary for equity data reporting:</w:t>
      </w:r>
    </w:p>
    <w:p w14:paraId="7C9E4E64" w14:textId="77777777" w:rsidR="00C250A8" w:rsidRPr="00C250A8" w:rsidRDefault="00C250A8" w:rsidP="00C250A8">
      <w:pPr>
        <w:pStyle w:val="Bullet"/>
        <w:rPr>
          <w:rFonts w:eastAsia="Arial Unicode MS"/>
        </w:rPr>
      </w:pPr>
      <w:r w:rsidRPr="00C250A8">
        <w:rPr>
          <w:rFonts w:eastAsia="Arial Unicode MS"/>
        </w:rPr>
        <w:t>Representation equity: increasing the visibility of underrepresented groups that have been historically suppressed in the data record.</w:t>
      </w:r>
    </w:p>
    <w:p w14:paraId="0441CC6B" w14:textId="7805B080" w:rsidR="00C250A8" w:rsidRPr="00C250A8" w:rsidRDefault="00C250A8" w:rsidP="00C250A8">
      <w:pPr>
        <w:pStyle w:val="Bullet"/>
        <w:rPr>
          <w:rFonts w:eastAsia="Arial Unicode MS"/>
        </w:rPr>
      </w:pPr>
      <w:r w:rsidRPr="00C250A8">
        <w:rPr>
          <w:rFonts w:eastAsia="Arial Unicode MS"/>
        </w:rPr>
        <w:t>Feature equity: facilitating linkages across datasets to ensure access to features that help expose and quantify inequity.</w:t>
      </w:r>
    </w:p>
    <w:p w14:paraId="6B4BD26D" w14:textId="77777777" w:rsidR="00C250A8" w:rsidRPr="00C250A8" w:rsidRDefault="00C250A8" w:rsidP="00C250A8">
      <w:pPr>
        <w:pStyle w:val="Bullet"/>
        <w:rPr>
          <w:rFonts w:eastAsia="Arial Unicode MS"/>
        </w:rPr>
      </w:pPr>
      <w:r w:rsidRPr="00C250A8">
        <w:rPr>
          <w:rFonts w:eastAsia="Arial Unicode MS"/>
        </w:rPr>
        <w:t>Access equity: providing for equitable and participatory access to data and data products across domains and levels of expertise.</w:t>
      </w:r>
    </w:p>
    <w:p w14:paraId="56D48A38" w14:textId="460A9CF9" w:rsidR="00C250A8" w:rsidRPr="00C250A8" w:rsidRDefault="00C250A8" w:rsidP="00C250A8">
      <w:pPr>
        <w:pStyle w:val="Bullet"/>
        <w:rPr>
          <w:rFonts w:eastAsia="Arial Unicode MS"/>
        </w:rPr>
      </w:pPr>
      <w:r w:rsidRPr="00C250A8">
        <w:rPr>
          <w:rFonts w:eastAsia="Arial Unicode MS"/>
        </w:rPr>
        <w:t>Outcome equity: monitoring and mitigating unintended consequences for any groups affected by a system after deployment, directly or indirectly.</w:t>
      </w:r>
      <w:r>
        <w:rPr>
          <w:rStyle w:val="FootnoteReference"/>
          <w:rFonts w:eastAsia="Arial Unicode MS"/>
        </w:rPr>
        <w:footnoteReference w:id="68"/>
      </w:r>
    </w:p>
    <w:p w14:paraId="14BDB63E" w14:textId="520AF881" w:rsidR="00C250A8" w:rsidRDefault="00C250A8" w:rsidP="00C250A8">
      <w:pPr>
        <w:rPr>
          <w:rFonts w:eastAsia="Arial Unicode MS"/>
        </w:rPr>
      </w:pPr>
    </w:p>
    <w:p w14:paraId="3CB575C1" w14:textId="77777777" w:rsidR="00A96C4F" w:rsidRPr="00A96C4F" w:rsidRDefault="00A96C4F" w:rsidP="00A96C4F">
      <w:pPr>
        <w:rPr>
          <w:rFonts w:eastAsia="Arial Unicode MS"/>
        </w:rPr>
      </w:pPr>
      <w:r w:rsidRPr="00A96C4F">
        <w:rPr>
          <w:rFonts w:eastAsia="Arial Unicode MS"/>
        </w:rPr>
        <w:t>Data collection was identified as the first step in the QuakeLab Model. It was</w:t>
      </w:r>
    </w:p>
    <w:p w14:paraId="772CC041" w14:textId="0F90DE7A" w:rsidR="00A96C4F" w:rsidRPr="00A96C4F" w:rsidRDefault="00A96C4F" w:rsidP="00A96C4F">
      <w:pPr>
        <w:rPr>
          <w:rFonts w:eastAsia="Arial Unicode MS"/>
        </w:rPr>
      </w:pPr>
      <w:r w:rsidRPr="00A96C4F">
        <w:rPr>
          <w:rFonts w:eastAsia="Arial Unicode MS"/>
        </w:rPr>
        <w:t xml:space="preserve">also an essential component of the ESC Model. It proposed that an equity driven process is one that is “participatory, data- driven, and produces measurable results.” It also highlighted the need for both “quantitative and qualitative data” and for the </w:t>
      </w:r>
      <w:r w:rsidRPr="00A96C4F">
        <w:rPr>
          <w:rFonts w:eastAsia="Arial Unicode MS"/>
        </w:rPr>
        <w:lastRenderedPageBreak/>
        <w:t>organisation to “develop systems and</w:t>
      </w:r>
      <w:r>
        <w:rPr>
          <w:rFonts w:eastAsia="Arial Unicode MS"/>
        </w:rPr>
        <w:t xml:space="preserve"> </w:t>
      </w:r>
      <w:r w:rsidRPr="00A96C4F">
        <w:rPr>
          <w:rFonts w:eastAsia="Arial Unicode MS"/>
        </w:rPr>
        <w:t>structures for ongoing use of data across the institution.”</w:t>
      </w:r>
      <w:r>
        <w:rPr>
          <w:rStyle w:val="FootnoteReference"/>
          <w:rFonts w:eastAsia="Arial Unicode MS"/>
        </w:rPr>
        <w:footnoteReference w:id="69"/>
      </w:r>
    </w:p>
    <w:p w14:paraId="0AD885FD" w14:textId="77777777" w:rsidR="00A96C4F" w:rsidRPr="00A96C4F" w:rsidRDefault="00A96C4F" w:rsidP="00A96C4F">
      <w:pPr>
        <w:rPr>
          <w:rFonts w:eastAsia="Arial Unicode MS"/>
        </w:rPr>
      </w:pPr>
    </w:p>
    <w:p w14:paraId="169CB90E" w14:textId="5F6587C4" w:rsidR="00A96C4F" w:rsidRPr="00A96C4F" w:rsidRDefault="00A96C4F" w:rsidP="00E4562A">
      <w:pPr>
        <w:ind w:right="-285"/>
        <w:rPr>
          <w:rFonts w:eastAsia="Arial Unicode MS"/>
        </w:rPr>
      </w:pPr>
      <w:r w:rsidRPr="00A96C4F">
        <w:rPr>
          <w:rFonts w:eastAsia="Arial Unicode MS"/>
        </w:rPr>
        <w:t>It is clear that there is a need to “develop equity specific metrics to assess our efforts.”</w:t>
      </w:r>
      <w:r>
        <w:rPr>
          <w:rStyle w:val="FootnoteReference"/>
          <w:rFonts w:eastAsia="Arial Unicode MS"/>
        </w:rPr>
        <w:footnoteReference w:id="70"/>
      </w:r>
      <w:r w:rsidRPr="00A96C4F">
        <w:rPr>
          <w:rFonts w:eastAsia="Arial Unicode MS"/>
        </w:rPr>
        <w:t xml:space="preserve"> Further, the data then needs to be utilised and actioned in guiding organisational decision- making and processes. It is also essential to measure</w:t>
      </w:r>
      <w:r w:rsidR="00E4562A">
        <w:rPr>
          <w:rFonts w:eastAsia="Arial Unicode MS"/>
        </w:rPr>
        <w:t xml:space="preserve"> </w:t>
      </w:r>
      <w:r w:rsidRPr="00A96C4F">
        <w:rPr>
          <w:rFonts w:eastAsia="Arial Unicode MS"/>
        </w:rPr>
        <w:t>equity outcomes to ensure sustainability of progress.</w:t>
      </w:r>
      <w:r>
        <w:rPr>
          <w:rStyle w:val="FootnoteReference"/>
          <w:rFonts w:eastAsia="Arial Unicode MS"/>
        </w:rPr>
        <w:footnoteReference w:id="71"/>
      </w:r>
      <w:r w:rsidRPr="00A96C4F">
        <w:rPr>
          <w:rFonts w:eastAsia="Arial Unicode MS"/>
        </w:rPr>
        <w:t xml:space="preserve"> It was noted that there needs to be a collaborative approach to data with the community and partnerships with other sectors.</w:t>
      </w:r>
      <w:r>
        <w:rPr>
          <w:rStyle w:val="FootnoteReference"/>
          <w:rFonts w:eastAsia="Arial Unicode MS"/>
        </w:rPr>
        <w:footnoteReference w:id="72"/>
      </w:r>
      <w:r w:rsidRPr="00A96C4F">
        <w:rPr>
          <w:rFonts w:eastAsia="Arial Unicode MS"/>
        </w:rPr>
        <w:t xml:space="preserve"> The “transparent, proactive data analysis and use” then becomes embedded as “part of the culture of your group.”</w:t>
      </w:r>
      <w:r>
        <w:rPr>
          <w:rStyle w:val="FootnoteReference"/>
          <w:rFonts w:eastAsia="Arial Unicode MS"/>
        </w:rPr>
        <w:footnoteReference w:id="73"/>
      </w:r>
    </w:p>
    <w:p w14:paraId="15741EC9" w14:textId="77777777" w:rsidR="00A96C4F" w:rsidRPr="00A96C4F" w:rsidRDefault="00A96C4F" w:rsidP="00A96C4F">
      <w:pPr>
        <w:rPr>
          <w:rFonts w:eastAsia="Arial Unicode MS"/>
        </w:rPr>
      </w:pPr>
    </w:p>
    <w:p w14:paraId="09EC4967" w14:textId="4B2CB579" w:rsidR="00C250A8" w:rsidRDefault="00A96C4F" w:rsidP="00A96C4F">
      <w:pPr>
        <w:rPr>
          <w:rFonts w:eastAsia="Arial Unicode MS"/>
        </w:rPr>
      </w:pPr>
      <w:r w:rsidRPr="00A96C4F">
        <w:rPr>
          <w:rFonts w:eastAsia="Arial Unicode MS"/>
        </w:rPr>
        <w:t>Health system experts identified a range of practical considerations that are particularly important when applying this lever in a health system setting.</w:t>
      </w:r>
      <w:r>
        <w:rPr>
          <w:rFonts w:eastAsia="Arial Unicode MS"/>
        </w:rPr>
        <w:t xml:space="preserve"> </w:t>
      </w:r>
      <w:r w:rsidRPr="00A96C4F">
        <w:rPr>
          <w:rFonts w:eastAsia="Arial Unicode MS"/>
        </w:rPr>
        <w:t>These included:</w:t>
      </w:r>
    </w:p>
    <w:p w14:paraId="4E0BB86B" w14:textId="77777777" w:rsidR="00A96C4F" w:rsidRPr="00A96C4F" w:rsidRDefault="00A96C4F" w:rsidP="00A96C4F">
      <w:pPr>
        <w:pStyle w:val="Bullet"/>
        <w:rPr>
          <w:rFonts w:eastAsia="Arial Unicode MS"/>
        </w:rPr>
      </w:pPr>
      <w:r w:rsidRPr="00A96C4F">
        <w:rPr>
          <w:rFonts w:eastAsia="Arial Unicode MS"/>
        </w:rPr>
        <w:t>Te Tiriti partners work together to determine priorities and data measures</w:t>
      </w:r>
    </w:p>
    <w:p w14:paraId="32AECF04" w14:textId="77777777" w:rsidR="00A96C4F" w:rsidRPr="00A96C4F" w:rsidRDefault="00A96C4F" w:rsidP="00A96C4F">
      <w:pPr>
        <w:pStyle w:val="Bullet"/>
        <w:rPr>
          <w:rFonts w:eastAsia="Arial Unicode MS"/>
        </w:rPr>
      </w:pPr>
      <w:r w:rsidRPr="00A96C4F">
        <w:rPr>
          <w:rFonts w:eastAsia="Arial Unicode MS"/>
        </w:rPr>
        <w:t>Set quantifiable and data-driven goals and outcomes for anti-racism</w:t>
      </w:r>
    </w:p>
    <w:p w14:paraId="7748A6BD" w14:textId="77777777" w:rsidR="00A96C4F" w:rsidRPr="00A96C4F" w:rsidRDefault="00A96C4F" w:rsidP="00A96C4F">
      <w:pPr>
        <w:pStyle w:val="Bullet"/>
        <w:rPr>
          <w:rFonts w:eastAsia="Arial Unicode MS"/>
        </w:rPr>
      </w:pPr>
      <w:r w:rsidRPr="00A96C4F">
        <w:rPr>
          <w:rFonts w:eastAsia="Arial Unicode MS"/>
        </w:rPr>
        <w:t>Design data accountability, monitoring and reporting tools focused on equity</w:t>
      </w:r>
    </w:p>
    <w:p w14:paraId="39319C25" w14:textId="77777777" w:rsidR="00A96C4F" w:rsidRPr="00A96C4F" w:rsidRDefault="00A96C4F" w:rsidP="00A96C4F">
      <w:pPr>
        <w:pStyle w:val="Bullet"/>
        <w:rPr>
          <w:rFonts w:eastAsia="Arial Unicode MS"/>
        </w:rPr>
      </w:pPr>
      <w:r w:rsidRPr="00A96C4F">
        <w:rPr>
          <w:rFonts w:eastAsia="Arial Unicode MS"/>
        </w:rPr>
        <w:t>Balance quantitative data with qualitative stories of lived experience</w:t>
      </w:r>
    </w:p>
    <w:p w14:paraId="0D3AB84E" w14:textId="69E25CD1" w:rsidR="00A96C4F" w:rsidRDefault="00A96C4F" w:rsidP="00A96C4F">
      <w:pPr>
        <w:pStyle w:val="Bullet"/>
        <w:rPr>
          <w:rFonts w:eastAsia="Arial Unicode MS"/>
        </w:rPr>
      </w:pPr>
      <w:r w:rsidRPr="00A96C4F">
        <w:rPr>
          <w:rFonts w:eastAsia="Arial Unicode MS"/>
        </w:rPr>
        <w:t>Share insights with iwi and grow Māori data literacy to inform on the ground activities</w:t>
      </w:r>
      <w:r>
        <w:rPr>
          <w:rFonts w:eastAsia="Arial Unicode MS"/>
        </w:rPr>
        <w:t>.</w:t>
      </w:r>
    </w:p>
    <w:p w14:paraId="2C0F9B83" w14:textId="6DCDC568" w:rsidR="00A96C4F" w:rsidRDefault="00A96C4F" w:rsidP="00A96C4F">
      <w:pPr>
        <w:rPr>
          <w:rFonts w:eastAsia="Arial Unicode MS"/>
        </w:rPr>
      </w:pPr>
    </w:p>
    <w:p w14:paraId="0A1B184D" w14:textId="666E5657" w:rsidR="00A96C4F" w:rsidRDefault="00A96C4F" w:rsidP="00A96C4F">
      <w:pPr>
        <w:rPr>
          <w:rFonts w:eastAsia="Arial Unicode MS"/>
        </w:rPr>
      </w:pPr>
      <w:r w:rsidRPr="00A96C4F">
        <w:rPr>
          <w:rFonts w:eastAsia="Arial Unicode MS"/>
        </w:rPr>
        <w:t xml:space="preserve">We have identified </w:t>
      </w:r>
      <w:r w:rsidRPr="00CD63BD">
        <w:rPr>
          <w:rFonts w:eastAsia="Arial Unicode MS"/>
          <w:b/>
          <w:bCs/>
        </w:rPr>
        <w:t>equity data reporting</w:t>
      </w:r>
      <w:r w:rsidRPr="00A96C4F">
        <w:rPr>
          <w:rFonts w:eastAsia="Arial Unicode MS"/>
        </w:rPr>
        <w:t xml:space="preserve"> as a lever for change and propose a suite of micro-levers that support this component of transformation.</w:t>
      </w:r>
    </w:p>
    <w:p w14:paraId="31F32378" w14:textId="57A48098" w:rsidR="00A96C4F" w:rsidRDefault="00A96C4F" w:rsidP="00A96C4F">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694"/>
        <w:gridCol w:w="5375"/>
      </w:tblGrid>
      <w:tr w:rsidR="00A96C4F" w14:paraId="149D2629" w14:textId="77777777" w:rsidTr="00A121FC">
        <w:tc>
          <w:tcPr>
            <w:tcW w:w="2694" w:type="dxa"/>
            <w:shd w:val="clear" w:color="auto" w:fill="D9D9D9" w:themeFill="background1" w:themeFillShade="D9"/>
          </w:tcPr>
          <w:p w14:paraId="1D45EA2E" w14:textId="7E12B497" w:rsidR="00A96C4F" w:rsidRPr="004D0223" w:rsidRDefault="00A96C4F" w:rsidP="00A96C4F">
            <w:pPr>
              <w:spacing w:before="60" w:after="60"/>
              <w:ind w:right="28"/>
              <w:rPr>
                <w:b/>
                <w:bCs/>
              </w:rPr>
            </w:pPr>
            <w:r w:rsidRPr="00A96C4F">
              <w:rPr>
                <w:b/>
                <w:bCs/>
              </w:rPr>
              <w:t>Equity Data Reporting</w:t>
            </w:r>
          </w:p>
        </w:tc>
        <w:tc>
          <w:tcPr>
            <w:tcW w:w="5375" w:type="dxa"/>
          </w:tcPr>
          <w:p w14:paraId="2A8DDFE6" w14:textId="77777777" w:rsidR="00A96C4F" w:rsidRDefault="00A96C4F" w:rsidP="00360A8E">
            <w:pPr>
              <w:pStyle w:val="Bullet"/>
              <w:spacing w:before="60" w:after="60"/>
            </w:pPr>
            <w:r w:rsidRPr="00A96C4F">
              <w:t xml:space="preserve">P1.1 Mana Tangata data collection </w:t>
            </w:r>
          </w:p>
          <w:p w14:paraId="09A83245" w14:textId="3E96642D" w:rsidR="00A96C4F" w:rsidRDefault="00A96C4F" w:rsidP="00360A8E">
            <w:pPr>
              <w:pStyle w:val="Bullet"/>
              <w:spacing w:before="60" w:after="60"/>
            </w:pPr>
            <w:r w:rsidRPr="00A96C4F">
              <w:t>P2.1 Practice reviews</w:t>
            </w:r>
          </w:p>
        </w:tc>
      </w:tr>
    </w:tbl>
    <w:p w14:paraId="0EBFCA85" w14:textId="77777777" w:rsidR="0096617C" w:rsidRPr="0096617C" w:rsidRDefault="0096617C" w:rsidP="0096617C">
      <w:pPr>
        <w:pStyle w:val="Heading2"/>
        <w:rPr>
          <w:rFonts w:eastAsia="Arial Unicode MS"/>
        </w:rPr>
      </w:pPr>
      <w:bookmarkStart w:id="22" w:name="_Toc128660388"/>
      <w:r w:rsidRPr="0096617C">
        <w:rPr>
          <w:rFonts w:eastAsia="Arial Unicode MS"/>
        </w:rPr>
        <w:t>Monitoring and Auditing</w:t>
      </w:r>
      <w:bookmarkEnd w:id="22"/>
    </w:p>
    <w:p w14:paraId="30DFB1B4" w14:textId="55E69337" w:rsidR="0096617C" w:rsidRPr="0096617C" w:rsidRDefault="0096617C" w:rsidP="0096617C">
      <w:pPr>
        <w:rPr>
          <w:rFonts w:eastAsia="Arial Unicode MS"/>
        </w:rPr>
      </w:pPr>
      <w:r w:rsidRPr="0096617C">
        <w:rPr>
          <w:rFonts w:eastAsia="Arial Unicode MS"/>
        </w:rPr>
        <w:t>Monitoring and auditing are tools used to assess organisations and their outcomes. The purpose of monitoring is to drive organisational practice and</w:t>
      </w:r>
      <w:r>
        <w:rPr>
          <w:rFonts w:eastAsia="Arial Unicode MS"/>
        </w:rPr>
        <w:t xml:space="preserve"> </w:t>
      </w:r>
      <w:r w:rsidRPr="0096617C">
        <w:rPr>
          <w:rFonts w:eastAsia="Arial Unicode MS"/>
        </w:rPr>
        <w:t>resource allocation through transparency of outcomes. It works by encouraging transparency and disclosure which therefore ensures visibility, and importantly accountability.</w:t>
      </w:r>
    </w:p>
    <w:p w14:paraId="10B1160B" w14:textId="77777777" w:rsidR="0096617C" w:rsidRPr="0096617C" w:rsidRDefault="0096617C" w:rsidP="0096617C">
      <w:pPr>
        <w:rPr>
          <w:rFonts w:eastAsia="Arial Unicode MS"/>
        </w:rPr>
      </w:pPr>
    </w:p>
    <w:p w14:paraId="74A75AB1" w14:textId="77777777" w:rsidR="0096617C" w:rsidRPr="0096617C" w:rsidRDefault="0096617C" w:rsidP="0096617C">
      <w:pPr>
        <w:rPr>
          <w:rFonts w:eastAsia="Arial Unicode MS"/>
        </w:rPr>
      </w:pPr>
      <w:r w:rsidRPr="0096617C">
        <w:rPr>
          <w:rFonts w:eastAsia="Arial Unicode MS"/>
        </w:rPr>
        <w:t xml:space="preserve">It has been used in many models, particularly equity audits, as a method of change creation. Equity audits are used to identify practices and processes within an institution that contribute to inequities. These are useful in that they establish a starting point and </w:t>
      </w:r>
      <w:r w:rsidRPr="0096617C">
        <w:rPr>
          <w:rFonts w:eastAsia="Arial Unicode MS"/>
        </w:rPr>
        <w:lastRenderedPageBreak/>
        <w:t>assess the current state, and identify key areas for intervention. However, they are resource intensive, time consuming, and result in masses of data.</w:t>
      </w:r>
    </w:p>
    <w:p w14:paraId="534F2911" w14:textId="77777777" w:rsidR="0096617C" w:rsidRPr="0096617C" w:rsidRDefault="0096617C" w:rsidP="0096617C">
      <w:pPr>
        <w:rPr>
          <w:rFonts w:eastAsia="Arial Unicode MS"/>
        </w:rPr>
      </w:pPr>
    </w:p>
    <w:p w14:paraId="1A3C5935" w14:textId="6C3F2B78" w:rsidR="0096617C" w:rsidRPr="0096617C" w:rsidRDefault="0096617C" w:rsidP="00E4562A">
      <w:pPr>
        <w:ind w:right="-143"/>
        <w:rPr>
          <w:rFonts w:eastAsia="Arial Unicode MS"/>
        </w:rPr>
      </w:pPr>
      <w:r w:rsidRPr="0096617C">
        <w:rPr>
          <w:rFonts w:eastAsia="Arial Unicode MS"/>
        </w:rPr>
        <w:t>There were several equity audit models in the literature primarily focused</w:t>
      </w:r>
      <w:r>
        <w:rPr>
          <w:rFonts w:eastAsia="Arial Unicode MS"/>
        </w:rPr>
        <w:t xml:space="preserve"> </w:t>
      </w:r>
      <w:r w:rsidRPr="0096617C">
        <w:rPr>
          <w:rFonts w:eastAsia="Arial Unicode MS"/>
        </w:rPr>
        <w:t>on this lever for change. There was also discussion on the need for both</w:t>
      </w:r>
      <w:r>
        <w:rPr>
          <w:rFonts w:eastAsia="Arial Unicode MS"/>
        </w:rPr>
        <w:t xml:space="preserve"> </w:t>
      </w:r>
      <w:r w:rsidRPr="0096617C">
        <w:rPr>
          <w:rFonts w:eastAsia="Arial Unicode MS"/>
        </w:rPr>
        <w:t>quantitative and qualitative data. The ESC model argued that, “Colleges make better choices when they base their decisions</w:t>
      </w:r>
      <w:r>
        <w:rPr>
          <w:rFonts w:eastAsia="Arial Unicode MS"/>
        </w:rPr>
        <w:t xml:space="preserve"> </w:t>
      </w:r>
      <w:r w:rsidRPr="0096617C">
        <w:rPr>
          <w:rFonts w:eastAsia="Arial Unicode MS"/>
        </w:rPr>
        <w:t>on both quantitative and qualitative data and develop systems and structures</w:t>
      </w:r>
    </w:p>
    <w:p w14:paraId="18370113" w14:textId="4E25E96D" w:rsidR="0096617C" w:rsidRPr="0096617C" w:rsidRDefault="0096617C" w:rsidP="00E4562A">
      <w:pPr>
        <w:ind w:right="-143"/>
        <w:rPr>
          <w:rFonts w:eastAsia="Arial Unicode MS"/>
        </w:rPr>
      </w:pPr>
      <w:r w:rsidRPr="0096617C">
        <w:rPr>
          <w:rFonts w:eastAsia="Arial Unicode MS"/>
        </w:rPr>
        <w:t>for ongoing use of data across the institution.”</w:t>
      </w:r>
      <w:r>
        <w:rPr>
          <w:rStyle w:val="FootnoteReference"/>
          <w:rFonts w:eastAsia="Arial Unicode MS"/>
        </w:rPr>
        <w:footnoteReference w:id="74"/>
      </w:r>
      <w:r w:rsidRPr="0096617C">
        <w:rPr>
          <w:rFonts w:eastAsia="Arial Unicode MS"/>
        </w:rPr>
        <w:t xml:space="preserve"> The QuakeLab Model also discussed the need for, “Data collection and thorough (consistent) assessment of the organisation.”</w:t>
      </w:r>
      <w:r>
        <w:rPr>
          <w:rStyle w:val="FootnoteReference"/>
          <w:rFonts w:eastAsia="Arial Unicode MS"/>
        </w:rPr>
        <w:footnoteReference w:id="75"/>
      </w:r>
    </w:p>
    <w:p w14:paraId="2A22DF87" w14:textId="77777777" w:rsidR="0096617C" w:rsidRPr="0096617C" w:rsidRDefault="0096617C" w:rsidP="0096617C">
      <w:pPr>
        <w:rPr>
          <w:rFonts w:eastAsia="Arial Unicode MS"/>
        </w:rPr>
      </w:pPr>
    </w:p>
    <w:p w14:paraId="5CE6246E" w14:textId="7B5D6B8C" w:rsidR="00A96C4F" w:rsidRDefault="0096617C" w:rsidP="0096617C">
      <w:pPr>
        <w:rPr>
          <w:rFonts w:eastAsia="Arial Unicode MS"/>
        </w:rPr>
      </w:pPr>
      <w:r w:rsidRPr="0096617C">
        <w:rPr>
          <w:rFonts w:eastAsia="Arial Unicode MS"/>
        </w:rPr>
        <w:t>Health system experts identified a range of practical considerations that are particularly important when applying this lever in a health system setting.</w:t>
      </w:r>
      <w:r>
        <w:rPr>
          <w:rFonts w:eastAsia="Arial Unicode MS"/>
        </w:rPr>
        <w:t xml:space="preserve"> </w:t>
      </w:r>
      <w:r w:rsidRPr="0096617C">
        <w:rPr>
          <w:rFonts w:eastAsia="Arial Unicode MS"/>
        </w:rPr>
        <w:t>These included:</w:t>
      </w:r>
    </w:p>
    <w:p w14:paraId="73783502" w14:textId="77777777" w:rsidR="0096617C" w:rsidRPr="0096617C" w:rsidRDefault="0096617C" w:rsidP="0096617C">
      <w:pPr>
        <w:pStyle w:val="Bullet"/>
        <w:rPr>
          <w:rFonts w:eastAsia="Arial Unicode MS"/>
        </w:rPr>
      </w:pPr>
      <w:r w:rsidRPr="0096617C">
        <w:rPr>
          <w:rFonts w:eastAsia="Arial Unicode MS"/>
        </w:rPr>
        <w:t>Periodic service reviews are implemented across the organisation on achieving equity and anti-racism priorities and practices</w:t>
      </w:r>
    </w:p>
    <w:p w14:paraId="6596737A" w14:textId="77777777" w:rsidR="0096617C" w:rsidRPr="0096617C" w:rsidRDefault="0096617C" w:rsidP="0096617C">
      <w:pPr>
        <w:pStyle w:val="Bullet"/>
        <w:rPr>
          <w:rFonts w:eastAsia="Arial Unicode MS"/>
        </w:rPr>
      </w:pPr>
      <w:r w:rsidRPr="0096617C">
        <w:rPr>
          <w:rFonts w:eastAsia="Arial Unicode MS"/>
        </w:rPr>
        <w:t>Implementation gaps revealed in periodic service reviews are visible and followed through on</w:t>
      </w:r>
    </w:p>
    <w:p w14:paraId="57D902EF" w14:textId="77777777" w:rsidR="0096617C" w:rsidRPr="0096617C" w:rsidRDefault="0096617C" w:rsidP="0096617C">
      <w:pPr>
        <w:pStyle w:val="Bullet"/>
        <w:rPr>
          <w:rFonts w:eastAsia="Arial Unicode MS"/>
        </w:rPr>
      </w:pPr>
      <w:r w:rsidRPr="0096617C">
        <w:rPr>
          <w:rFonts w:eastAsia="Arial Unicode MS"/>
        </w:rPr>
        <w:t>Organisation engages in equity auditing</w:t>
      </w:r>
    </w:p>
    <w:p w14:paraId="3B526F14" w14:textId="77777777" w:rsidR="0096617C" w:rsidRPr="0096617C" w:rsidRDefault="0096617C" w:rsidP="0096617C">
      <w:pPr>
        <w:pStyle w:val="Bullet"/>
        <w:rPr>
          <w:rFonts w:eastAsia="Arial Unicode MS"/>
        </w:rPr>
      </w:pPr>
      <w:r w:rsidRPr="0096617C">
        <w:rPr>
          <w:rFonts w:eastAsia="Arial Unicode MS"/>
        </w:rPr>
        <w:t>Embed measures within existing reporting mechanisms</w:t>
      </w:r>
    </w:p>
    <w:p w14:paraId="647C2D74" w14:textId="77777777" w:rsidR="0096617C" w:rsidRPr="0096617C" w:rsidRDefault="0096617C" w:rsidP="0096617C">
      <w:pPr>
        <w:pStyle w:val="Bullet"/>
        <w:rPr>
          <w:rFonts w:eastAsia="Arial Unicode MS"/>
        </w:rPr>
      </w:pPr>
      <w:r w:rsidRPr="0096617C">
        <w:rPr>
          <w:rFonts w:eastAsia="Arial Unicode MS"/>
        </w:rPr>
        <w:t>Outcomes of monitoring and accountability processes are shared with communities (ie community accountability).</w:t>
      </w:r>
    </w:p>
    <w:p w14:paraId="49463D1F" w14:textId="7545C9A9" w:rsidR="0096617C" w:rsidRDefault="0096617C" w:rsidP="0096617C">
      <w:pPr>
        <w:rPr>
          <w:rFonts w:eastAsia="Arial Unicode MS"/>
        </w:rPr>
      </w:pPr>
    </w:p>
    <w:p w14:paraId="1156493E" w14:textId="122E57B4" w:rsidR="0096617C" w:rsidRDefault="0096617C" w:rsidP="0096617C">
      <w:pPr>
        <w:rPr>
          <w:rFonts w:eastAsia="Arial Unicode MS"/>
        </w:rPr>
      </w:pPr>
      <w:r w:rsidRPr="0096617C">
        <w:rPr>
          <w:rFonts w:eastAsia="Arial Unicode MS"/>
        </w:rPr>
        <w:t xml:space="preserve">We have identified </w:t>
      </w:r>
      <w:r w:rsidRPr="0096617C">
        <w:rPr>
          <w:rFonts w:eastAsia="Arial Unicode MS"/>
          <w:b/>
          <w:bCs/>
        </w:rPr>
        <w:t>monitoring and auditing</w:t>
      </w:r>
      <w:r w:rsidRPr="0096617C">
        <w:rPr>
          <w:rFonts w:eastAsia="Arial Unicode MS"/>
        </w:rPr>
        <w:t xml:space="preserve"> as a lever for change and propose a micro-lever that supports this component of transformation.</w:t>
      </w:r>
    </w:p>
    <w:p w14:paraId="738469D5" w14:textId="77777777" w:rsidR="0096617C" w:rsidRDefault="0096617C" w:rsidP="0096617C">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694"/>
        <w:gridCol w:w="5375"/>
      </w:tblGrid>
      <w:tr w:rsidR="0096617C" w14:paraId="0A1744DE" w14:textId="77777777" w:rsidTr="00A121FC">
        <w:tc>
          <w:tcPr>
            <w:tcW w:w="2694" w:type="dxa"/>
            <w:shd w:val="clear" w:color="auto" w:fill="D9D9D9" w:themeFill="background1" w:themeFillShade="D9"/>
          </w:tcPr>
          <w:p w14:paraId="39DD123B" w14:textId="30A538B3" w:rsidR="0096617C" w:rsidRPr="004D0223" w:rsidRDefault="0096617C" w:rsidP="00A121FC">
            <w:pPr>
              <w:spacing w:before="60" w:after="60"/>
              <w:ind w:right="28"/>
              <w:rPr>
                <w:b/>
                <w:bCs/>
              </w:rPr>
            </w:pPr>
            <w:r w:rsidRPr="0096617C">
              <w:rPr>
                <w:b/>
                <w:bCs/>
              </w:rPr>
              <w:t>Monitoring and Auditing</w:t>
            </w:r>
          </w:p>
        </w:tc>
        <w:tc>
          <w:tcPr>
            <w:tcW w:w="5375" w:type="dxa"/>
          </w:tcPr>
          <w:p w14:paraId="3BDF8C54" w14:textId="0D103AD6" w:rsidR="0096617C" w:rsidRDefault="0096617C" w:rsidP="00360A8E">
            <w:pPr>
              <w:pStyle w:val="Bullet"/>
              <w:spacing w:before="60" w:after="60"/>
            </w:pPr>
            <w:r w:rsidRPr="0096617C">
              <w:t>Organisation engages in equity auditing of organisational performance.</w:t>
            </w:r>
          </w:p>
        </w:tc>
      </w:tr>
    </w:tbl>
    <w:p w14:paraId="44722CB7" w14:textId="77777777" w:rsidR="0064755D" w:rsidRDefault="0064755D" w:rsidP="0064755D">
      <w:pPr>
        <w:pStyle w:val="Heading1"/>
        <w:rPr>
          <w:rFonts w:eastAsia="Lucida Sans Unicode"/>
        </w:rPr>
        <w:sectPr w:rsidR="0064755D" w:rsidSect="00841590">
          <w:footerReference w:type="even" r:id="rId28"/>
          <w:footerReference w:type="default" r:id="rId29"/>
          <w:pgSz w:w="11907" w:h="16840" w:code="9"/>
          <w:pgMar w:top="1418" w:right="1701" w:bottom="1134" w:left="1843" w:header="284" w:footer="425" w:gutter="284"/>
          <w:cols w:space="720"/>
        </w:sectPr>
      </w:pPr>
    </w:p>
    <w:p w14:paraId="5E53C0CB" w14:textId="222D71C4" w:rsidR="0096617C" w:rsidRPr="0064755D" w:rsidRDefault="0096617C" w:rsidP="008A6D86">
      <w:pPr>
        <w:pStyle w:val="Heading1"/>
        <w:spacing w:before="0"/>
        <w:rPr>
          <w:rFonts w:eastAsia="Lucida Sans Unicode"/>
        </w:rPr>
      </w:pPr>
      <w:bookmarkStart w:id="23" w:name="_Toc128660389"/>
      <w:r w:rsidRPr="0064755D">
        <w:rPr>
          <w:rFonts w:eastAsia="Lucida Sans Unicode"/>
        </w:rPr>
        <w:lastRenderedPageBreak/>
        <w:t>Core Business Levers for Change</w:t>
      </w:r>
      <w:bookmarkEnd w:id="23"/>
    </w:p>
    <w:p w14:paraId="60FCE807" w14:textId="5D37D75E" w:rsidR="0096617C" w:rsidRPr="0096617C" w:rsidRDefault="0096617C" w:rsidP="00D35609">
      <w:pPr>
        <w:ind w:right="-143"/>
        <w:rPr>
          <w:rFonts w:eastAsia="Arial Unicode MS"/>
        </w:rPr>
      </w:pPr>
      <w:r w:rsidRPr="0096617C">
        <w:rPr>
          <w:rFonts w:eastAsia="Arial Unicode MS"/>
        </w:rPr>
        <w:t>Core Business Levers are direct, practical changes to the product or service an organization delivers. We have created</w:t>
      </w:r>
      <w:r>
        <w:rPr>
          <w:rFonts w:eastAsia="Arial Unicode MS"/>
        </w:rPr>
        <w:t xml:space="preserve"> </w:t>
      </w:r>
      <w:r w:rsidRPr="0096617C">
        <w:rPr>
          <w:rFonts w:eastAsia="Arial Unicode MS"/>
        </w:rPr>
        <w:t>a distinction between organisational and core business levers to highlight the importance of the who, what, when, where and how a product and/or service is delivered by an organisation. Each</w:t>
      </w:r>
      <w:r>
        <w:rPr>
          <w:rFonts w:eastAsia="Arial Unicode MS"/>
        </w:rPr>
        <w:t xml:space="preserve"> </w:t>
      </w:r>
      <w:r w:rsidRPr="0096617C">
        <w:rPr>
          <w:rFonts w:eastAsia="Arial Unicode MS"/>
        </w:rPr>
        <w:t>of these facets has been infused over time with norms and habits that embed racism and racial disadvantage.</w:t>
      </w:r>
    </w:p>
    <w:p w14:paraId="615E35B9" w14:textId="77777777" w:rsidR="0096617C" w:rsidRPr="0096617C" w:rsidRDefault="0096617C" w:rsidP="00D35609">
      <w:pPr>
        <w:ind w:right="-143"/>
        <w:rPr>
          <w:rFonts w:eastAsia="Arial Unicode MS"/>
        </w:rPr>
      </w:pPr>
    </w:p>
    <w:p w14:paraId="673D6775" w14:textId="1FC2E8F2" w:rsidR="0096617C" w:rsidRPr="0096617C" w:rsidRDefault="0096617C" w:rsidP="00D35609">
      <w:pPr>
        <w:ind w:right="-143"/>
        <w:rPr>
          <w:rFonts w:eastAsia="Arial Unicode MS"/>
        </w:rPr>
      </w:pPr>
      <w:r w:rsidRPr="0096617C">
        <w:rPr>
          <w:rFonts w:eastAsia="Arial Unicode MS"/>
        </w:rPr>
        <w:t>These deeply embedded features of the core business can become so taken for granted that they are invisible or</w:t>
      </w:r>
      <w:r>
        <w:rPr>
          <w:rFonts w:eastAsia="Arial Unicode MS"/>
        </w:rPr>
        <w:t xml:space="preserve"> </w:t>
      </w:r>
      <w:r w:rsidRPr="0096617C">
        <w:rPr>
          <w:rFonts w:eastAsia="Arial Unicode MS"/>
        </w:rPr>
        <w:t>perceived as immutable. Changing those features can profoundly advance anti- racism, for example, increasing Māori uptake of vaccinations by changing</w:t>
      </w:r>
      <w:r>
        <w:rPr>
          <w:rFonts w:eastAsia="Arial Unicode MS"/>
        </w:rPr>
        <w:t xml:space="preserve"> </w:t>
      </w:r>
      <w:r w:rsidRPr="0096617C">
        <w:rPr>
          <w:rFonts w:eastAsia="Arial Unicode MS"/>
        </w:rPr>
        <w:t>‘by whom and where’ the vaccine is administered.</w:t>
      </w:r>
      <w:r>
        <w:rPr>
          <w:rStyle w:val="FootnoteReference"/>
          <w:rFonts w:eastAsia="Arial Unicode MS"/>
        </w:rPr>
        <w:footnoteReference w:id="76"/>
      </w:r>
      <w:r w:rsidRPr="0096617C">
        <w:rPr>
          <w:rFonts w:eastAsia="Arial Unicode MS"/>
        </w:rPr>
        <w:t xml:space="preserve"> In our view, core</w:t>
      </w:r>
    </w:p>
    <w:p w14:paraId="05DD0F29" w14:textId="6E83BA80" w:rsidR="0096617C" w:rsidRPr="0096617C" w:rsidRDefault="0096617C" w:rsidP="00D35609">
      <w:pPr>
        <w:ind w:right="-143"/>
        <w:rPr>
          <w:rFonts w:eastAsia="Arial Unicode MS"/>
        </w:rPr>
      </w:pPr>
      <w:r w:rsidRPr="0096617C">
        <w:rPr>
          <w:rFonts w:eastAsia="Arial Unicode MS"/>
        </w:rPr>
        <w:t>business changes are direct, practical interventions in some of the genesis factors for racism. However, much of the literature and practice is premised on the tacit assumption that if organisational design levers are used (eg leadership</w:t>
      </w:r>
      <w:r>
        <w:rPr>
          <w:rFonts w:eastAsia="Arial Unicode MS"/>
        </w:rPr>
        <w:t xml:space="preserve"> </w:t>
      </w:r>
      <w:r w:rsidRPr="0096617C">
        <w:rPr>
          <w:rFonts w:eastAsia="Arial Unicode MS"/>
        </w:rPr>
        <w:t>or diversity hires), there will be a flow on effect of changing the core business.</w:t>
      </w:r>
      <w:r>
        <w:rPr>
          <w:rFonts w:eastAsia="Arial Unicode MS"/>
        </w:rPr>
        <w:t xml:space="preserve"> </w:t>
      </w:r>
      <w:r w:rsidRPr="0096617C">
        <w:rPr>
          <w:rFonts w:eastAsia="Arial Unicode MS"/>
        </w:rPr>
        <w:t>While this may well transpire, we believe it is important to centre core business changes as a lever in their own right.</w:t>
      </w:r>
    </w:p>
    <w:p w14:paraId="0C9B4348" w14:textId="77777777" w:rsidR="0096617C" w:rsidRPr="0096617C" w:rsidRDefault="0096617C" w:rsidP="0096617C">
      <w:pPr>
        <w:rPr>
          <w:rFonts w:eastAsia="Arial Unicode MS"/>
        </w:rPr>
      </w:pPr>
    </w:p>
    <w:p w14:paraId="03D483D8" w14:textId="3715DC58" w:rsidR="0096617C" w:rsidRPr="0096617C" w:rsidRDefault="0096617C" w:rsidP="0096617C">
      <w:pPr>
        <w:rPr>
          <w:rFonts w:eastAsia="Arial Unicode MS"/>
        </w:rPr>
      </w:pPr>
      <w:r w:rsidRPr="0096617C">
        <w:rPr>
          <w:rFonts w:eastAsia="Arial Unicode MS"/>
        </w:rPr>
        <w:t>We also note that some of the organisational levers of change are predominantly preparatory in</w:t>
      </w:r>
      <w:r>
        <w:rPr>
          <w:rFonts w:eastAsia="Arial Unicode MS"/>
        </w:rPr>
        <w:t xml:space="preserve"> </w:t>
      </w:r>
      <w:r w:rsidRPr="0096617C">
        <w:rPr>
          <w:rFonts w:eastAsia="Arial Unicode MS"/>
        </w:rPr>
        <w:t>nature, meaning that they are indirect</w:t>
      </w:r>
      <w:r>
        <w:rPr>
          <w:rFonts w:eastAsia="Arial Unicode MS"/>
        </w:rPr>
        <w:t xml:space="preserve"> </w:t>
      </w:r>
      <w:r w:rsidRPr="0096617C">
        <w:rPr>
          <w:rFonts w:eastAsia="Arial Unicode MS"/>
        </w:rPr>
        <w:t>ways of advancing anti-racism. For example, monitoring performance or budget allocation raises issue visibility and transparency that may catalyse organisational change, but they are attenuated from deeper anti-racist change. Similarly, increasing ‘diversity hires’ to create a cluster effect is predominantly a protective mechanism that increases the retention of people likely to be exposed to</w:t>
      </w:r>
      <w:r>
        <w:rPr>
          <w:rFonts w:eastAsia="Arial Unicode MS"/>
        </w:rPr>
        <w:t xml:space="preserve"> </w:t>
      </w:r>
      <w:r w:rsidRPr="0096617C">
        <w:rPr>
          <w:rFonts w:eastAsia="Arial Unicode MS"/>
        </w:rPr>
        <w:t>the impacts of latent organisational racism. We believe it is critical to ensure the ‘core business’ of an organisation is seen as containing a suite of levers for change</w:t>
      </w:r>
      <w:r w:rsidR="00D35609">
        <w:rPr>
          <w:rFonts w:eastAsia="Arial Unicode MS"/>
        </w:rPr>
        <w:t xml:space="preserve"> </w:t>
      </w:r>
      <w:r w:rsidRPr="0096617C">
        <w:rPr>
          <w:rFonts w:eastAsia="Arial Unicode MS"/>
        </w:rPr>
        <w:t>that are direct, durable and deep ways of effecting anti-racist change.</w:t>
      </w:r>
    </w:p>
    <w:p w14:paraId="0AD2B982" w14:textId="77777777" w:rsidR="0096617C" w:rsidRPr="0096617C" w:rsidRDefault="0096617C" w:rsidP="0096617C">
      <w:pPr>
        <w:rPr>
          <w:rFonts w:eastAsia="Arial Unicode MS"/>
        </w:rPr>
      </w:pPr>
    </w:p>
    <w:p w14:paraId="16E7465F" w14:textId="51236101" w:rsidR="0096617C" w:rsidRPr="00A96C4F" w:rsidRDefault="0096617C" w:rsidP="0096617C">
      <w:pPr>
        <w:rPr>
          <w:rFonts w:eastAsia="Arial Unicode MS"/>
        </w:rPr>
      </w:pPr>
      <w:r w:rsidRPr="0096617C">
        <w:rPr>
          <w:rFonts w:eastAsia="Arial Unicode MS"/>
        </w:rPr>
        <w:t>We believe there is value in explicitly recognising four levers for change within the core business of health organisations:</w:t>
      </w:r>
    </w:p>
    <w:p w14:paraId="617DE6BB" w14:textId="77777777" w:rsidR="00D35609" w:rsidRPr="00D35609" w:rsidRDefault="00D35609" w:rsidP="00D35609">
      <w:pPr>
        <w:pStyle w:val="Bullet"/>
        <w:rPr>
          <w:rFonts w:eastAsia="Arial Unicode MS"/>
        </w:rPr>
      </w:pPr>
      <w:r w:rsidRPr="00D35609">
        <w:rPr>
          <w:rFonts w:eastAsia="Arial Unicode MS"/>
        </w:rPr>
        <w:t>Access to the core business— changing access routes or criteria is positioned as central to anti-racism;</w:t>
      </w:r>
    </w:p>
    <w:p w14:paraId="36098022" w14:textId="77777777" w:rsidR="00D35609" w:rsidRPr="00D35609" w:rsidRDefault="00D35609" w:rsidP="00D35609">
      <w:pPr>
        <w:pStyle w:val="Bullet"/>
        <w:rPr>
          <w:rFonts w:eastAsia="Arial Unicode MS"/>
        </w:rPr>
      </w:pPr>
      <w:r w:rsidRPr="00D35609">
        <w:rPr>
          <w:rFonts w:eastAsia="Arial Unicode MS"/>
        </w:rPr>
        <w:t>Method of delivery—exploring changes to who delivers a product/service, as well as the ‘feel’ of that particular product or service to progress anti- racism;</w:t>
      </w:r>
    </w:p>
    <w:p w14:paraId="16208D93" w14:textId="3B9D82A5" w:rsidR="00D35609" w:rsidRPr="00D35609" w:rsidRDefault="00D35609" w:rsidP="00D35609">
      <w:pPr>
        <w:pStyle w:val="Bullet"/>
        <w:rPr>
          <w:rFonts w:eastAsia="Arial Unicode MS"/>
        </w:rPr>
      </w:pPr>
      <w:r w:rsidRPr="00D35609">
        <w:rPr>
          <w:rFonts w:eastAsia="Arial Unicode MS"/>
        </w:rPr>
        <w:t>Tailoring products and services—so that there is an explicit invitation to organisations to create tailored solutions for particular groups exposed to racism. We consider that this lever</w:t>
      </w:r>
      <w:r>
        <w:rPr>
          <w:rFonts w:eastAsia="Arial Unicode MS"/>
        </w:rPr>
        <w:t xml:space="preserve"> </w:t>
      </w:r>
      <w:r w:rsidRPr="00D35609">
        <w:rPr>
          <w:rFonts w:eastAsia="Arial Unicode MS"/>
        </w:rPr>
        <w:t>is particularly important in our national context where universalism is often equated with fairness, when in actuality, universalism is a key contributor to disadvantage; and</w:t>
      </w:r>
      <w:r>
        <w:rPr>
          <w:rFonts w:eastAsia="Arial Unicode MS"/>
        </w:rPr>
        <w:t xml:space="preserve"> </w:t>
      </w:r>
    </w:p>
    <w:p w14:paraId="55DCFCD9" w14:textId="57318DE2" w:rsidR="00D35609" w:rsidRPr="00D35609" w:rsidRDefault="00D35609" w:rsidP="00D35609">
      <w:pPr>
        <w:pStyle w:val="Bullet"/>
        <w:rPr>
          <w:rFonts w:eastAsia="Arial Unicode MS"/>
        </w:rPr>
      </w:pPr>
      <w:r w:rsidRPr="00D35609">
        <w:rPr>
          <w:rFonts w:eastAsia="Arial Unicode MS"/>
        </w:rPr>
        <w:lastRenderedPageBreak/>
        <w:t xml:space="preserve">Equity driven innovation—we believe that innovation which </w:t>
      </w:r>
      <w:r w:rsidR="00A65CFB" w:rsidRPr="00D35609">
        <w:rPr>
          <w:rFonts w:eastAsia="Arial Unicode MS"/>
        </w:rPr>
        <w:t>centres</w:t>
      </w:r>
      <w:r w:rsidRPr="00D35609">
        <w:rPr>
          <w:rFonts w:eastAsia="Arial Unicode MS"/>
        </w:rPr>
        <w:t xml:space="preserve"> equity as the driver for imagination, invention and innovation will produce distinctive outcomes and potentially require unique processes to support it.</w:t>
      </w:r>
    </w:p>
    <w:p w14:paraId="0764428D" w14:textId="483DBD3E" w:rsidR="00D35609" w:rsidRDefault="00D35609" w:rsidP="00D35609">
      <w:pPr>
        <w:rPr>
          <w:rFonts w:eastAsia="Arial Unicode MS"/>
        </w:rPr>
      </w:pPr>
    </w:p>
    <w:p w14:paraId="0391C0C7" w14:textId="14326C9B" w:rsidR="00D35609" w:rsidRDefault="00D35609" w:rsidP="00D35609">
      <w:pPr>
        <w:rPr>
          <w:rFonts w:eastAsia="Arial Unicode MS"/>
        </w:rPr>
      </w:pPr>
      <w:r w:rsidRPr="00D35609">
        <w:rPr>
          <w:rFonts w:eastAsia="Arial Unicode MS"/>
        </w:rPr>
        <w:t>Using these levers requires an innovative approach to embed anti-racism and, in our view, places a particular value on tailoring services and products to under-served groups. Some of the micro levers we consider are particularly relevant for further exploration include:</w:t>
      </w:r>
    </w:p>
    <w:p w14:paraId="4E1C8DDA" w14:textId="77777777" w:rsidR="00D35609" w:rsidRDefault="00D35609" w:rsidP="00D35609">
      <w:pPr>
        <w:rPr>
          <w:rFonts w:eastAsia="Arial Unicode M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843"/>
        <w:gridCol w:w="6226"/>
      </w:tblGrid>
      <w:tr w:rsidR="00D35609" w14:paraId="478EBBD0" w14:textId="77777777" w:rsidTr="000D1BF9">
        <w:tc>
          <w:tcPr>
            <w:tcW w:w="1843" w:type="dxa"/>
            <w:shd w:val="clear" w:color="auto" w:fill="D9D9D9" w:themeFill="background1" w:themeFillShade="D9"/>
          </w:tcPr>
          <w:p w14:paraId="387AD4BD" w14:textId="7C66AA76" w:rsidR="00D35609" w:rsidRPr="00D35609" w:rsidRDefault="00D35609" w:rsidP="00D35609">
            <w:pPr>
              <w:spacing w:before="40" w:after="40"/>
              <w:ind w:right="28"/>
              <w:rPr>
                <w:b/>
                <w:bCs/>
              </w:rPr>
            </w:pPr>
            <w:r w:rsidRPr="00D35609">
              <w:rPr>
                <w:b/>
                <w:bCs/>
              </w:rPr>
              <w:t>Access</w:t>
            </w:r>
          </w:p>
        </w:tc>
        <w:tc>
          <w:tcPr>
            <w:tcW w:w="6226" w:type="dxa"/>
            <w:vMerge w:val="restart"/>
          </w:tcPr>
          <w:p w14:paraId="51DED42B" w14:textId="23603E3A" w:rsidR="00D35609" w:rsidRDefault="00D35609" w:rsidP="00360A8E">
            <w:pPr>
              <w:pStyle w:val="Bullet"/>
              <w:spacing w:before="60" w:after="60"/>
            </w:pPr>
            <w:r>
              <w:t>Organisation recognises that mainstream products/ services/ access channels may embed inequity</w:t>
            </w:r>
          </w:p>
          <w:p w14:paraId="5B4029C1" w14:textId="4B84BEEF" w:rsidR="00D35609" w:rsidRDefault="00D35609" w:rsidP="00360A8E">
            <w:pPr>
              <w:pStyle w:val="Bullet"/>
              <w:spacing w:before="60" w:after="60"/>
            </w:pPr>
            <w:r>
              <w:t>Organisation encourages development of tailored products/ services/ access channels that respond to needs, interests and aspirations of underserved groups (eg by Māori for Māori)</w:t>
            </w:r>
          </w:p>
        </w:tc>
      </w:tr>
      <w:tr w:rsidR="00D35609" w14:paraId="29B436D9" w14:textId="77777777" w:rsidTr="000D1BF9">
        <w:tc>
          <w:tcPr>
            <w:tcW w:w="1843" w:type="dxa"/>
            <w:shd w:val="clear" w:color="auto" w:fill="D9D9D9" w:themeFill="background1" w:themeFillShade="D9"/>
          </w:tcPr>
          <w:p w14:paraId="6EB3AFFC" w14:textId="09A65F64" w:rsidR="00D35609" w:rsidRPr="00D35609" w:rsidRDefault="00D35609" w:rsidP="00D35609">
            <w:pPr>
              <w:spacing w:before="40" w:after="40"/>
              <w:ind w:right="28"/>
              <w:rPr>
                <w:b/>
                <w:bCs/>
              </w:rPr>
            </w:pPr>
            <w:r w:rsidRPr="00D35609">
              <w:rPr>
                <w:b/>
                <w:bCs/>
              </w:rPr>
              <w:t>Method</w:t>
            </w:r>
          </w:p>
        </w:tc>
        <w:tc>
          <w:tcPr>
            <w:tcW w:w="6226" w:type="dxa"/>
            <w:vMerge/>
          </w:tcPr>
          <w:p w14:paraId="7E7355EC" w14:textId="03560990" w:rsidR="00D35609" w:rsidRPr="0096617C" w:rsidRDefault="00D35609" w:rsidP="00360A8E">
            <w:pPr>
              <w:pStyle w:val="Bullet"/>
              <w:spacing w:before="60" w:after="60"/>
            </w:pPr>
          </w:p>
        </w:tc>
      </w:tr>
      <w:tr w:rsidR="00D35609" w14:paraId="0BC6E2E2" w14:textId="77777777" w:rsidTr="000D1BF9">
        <w:tc>
          <w:tcPr>
            <w:tcW w:w="1843" w:type="dxa"/>
            <w:shd w:val="clear" w:color="auto" w:fill="D9D9D9" w:themeFill="background1" w:themeFillShade="D9"/>
          </w:tcPr>
          <w:p w14:paraId="21C28A48" w14:textId="4EA62FCE" w:rsidR="00D35609" w:rsidRPr="00D35609" w:rsidRDefault="00D35609" w:rsidP="00D35609">
            <w:pPr>
              <w:spacing w:before="40" w:after="40"/>
              <w:ind w:right="28"/>
              <w:rPr>
                <w:b/>
                <w:bCs/>
              </w:rPr>
            </w:pPr>
            <w:r w:rsidRPr="00D35609">
              <w:rPr>
                <w:b/>
                <w:bCs/>
              </w:rPr>
              <w:t>Tailoring</w:t>
            </w:r>
          </w:p>
        </w:tc>
        <w:tc>
          <w:tcPr>
            <w:tcW w:w="6226" w:type="dxa"/>
            <w:vMerge/>
          </w:tcPr>
          <w:p w14:paraId="3F3FC073" w14:textId="77777777" w:rsidR="00D35609" w:rsidRPr="0096617C" w:rsidRDefault="00D35609" w:rsidP="00360A8E">
            <w:pPr>
              <w:pStyle w:val="Bullet"/>
              <w:spacing w:before="60" w:after="60"/>
            </w:pPr>
          </w:p>
        </w:tc>
      </w:tr>
      <w:tr w:rsidR="00D35609" w14:paraId="276802B8" w14:textId="77777777" w:rsidTr="000D1BF9">
        <w:tc>
          <w:tcPr>
            <w:tcW w:w="1843" w:type="dxa"/>
            <w:shd w:val="clear" w:color="auto" w:fill="D9D9D9" w:themeFill="background1" w:themeFillShade="D9"/>
          </w:tcPr>
          <w:p w14:paraId="28F04B94" w14:textId="5884DFAE" w:rsidR="00D35609" w:rsidRPr="00D35609" w:rsidRDefault="00D35609" w:rsidP="00D35609">
            <w:pPr>
              <w:spacing w:before="40" w:after="40"/>
              <w:ind w:right="28"/>
              <w:rPr>
                <w:b/>
                <w:bCs/>
              </w:rPr>
            </w:pPr>
            <w:r w:rsidRPr="00D35609">
              <w:rPr>
                <w:b/>
                <w:bCs/>
              </w:rPr>
              <w:t>Equity Driven Innovation</w:t>
            </w:r>
          </w:p>
        </w:tc>
        <w:tc>
          <w:tcPr>
            <w:tcW w:w="6226" w:type="dxa"/>
          </w:tcPr>
          <w:p w14:paraId="18731DC4" w14:textId="77777777" w:rsidR="00D35609" w:rsidRDefault="00D35609" w:rsidP="00360A8E">
            <w:pPr>
              <w:pStyle w:val="Bullet"/>
              <w:spacing w:before="60" w:after="60"/>
            </w:pPr>
            <w:r>
              <w:t>Organisation can identify innovations that achieve enhanced equity</w:t>
            </w:r>
          </w:p>
          <w:p w14:paraId="3BC540EC" w14:textId="56A907B1" w:rsidR="00D35609" w:rsidRDefault="00D35609" w:rsidP="00360A8E">
            <w:pPr>
              <w:pStyle w:val="Bullet"/>
              <w:spacing w:before="60" w:after="60"/>
            </w:pPr>
            <w:r>
              <w:t>Organisation prioritises achieving equity as an objective of innovation</w:t>
            </w:r>
          </w:p>
          <w:p w14:paraId="25902F01" w14:textId="10211338" w:rsidR="00D35609" w:rsidRPr="0096617C" w:rsidRDefault="00D35609" w:rsidP="00360A8E">
            <w:pPr>
              <w:pStyle w:val="Bullet"/>
              <w:spacing w:before="60" w:after="60"/>
            </w:pPr>
            <w:r>
              <w:t>Equity driven innovation is pervasive across the organisation</w:t>
            </w:r>
          </w:p>
        </w:tc>
      </w:tr>
    </w:tbl>
    <w:p w14:paraId="6D7D425C" w14:textId="7967AB45" w:rsidR="00D35609" w:rsidRDefault="00D35609" w:rsidP="00D35609">
      <w:pPr>
        <w:rPr>
          <w:rFonts w:eastAsia="Arial Unicode MS"/>
        </w:rPr>
      </w:pPr>
    </w:p>
    <w:p w14:paraId="19226CFB" w14:textId="00A8F215" w:rsidR="00D35609" w:rsidRPr="00D35609" w:rsidRDefault="00E42B0F" w:rsidP="00D35609">
      <w:pPr>
        <w:rPr>
          <w:rFonts w:eastAsia="Arial Unicode MS"/>
        </w:rPr>
      </w:pPr>
      <w:r w:rsidRPr="00E42B0F">
        <w:rPr>
          <w:rFonts w:eastAsia="Arial Unicode MS"/>
        </w:rPr>
        <w:t>These four additional levers are not explicitly named in literature or practice in this way, but should be considered within an anti-racism systems change model.</w:t>
      </w:r>
    </w:p>
    <w:p w14:paraId="5180DB77" w14:textId="77777777" w:rsidR="0064755D" w:rsidRDefault="0064755D" w:rsidP="000D1BF9">
      <w:pPr>
        <w:pStyle w:val="Heading1"/>
        <w:rPr>
          <w:rFonts w:eastAsia="Arial Unicode MS"/>
        </w:rPr>
        <w:sectPr w:rsidR="0064755D" w:rsidSect="00841590">
          <w:pgSz w:w="11907" w:h="16840" w:code="9"/>
          <w:pgMar w:top="1418" w:right="1701" w:bottom="1134" w:left="1843" w:header="284" w:footer="425" w:gutter="284"/>
          <w:cols w:space="720"/>
        </w:sectPr>
      </w:pPr>
    </w:p>
    <w:p w14:paraId="08E88F94" w14:textId="6B2A5161" w:rsidR="000D1BF9" w:rsidRPr="000D1BF9" w:rsidRDefault="000D1BF9" w:rsidP="008A6D86">
      <w:pPr>
        <w:pStyle w:val="Heading1"/>
        <w:spacing w:before="0"/>
        <w:rPr>
          <w:rFonts w:eastAsia="Arial Unicode MS"/>
        </w:rPr>
      </w:pPr>
      <w:bookmarkStart w:id="24" w:name="_Toc128660390"/>
      <w:r w:rsidRPr="000D1BF9">
        <w:rPr>
          <w:rFonts w:eastAsia="Arial Unicode MS"/>
        </w:rPr>
        <w:lastRenderedPageBreak/>
        <w:t>Recommended suite of anti-racism levers</w:t>
      </w:r>
      <w:bookmarkEnd w:id="24"/>
    </w:p>
    <w:p w14:paraId="45ABD005" w14:textId="1DC8EC0D" w:rsidR="000D1BF9" w:rsidRPr="000D1BF9" w:rsidRDefault="000D1BF9" w:rsidP="000D1BF9">
      <w:pPr>
        <w:rPr>
          <w:rFonts w:eastAsia="Arial Unicode MS"/>
        </w:rPr>
      </w:pPr>
      <w:r w:rsidRPr="000D1BF9">
        <w:rPr>
          <w:rFonts w:eastAsia="Arial Unicode MS"/>
        </w:rPr>
        <w:t>This review has identified a broad suite of levers for change that are substantiated by practice with robust theoretical foundations, but there are some areas where there is a lack of empirical work attesting to the efficacy of specific levers. This gap in the literature perhaps reflects the relative immaturity of practice, relatively small community of active researchers and</w:t>
      </w:r>
      <w:r>
        <w:rPr>
          <w:rFonts w:eastAsia="Arial Unicode MS"/>
        </w:rPr>
        <w:t xml:space="preserve"> </w:t>
      </w:r>
      <w:r w:rsidRPr="000D1BF9">
        <w:rPr>
          <w:rFonts w:eastAsia="Arial Unicode MS"/>
        </w:rPr>
        <w:t>methodological challenges in identifying relative attribution of specific levers as most organisations pursuing anti-racism deploy multiple levers simultaneously.</w:t>
      </w:r>
    </w:p>
    <w:p w14:paraId="6B5819B2" w14:textId="77777777" w:rsidR="000D1BF9" w:rsidRPr="000D1BF9" w:rsidRDefault="000D1BF9" w:rsidP="000D1BF9">
      <w:pPr>
        <w:rPr>
          <w:rFonts w:eastAsia="Arial Unicode MS"/>
        </w:rPr>
      </w:pPr>
    </w:p>
    <w:p w14:paraId="6F842125" w14:textId="5744C106" w:rsidR="000D1BF9" w:rsidRPr="000D1BF9" w:rsidRDefault="000D1BF9" w:rsidP="000D1BF9">
      <w:pPr>
        <w:rPr>
          <w:rFonts w:eastAsia="Arial Unicode MS"/>
        </w:rPr>
      </w:pPr>
      <w:r w:rsidRPr="000D1BF9">
        <w:rPr>
          <w:rFonts w:eastAsia="Arial Unicode MS"/>
        </w:rPr>
        <w:t>On the basis of existing literature and insights from health system experts, we recommend that a suite of levers for change are adopted within the anti- racism approach. We also recommend that in subsequent phases of Ao Mai</w:t>
      </w:r>
      <w:r>
        <w:rPr>
          <w:rFonts w:eastAsia="Arial Unicode MS"/>
        </w:rPr>
        <w:t xml:space="preserve"> </w:t>
      </w:r>
      <w:r w:rsidRPr="000D1BF9">
        <w:rPr>
          <w:rFonts w:eastAsia="Arial Unicode MS"/>
        </w:rPr>
        <w:t>te Rā: the Anti-Racism Kaupapa that evidence is collected on the relative</w:t>
      </w:r>
      <w:r>
        <w:rPr>
          <w:rFonts w:eastAsia="Arial Unicode MS"/>
        </w:rPr>
        <w:t xml:space="preserve"> </w:t>
      </w:r>
      <w:r w:rsidRPr="000D1BF9">
        <w:rPr>
          <w:rFonts w:eastAsia="Arial Unicode MS"/>
        </w:rPr>
        <w:t>efficacy of specific levers, and micro-levers, as well as consideration given to contextual factors which effect efficacy.</w:t>
      </w:r>
    </w:p>
    <w:p w14:paraId="3AF88AAB" w14:textId="77777777" w:rsidR="000D1BF9" w:rsidRPr="000D1BF9" w:rsidRDefault="000D1BF9" w:rsidP="000D1BF9">
      <w:pPr>
        <w:rPr>
          <w:rFonts w:eastAsia="Arial Unicode MS"/>
        </w:rPr>
      </w:pPr>
    </w:p>
    <w:p w14:paraId="70DB72CB" w14:textId="77777777" w:rsidR="00A95E51" w:rsidRDefault="000D1BF9" w:rsidP="000D1BF9">
      <w:pPr>
        <w:rPr>
          <w:rFonts w:eastAsia="Arial Unicode MS"/>
        </w:rPr>
        <w:sectPr w:rsidR="00A95E51" w:rsidSect="00841590">
          <w:pgSz w:w="11907" w:h="16840" w:code="9"/>
          <w:pgMar w:top="1418" w:right="1701" w:bottom="1134" w:left="1843" w:header="284" w:footer="425" w:gutter="284"/>
          <w:cols w:space="720"/>
        </w:sectPr>
      </w:pPr>
      <w:r w:rsidRPr="000D1BF9">
        <w:rPr>
          <w:rFonts w:eastAsia="Arial Unicode MS"/>
        </w:rPr>
        <w:t>One of the challenges in aligning practice and commentary on levers for change is the variability of language, so to assist with building a shared language, we consolidate below the levers and micro-levers we recommend for inclusion. Please note, the micro-levers are prefixed with a numbering system (eg K 1.1). We have included the numbering system to enable readers to trace the suggested levers of change. through the Ao Mai te Rā documents.</w:t>
      </w:r>
      <w:r>
        <w:rPr>
          <w:rFonts w:eastAsia="Arial Unicode MS"/>
        </w:rPr>
        <w:t xml:space="preserve"> </w:t>
      </w:r>
      <w:r w:rsidRPr="000D1BF9">
        <w:rPr>
          <w:rFonts w:eastAsia="Arial Unicode MS"/>
        </w:rPr>
        <w:t>The letter in the prefix is associated with the systems change model we have adopted which is discussed in the Preliminary Model for Anti-Racism</w:t>
      </w:r>
      <w:r>
        <w:rPr>
          <w:rFonts w:eastAsia="Arial Unicode MS"/>
        </w:rPr>
        <w:t xml:space="preserve"> </w:t>
      </w:r>
      <w:r w:rsidRPr="000D1BF9">
        <w:rPr>
          <w:rFonts w:eastAsia="Arial Unicode MS"/>
        </w:rPr>
        <w:t>Systems Change. It is also noted that some of the levers and micro-levers identified throughout this document have been clustered to remove duplication</w:t>
      </w:r>
      <w:r w:rsidR="00A95E51">
        <w:rPr>
          <w:rFonts w:eastAsia="Arial Unicode MS"/>
        </w:rPr>
        <w:t>.</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985"/>
        <w:gridCol w:w="2551"/>
        <w:gridCol w:w="3544"/>
        <w:gridCol w:w="5348"/>
      </w:tblGrid>
      <w:tr w:rsidR="00A95E51" w:rsidRPr="00A121FC" w14:paraId="0F755C03" w14:textId="77777777" w:rsidTr="00A121FC">
        <w:trPr>
          <w:tblHeader/>
        </w:trPr>
        <w:tc>
          <w:tcPr>
            <w:tcW w:w="1985" w:type="dxa"/>
            <w:tcBorders>
              <w:top w:val="nil"/>
              <w:bottom w:val="nil"/>
            </w:tcBorders>
            <w:shd w:val="clear" w:color="auto" w:fill="D9D9D9" w:themeFill="background1" w:themeFillShade="D9"/>
          </w:tcPr>
          <w:p w14:paraId="1F2DE387" w14:textId="5C8F57E9" w:rsidR="00A95E51" w:rsidRPr="00A121FC" w:rsidRDefault="00A95E51" w:rsidP="00A121FC">
            <w:pPr>
              <w:pStyle w:val="TableText"/>
              <w:rPr>
                <w:rFonts w:eastAsia="Arial Unicode MS"/>
                <w:b/>
                <w:bCs/>
              </w:rPr>
            </w:pPr>
            <w:r w:rsidRPr="00A121FC">
              <w:rPr>
                <w:rFonts w:eastAsia="Arial Unicode MS"/>
                <w:b/>
                <w:bCs/>
              </w:rPr>
              <w:lastRenderedPageBreak/>
              <w:t>Proposed Lever for Change</w:t>
            </w:r>
          </w:p>
        </w:tc>
        <w:tc>
          <w:tcPr>
            <w:tcW w:w="2551" w:type="dxa"/>
            <w:tcBorders>
              <w:top w:val="nil"/>
              <w:bottom w:val="nil"/>
            </w:tcBorders>
            <w:shd w:val="clear" w:color="auto" w:fill="D9D9D9" w:themeFill="background1" w:themeFillShade="D9"/>
          </w:tcPr>
          <w:p w14:paraId="3E7E7614" w14:textId="754A5797" w:rsidR="00A95E51" w:rsidRPr="00A121FC" w:rsidRDefault="00A95E51" w:rsidP="00A121FC">
            <w:pPr>
              <w:pStyle w:val="TableText"/>
              <w:rPr>
                <w:rFonts w:eastAsia="Arial Unicode MS"/>
                <w:b/>
                <w:bCs/>
              </w:rPr>
            </w:pPr>
            <w:r w:rsidRPr="00A121FC">
              <w:rPr>
                <w:rFonts w:eastAsia="Arial Unicode MS"/>
                <w:b/>
                <w:bCs/>
              </w:rPr>
              <w:t>Alternative names used in literature and practice</w:t>
            </w:r>
          </w:p>
        </w:tc>
        <w:tc>
          <w:tcPr>
            <w:tcW w:w="3544" w:type="dxa"/>
            <w:tcBorders>
              <w:top w:val="nil"/>
              <w:bottom w:val="nil"/>
            </w:tcBorders>
            <w:shd w:val="clear" w:color="auto" w:fill="D9D9D9" w:themeFill="background1" w:themeFillShade="D9"/>
          </w:tcPr>
          <w:p w14:paraId="1484B469" w14:textId="0C3267E0" w:rsidR="00A95E51" w:rsidRPr="00A121FC" w:rsidRDefault="00A95E51" w:rsidP="00A121FC">
            <w:pPr>
              <w:pStyle w:val="TableText"/>
              <w:rPr>
                <w:rFonts w:eastAsia="Arial Unicode MS"/>
                <w:b/>
                <w:bCs/>
              </w:rPr>
            </w:pPr>
            <w:r w:rsidRPr="00A121FC">
              <w:rPr>
                <w:rFonts w:eastAsia="Arial Unicode MS"/>
                <w:b/>
                <w:bCs/>
              </w:rPr>
              <w:t>Proposed Micro-Levers</w:t>
            </w:r>
          </w:p>
        </w:tc>
        <w:tc>
          <w:tcPr>
            <w:tcW w:w="5348" w:type="dxa"/>
            <w:tcBorders>
              <w:top w:val="nil"/>
              <w:bottom w:val="nil"/>
            </w:tcBorders>
            <w:shd w:val="clear" w:color="auto" w:fill="D9D9D9" w:themeFill="background1" w:themeFillShade="D9"/>
          </w:tcPr>
          <w:p w14:paraId="4209DD23" w14:textId="669300DC" w:rsidR="00A95E51" w:rsidRPr="00A121FC" w:rsidRDefault="00A95E51" w:rsidP="00A121FC">
            <w:pPr>
              <w:pStyle w:val="TableText"/>
              <w:rPr>
                <w:rFonts w:eastAsia="Arial Unicode MS"/>
                <w:b/>
                <w:bCs/>
              </w:rPr>
            </w:pPr>
            <w:r w:rsidRPr="00A121FC">
              <w:rPr>
                <w:rFonts w:eastAsia="Arial Unicode MS"/>
                <w:b/>
                <w:bCs/>
              </w:rPr>
              <w:t>Practical application in a health system setting</w:t>
            </w:r>
          </w:p>
        </w:tc>
      </w:tr>
      <w:tr w:rsidR="00A95E51" w14:paraId="4FA03677" w14:textId="77777777" w:rsidTr="00A121FC">
        <w:tc>
          <w:tcPr>
            <w:tcW w:w="1985" w:type="dxa"/>
            <w:tcBorders>
              <w:top w:val="nil"/>
            </w:tcBorders>
          </w:tcPr>
          <w:p w14:paraId="24579FD4" w14:textId="14232E03" w:rsidR="00A95E51" w:rsidRDefault="00A95E51" w:rsidP="00A121FC">
            <w:pPr>
              <w:pStyle w:val="TableText"/>
              <w:rPr>
                <w:rFonts w:eastAsia="Arial Unicode MS"/>
              </w:rPr>
            </w:pPr>
            <w:r w:rsidRPr="00A95E51">
              <w:rPr>
                <w:rFonts w:eastAsia="Arial Unicode MS"/>
              </w:rPr>
              <w:t>Leadership</w:t>
            </w:r>
          </w:p>
        </w:tc>
        <w:tc>
          <w:tcPr>
            <w:tcW w:w="2551" w:type="dxa"/>
            <w:tcBorders>
              <w:top w:val="nil"/>
            </w:tcBorders>
          </w:tcPr>
          <w:p w14:paraId="509B5F75" w14:textId="187E1F99" w:rsidR="00A95E51" w:rsidRDefault="00A95E51" w:rsidP="00A121FC">
            <w:pPr>
              <w:pStyle w:val="TableText"/>
              <w:rPr>
                <w:rFonts w:eastAsia="Arial Unicode MS"/>
              </w:rPr>
            </w:pPr>
            <w:r w:rsidRPr="00A95E51">
              <w:rPr>
                <w:rFonts w:eastAsia="Arial Unicode MS"/>
              </w:rPr>
              <w:t>Leadership</w:t>
            </w:r>
          </w:p>
        </w:tc>
        <w:tc>
          <w:tcPr>
            <w:tcW w:w="3544" w:type="dxa"/>
            <w:tcBorders>
              <w:top w:val="nil"/>
            </w:tcBorders>
          </w:tcPr>
          <w:p w14:paraId="79D5EFC3" w14:textId="77777777" w:rsidR="00A95E51" w:rsidRPr="00A95E51" w:rsidRDefault="00A95E51" w:rsidP="00A121FC">
            <w:pPr>
              <w:pStyle w:val="TableText"/>
              <w:rPr>
                <w:rFonts w:eastAsia="Arial Unicode MS"/>
              </w:rPr>
            </w:pPr>
            <w:r w:rsidRPr="00A95E51">
              <w:rPr>
                <w:rFonts w:eastAsia="Arial Unicode MS"/>
              </w:rPr>
              <w:t>K1.1 Championing Mana Tangata</w:t>
            </w:r>
          </w:p>
          <w:p w14:paraId="1F5C17E2" w14:textId="77777777" w:rsidR="00A95E51" w:rsidRPr="00A95E51" w:rsidRDefault="00A95E51" w:rsidP="00A121FC">
            <w:pPr>
              <w:pStyle w:val="TableText"/>
              <w:rPr>
                <w:rFonts w:eastAsia="Arial Unicode MS"/>
              </w:rPr>
            </w:pPr>
            <w:r w:rsidRPr="00A95E51">
              <w:rPr>
                <w:rFonts w:eastAsia="Arial Unicode MS"/>
              </w:rPr>
              <w:t>K1.2 Building relationships and alliances</w:t>
            </w:r>
          </w:p>
          <w:p w14:paraId="73A9E45E" w14:textId="2B0CFF50" w:rsidR="00A95E51" w:rsidRDefault="00A95E51" w:rsidP="00A121FC">
            <w:pPr>
              <w:pStyle w:val="TableText"/>
              <w:rPr>
                <w:rFonts w:eastAsia="Arial Unicode MS"/>
              </w:rPr>
            </w:pPr>
            <w:r w:rsidRPr="00A95E51">
              <w:rPr>
                <w:rFonts w:eastAsia="Arial Unicode MS"/>
              </w:rPr>
              <w:t>K1.3 Modelling transparency and accountability</w:t>
            </w:r>
          </w:p>
        </w:tc>
        <w:tc>
          <w:tcPr>
            <w:tcW w:w="5348" w:type="dxa"/>
            <w:tcBorders>
              <w:top w:val="nil"/>
            </w:tcBorders>
          </w:tcPr>
          <w:p w14:paraId="64947F21" w14:textId="77777777" w:rsidR="00A95E51" w:rsidRPr="00A95E51" w:rsidRDefault="00A95E51" w:rsidP="00A121FC">
            <w:pPr>
              <w:pStyle w:val="TableBullet"/>
              <w:spacing w:before="60"/>
              <w:rPr>
                <w:rFonts w:eastAsia="Arial Unicode MS"/>
              </w:rPr>
            </w:pPr>
            <w:r w:rsidRPr="00A95E51">
              <w:rPr>
                <w:rFonts w:eastAsia="Arial Unicode MS"/>
              </w:rPr>
              <w:t>Championing mana tangata includes:</w:t>
            </w:r>
          </w:p>
          <w:p w14:paraId="2FDDF7E5" w14:textId="77777777" w:rsidR="00A95E51" w:rsidRPr="00A95E51" w:rsidRDefault="00A95E51" w:rsidP="00A121FC">
            <w:pPr>
              <w:pStyle w:val="TableDash"/>
              <w:spacing w:before="60" w:after="60"/>
              <w:rPr>
                <w:rFonts w:eastAsia="Arial Unicode MS"/>
              </w:rPr>
            </w:pPr>
            <w:r w:rsidRPr="00A95E51">
              <w:rPr>
                <w:rFonts w:eastAsia="Arial Unicode MS"/>
              </w:rPr>
              <w:t>Clear and consistent position that anti-racism/ equity transformation is an organisational priority</w:t>
            </w:r>
          </w:p>
          <w:p w14:paraId="717BDD09" w14:textId="77777777" w:rsidR="00A95E51" w:rsidRPr="00A95E51" w:rsidRDefault="00A95E51" w:rsidP="00A121FC">
            <w:pPr>
              <w:pStyle w:val="TableDash"/>
              <w:spacing w:before="60" w:after="60"/>
              <w:rPr>
                <w:rFonts w:eastAsia="Arial Unicode MS"/>
              </w:rPr>
            </w:pPr>
            <w:r w:rsidRPr="00A95E51">
              <w:rPr>
                <w:rFonts w:eastAsia="Arial Unicode MS"/>
              </w:rPr>
              <w:t>Clear and consistent position that organisation will honour Te Tiriti</w:t>
            </w:r>
          </w:p>
          <w:p w14:paraId="37DBA219" w14:textId="77777777" w:rsidR="00A95E51" w:rsidRPr="00A95E51" w:rsidRDefault="00A95E51" w:rsidP="00A121FC">
            <w:pPr>
              <w:pStyle w:val="TableDash"/>
              <w:spacing w:before="60" w:after="60"/>
              <w:rPr>
                <w:rFonts w:eastAsia="Arial Unicode MS"/>
              </w:rPr>
            </w:pPr>
            <w:r w:rsidRPr="00A95E51">
              <w:rPr>
                <w:rFonts w:eastAsia="Arial Unicode MS"/>
              </w:rPr>
              <w:t>Building internal will and commitment at all levels of leadership; top, middle and bottom</w:t>
            </w:r>
          </w:p>
          <w:p w14:paraId="7FE66E6C" w14:textId="77777777" w:rsidR="00A95E51" w:rsidRPr="00A95E51" w:rsidRDefault="00A95E51" w:rsidP="00A121FC">
            <w:pPr>
              <w:pStyle w:val="TableBullet"/>
              <w:spacing w:before="60"/>
              <w:rPr>
                <w:rFonts w:eastAsia="Arial Unicode MS"/>
              </w:rPr>
            </w:pPr>
            <w:r w:rsidRPr="00A95E51">
              <w:rPr>
                <w:rFonts w:eastAsia="Arial Unicode MS"/>
              </w:rPr>
              <w:t>Building relationships and alliances includes external advocacy and movement building for change that contributes to leadership by creating visible accountability.</w:t>
            </w:r>
          </w:p>
          <w:p w14:paraId="57AAD452" w14:textId="4627212A" w:rsidR="00A95E51" w:rsidRDefault="00A95E51" w:rsidP="00A121FC">
            <w:pPr>
              <w:pStyle w:val="TableBullet"/>
              <w:spacing w:before="60"/>
              <w:rPr>
                <w:rFonts w:eastAsia="Arial Unicode MS"/>
              </w:rPr>
            </w:pPr>
            <w:r w:rsidRPr="00A95E51">
              <w:rPr>
                <w:rFonts w:eastAsia="Arial Unicode MS"/>
              </w:rPr>
              <w:t>Modelling transparency and accountability reflects a core principle of leadership to role model desired behaviour.</w:t>
            </w:r>
          </w:p>
        </w:tc>
      </w:tr>
      <w:tr w:rsidR="00A95E51" w14:paraId="0140A089" w14:textId="77777777" w:rsidTr="00A121FC">
        <w:tc>
          <w:tcPr>
            <w:tcW w:w="1985" w:type="dxa"/>
          </w:tcPr>
          <w:p w14:paraId="5056438E" w14:textId="68E58DC2" w:rsidR="00A95E51" w:rsidRDefault="00A95E51" w:rsidP="00A121FC">
            <w:pPr>
              <w:pStyle w:val="TableText"/>
              <w:rPr>
                <w:rFonts w:eastAsia="Arial Unicode MS"/>
              </w:rPr>
            </w:pPr>
            <w:r w:rsidRPr="00A95E51">
              <w:rPr>
                <w:rFonts w:eastAsia="Arial Unicode MS"/>
              </w:rPr>
              <w:t>Narrative</w:t>
            </w:r>
          </w:p>
        </w:tc>
        <w:tc>
          <w:tcPr>
            <w:tcW w:w="2551" w:type="dxa"/>
          </w:tcPr>
          <w:p w14:paraId="4597E612" w14:textId="77777777" w:rsidR="00A95E51" w:rsidRDefault="00A95E51" w:rsidP="00A121FC">
            <w:pPr>
              <w:pStyle w:val="TableText"/>
              <w:rPr>
                <w:rFonts w:eastAsia="Arial Unicode MS"/>
              </w:rPr>
            </w:pPr>
            <w:r w:rsidRPr="00A95E51">
              <w:rPr>
                <w:rFonts w:eastAsia="Arial Unicode MS"/>
              </w:rPr>
              <w:t xml:space="preserve">Communications </w:t>
            </w:r>
          </w:p>
          <w:p w14:paraId="20B7B721" w14:textId="77777777" w:rsidR="00A95E51" w:rsidRDefault="00A95E51" w:rsidP="00A121FC">
            <w:pPr>
              <w:pStyle w:val="TableText"/>
              <w:rPr>
                <w:rFonts w:eastAsia="Arial Unicode MS"/>
              </w:rPr>
            </w:pPr>
            <w:r w:rsidRPr="00A95E51">
              <w:rPr>
                <w:rFonts w:eastAsia="Arial Unicode MS"/>
              </w:rPr>
              <w:t xml:space="preserve">Storying </w:t>
            </w:r>
          </w:p>
          <w:p w14:paraId="186A6DA3" w14:textId="6F621475" w:rsidR="00A95E51" w:rsidRDefault="00A95E51" w:rsidP="00A121FC">
            <w:pPr>
              <w:pStyle w:val="TableText"/>
              <w:rPr>
                <w:rFonts w:eastAsia="Arial Unicode MS"/>
              </w:rPr>
            </w:pPr>
            <w:r w:rsidRPr="00A95E51">
              <w:rPr>
                <w:rFonts w:eastAsia="Arial Unicode MS"/>
              </w:rPr>
              <w:t>Framing</w:t>
            </w:r>
          </w:p>
        </w:tc>
        <w:tc>
          <w:tcPr>
            <w:tcW w:w="3544" w:type="dxa"/>
          </w:tcPr>
          <w:p w14:paraId="551F6682" w14:textId="77777777" w:rsidR="00A121FC" w:rsidRDefault="00A95E51" w:rsidP="00A121FC">
            <w:pPr>
              <w:pStyle w:val="TableText"/>
              <w:rPr>
                <w:rFonts w:eastAsia="Arial Unicode MS"/>
              </w:rPr>
            </w:pPr>
            <w:r w:rsidRPr="00A95E51">
              <w:rPr>
                <w:rFonts w:eastAsia="Arial Unicode MS"/>
              </w:rPr>
              <w:t xml:space="preserve">K2.1 Developing the Mana Tangata story </w:t>
            </w:r>
          </w:p>
          <w:p w14:paraId="3B36BCE5" w14:textId="612B4C6A" w:rsidR="00A95E51" w:rsidRPr="00A95E51" w:rsidRDefault="00A95E51" w:rsidP="00A121FC">
            <w:pPr>
              <w:pStyle w:val="TableText"/>
              <w:rPr>
                <w:rFonts w:eastAsia="Arial Unicode MS"/>
              </w:rPr>
            </w:pPr>
            <w:r w:rsidRPr="00A95E51">
              <w:rPr>
                <w:rFonts w:eastAsia="Arial Unicode MS"/>
              </w:rPr>
              <w:t>K2.2 Promoting accountability for history</w:t>
            </w:r>
          </w:p>
          <w:p w14:paraId="45FCD1E4" w14:textId="3DF9619A" w:rsidR="00A95E51" w:rsidRDefault="00A95E51" w:rsidP="00A121FC">
            <w:pPr>
              <w:pStyle w:val="TableText"/>
              <w:rPr>
                <w:rFonts w:eastAsia="Arial Unicode MS"/>
              </w:rPr>
            </w:pPr>
            <w:r w:rsidRPr="00A95E51">
              <w:rPr>
                <w:rFonts w:eastAsia="Arial Unicode MS"/>
              </w:rPr>
              <w:t>K2.3 Promoting strengths and capabilities of ‘the other’</w:t>
            </w:r>
          </w:p>
        </w:tc>
        <w:tc>
          <w:tcPr>
            <w:tcW w:w="5348" w:type="dxa"/>
          </w:tcPr>
          <w:p w14:paraId="21353D7C" w14:textId="77777777" w:rsidR="00A95E51" w:rsidRPr="00A95E51" w:rsidRDefault="00A95E51" w:rsidP="00A121FC">
            <w:pPr>
              <w:pStyle w:val="TableBullet"/>
              <w:spacing w:before="60"/>
              <w:rPr>
                <w:rFonts w:eastAsia="Arial Unicode MS"/>
              </w:rPr>
            </w:pPr>
            <w:r w:rsidRPr="00A95E51">
              <w:rPr>
                <w:rFonts w:eastAsia="Arial Unicode MS"/>
              </w:rPr>
              <w:t>Developing the Mana Tangata story:</w:t>
            </w:r>
          </w:p>
          <w:p w14:paraId="12847DAA" w14:textId="77777777" w:rsidR="00A95E51" w:rsidRPr="00A95E51" w:rsidRDefault="00A95E51" w:rsidP="00A121FC">
            <w:pPr>
              <w:pStyle w:val="TableDash"/>
              <w:spacing w:before="60" w:after="60"/>
              <w:rPr>
                <w:rFonts w:eastAsia="Arial Unicode MS"/>
              </w:rPr>
            </w:pPr>
            <w:r w:rsidRPr="00A95E51">
              <w:rPr>
                <w:rFonts w:eastAsia="Arial Unicode MS"/>
              </w:rPr>
              <w:t>Leading with a strong positive vision anchored in Te Tiriti</w:t>
            </w:r>
          </w:p>
          <w:p w14:paraId="7FD59E66" w14:textId="77777777" w:rsidR="00A95E51" w:rsidRPr="00A95E51" w:rsidRDefault="00A95E51" w:rsidP="00A121FC">
            <w:pPr>
              <w:pStyle w:val="TableDash"/>
              <w:spacing w:before="60" w:after="60"/>
              <w:rPr>
                <w:rFonts w:eastAsia="Arial Unicode MS"/>
              </w:rPr>
            </w:pPr>
            <w:r w:rsidRPr="00A95E51">
              <w:rPr>
                <w:rFonts w:eastAsia="Arial Unicode MS"/>
              </w:rPr>
              <w:t>Building a shared understanding of racism and anti-racism</w:t>
            </w:r>
          </w:p>
          <w:p w14:paraId="412A9F5F" w14:textId="77777777" w:rsidR="00A95E51" w:rsidRPr="00A95E51" w:rsidRDefault="00A95E51" w:rsidP="00A121FC">
            <w:pPr>
              <w:pStyle w:val="TableDash"/>
              <w:spacing w:before="60" w:after="60"/>
              <w:rPr>
                <w:rFonts w:eastAsia="Arial Unicode MS"/>
              </w:rPr>
            </w:pPr>
            <w:r w:rsidRPr="00A95E51">
              <w:rPr>
                <w:rFonts w:eastAsia="Arial Unicode MS"/>
              </w:rPr>
              <w:t>New narrative reflects equality of paradigms (ie Western, Māori, Pacific and other knowledge systems are accorded equal respect and visibility)</w:t>
            </w:r>
          </w:p>
          <w:p w14:paraId="1B30E425" w14:textId="77777777" w:rsidR="00A95E51" w:rsidRPr="00A95E51" w:rsidRDefault="00A95E51" w:rsidP="00A121FC">
            <w:pPr>
              <w:pStyle w:val="TableBullet"/>
              <w:spacing w:before="60"/>
              <w:rPr>
                <w:rFonts w:eastAsia="Arial Unicode MS"/>
              </w:rPr>
            </w:pPr>
            <w:r w:rsidRPr="00A95E51">
              <w:rPr>
                <w:rFonts w:eastAsia="Arial Unicode MS"/>
              </w:rPr>
              <w:t>Promoting accountability for history:</w:t>
            </w:r>
          </w:p>
          <w:p w14:paraId="3DAD10BF" w14:textId="77777777" w:rsidR="00A95E51" w:rsidRPr="00A95E51" w:rsidRDefault="00A95E51" w:rsidP="00A121FC">
            <w:pPr>
              <w:pStyle w:val="TableDash"/>
              <w:spacing w:before="60" w:after="60"/>
              <w:rPr>
                <w:rFonts w:eastAsia="Arial Unicode MS"/>
              </w:rPr>
            </w:pPr>
            <w:r w:rsidRPr="00A95E51">
              <w:rPr>
                <w:rFonts w:eastAsia="Arial Unicode MS"/>
              </w:rPr>
              <w:t>Sharing stories of the lived experiences of racism and their impacts</w:t>
            </w:r>
          </w:p>
          <w:p w14:paraId="336836CB" w14:textId="77777777" w:rsidR="00A95E51" w:rsidRPr="00A95E51" w:rsidRDefault="00A95E51" w:rsidP="00A121FC">
            <w:pPr>
              <w:pStyle w:val="TableDash"/>
              <w:spacing w:before="60" w:after="60"/>
              <w:rPr>
                <w:rFonts w:eastAsia="Arial Unicode MS"/>
              </w:rPr>
            </w:pPr>
            <w:r w:rsidRPr="00A95E51">
              <w:rPr>
                <w:rFonts w:eastAsia="Arial Unicode MS"/>
              </w:rPr>
              <w:t>Sharing stories of organisational contributions to racism</w:t>
            </w:r>
          </w:p>
          <w:p w14:paraId="0F0D0334" w14:textId="400AE78E" w:rsidR="00A95E51" w:rsidRDefault="00A95E51" w:rsidP="00A121FC">
            <w:pPr>
              <w:pStyle w:val="TableBullet"/>
              <w:spacing w:before="60"/>
              <w:rPr>
                <w:rFonts w:eastAsia="Arial Unicode MS"/>
              </w:rPr>
            </w:pPr>
            <w:r w:rsidRPr="00A95E51">
              <w:rPr>
                <w:rFonts w:eastAsia="Arial Unicode MS"/>
              </w:rPr>
              <w:t>Promoting strengths and capabilities of ‘the other’ is important for reframing expectations to a ‘strengths-based foundation, including sharing positive stories and concrete examples of successes by under-served groups</w:t>
            </w:r>
          </w:p>
        </w:tc>
      </w:tr>
      <w:tr w:rsidR="00A95E51" w14:paraId="1A7D041D" w14:textId="77777777" w:rsidTr="00A121FC">
        <w:tc>
          <w:tcPr>
            <w:tcW w:w="1985" w:type="dxa"/>
          </w:tcPr>
          <w:p w14:paraId="275B558D" w14:textId="3939D70D" w:rsidR="00A95E51" w:rsidRDefault="00A95E51" w:rsidP="00A121FC">
            <w:pPr>
              <w:pStyle w:val="TableText"/>
              <w:rPr>
                <w:rFonts w:eastAsia="Arial Unicode MS"/>
              </w:rPr>
            </w:pPr>
            <w:r w:rsidRPr="00A95E51">
              <w:rPr>
                <w:rFonts w:eastAsia="Arial Unicode MS"/>
              </w:rPr>
              <w:lastRenderedPageBreak/>
              <w:t>Organisational Strategy and Goals</w:t>
            </w:r>
          </w:p>
        </w:tc>
        <w:tc>
          <w:tcPr>
            <w:tcW w:w="2551" w:type="dxa"/>
          </w:tcPr>
          <w:p w14:paraId="75EDDB63" w14:textId="77777777" w:rsidR="00A95E51" w:rsidRDefault="00A95E51" w:rsidP="00A121FC">
            <w:pPr>
              <w:pStyle w:val="TableText"/>
              <w:rPr>
                <w:rFonts w:eastAsia="Arial Unicode MS"/>
              </w:rPr>
            </w:pPr>
          </w:p>
        </w:tc>
        <w:tc>
          <w:tcPr>
            <w:tcW w:w="3544" w:type="dxa"/>
          </w:tcPr>
          <w:p w14:paraId="14C4DCDB" w14:textId="77777777" w:rsidR="00A95E51" w:rsidRDefault="00A95E51" w:rsidP="00A121FC">
            <w:pPr>
              <w:pStyle w:val="TableText"/>
              <w:rPr>
                <w:rFonts w:eastAsia="Arial Unicode MS"/>
              </w:rPr>
            </w:pPr>
            <w:r w:rsidRPr="00A95E51">
              <w:rPr>
                <w:rFonts w:eastAsia="Arial Unicode MS"/>
              </w:rPr>
              <w:t xml:space="preserve">T1.1 Developing and adopting a Mana Tangata strategy </w:t>
            </w:r>
          </w:p>
          <w:p w14:paraId="061B6EE4" w14:textId="77777777" w:rsidR="00A95E51" w:rsidRDefault="00A95E51" w:rsidP="00A121FC">
            <w:pPr>
              <w:pStyle w:val="TableText"/>
              <w:rPr>
                <w:rFonts w:eastAsia="Arial Unicode MS"/>
              </w:rPr>
            </w:pPr>
            <w:r w:rsidRPr="00A95E51">
              <w:rPr>
                <w:rFonts w:eastAsia="Arial Unicode MS"/>
              </w:rPr>
              <w:t xml:space="preserve">T1.2 Integrating Mana Tangata into overarching strategy </w:t>
            </w:r>
          </w:p>
          <w:p w14:paraId="41065026" w14:textId="30A1506F" w:rsidR="00A95E51" w:rsidRDefault="00A95E51" w:rsidP="00A121FC">
            <w:pPr>
              <w:pStyle w:val="TableText"/>
              <w:rPr>
                <w:rFonts w:eastAsia="Arial Unicode MS"/>
              </w:rPr>
            </w:pPr>
            <w:r w:rsidRPr="00A95E51">
              <w:rPr>
                <w:rFonts w:eastAsia="Arial Unicode MS"/>
              </w:rPr>
              <w:t>T1.3 Driving accountability for achieving Mana Tangata</w:t>
            </w:r>
            <w:r w:rsidR="00A121FC">
              <w:rPr>
                <w:rFonts w:eastAsia="Arial Unicode MS"/>
              </w:rPr>
              <w:t xml:space="preserve"> </w:t>
            </w:r>
            <w:r w:rsidRPr="00A95E51">
              <w:rPr>
                <w:rFonts w:eastAsia="Arial Unicode MS"/>
              </w:rPr>
              <w:t>goals</w:t>
            </w:r>
          </w:p>
        </w:tc>
        <w:tc>
          <w:tcPr>
            <w:tcW w:w="5348" w:type="dxa"/>
          </w:tcPr>
          <w:p w14:paraId="497592E2" w14:textId="77777777" w:rsidR="00A95E51" w:rsidRPr="00A95E51" w:rsidRDefault="00A95E51" w:rsidP="00A121FC">
            <w:pPr>
              <w:pStyle w:val="TableBullet"/>
              <w:spacing w:before="60"/>
              <w:rPr>
                <w:rFonts w:eastAsia="Arial Unicode MS"/>
              </w:rPr>
            </w:pPr>
            <w:r w:rsidRPr="00A95E51">
              <w:rPr>
                <w:rFonts w:eastAsia="Arial Unicode MS"/>
              </w:rPr>
              <w:t>Developing and adopting a Mana Tangata strategy:</w:t>
            </w:r>
          </w:p>
          <w:p w14:paraId="3E90C3AA" w14:textId="77777777" w:rsidR="00A95E51" w:rsidRPr="00A95E51" w:rsidRDefault="00A95E51" w:rsidP="00A121FC">
            <w:pPr>
              <w:pStyle w:val="TableDash"/>
              <w:spacing w:before="60" w:after="60"/>
              <w:rPr>
                <w:rFonts w:eastAsia="Arial Unicode MS"/>
              </w:rPr>
            </w:pPr>
            <w:r w:rsidRPr="00A95E51">
              <w:rPr>
                <w:rFonts w:eastAsia="Arial Unicode MS"/>
              </w:rPr>
              <w:t>Organisation has an anti-racism strategy with clear positioning statement</w:t>
            </w:r>
          </w:p>
          <w:p w14:paraId="52AF293F" w14:textId="77777777" w:rsidR="00A95E51" w:rsidRPr="00A95E51" w:rsidRDefault="00A95E51" w:rsidP="00A121FC">
            <w:pPr>
              <w:pStyle w:val="TableBullet"/>
              <w:spacing w:before="60"/>
              <w:rPr>
                <w:rFonts w:eastAsia="Arial Unicode MS"/>
              </w:rPr>
            </w:pPr>
            <w:r w:rsidRPr="00A95E51">
              <w:rPr>
                <w:rFonts w:eastAsia="Arial Unicode MS"/>
              </w:rPr>
              <w:t>Integrating Mana Tangata into overarching strategy</w:t>
            </w:r>
          </w:p>
          <w:p w14:paraId="24CE4395" w14:textId="77777777" w:rsidR="00A95E51" w:rsidRPr="00A95E51" w:rsidRDefault="00A95E51" w:rsidP="00A121FC">
            <w:pPr>
              <w:pStyle w:val="TableDash"/>
              <w:spacing w:before="60" w:after="60"/>
              <w:rPr>
                <w:rFonts w:eastAsia="Arial Unicode MS"/>
              </w:rPr>
            </w:pPr>
            <w:r w:rsidRPr="00A95E51">
              <w:rPr>
                <w:rFonts w:eastAsia="Arial Unicode MS"/>
              </w:rPr>
              <w:t>Organisation integrates anti-racism into overarching strategy</w:t>
            </w:r>
          </w:p>
          <w:p w14:paraId="180381F9" w14:textId="77777777" w:rsidR="00A95E51" w:rsidRPr="00A95E51" w:rsidRDefault="00A95E51" w:rsidP="00A121FC">
            <w:pPr>
              <w:pStyle w:val="TableDash"/>
              <w:spacing w:before="60" w:after="60"/>
              <w:rPr>
                <w:rFonts w:eastAsia="Arial Unicode MS"/>
              </w:rPr>
            </w:pPr>
            <w:r w:rsidRPr="00A95E51">
              <w:rPr>
                <w:rFonts w:eastAsia="Arial Unicode MS"/>
              </w:rPr>
              <w:t>Values, purpose, leadership, ownership, planning, performance, and accountability structures aligned to anti-racist strategy</w:t>
            </w:r>
          </w:p>
          <w:p w14:paraId="599DF4F0" w14:textId="77777777" w:rsidR="00A95E51" w:rsidRPr="00A95E51" w:rsidRDefault="00A95E51" w:rsidP="00A121FC">
            <w:pPr>
              <w:pStyle w:val="TableDash"/>
              <w:spacing w:before="60" w:after="60"/>
              <w:rPr>
                <w:rFonts w:eastAsia="Arial Unicode MS"/>
              </w:rPr>
            </w:pPr>
            <w:r w:rsidRPr="00A95E51">
              <w:rPr>
                <w:rFonts w:eastAsia="Arial Unicode MS"/>
              </w:rPr>
              <w:t>Organisational policy recognizes and values creating space for under-served groups to have sphere of autonomy over delivery on their aspirations</w:t>
            </w:r>
          </w:p>
          <w:p w14:paraId="1BCA7FF8" w14:textId="77777777" w:rsidR="00A95E51" w:rsidRPr="00A95E51" w:rsidRDefault="00A95E51" w:rsidP="00A121FC">
            <w:pPr>
              <w:pStyle w:val="TableDash"/>
              <w:spacing w:before="60" w:after="60"/>
              <w:rPr>
                <w:rFonts w:eastAsia="Arial Unicode MS"/>
              </w:rPr>
            </w:pPr>
            <w:r w:rsidRPr="00A95E51">
              <w:rPr>
                <w:rFonts w:eastAsia="Arial Unicode MS"/>
              </w:rPr>
              <w:t>Contracting arrangements with under-served groups to deliver on their aspirations is based on high-trust, multi-year delivery and flexibility to evolve the delivery</w:t>
            </w:r>
          </w:p>
          <w:p w14:paraId="2A3DA8AF" w14:textId="429C0C55" w:rsidR="00A95E51" w:rsidRDefault="00A95E51" w:rsidP="00A121FC">
            <w:pPr>
              <w:pStyle w:val="TableBullet"/>
              <w:spacing w:before="60"/>
              <w:rPr>
                <w:rFonts w:eastAsia="Arial Unicode MS"/>
              </w:rPr>
            </w:pPr>
            <w:r w:rsidRPr="00A95E51">
              <w:rPr>
                <w:rFonts w:eastAsia="Arial Unicode MS"/>
              </w:rPr>
              <w:t>Driving accountability for achieving Mana Tangata goals embeds meaningful community partnerships that provide for community accountability</w:t>
            </w:r>
          </w:p>
        </w:tc>
      </w:tr>
      <w:tr w:rsidR="00A95E51" w14:paraId="5C5BA1A0" w14:textId="77777777" w:rsidTr="00A121FC">
        <w:tc>
          <w:tcPr>
            <w:tcW w:w="1985" w:type="dxa"/>
          </w:tcPr>
          <w:p w14:paraId="2EF6A622" w14:textId="079F5005" w:rsidR="00A95E51" w:rsidRPr="00A95E51" w:rsidRDefault="00A95E51" w:rsidP="00A121FC">
            <w:pPr>
              <w:pStyle w:val="TableText"/>
              <w:rPr>
                <w:rFonts w:eastAsia="Arial Unicode MS"/>
              </w:rPr>
            </w:pPr>
            <w:r w:rsidRPr="00A95E51">
              <w:rPr>
                <w:rFonts w:eastAsia="Arial Unicode MS"/>
              </w:rPr>
              <w:t>Power and Commitment</w:t>
            </w:r>
          </w:p>
        </w:tc>
        <w:tc>
          <w:tcPr>
            <w:tcW w:w="2551" w:type="dxa"/>
          </w:tcPr>
          <w:p w14:paraId="495961C2" w14:textId="77777777" w:rsidR="00A95E51" w:rsidRPr="00A95E51" w:rsidRDefault="00A95E51" w:rsidP="00A121FC">
            <w:pPr>
              <w:pStyle w:val="TableText"/>
              <w:rPr>
                <w:rFonts w:eastAsia="Arial Unicode MS"/>
              </w:rPr>
            </w:pPr>
            <w:r w:rsidRPr="00A95E51">
              <w:rPr>
                <w:rFonts w:eastAsia="Arial Unicode MS"/>
              </w:rPr>
              <w:t>Power sharing</w:t>
            </w:r>
          </w:p>
          <w:p w14:paraId="050829C5" w14:textId="77777777" w:rsidR="00A95E51" w:rsidRPr="00A95E51" w:rsidRDefault="00A95E51" w:rsidP="00A121FC">
            <w:pPr>
              <w:pStyle w:val="TableText"/>
              <w:rPr>
                <w:rFonts w:eastAsia="Arial Unicode MS"/>
              </w:rPr>
            </w:pPr>
            <w:r w:rsidRPr="00A95E51">
              <w:rPr>
                <w:rFonts w:eastAsia="Arial Unicode MS"/>
              </w:rPr>
              <w:t>Distributed power</w:t>
            </w:r>
          </w:p>
          <w:p w14:paraId="25371953" w14:textId="77777777" w:rsidR="00A95E51" w:rsidRPr="00A95E51" w:rsidRDefault="00A95E51" w:rsidP="00A121FC">
            <w:pPr>
              <w:pStyle w:val="TableText"/>
              <w:rPr>
                <w:rFonts w:eastAsia="Arial Unicode MS"/>
              </w:rPr>
            </w:pPr>
            <w:r w:rsidRPr="00A95E51">
              <w:rPr>
                <w:rFonts w:eastAsia="Arial Unicode MS"/>
              </w:rPr>
              <w:t>Co-governance</w:t>
            </w:r>
          </w:p>
          <w:p w14:paraId="4DD345D1" w14:textId="77777777" w:rsidR="00A95E51" w:rsidRPr="00A95E51" w:rsidRDefault="00A95E51" w:rsidP="00A121FC">
            <w:pPr>
              <w:pStyle w:val="TableText"/>
              <w:rPr>
                <w:rFonts w:eastAsia="Arial Unicode MS"/>
              </w:rPr>
            </w:pPr>
            <w:r w:rsidRPr="00A95E51">
              <w:rPr>
                <w:rFonts w:eastAsia="Arial Unicode MS"/>
              </w:rPr>
              <w:t>Co-management</w:t>
            </w:r>
          </w:p>
          <w:p w14:paraId="3D2A3366" w14:textId="77777777" w:rsidR="00A95E51" w:rsidRPr="00A95E51" w:rsidRDefault="00A95E51" w:rsidP="00A121FC">
            <w:pPr>
              <w:pStyle w:val="TableText"/>
              <w:rPr>
                <w:rFonts w:eastAsia="Arial Unicode MS"/>
              </w:rPr>
            </w:pPr>
            <w:r w:rsidRPr="00A95E51">
              <w:rPr>
                <w:rFonts w:eastAsia="Arial Unicode MS"/>
              </w:rPr>
              <w:t>Budget allocation</w:t>
            </w:r>
          </w:p>
          <w:p w14:paraId="1702AD0B" w14:textId="77777777" w:rsidR="00A95E51" w:rsidRPr="00A95E51" w:rsidRDefault="00A95E51" w:rsidP="00A121FC">
            <w:pPr>
              <w:pStyle w:val="TableText"/>
              <w:rPr>
                <w:rFonts w:eastAsia="Arial Unicode MS"/>
              </w:rPr>
            </w:pPr>
            <w:r w:rsidRPr="00A95E51">
              <w:rPr>
                <w:rFonts w:eastAsia="Arial Unicode MS"/>
              </w:rPr>
              <w:t>Financial resourcing</w:t>
            </w:r>
          </w:p>
          <w:p w14:paraId="4750218B" w14:textId="5CB5426E" w:rsidR="00A95E51" w:rsidRDefault="00A95E51" w:rsidP="00A121FC">
            <w:pPr>
              <w:pStyle w:val="TableText"/>
              <w:rPr>
                <w:rFonts w:eastAsia="Arial Unicode MS"/>
              </w:rPr>
            </w:pPr>
            <w:r w:rsidRPr="00A95E51">
              <w:rPr>
                <w:rFonts w:eastAsia="Arial Unicode MS"/>
              </w:rPr>
              <w:t>Human resourcing</w:t>
            </w:r>
          </w:p>
        </w:tc>
        <w:tc>
          <w:tcPr>
            <w:tcW w:w="3544" w:type="dxa"/>
          </w:tcPr>
          <w:p w14:paraId="747FC1D1" w14:textId="77777777" w:rsidR="00A95E51" w:rsidRPr="00A95E51" w:rsidRDefault="00A95E51" w:rsidP="00A121FC">
            <w:pPr>
              <w:pStyle w:val="TableText"/>
              <w:rPr>
                <w:rFonts w:eastAsia="Arial Unicode MS"/>
              </w:rPr>
            </w:pPr>
            <w:r w:rsidRPr="00A95E51">
              <w:rPr>
                <w:rFonts w:eastAsia="Arial Unicode MS"/>
              </w:rPr>
              <w:t>T2.1 Governance-level power-sharing</w:t>
            </w:r>
          </w:p>
          <w:p w14:paraId="643B5C05" w14:textId="77777777" w:rsidR="00A95E51" w:rsidRPr="00A95E51" w:rsidRDefault="00A95E51" w:rsidP="00A121FC">
            <w:pPr>
              <w:pStyle w:val="TableText"/>
              <w:rPr>
                <w:rFonts w:eastAsia="Arial Unicode MS"/>
              </w:rPr>
            </w:pPr>
            <w:r w:rsidRPr="00A95E51">
              <w:rPr>
                <w:rFonts w:eastAsia="Arial Unicode MS"/>
              </w:rPr>
              <w:t>T2.2 High-trust contracting for service delivery</w:t>
            </w:r>
          </w:p>
          <w:p w14:paraId="6823BE5D" w14:textId="0EFA41E4" w:rsidR="00A95E51" w:rsidRPr="00A95E51" w:rsidRDefault="00A95E51" w:rsidP="00A121FC">
            <w:pPr>
              <w:pStyle w:val="TableText"/>
              <w:rPr>
                <w:rFonts w:eastAsia="Arial Unicode MS"/>
              </w:rPr>
            </w:pPr>
            <w:r w:rsidRPr="00A95E51">
              <w:rPr>
                <w:rFonts w:eastAsia="Arial Unicode MS"/>
              </w:rPr>
              <w:t>T2.3 Mana Tangata strategy and goals have sufficient</w:t>
            </w:r>
            <w:r>
              <w:rPr>
                <w:rFonts w:eastAsia="Arial Unicode MS"/>
              </w:rPr>
              <w:t xml:space="preserve"> budget and resource</w:t>
            </w:r>
          </w:p>
        </w:tc>
        <w:tc>
          <w:tcPr>
            <w:tcW w:w="5348" w:type="dxa"/>
          </w:tcPr>
          <w:p w14:paraId="52D24942" w14:textId="77777777" w:rsidR="00A95E51" w:rsidRPr="00A95E51" w:rsidRDefault="00A95E51" w:rsidP="00A121FC">
            <w:pPr>
              <w:pStyle w:val="TableText"/>
              <w:rPr>
                <w:rFonts w:eastAsia="Arial Unicode MS"/>
              </w:rPr>
            </w:pPr>
            <w:r w:rsidRPr="00A95E51">
              <w:rPr>
                <w:rFonts w:eastAsia="Arial Unicode MS"/>
              </w:rPr>
              <w:t>The practical application of these micro-levers identified by practitioners include:</w:t>
            </w:r>
          </w:p>
          <w:p w14:paraId="68515A1E" w14:textId="77777777" w:rsidR="00A95E51" w:rsidRPr="00A95E51" w:rsidRDefault="00A95E51" w:rsidP="00A121FC">
            <w:pPr>
              <w:pStyle w:val="TableBullet"/>
              <w:spacing w:before="60"/>
              <w:rPr>
                <w:rFonts w:eastAsia="Arial Unicode MS"/>
              </w:rPr>
            </w:pPr>
            <w:r w:rsidRPr="00A95E51">
              <w:rPr>
                <w:rFonts w:eastAsia="Arial Unicode MS"/>
              </w:rPr>
              <w:t>Key decision-making fora have structures or protocols in place to ensure under-served groups have effective voice and shared responsibilities for decision making</w:t>
            </w:r>
          </w:p>
          <w:p w14:paraId="13FB1561" w14:textId="77777777" w:rsidR="00A95E51" w:rsidRPr="00A95E51" w:rsidRDefault="00A95E51" w:rsidP="00A121FC">
            <w:pPr>
              <w:pStyle w:val="TableBullet"/>
              <w:spacing w:before="60"/>
              <w:rPr>
                <w:rFonts w:eastAsia="Arial Unicode MS"/>
              </w:rPr>
            </w:pPr>
            <w:r w:rsidRPr="00A95E51">
              <w:rPr>
                <w:rFonts w:eastAsia="Arial Unicode MS"/>
              </w:rPr>
              <w:t>Organisation has pervasive participation of under-served groups across decision making loci</w:t>
            </w:r>
          </w:p>
          <w:p w14:paraId="226FF3F8" w14:textId="77777777" w:rsidR="00A95E51" w:rsidRPr="00A95E51" w:rsidRDefault="00A95E51" w:rsidP="00A121FC">
            <w:pPr>
              <w:pStyle w:val="TableBullet"/>
              <w:spacing w:before="60"/>
              <w:rPr>
                <w:rFonts w:eastAsia="Arial Unicode MS"/>
              </w:rPr>
            </w:pPr>
            <w:r w:rsidRPr="00A95E51">
              <w:rPr>
                <w:rFonts w:eastAsia="Arial Unicode MS"/>
              </w:rPr>
              <w:t>Shared power influences budget allocation</w:t>
            </w:r>
          </w:p>
          <w:p w14:paraId="3BEF40BE" w14:textId="77777777" w:rsidR="00A95E51" w:rsidRPr="00A95E51" w:rsidRDefault="00A95E51" w:rsidP="00A121FC">
            <w:pPr>
              <w:pStyle w:val="TableBullet"/>
              <w:spacing w:before="60"/>
              <w:rPr>
                <w:rFonts w:eastAsia="Arial Unicode MS"/>
              </w:rPr>
            </w:pPr>
            <w:r w:rsidRPr="00A95E51">
              <w:rPr>
                <w:rFonts w:eastAsia="Arial Unicode MS"/>
              </w:rPr>
              <w:t>Shared power influences organisational strategy and priorities</w:t>
            </w:r>
          </w:p>
          <w:p w14:paraId="64939615" w14:textId="77777777" w:rsidR="00A95E51" w:rsidRPr="00A95E51" w:rsidRDefault="00A95E51" w:rsidP="00A121FC">
            <w:pPr>
              <w:pStyle w:val="TableBullet"/>
              <w:spacing w:before="60"/>
              <w:rPr>
                <w:rFonts w:eastAsia="Arial Unicode MS"/>
              </w:rPr>
            </w:pPr>
            <w:r w:rsidRPr="00A95E51">
              <w:rPr>
                <w:rFonts w:eastAsia="Arial Unicode MS"/>
              </w:rPr>
              <w:lastRenderedPageBreak/>
              <w:t>Anti-racism goals and strategies have budget allocation</w:t>
            </w:r>
          </w:p>
          <w:p w14:paraId="0CF19466" w14:textId="77777777" w:rsidR="00A95E51" w:rsidRPr="00A95E51" w:rsidRDefault="00A95E51" w:rsidP="00A121FC">
            <w:pPr>
              <w:pStyle w:val="TableBullet"/>
              <w:spacing w:before="60"/>
              <w:rPr>
                <w:rFonts w:eastAsia="Arial Unicode MS"/>
              </w:rPr>
            </w:pPr>
            <w:r w:rsidRPr="00A95E51">
              <w:rPr>
                <w:rFonts w:eastAsia="Arial Unicode MS"/>
              </w:rPr>
              <w:t>Expenditure (including commissioning) prioritises equitable outcomes</w:t>
            </w:r>
          </w:p>
          <w:p w14:paraId="2AD6CEB2" w14:textId="77777777" w:rsidR="00A95E51" w:rsidRPr="00A95E51" w:rsidRDefault="00A95E51" w:rsidP="00A121FC">
            <w:pPr>
              <w:pStyle w:val="TableBullet"/>
              <w:spacing w:before="60"/>
              <w:rPr>
                <w:rFonts w:eastAsia="Arial Unicode MS"/>
              </w:rPr>
            </w:pPr>
            <w:r w:rsidRPr="00A95E51">
              <w:rPr>
                <w:rFonts w:eastAsia="Arial Unicode MS"/>
              </w:rPr>
              <w:t>Expenditure is assessed for fairness and proportionality against interest groups and equity outcomes</w:t>
            </w:r>
          </w:p>
          <w:p w14:paraId="3E4AF311" w14:textId="0DC43AA4" w:rsidR="00A95E51" w:rsidRDefault="00A95E51" w:rsidP="00A121FC">
            <w:pPr>
              <w:pStyle w:val="TableBullet"/>
              <w:spacing w:before="60"/>
              <w:rPr>
                <w:rFonts w:eastAsia="Arial Unicode MS"/>
              </w:rPr>
            </w:pPr>
            <w:r w:rsidRPr="00A95E51">
              <w:rPr>
                <w:rFonts w:eastAsia="Arial Unicode MS"/>
              </w:rPr>
              <w:t>Equity/anti-racism goals and strategies have organisational capacity and expert capability for delivery</w:t>
            </w:r>
          </w:p>
        </w:tc>
      </w:tr>
      <w:tr w:rsidR="00A95E51" w14:paraId="2BDBF024" w14:textId="77777777" w:rsidTr="00A121FC">
        <w:tc>
          <w:tcPr>
            <w:tcW w:w="1985" w:type="dxa"/>
          </w:tcPr>
          <w:p w14:paraId="51F14754" w14:textId="77777777" w:rsidR="00A95E51" w:rsidRPr="00A95E51" w:rsidRDefault="00A95E51" w:rsidP="00A121FC">
            <w:pPr>
              <w:pStyle w:val="TableText"/>
              <w:rPr>
                <w:rFonts w:eastAsia="Arial Unicode MS"/>
              </w:rPr>
            </w:pPr>
            <w:r w:rsidRPr="00A95E51">
              <w:rPr>
                <w:rFonts w:eastAsia="Arial Unicode MS"/>
              </w:rPr>
              <w:lastRenderedPageBreak/>
              <w:t xml:space="preserve">Human Resource (HR) </w:t>
            </w:r>
          </w:p>
          <w:p w14:paraId="717D3CD8" w14:textId="304A4A31" w:rsidR="00A95E51" w:rsidRPr="00A95E51" w:rsidRDefault="00A95E51" w:rsidP="00A121FC">
            <w:pPr>
              <w:pStyle w:val="TableText"/>
              <w:rPr>
                <w:rFonts w:eastAsia="Arial Unicode MS"/>
              </w:rPr>
            </w:pPr>
            <w:r w:rsidRPr="00A95E51">
              <w:rPr>
                <w:rFonts w:eastAsia="Arial Unicode MS"/>
              </w:rPr>
              <w:t>Policies</w:t>
            </w:r>
          </w:p>
        </w:tc>
        <w:tc>
          <w:tcPr>
            <w:tcW w:w="2551" w:type="dxa"/>
          </w:tcPr>
          <w:p w14:paraId="09512C84" w14:textId="77777777" w:rsidR="00A95E51" w:rsidRPr="00A95E51" w:rsidRDefault="00A95E51" w:rsidP="00A121FC">
            <w:pPr>
              <w:pStyle w:val="TableText"/>
              <w:rPr>
                <w:rFonts w:eastAsia="Arial Unicode MS"/>
              </w:rPr>
            </w:pPr>
            <w:r w:rsidRPr="00A95E51">
              <w:rPr>
                <w:rFonts w:eastAsia="Arial Unicode MS"/>
              </w:rPr>
              <w:t>Diversity recruitment</w:t>
            </w:r>
          </w:p>
          <w:p w14:paraId="0A256BF8" w14:textId="77777777" w:rsidR="00A95E51" w:rsidRPr="00A95E51" w:rsidRDefault="00A95E51" w:rsidP="00A121FC">
            <w:pPr>
              <w:pStyle w:val="TableText"/>
              <w:rPr>
                <w:rFonts w:eastAsia="Arial Unicode MS"/>
              </w:rPr>
            </w:pPr>
            <w:r w:rsidRPr="00A95E51">
              <w:rPr>
                <w:rFonts w:eastAsia="Arial Unicode MS"/>
              </w:rPr>
              <w:t>Diverse hires</w:t>
            </w:r>
          </w:p>
          <w:p w14:paraId="58ABBC6B" w14:textId="77777777" w:rsidR="00A95E51" w:rsidRPr="00A95E51" w:rsidRDefault="00A95E51" w:rsidP="00A121FC">
            <w:pPr>
              <w:pStyle w:val="TableText"/>
              <w:rPr>
                <w:rFonts w:eastAsia="Arial Unicode MS"/>
              </w:rPr>
            </w:pPr>
            <w:r w:rsidRPr="00A95E51">
              <w:rPr>
                <w:rFonts w:eastAsia="Arial Unicode MS"/>
              </w:rPr>
              <w:t>Rewards system</w:t>
            </w:r>
          </w:p>
          <w:p w14:paraId="6C941AEF" w14:textId="4F683EF8" w:rsidR="00A95E51" w:rsidRDefault="00A95E51" w:rsidP="00A121FC">
            <w:pPr>
              <w:pStyle w:val="TableText"/>
              <w:rPr>
                <w:rFonts w:eastAsia="Arial Unicode MS"/>
              </w:rPr>
            </w:pPr>
            <w:r w:rsidRPr="00A95E51">
              <w:rPr>
                <w:rFonts w:eastAsia="Arial Unicode MS"/>
              </w:rPr>
              <w:t>Disciplinary processes and accountability</w:t>
            </w:r>
          </w:p>
        </w:tc>
        <w:tc>
          <w:tcPr>
            <w:tcW w:w="3544" w:type="dxa"/>
          </w:tcPr>
          <w:p w14:paraId="3B5B10D9" w14:textId="77777777" w:rsidR="00A95E51" w:rsidRPr="00A95E51" w:rsidRDefault="00A95E51" w:rsidP="00A121FC">
            <w:pPr>
              <w:pStyle w:val="TableText"/>
              <w:rPr>
                <w:rFonts w:eastAsia="Arial Unicode MS"/>
              </w:rPr>
            </w:pPr>
            <w:r w:rsidRPr="00A95E51">
              <w:rPr>
                <w:rFonts w:eastAsia="Arial Unicode MS"/>
              </w:rPr>
              <w:t>T3.1 Diversity</w:t>
            </w:r>
          </w:p>
          <w:p w14:paraId="170E013A" w14:textId="77777777" w:rsidR="00A121FC" w:rsidRDefault="00A95E51" w:rsidP="00A121FC">
            <w:pPr>
              <w:pStyle w:val="TableText"/>
              <w:rPr>
                <w:rFonts w:eastAsia="Arial Unicode MS"/>
              </w:rPr>
            </w:pPr>
            <w:r w:rsidRPr="00A95E51">
              <w:rPr>
                <w:rFonts w:eastAsia="Arial Unicode MS"/>
              </w:rPr>
              <w:t xml:space="preserve">T3.2 Diversity promotion </w:t>
            </w:r>
          </w:p>
          <w:p w14:paraId="4E610AB2" w14:textId="77777777" w:rsidR="00A121FC" w:rsidRDefault="00A95E51" w:rsidP="00A121FC">
            <w:pPr>
              <w:pStyle w:val="TableText"/>
              <w:rPr>
                <w:rFonts w:eastAsia="Arial Unicode MS"/>
              </w:rPr>
            </w:pPr>
            <w:r w:rsidRPr="00A95E51">
              <w:rPr>
                <w:rFonts w:eastAsia="Arial Unicode MS"/>
              </w:rPr>
              <w:t xml:space="preserve">T3.3 Rewards and incentives </w:t>
            </w:r>
          </w:p>
          <w:p w14:paraId="08DA3565" w14:textId="0F51C0E0" w:rsidR="00A95E51" w:rsidRPr="00A95E51" w:rsidRDefault="00A95E51" w:rsidP="00A121FC">
            <w:pPr>
              <w:pStyle w:val="TableText"/>
              <w:rPr>
                <w:rFonts w:eastAsia="Arial Unicode MS"/>
              </w:rPr>
            </w:pPr>
            <w:r w:rsidRPr="00A95E51">
              <w:rPr>
                <w:rFonts w:eastAsia="Arial Unicode MS"/>
              </w:rPr>
              <w:t>T3.4 Disciplinary</w:t>
            </w:r>
          </w:p>
        </w:tc>
        <w:tc>
          <w:tcPr>
            <w:tcW w:w="5348" w:type="dxa"/>
          </w:tcPr>
          <w:p w14:paraId="498757D5" w14:textId="77777777" w:rsidR="00A95E51" w:rsidRPr="00A95E51" w:rsidRDefault="00A95E51" w:rsidP="00A121FC">
            <w:pPr>
              <w:pStyle w:val="TableBullet"/>
              <w:spacing w:before="60"/>
              <w:rPr>
                <w:rFonts w:eastAsia="Arial Unicode MS"/>
              </w:rPr>
            </w:pPr>
            <w:r w:rsidRPr="00A95E51">
              <w:rPr>
                <w:rFonts w:eastAsia="Arial Unicode MS"/>
              </w:rPr>
              <w:t>Diversity:</w:t>
            </w:r>
          </w:p>
          <w:p w14:paraId="68416FF3" w14:textId="77777777" w:rsidR="00A95E51" w:rsidRPr="00A95E51" w:rsidRDefault="00A95E51" w:rsidP="00A121FC">
            <w:pPr>
              <w:pStyle w:val="TableDash"/>
              <w:spacing w:before="60" w:after="60"/>
              <w:rPr>
                <w:rFonts w:eastAsia="Arial Unicode MS"/>
              </w:rPr>
            </w:pPr>
            <w:r w:rsidRPr="00A95E51">
              <w:rPr>
                <w:rFonts w:eastAsia="Arial Unicode MS"/>
              </w:rPr>
              <w:t>Increase critical mass of diversity hires</w:t>
            </w:r>
          </w:p>
          <w:p w14:paraId="3170BADC" w14:textId="77777777" w:rsidR="00A95E51" w:rsidRPr="00A95E51" w:rsidRDefault="00A95E51" w:rsidP="00A121FC">
            <w:pPr>
              <w:pStyle w:val="TableDash"/>
              <w:spacing w:before="60" w:after="60"/>
              <w:rPr>
                <w:rFonts w:eastAsia="Arial Unicode MS"/>
              </w:rPr>
            </w:pPr>
            <w:r w:rsidRPr="00A95E51">
              <w:rPr>
                <w:rFonts w:eastAsia="Arial Unicode MS"/>
              </w:rPr>
              <w:t>Embed anti-racism into job descriptors and recruitment processes</w:t>
            </w:r>
          </w:p>
          <w:p w14:paraId="4CBD4DE2" w14:textId="77777777" w:rsidR="00A95E51" w:rsidRPr="00A95E51" w:rsidRDefault="00A95E51" w:rsidP="00A121FC">
            <w:pPr>
              <w:pStyle w:val="TableDash"/>
              <w:spacing w:before="60" w:after="60"/>
              <w:rPr>
                <w:rFonts w:eastAsia="Arial Unicode MS"/>
              </w:rPr>
            </w:pPr>
            <w:r w:rsidRPr="00A95E51">
              <w:rPr>
                <w:rFonts w:eastAsia="Arial Unicode MS"/>
              </w:rPr>
              <w:t>There are appropriate spaces for practices by under-served groups to occur</w:t>
            </w:r>
          </w:p>
          <w:p w14:paraId="1561A747" w14:textId="77777777" w:rsidR="00A95E51" w:rsidRPr="00A95E51" w:rsidRDefault="00A95E51" w:rsidP="00A121FC">
            <w:pPr>
              <w:pStyle w:val="TableDash"/>
              <w:spacing w:before="60" w:after="60"/>
              <w:rPr>
                <w:rFonts w:eastAsia="Arial Unicode MS"/>
              </w:rPr>
            </w:pPr>
            <w:r w:rsidRPr="00A95E51">
              <w:rPr>
                <w:rFonts w:eastAsia="Arial Unicode MS"/>
              </w:rPr>
              <w:t>There is encouragement and practical allowance for ‘diversity hires’ to provide mutual support (wānanga, talanoa etc)</w:t>
            </w:r>
          </w:p>
          <w:p w14:paraId="5E5B0FE7" w14:textId="77777777" w:rsidR="00A95E51" w:rsidRPr="00A95E51" w:rsidRDefault="00A95E51" w:rsidP="00A121FC">
            <w:pPr>
              <w:pStyle w:val="TableBullet"/>
              <w:spacing w:before="60"/>
              <w:rPr>
                <w:rFonts w:eastAsia="Arial Unicode MS"/>
              </w:rPr>
            </w:pPr>
            <w:r w:rsidRPr="00A95E51">
              <w:rPr>
                <w:rFonts w:eastAsia="Arial Unicode MS"/>
              </w:rPr>
              <w:t>Diversity Promotion:</w:t>
            </w:r>
          </w:p>
          <w:p w14:paraId="667E0B33" w14:textId="77777777" w:rsidR="00A95E51" w:rsidRPr="00A95E51" w:rsidRDefault="00A95E51" w:rsidP="00A121FC">
            <w:pPr>
              <w:pStyle w:val="TableDash"/>
              <w:spacing w:before="60" w:after="60"/>
              <w:rPr>
                <w:rFonts w:eastAsia="Arial Unicode MS"/>
              </w:rPr>
            </w:pPr>
            <w:r w:rsidRPr="00A95E51">
              <w:rPr>
                <w:rFonts w:eastAsia="Arial Unicode MS"/>
              </w:rPr>
              <w:t>Increase advancement to leadership positions</w:t>
            </w:r>
          </w:p>
          <w:p w14:paraId="0C808E27" w14:textId="77777777" w:rsidR="00A95E51" w:rsidRPr="00A95E51" w:rsidRDefault="00A95E51" w:rsidP="00A121FC">
            <w:pPr>
              <w:pStyle w:val="TableBullet"/>
              <w:spacing w:before="60"/>
              <w:rPr>
                <w:rFonts w:eastAsia="Arial Unicode MS"/>
              </w:rPr>
            </w:pPr>
            <w:r w:rsidRPr="00A95E51">
              <w:rPr>
                <w:rFonts w:eastAsia="Arial Unicode MS"/>
              </w:rPr>
              <w:t>Rewards and incentives:</w:t>
            </w:r>
          </w:p>
          <w:p w14:paraId="3ADA33DA" w14:textId="77777777" w:rsidR="00A95E51" w:rsidRPr="00A95E51" w:rsidRDefault="00A95E51" w:rsidP="00A121FC">
            <w:pPr>
              <w:pStyle w:val="TableDash"/>
              <w:spacing w:before="60" w:after="60"/>
              <w:rPr>
                <w:rFonts w:eastAsia="Arial Unicode MS"/>
              </w:rPr>
            </w:pPr>
            <w:r w:rsidRPr="00A95E51">
              <w:rPr>
                <w:rFonts w:eastAsia="Arial Unicode MS"/>
              </w:rPr>
              <w:t>Staff performance management system integrates ‘cultural competency’ and anti-racism, including as a factor for promotion or other reward</w:t>
            </w:r>
          </w:p>
          <w:p w14:paraId="6004092F" w14:textId="77777777" w:rsidR="00A95E51" w:rsidRPr="00A95E51" w:rsidRDefault="00A95E51" w:rsidP="00A121FC">
            <w:pPr>
              <w:pStyle w:val="TableDash"/>
              <w:spacing w:before="60" w:after="60"/>
              <w:rPr>
                <w:rFonts w:eastAsia="Arial Unicode MS"/>
              </w:rPr>
            </w:pPr>
            <w:r w:rsidRPr="00A95E51">
              <w:rPr>
                <w:rFonts w:eastAsia="Arial Unicode MS"/>
              </w:rPr>
              <w:t>Staff performance management system includes formal success factors related to anti-racism/ mana tangata</w:t>
            </w:r>
          </w:p>
          <w:p w14:paraId="15E14BDC" w14:textId="77777777" w:rsidR="00A95E51" w:rsidRPr="00A95E51" w:rsidRDefault="00A95E51" w:rsidP="00A121FC">
            <w:pPr>
              <w:pStyle w:val="TableDash"/>
              <w:spacing w:before="60" w:after="60"/>
              <w:rPr>
                <w:rFonts w:eastAsia="Arial Unicode MS"/>
              </w:rPr>
            </w:pPr>
            <w:r w:rsidRPr="00A95E51">
              <w:rPr>
                <w:rFonts w:eastAsia="Arial Unicode MS"/>
              </w:rPr>
              <w:t>Organisation uses financial or other rewards to incentivise desired priority behaviour changes aligned to anti-racism/ mana tangata at individual and sub-unit level</w:t>
            </w:r>
          </w:p>
          <w:p w14:paraId="7F27ED17" w14:textId="77777777" w:rsidR="00A95E51" w:rsidRPr="00A95E51" w:rsidRDefault="00A95E51" w:rsidP="00A121FC">
            <w:pPr>
              <w:pStyle w:val="TableBullet"/>
              <w:spacing w:before="60"/>
              <w:rPr>
                <w:rFonts w:eastAsia="Arial Unicode MS"/>
              </w:rPr>
            </w:pPr>
            <w:r w:rsidRPr="00A95E51">
              <w:rPr>
                <w:rFonts w:eastAsia="Arial Unicode MS"/>
              </w:rPr>
              <w:lastRenderedPageBreak/>
              <w:t>Disciplinary</w:t>
            </w:r>
          </w:p>
          <w:p w14:paraId="39BF9812" w14:textId="77777777" w:rsidR="00A95E51" w:rsidRPr="00A95E51" w:rsidRDefault="00A95E51" w:rsidP="00A121FC">
            <w:pPr>
              <w:pStyle w:val="TableDash"/>
              <w:spacing w:before="60" w:after="60"/>
              <w:rPr>
                <w:rFonts w:eastAsia="Arial Unicode MS"/>
              </w:rPr>
            </w:pPr>
            <w:r w:rsidRPr="00A95E51">
              <w:rPr>
                <w:rFonts w:eastAsia="Arial Unicode MS"/>
              </w:rPr>
              <w:t>Racism is integrated into disciplinary code to create zero tolerance culture</w:t>
            </w:r>
          </w:p>
          <w:p w14:paraId="363F0CD4" w14:textId="0639C92D" w:rsidR="00A95E51" w:rsidRDefault="00A95E51" w:rsidP="00A121FC">
            <w:pPr>
              <w:pStyle w:val="TableDash"/>
              <w:spacing w:before="60" w:after="60"/>
              <w:rPr>
                <w:rFonts w:eastAsia="Arial Unicode MS"/>
              </w:rPr>
            </w:pPr>
            <w:r w:rsidRPr="00A95E51">
              <w:rPr>
                <w:rFonts w:eastAsia="Arial Unicode MS"/>
              </w:rPr>
              <w:t>Visibility of responses to allegations of inconsistent conduct</w:t>
            </w:r>
          </w:p>
        </w:tc>
      </w:tr>
      <w:tr w:rsidR="00A95E51" w14:paraId="796498FB" w14:textId="77777777" w:rsidTr="00A121FC">
        <w:tc>
          <w:tcPr>
            <w:tcW w:w="1985" w:type="dxa"/>
          </w:tcPr>
          <w:p w14:paraId="0C93A3E7" w14:textId="66B82D96" w:rsidR="00A95E51" w:rsidRPr="00A95E51" w:rsidRDefault="00A95E51" w:rsidP="00A121FC">
            <w:pPr>
              <w:pStyle w:val="TableText"/>
              <w:rPr>
                <w:rFonts w:eastAsia="Arial Unicode MS"/>
              </w:rPr>
            </w:pPr>
            <w:r w:rsidRPr="00A95E51">
              <w:rPr>
                <w:rFonts w:eastAsia="Arial Unicode MS"/>
              </w:rPr>
              <w:lastRenderedPageBreak/>
              <w:t>Products, Services and Design</w:t>
            </w:r>
          </w:p>
        </w:tc>
        <w:tc>
          <w:tcPr>
            <w:tcW w:w="2551" w:type="dxa"/>
          </w:tcPr>
          <w:p w14:paraId="17039E5A" w14:textId="7264809F" w:rsidR="00A95E51" w:rsidRDefault="00A95E51" w:rsidP="00A121FC">
            <w:pPr>
              <w:pStyle w:val="TableText"/>
              <w:rPr>
                <w:rFonts w:eastAsia="Arial Unicode MS"/>
              </w:rPr>
            </w:pPr>
            <w:r w:rsidRPr="00A95E51">
              <w:rPr>
                <w:rFonts w:eastAsia="Arial Unicode MS"/>
              </w:rPr>
              <w:t>Tailoring of services</w:t>
            </w:r>
          </w:p>
        </w:tc>
        <w:tc>
          <w:tcPr>
            <w:tcW w:w="3544" w:type="dxa"/>
          </w:tcPr>
          <w:p w14:paraId="7F9F7D0B" w14:textId="77777777" w:rsidR="00A95E51" w:rsidRPr="00A95E51" w:rsidRDefault="00A95E51" w:rsidP="00A121FC">
            <w:pPr>
              <w:pStyle w:val="TableText"/>
              <w:rPr>
                <w:rFonts w:eastAsia="Arial Unicode MS"/>
              </w:rPr>
            </w:pPr>
            <w:r w:rsidRPr="00A95E51">
              <w:rPr>
                <w:rFonts w:eastAsia="Arial Unicode MS"/>
              </w:rPr>
              <w:t>T4.1 Access T4.2 Content</w:t>
            </w:r>
          </w:p>
          <w:p w14:paraId="00DE967A" w14:textId="248D0BC1" w:rsidR="00A95E51" w:rsidRPr="00A95E51" w:rsidRDefault="00A95E51" w:rsidP="00A121FC">
            <w:pPr>
              <w:pStyle w:val="TableText"/>
              <w:rPr>
                <w:rFonts w:eastAsia="Arial Unicode MS"/>
              </w:rPr>
            </w:pPr>
            <w:r w:rsidRPr="00A95E51">
              <w:rPr>
                <w:rFonts w:eastAsia="Arial Unicode MS"/>
              </w:rPr>
              <w:t>T4.3 Delivery method</w:t>
            </w:r>
          </w:p>
        </w:tc>
        <w:tc>
          <w:tcPr>
            <w:tcW w:w="5348" w:type="dxa"/>
          </w:tcPr>
          <w:p w14:paraId="457DDD65" w14:textId="06D9F640" w:rsidR="00A95E51" w:rsidRPr="00A95E51" w:rsidRDefault="00A95E51" w:rsidP="00A121FC">
            <w:pPr>
              <w:pStyle w:val="TableBullet"/>
              <w:spacing w:before="60"/>
              <w:rPr>
                <w:rFonts w:eastAsia="Arial Unicode MS"/>
              </w:rPr>
            </w:pPr>
            <w:r w:rsidRPr="00A95E51">
              <w:rPr>
                <w:rFonts w:eastAsia="Arial Unicode MS"/>
              </w:rPr>
              <w:t xml:space="preserve">Organisation recognises that mainstream access </w:t>
            </w:r>
            <w:r w:rsidR="00A65CFB" w:rsidRPr="00A95E51">
              <w:rPr>
                <w:rFonts w:eastAsia="Arial Unicode MS"/>
              </w:rPr>
              <w:t>channels</w:t>
            </w:r>
            <w:r w:rsidRPr="00A95E51">
              <w:rPr>
                <w:rFonts w:eastAsia="Arial Unicode MS"/>
              </w:rPr>
              <w:t xml:space="preserve"> for products and services may embed inequity</w:t>
            </w:r>
          </w:p>
          <w:p w14:paraId="08A33C78" w14:textId="77777777" w:rsidR="00A95E51" w:rsidRPr="00A95E51" w:rsidRDefault="00A95E51" w:rsidP="00A121FC">
            <w:pPr>
              <w:pStyle w:val="TableBullet"/>
              <w:spacing w:before="60"/>
              <w:rPr>
                <w:rFonts w:eastAsia="Arial Unicode MS"/>
              </w:rPr>
            </w:pPr>
            <w:r w:rsidRPr="00A95E51">
              <w:rPr>
                <w:rFonts w:eastAsia="Arial Unicode MS"/>
              </w:rPr>
              <w:t>Organisation encourages development of access channels for products and services that respond to needs, interests and</w:t>
            </w:r>
          </w:p>
          <w:p w14:paraId="795373B9" w14:textId="77777777" w:rsidR="00A95E51" w:rsidRPr="00A95E51" w:rsidRDefault="00A95E51" w:rsidP="00A121FC">
            <w:pPr>
              <w:pStyle w:val="TableBullet"/>
              <w:spacing w:before="60"/>
              <w:rPr>
                <w:rFonts w:eastAsia="Arial Unicode MS"/>
              </w:rPr>
            </w:pPr>
            <w:r w:rsidRPr="00A95E51">
              <w:rPr>
                <w:rFonts w:eastAsia="Arial Unicode MS"/>
              </w:rPr>
              <w:t>aspirations of underserved groups (eg by Māori for Māori)</w:t>
            </w:r>
          </w:p>
          <w:p w14:paraId="118B7FE3" w14:textId="77777777" w:rsidR="00A95E51" w:rsidRPr="00A95E51" w:rsidRDefault="00A95E51" w:rsidP="00A121FC">
            <w:pPr>
              <w:pStyle w:val="TableBullet"/>
              <w:spacing w:before="60"/>
              <w:rPr>
                <w:rFonts w:eastAsia="Arial Unicode MS"/>
              </w:rPr>
            </w:pPr>
            <w:r w:rsidRPr="00A95E51">
              <w:rPr>
                <w:rFonts w:eastAsia="Arial Unicode MS"/>
              </w:rPr>
              <w:t>Organisation can identify innovations that achieve enhanced equity</w:t>
            </w:r>
          </w:p>
          <w:p w14:paraId="2FB5EEB9" w14:textId="77777777" w:rsidR="00A95E51" w:rsidRPr="00A95E51" w:rsidRDefault="00A95E51" w:rsidP="00A121FC">
            <w:pPr>
              <w:pStyle w:val="TableBullet"/>
              <w:spacing w:before="60"/>
              <w:rPr>
                <w:rFonts w:eastAsia="Arial Unicode MS"/>
              </w:rPr>
            </w:pPr>
            <w:r w:rsidRPr="00A95E51">
              <w:rPr>
                <w:rFonts w:eastAsia="Arial Unicode MS"/>
              </w:rPr>
              <w:t>Organisation prioritises achieving equity as an objective of innovation</w:t>
            </w:r>
          </w:p>
          <w:p w14:paraId="763F6723" w14:textId="7193FF14" w:rsidR="00A95E51" w:rsidRDefault="00A95E51" w:rsidP="00A121FC">
            <w:pPr>
              <w:pStyle w:val="TableBullet"/>
              <w:spacing w:before="60"/>
              <w:rPr>
                <w:rFonts w:eastAsia="Arial Unicode MS"/>
              </w:rPr>
            </w:pPr>
            <w:r w:rsidRPr="00A95E51">
              <w:rPr>
                <w:rFonts w:eastAsia="Arial Unicode MS"/>
              </w:rPr>
              <w:t>Equity driven innovation is pervasive across the organisation</w:t>
            </w:r>
          </w:p>
        </w:tc>
      </w:tr>
      <w:tr w:rsidR="00A95E51" w14:paraId="3269CDDD" w14:textId="77777777" w:rsidTr="00A121FC">
        <w:tc>
          <w:tcPr>
            <w:tcW w:w="1985" w:type="dxa"/>
          </w:tcPr>
          <w:p w14:paraId="4EDBAE4E" w14:textId="3C6E969D" w:rsidR="00A95E51" w:rsidRPr="00A95E51" w:rsidRDefault="00A95E51" w:rsidP="00A121FC">
            <w:pPr>
              <w:pStyle w:val="TableText"/>
              <w:rPr>
                <w:rFonts w:eastAsia="Arial Unicode MS"/>
              </w:rPr>
            </w:pPr>
            <w:r w:rsidRPr="00A95E51">
              <w:rPr>
                <w:rFonts w:eastAsia="Arial Unicode MS"/>
              </w:rPr>
              <w:t>Training</w:t>
            </w:r>
          </w:p>
        </w:tc>
        <w:tc>
          <w:tcPr>
            <w:tcW w:w="2551" w:type="dxa"/>
          </w:tcPr>
          <w:p w14:paraId="7AA263B8" w14:textId="77777777" w:rsidR="00A95E51" w:rsidRPr="00A95E51" w:rsidRDefault="00A95E51" w:rsidP="00A121FC">
            <w:pPr>
              <w:pStyle w:val="TableText"/>
              <w:rPr>
                <w:rFonts w:eastAsia="Arial Unicode MS"/>
              </w:rPr>
            </w:pPr>
            <w:r w:rsidRPr="00A95E51">
              <w:rPr>
                <w:rFonts w:eastAsia="Arial Unicode MS"/>
              </w:rPr>
              <w:t>Training</w:t>
            </w:r>
          </w:p>
          <w:p w14:paraId="42D878F6" w14:textId="77777777" w:rsidR="00A95E51" w:rsidRPr="00A95E51" w:rsidRDefault="00A95E51" w:rsidP="00A121FC">
            <w:pPr>
              <w:pStyle w:val="TableText"/>
              <w:rPr>
                <w:rFonts w:eastAsia="Arial Unicode MS"/>
              </w:rPr>
            </w:pPr>
            <w:r w:rsidRPr="00A95E51">
              <w:rPr>
                <w:rFonts w:eastAsia="Arial Unicode MS"/>
              </w:rPr>
              <w:t>Professional development</w:t>
            </w:r>
          </w:p>
          <w:p w14:paraId="05A55D99" w14:textId="77777777" w:rsidR="00A95E51" w:rsidRPr="00A95E51" w:rsidRDefault="00A95E51" w:rsidP="00A121FC">
            <w:pPr>
              <w:pStyle w:val="TableText"/>
              <w:rPr>
                <w:rFonts w:eastAsia="Arial Unicode MS"/>
              </w:rPr>
            </w:pPr>
            <w:r w:rsidRPr="00A95E51">
              <w:rPr>
                <w:rFonts w:eastAsia="Arial Unicode MS"/>
              </w:rPr>
              <w:t>Professional learning and development Cultural competency</w:t>
            </w:r>
          </w:p>
          <w:p w14:paraId="34045D19" w14:textId="77777777" w:rsidR="00A95E51" w:rsidRPr="00A95E51" w:rsidRDefault="00A95E51" w:rsidP="00A121FC">
            <w:pPr>
              <w:pStyle w:val="TableText"/>
              <w:rPr>
                <w:rFonts w:eastAsia="Arial Unicode MS"/>
              </w:rPr>
            </w:pPr>
            <w:r w:rsidRPr="00A95E51">
              <w:rPr>
                <w:rFonts w:eastAsia="Arial Unicode MS"/>
              </w:rPr>
              <w:t>Cultural Safety</w:t>
            </w:r>
          </w:p>
          <w:p w14:paraId="5CBAD561" w14:textId="2674497F" w:rsidR="00A95E51" w:rsidRDefault="00A95E51" w:rsidP="00A121FC">
            <w:pPr>
              <w:pStyle w:val="TableText"/>
              <w:rPr>
                <w:rFonts w:eastAsia="Arial Unicode MS"/>
              </w:rPr>
            </w:pPr>
            <w:r w:rsidRPr="00A95E51">
              <w:rPr>
                <w:rFonts w:eastAsia="Arial Unicode MS"/>
              </w:rPr>
              <w:t>Culturally informed pedagogy</w:t>
            </w:r>
          </w:p>
        </w:tc>
        <w:tc>
          <w:tcPr>
            <w:tcW w:w="3544" w:type="dxa"/>
          </w:tcPr>
          <w:p w14:paraId="0698CB6D" w14:textId="332593BE" w:rsidR="00A95E51" w:rsidRPr="00A95E51" w:rsidRDefault="00A95E51" w:rsidP="00A121FC">
            <w:pPr>
              <w:pStyle w:val="TableText"/>
              <w:rPr>
                <w:rFonts w:eastAsia="Arial Unicode MS"/>
              </w:rPr>
            </w:pPr>
            <w:r w:rsidRPr="00A95E51">
              <w:rPr>
                <w:rFonts w:eastAsia="Arial Unicode MS"/>
              </w:rPr>
              <w:t>R1.1 Mana Tangata in training</w:t>
            </w:r>
          </w:p>
        </w:tc>
        <w:tc>
          <w:tcPr>
            <w:tcW w:w="5348" w:type="dxa"/>
          </w:tcPr>
          <w:p w14:paraId="30C81B6C" w14:textId="77777777" w:rsidR="00A95E51" w:rsidRPr="00A95E51" w:rsidRDefault="00A95E51" w:rsidP="00A121FC">
            <w:pPr>
              <w:pStyle w:val="TableBullet"/>
              <w:spacing w:before="60"/>
              <w:rPr>
                <w:rFonts w:eastAsia="Arial Unicode MS"/>
              </w:rPr>
            </w:pPr>
            <w:r w:rsidRPr="00A95E51">
              <w:rPr>
                <w:rFonts w:eastAsia="Arial Unicode MS"/>
              </w:rPr>
              <w:t>Anti-racism training is mandatory with organisation</w:t>
            </w:r>
          </w:p>
          <w:p w14:paraId="07D0BDB4" w14:textId="77777777" w:rsidR="00A95E51" w:rsidRPr="00A95E51" w:rsidRDefault="00A95E51" w:rsidP="00A121FC">
            <w:pPr>
              <w:pStyle w:val="TableBullet"/>
              <w:spacing w:before="60"/>
              <w:rPr>
                <w:rFonts w:eastAsia="Arial Unicode MS"/>
              </w:rPr>
            </w:pPr>
            <w:r w:rsidRPr="00A95E51">
              <w:rPr>
                <w:rFonts w:eastAsia="Arial Unicode MS"/>
              </w:rPr>
              <w:t>Wānanga to unpack history and impacts of racism and how it manifests in organisational systems</w:t>
            </w:r>
          </w:p>
          <w:p w14:paraId="6E0A5018" w14:textId="77777777" w:rsidR="00A95E51" w:rsidRPr="00A95E51" w:rsidRDefault="00A95E51" w:rsidP="00A121FC">
            <w:pPr>
              <w:pStyle w:val="TableBullet"/>
              <w:spacing w:before="60"/>
              <w:rPr>
                <w:rFonts w:eastAsia="Arial Unicode MS"/>
              </w:rPr>
            </w:pPr>
            <w:r w:rsidRPr="00A95E51">
              <w:rPr>
                <w:rFonts w:eastAsia="Arial Unicode MS"/>
              </w:rPr>
              <w:t>Wānanga to unpack positive benefits of anti-racism</w:t>
            </w:r>
          </w:p>
          <w:p w14:paraId="1CAFA148" w14:textId="77777777" w:rsidR="00A95E51" w:rsidRPr="00A95E51" w:rsidRDefault="00A95E51" w:rsidP="00A121FC">
            <w:pPr>
              <w:pStyle w:val="TableBullet"/>
              <w:spacing w:before="60"/>
              <w:rPr>
                <w:rFonts w:eastAsia="Arial Unicode MS"/>
              </w:rPr>
            </w:pPr>
            <w:r w:rsidRPr="00A95E51">
              <w:rPr>
                <w:rFonts w:eastAsia="Arial Unicode MS"/>
              </w:rPr>
              <w:t>Equip people with the skills and language to call out racism</w:t>
            </w:r>
          </w:p>
          <w:p w14:paraId="18CB04AD" w14:textId="77777777" w:rsidR="00A95E51" w:rsidRPr="00A95E51" w:rsidRDefault="00A95E51" w:rsidP="00A121FC">
            <w:pPr>
              <w:pStyle w:val="TableBullet"/>
              <w:spacing w:before="60"/>
              <w:rPr>
                <w:rFonts w:eastAsia="Arial Unicode MS"/>
              </w:rPr>
            </w:pPr>
            <w:r w:rsidRPr="00A95E51">
              <w:rPr>
                <w:rFonts w:eastAsia="Arial Unicode MS"/>
              </w:rPr>
              <w:t>Building cultural/reo competency</w:t>
            </w:r>
          </w:p>
          <w:p w14:paraId="2EC0B844" w14:textId="3F7F1932" w:rsidR="00A95E51" w:rsidRDefault="00A95E51" w:rsidP="00A121FC">
            <w:pPr>
              <w:pStyle w:val="TableBullet"/>
              <w:spacing w:before="60"/>
              <w:rPr>
                <w:rFonts w:eastAsia="Arial Unicode MS"/>
              </w:rPr>
            </w:pPr>
            <w:r w:rsidRPr="00A95E51">
              <w:rPr>
                <w:rFonts w:eastAsia="Arial Unicode MS"/>
              </w:rPr>
              <w:t>Build anti-racism into workforce training provision</w:t>
            </w:r>
          </w:p>
        </w:tc>
      </w:tr>
      <w:tr w:rsidR="00A95E51" w14:paraId="41E753A7" w14:textId="77777777" w:rsidTr="00A121FC">
        <w:tc>
          <w:tcPr>
            <w:tcW w:w="1985" w:type="dxa"/>
          </w:tcPr>
          <w:p w14:paraId="24C10CBE" w14:textId="0004C3F2" w:rsidR="00A95E51" w:rsidRPr="00A95E51" w:rsidRDefault="00A95E51" w:rsidP="00A121FC">
            <w:pPr>
              <w:pStyle w:val="TableText"/>
              <w:rPr>
                <w:rFonts w:eastAsia="Arial Unicode MS"/>
              </w:rPr>
            </w:pPr>
            <w:r w:rsidRPr="00A95E51">
              <w:rPr>
                <w:rFonts w:eastAsia="Arial Unicode MS"/>
              </w:rPr>
              <w:t>Practice</w:t>
            </w:r>
          </w:p>
        </w:tc>
        <w:tc>
          <w:tcPr>
            <w:tcW w:w="2551" w:type="dxa"/>
          </w:tcPr>
          <w:p w14:paraId="1D12935E" w14:textId="080F20A3" w:rsidR="00A95E51" w:rsidRDefault="00A95E51" w:rsidP="00A121FC">
            <w:pPr>
              <w:pStyle w:val="TableText"/>
              <w:rPr>
                <w:rFonts w:eastAsia="Arial Unicode MS"/>
              </w:rPr>
            </w:pPr>
            <w:r w:rsidRPr="00A95E51">
              <w:rPr>
                <w:rFonts w:eastAsia="Arial Unicode MS"/>
              </w:rPr>
              <w:t>Reflective practice Habitual practices</w:t>
            </w:r>
          </w:p>
        </w:tc>
        <w:tc>
          <w:tcPr>
            <w:tcW w:w="3544" w:type="dxa"/>
          </w:tcPr>
          <w:p w14:paraId="6CAC356B" w14:textId="663DCF88" w:rsidR="00A95E51" w:rsidRPr="00A95E51" w:rsidRDefault="00A95E51" w:rsidP="00A121FC">
            <w:pPr>
              <w:pStyle w:val="TableText"/>
              <w:rPr>
                <w:rFonts w:eastAsia="Arial Unicode MS"/>
              </w:rPr>
            </w:pPr>
            <w:r w:rsidRPr="00A95E51">
              <w:rPr>
                <w:rFonts w:eastAsia="Arial Unicode MS"/>
              </w:rPr>
              <w:t>R2.1 Mana Tangata practice</w:t>
            </w:r>
          </w:p>
        </w:tc>
        <w:tc>
          <w:tcPr>
            <w:tcW w:w="5348" w:type="dxa"/>
          </w:tcPr>
          <w:p w14:paraId="2485FF7C" w14:textId="77777777" w:rsidR="00A95E51" w:rsidRPr="00A95E51" w:rsidRDefault="00A95E51" w:rsidP="00A121FC">
            <w:pPr>
              <w:pStyle w:val="TableBullet"/>
              <w:spacing w:before="60"/>
              <w:rPr>
                <w:rFonts w:eastAsia="Arial Unicode MS"/>
              </w:rPr>
            </w:pPr>
            <w:r w:rsidRPr="00A95E51">
              <w:rPr>
                <w:rFonts w:eastAsia="Arial Unicode MS"/>
              </w:rPr>
              <w:t>Organisation uses reflective practice tools to understand where they are on the continuum of racism and chart their journey towards anti-racism</w:t>
            </w:r>
          </w:p>
          <w:p w14:paraId="43A6ED8C" w14:textId="77777777" w:rsidR="00A95E51" w:rsidRPr="00A95E51" w:rsidRDefault="00A95E51" w:rsidP="00A121FC">
            <w:pPr>
              <w:pStyle w:val="TableBullet"/>
              <w:spacing w:before="60"/>
              <w:rPr>
                <w:rFonts w:eastAsia="Arial Unicode MS"/>
              </w:rPr>
            </w:pPr>
            <w:r w:rsidRPr="00A95E51">
              <w:rPr>
                <w:rFonts w:eastAsia="Arial Unicode MS"/>
              </w:rPr>
              <w:lastRenderedPageBreak/>
              <w:t>There is a broad understanding of the assumptions and ‘taken for granted’ elements of the organisation that contribute to disadvantage (ie the organisation has seen the ‘train tracks’ that embed the status quo)</w:t>
            </w:r>
          </w:p>
          <w:p w14:paraId="75F3E1DB" w14:textId="77777777" w:rsidR="00A95E51" w:rsidRPr="00A95E51" w:rsidRDefault="00A95E51" w:rsidP="00A121FC">
            <w:pPr>
              <w:pStyle w:val="TableBullet"/>
              <w:spacing w:before="60"/>
              <w:rPr>
                <w:rFonts w:eastAsia="Arial Unicode MS"/>
              </w:rPr>
            </w:pPr>
            <w:r w:rsidRPr="00A95E51">
              <w:rPr>
                <w:rFonts w:eastAsia="Arial Unicode MS"/>
              </w:rPr>
              <w:t>Organisation uses reflective practice tools to question assumptions and ‘taken for granted’ processes that embed racism (ie habitual triggers to see the ‘train tracks’)</w:t>
            </w:r>
          </w:p>
          <w:p w14:paraId="282C9222" w14:textId="505B374A" w:rsidR="00A95E51" w:rsidRPr="00A95E51" w:rsidRDefault="00A95E51" w:rsidP="00A121FC">
            <w:pPr>
              <w:pStyle w:val="TableBullet"/>
              <w:spacing w:before="60"/>
              <w:rPr>
                <w:rFonts w:eastAsia="Arial Unicode MS"/>
              </w:rPr>
            </w:pPr>
            <w:r w:rsidRPr="00A95E51">
              <w:rPr>
                <w:rFonts w:eastAsia="Arial Unicode MS"/>
              </w:rPr>
              <w:t xml:space="preserve">Reflective practices are embedded into organisational processes, including investment proposals (business cases) and decision- making on strategic issues with formal tools </w:t>
            </w:r>
            <w:r w:rsidR="00A121FC" w:rsidRPr="00A95E51">
              <w:rPr>
                <w:rFonts w:eastAsia="Arial Unicode MS"/>
              </w:rPr>
              <w:t>including</w:t>
            </w:r>
            <w:r w:rsidRPr="00A95E51">
              <w:rPr>
                <w:rFonts w:eastAsia="Arial Unicode MS"/>
              </w:rPr>
              <w:t xml:space="preserve"> HEAT, Critical Te Tiriti etc)</w:t>
            </w:r>
          </w:p>
          <w:p w14:paraId="50EEFAB1" w14:textId="77777777" w:rsidR="00A95E51" w:rsidRPr="00A95E51" w:rsidRDefault="00A95E51" w:rsidP="00A121FC">
            <w:pPr>
              <w:pStyle w:val="TableBullet"/>
              <w:spacing w:before="60"/>
              <w:rPr>
                <w:rFonts w:eastAsia="Arial Unicode MS"/>
              </w:rPr>
            </w:pPr>
            <w:r w:rsidRPr="00A95E51">
              <w:rPr>
                <w:rFonts w:eastAsia="Arial Unicode MS"/>
              </w:rPr>
              <w:t>Reflective practices are habitual in initiative planning and debriefing</w:t>
            </w:r>
          </w:p>
          <w:p w14:paraId="7B14380E" w14:textId="77777777" w:rsidR="00A95E51" w:rsidRPr="00A95E51" w:rsidRDefault="00A95E51" w:rsidP="00A121FC">
            <w:pPr>
              <w:pStyle w:val="TableBullet"/>
              <w:spacing w:before="60"/>
              <w:rPr>
                <w:rFonts w:eastAsia="Arial Unicode MS"/>
              </w:rPr>
            </w:pPr>
            <w:r w:rsidRPr="00A95E51">
              <w:rPr>
                <w:rFonts w:eastAsia="Arial Unicode MS"/>
              </w:rPr>
              <w:t>Creating safe spaces to call out racism</w:t>
            </w:r>
          </w:p>
          <w:p w14:paraId="51B77688" w14:textId="77777777" w:rsidR="00A95E51" w:rsidRPr="00A95E51" w:rsidRDefault="00A95E51" w:rsidP="00A121FC">
            <w:pPr>
              <w:pStyle w:val="TableBullet"/>
              <w:spacing w:before="60"/>
              <w:rPr>
                <w:rFonts w:eastAsia="Arial Unicode MS"/>
              </w:rPr>
            </w:pPr>
            <w:r w:rsidRPr="00A95E51">
              <w:rPr>
                <w:rFonts w:eastAsia="Arial Unicode MS"/>
              </w:rPr>
              <w:t>Incorporating anti-racism into everyday meetings and routines</w:t>
            </w:r>
          </w:p>
          <w:p w14:paraId="064B2C95" w14:textId="77777777" w:rsidR="00A95E51" w:rsidRPr="00A95E51" w:rsidRDefault="00A95E51" w:rsidP="00A121FC">
            <w:pPr>
              <w:pStyle w:val="TableBullet"/>
              <w:spacing w:before="60"/>
              <w:rPr>
                <w:rFonts w:eastAsia="Arial Unicode MS"/>
              </w:rPr>
            </w:pPr>
            <w:r w:rsidRPr="00A95E51">
              <w:rPr>
                <w:rFonts w:eastAsia="Arial Unicode MS"/>
              </w:rPr>
              <w:t>Leader’s role model anti-racist practice</w:t>
            </w:r>
          </w:p>
          <w:p w14:paraId="0CF9F632" w14:textId="62CB13BF" w:rsidR="00A95E51" w:rsidRPr="00A95E51" w:rsidRDefault="00A95E51" w:rsidP="00A121FC">
            <w:pPr>
              <w:pStyle w:val="TableBullet"/>
              <w:spacing w:before="60"/>
              <w:rPr>
                <w:rFonts w:eastAsia="Arial Unicode MS"/>
              </w:rPr>
            </w:pPr>
            <w:r w:rsidRPr="00A95E51">
              <w:rPr>
                <w:rFonts w:eastAsia="Arial Unicode MS"/>
              </w:rPr>
              <w:t xml:space="preserve">Anti-racist/ equity seeking </w:t>
            </w:r>
            <w:r w:rsidR="00A121FC" w:rsidRPr="00A95E51">
              <w:rPr>
                <w:rFonts w:eastAsia="Arial Unicode MS"/>
              </w:rPr>
              <w:t>behaviour</w:t>
            </w:r>
            <w:r w:rsidRPr="00A95E51">
              <w:rPr>
                <w:rFonts w:eastAsia="Arial Unicode MS"/>
              </w:rPr>
              <w:t xml:space="preserve"> is incentivized and celebrated across the organisation</w:t>
            </w:r>
          </w:p>
          <w:p w14:paraId="6C669A21" w14:textId="77777777" w:rsidR="00A95E51" w:rsidRPr="00A95E51" w:rsidRDefault="00A95E51" w:rsidP="00A121FC">
            <w:pPr>
              <w:pStyle w:val="TableBullet"/>
              <w:spacing w:before="60"/>
              <w:rPr>
                <w:rFonts w:eastAsia="Arial Unicode MS"/>
              </w:rPr>
            </w:pPr>
            <w:r w:rsidRPr="00A95E51">
              <w:rPr>
                <w:rFonts w:eastAsia="Arial Unicode MS"/>
              </w:rPr>
              <w:t>Habitual practice reflects an ethic of service to communities and under-served groups</w:t>
            </w:r>
          </w:p>
          <w:p w14:paraId="3733C625" w14:textId="77777777" w:rsidR="00A95E51" w:rsidRPr="00A95E51" w:rsidRDefault="00A95E51" w:rsidP="00A121FC">
            <w:pPr>
              <w:pStyle w:val="TableBullet"/>
              <w:spacing w:before="60"/>
              <w:rPr>
                <w:rFonts w:eastAsia="Arial Unicode MS"/>
              </w:rPr>
            </w:pPr>
            <w:r w:rsidRPr="00A95E51">
              <w:rPr>
                <w:rFonts w:eastAsia="Arial Unicode MS"/>
              </w:rPr>
              <w:t>Habitual practice places priority on relationships and the va</w:t>
            </w:r>
          </w:p>
          <w:p w14:paraId="258A3386" w14:textId="5845517B" w:rsidR="00A95E51" w:rsidRDefault="00A95E51" w:rsidP="00A121FC">
            <w:pPr>
              <w:pStyle w:val="TableBullet"/>
              <w:spacing w:before="60"/>
              <w:rPr>
                <w:rFonts w:eastAsia="Arial Unicode MS"/>
              </w:rPr>
            </w:pPr>
            <w:r w:rsidRPr="00A95E51">
              <w:rPr>
                <w:rFonts w:eastAsia="Arial Unicode MS"/>
              </w:rPr>
              <w:t>Tools and resources to embed anti-racism into habitual practice (eg nudges, information material etc)</w:t>
            </w:r>
          </w:p>
        </w:tc>
      </w:tr>
      <w:tr w:rsidR="00A121FC" w14:paraId="5A6C3D54" w14:textId="77777777" w:rsidTr="00A121FC">
        <w:tc>
          <w:tcPr>
            <w:tcW w:w="1985" w:type="dxa"/>
          </w:tcPr>
          <w:p w14:paraId="57275A06" w14:textId="55150A40" w:rsidR="00A121FC" w:rsidRPr="00A95E51" w:rsidRDefault="00A121FC" w:rsidP="00A121FC">
            <w:pPr>
              <w:pStyle w:val="TableText"/>
              <w:rPr>
                <w:rFonts w:eastAsia="Arial Unicode MS"/>
              </w:rPr>
            </w:pPr>
            <w:r w:rsidRPr="00A121FC">
              <w:rPr>
                <w:rFonts w:eastAsia="Arial Unicode MS"/>
              </w:rPr>
              <w:lastRenderedPageBreak/>
              <w:t>Data Collection</w:t>
            </w:r>
          </w:p>
        </w:tc>
        <w:tc>
          <w:tcPr>
            <w:tcW w:w="2551" w:type="dxa"/>
          </w:tcPr>
          <w:p w14:paraId="1BB57DB6" w14:textId="31B9826F" w:rsidR="00A121FC" w:rsidRPr="00A95E51" w:rsidRDefault="00A121FC" w:rsidP="00A121FC">
            <w:pPr>
              <w:pStyle w:val="TableText"/>
              <w:rPr>
                <w:rFonts w:eastAsia="Arial Unicode MS"/>
              </w:rPr>
            </w:pPr>
            <w:r w:rsidRPr="00A121FC">
              <w:rPr>
                <w:rFonts w:eastAsia="Arial Unicode MS"/>
              </w:rPr>
              <w:t>Equity Data collection</w:t>
            </w:r>
          </w:p>
        </w:tc>
        <w:tc>
          <w:tcPr>
            <w:tcW w:w="3544" w:type="dxa"/>
          </w:tcPr>
          <w:p w14:paraId="1CA46751" w14:textId="221D8875" w:rsidR="00A121FC" w:rsidRPr="00A95E51" w:rsidRDefault="00A121FC" w:rsidP="00A121FC">
            <w:pPr>
              <w:pStyle w:val="TableText"/>
              <w:rPr>
                <w:rFonts w:eastAsia="Arial Unicode MS"/>
              </w:rPr>
            </w:pPr>
            <w:r w:rsidRPr="00A121FC">
              <w:rPr>
                <w:rFonts w:eastAsia="Arial Unicode MS"/>
              </w:rPr>
              <w:t>P1.1 Mana Tangata data collection</w:t>
            </w:r>
          </w:p>
        </w:tc>
        <w:tc>
          <w:tcPr>
            <w:tcW w:w="5348" w:type="dxa"/>
          </w:tcPr>
          <w:p w14:paraId="6320B07D" w14:textId="77777777" w:rsidR="00A121FC" w:rsidRPr="00A121FC" w:rsidRDefault="00A121FC" w:rsidP="00A121FC">
            <w:pPr>
              <w:pStyle w:val="TableBullet"/>
              <w:spacing w:before="60"/>
              <w:rPr>
                <w:rFonts w:eastAsia="Arial Unicode MS"/>
              </w:rPr>
            </w:pPr>
            <w:r w:rsidRPr="00A121FC">
              <w:rPr>
                <w:rFonts w:eastAsia="Arial Unicode MS"/>
              </w:rPr>
              <w:t>Te Tiriti partners work together to determine priorities &amp; data measures</w:t>
            </w:r>
          </w:p>
          <w:p w14:paraId="781F99DA" w14:textId="77777777" w:rsidR="00A121FC" w:rsidRPr="00A121FC" w:rsidRDefault="00A121FC" w:rsidP="00A121FC">
            <w:pPr>
              <w:pStyle w:val="TableBullet"/>
              <w:spacing w:before="60"/>
              <w:rPr>
                <w:rFonts w:eastAsia="Arial Unicode MS"/>
              </w:rPr>
            </w:pPr>
            <w:r w:rsidRPr="00A121FC">
              <w:rPr>
                <w:rFonts w:eastAsia="Arial Unicode MS"/>
              </w:rPr>
              <w:t>Set quantifiable and data-driven goals and outcomes for anti-racism</w:t>
            </w:r>
          </w:p>
          <w:p w14:paraId="6F5E365B" w14:textId="77777777" w:rsidR="00A121FC" w:rsidRPr="00A121FC" w:rsidRDefault="00A121FC" w:rsidP="00A121FC">
            <w:pPr>
              <w:pStyle w:val="TableBullet"/>
              <w:spacing w:before="60"/>
              <w:rPr>
                <w:rFonts w:eastAsia="Arial Unicode MS"/>
              </w:rPr>
            </w:pPr>
            <w:r w:rsidRPr="00A121FC">
              <w:rPr>
                <w:rFonts w:eastAsia="Arial Unicode MS"/>
              </w:rPr>
              <w:lastRenderedPageBreak/>
              <w:t>Design data accountability, monitoring and reporting tools focused on equity</w:t>
            </w:r>
          </w:p>
          <w:p w14:paraId="0C582C22" w14:textId="77777777" w:rsidR="00A121FC" w:rsidRPr="00A121FC" w:rsidRDefault="00A121FC" w:rsidP="00A121FC">
            <w:pPr>
              <w:pStyle w:val="TableBullet"/>
              <w:spacing w:before="60"/>
              <w:rPr>
                <w:rFonts w:eastAsia="Arial Unicode MS"/>
              </w:rPr>
            </w:pPr>
            <w:r w:rsidRPr="00A121FC">
              <w:rPr>
                <w:rFonts w:eastAsia="Arial Unicode MS"/>
              </w:rPr>
              <w:t>Balance quantitative data with qualitative stories of lived experience</w:t>
            </w:r>
          </w:p>
          <w:p w14:paraId="6A1C4ABE" w14:textId="2DA1DD8F" w:rsidR="00A121FC" w:rsidRPr="00A95E51" w:rsidRDefault="00A121FC" w:rsidP="00A121FC">
            <w:pPr>
              <w:pStyle w:val="TableBullet"/>
              <w:spacing w:before="60"/>
              <w:rPr>
                <w:rFonts w:eastAsia="Arial Unicode MS"/>
              </w:rPr>
            </w:pPr>
            <w:r w:rsidRPr="00A121FC">
              <w:rPr>
                <w:rFonts w:eastAsia="Arial Unicode MS"/>
              </w:rPr>
              <w:t>Share insights with iwi and grow Māori data literacy to inform on the ground activities</w:t>
            </w:r>
          </w:p>
        </w:tc>
      </w:tr>
      <w:tr w:rsidR="00A121FC" w14:paraId="6167019F" w14:textId="77777777" w:rsidTr="00A121FC">
        <w:tc>
          <w:tcPr>
            <w:tcW w:w="1985" w:type="dxa"/>
          </w:tcPr>
          <w:p w14:paraId="071D937B" w14:textId="357D283C" w:rsidR="00A121FC" w:rsidRPr="00A121FC" w:rsidRDefault="00A121FC" w:rsidP="00A121FC">
            <w:pPr>
              <w:pStyle w:val="TableText"/>
              <w:rPr>
                <w:rFonts w:eastAsia="Arial Unicode MS"/>
              </w:rPr>
            </w:pPr>
            <w:r w:rsidRPr="00A121FC">
              <w:rPr>
                <w:rFonts w:eastAsia="Arial Unicode MS"/>
              </w:rPr>
              <w:lastRenderedPageBreak/>
              <w:t>Monitoring, Reporting and Auditing</w:t>
            </w:r>
          </w:p>
        </w:tc>
        <w:tc>
          <w:tcPr>
            <w:tcW w:w="2551" w:type="dxa"/>
          </w:tcPr>
          <w:p w14:paraId="21DC66AD" w14:textId="77777777" w:rsidR="00A121FC" w:rsidRPr="00A121FC" w:rsidRDefault="00A121FC" w:rsidP="00A121FC">
            <w:pPr>
              <w:pStyle w:val="TableText"/>
              <w:rPr>
                <w:rFonts w:eastAsia="Arial Unicode MS"/>
              </w:rPr>
            </w:pPr>
            <w:r w:rsidRPr="00A121FC">
              <w:rPr>
                <w:rFonts w:eastAsia="Arial Unicode MS"/>
              </w:rPr>
              <w:t>Organisational evaluation Programme service reviews Monitoring</w:t>
            </w:r>
          </w:p>
          <w:p w14:paraId="14AF8F28" w14:textId="1F5BC9E6" w:rsidR="00A121FC" w:rsidRPr="00A121FC" w:rsidRDefault="00A121FC" w:rsidP="00A121FC">
            <w:pPr>
              <w:pStyle w:val="TableText"/>
              <w:rPr>
                <w:rFonts w:eastAsia="Arial Unicode MS"/>
              </w:rPr>
            </w:pPr>
            <w:r w:rsidRPr="00A121FC">
              <w:rPr>
                <w:rFonts w:eastAsia="Arial Unicode MS"/>
              </w:rPr>
              <w:t>Auditing</w:t>
            </w:r>
          </w:p>
        </w:tc>
        <w:tc>
          <w:tcPr>
            <w:tcW w:w="3544" w:type="dxa"/>
          </w:tcPr>
          <w:p w14:paraId="7818B0DC" w14:textId="77777777" w:rsidR="00A121FC" w:rsidRDefault="00A121FC" w:rsidP="00A121FC">
            <w:pPr>
              <w:pStyle w:val="TableText"/>
              <w:rPr>
                <w:rFonts w:eastAsia="Arial Unicode MS"/>
              </w:rPr>
            </w:pPr>
            <w:r w:rsidRPr="00A121FC">
              <w:rPr>
                <w:rFonts w:eastAsia="Arial Unicode MS"/>
              </w:rPr>
              <w:t xml:space="preserve">P2.1 Practice reviews </w:t>
            </w:r>
          </w:p>
          <w:p w14:paraId="2E13B139" w14:textId="5664E7AD" w:rsidR="00A121FC" w:rsidRPr="00A121FC" w:rsidRDefault="00A121FC" w:rsidP="00A121FC">
            <w:pPr>
              <w:pStyle w:val="TableText"/>
              <w:rPr>
                <w:rFonts w:eastAsia="Arial Unicode MS"/>
              </w:rPr>
            </w:pPr>
            <w:r w:rsidRPr="00A121FC">
              <w:rPr>
                <w:rFonts w:eastAsia="Arial Unicode MS"/>
              </w:rPr>
              <w:t>P2.2 Monitoring</w:t>
            </w:r>
          </w:p>
        </w:tc>
        <w:tc>
          <w:tcPr>
            <w:tcW w:w="5348" w:type="dxa"/>
          </w:tcPr>
          <w:p w14:paraId="5AFF4063" w14:textId="77777777" w:rsidR="00A121FC" w:rsidRPr="00A121FC" w:rsidRDefault="00A121FC" w:rsidP="00A121FC">
            <w:pPr>
              <w:pStyle w:val="TableBullet"/>
              <w:spacing w:before="60"/>
              <w:rPr>
                <w:rFonts w:eastAsia="Arial Unicode MS"/>
              </w:rPr>
            </w:pPr>
            <w:r w:rsidRPr="00A121FC">
              <w:rPr>
                <w:rFonts w:eastAsia="Arial Unicode MS"/>
              </w:rPr>
              <w:t>Practice reviews</w:t>
            </w:r>
          </w:p>
          <w:p w14:paraId="0D560B4E" w14:textId="77777777" w:rsidR="00A121FC" w:rsidRPr="00A121FC" w:rsidRDefault="00A121FC" w:rsidP="00A121FC">
            <w:pPr>
              <w:pStyle w:val="TableDash"/>
              <w:spacing w:before="60" w:after="60"/>
              <w:rPr>
                <w:rFonts w:eastAsia="Arial Unicode MS"/>
              </w:rPr>
            </w:pPr>
            <w:r w:rsidRPr="00A121FC">
              <w:rPr>
                <w:rFonts w:eastAsia="Arial Unicode MS"/>
              </w:rPr>
              <w:t>Take structured ‘pulse checks’ on racism across the system</w:t>
            </w:r>
          </w:p>
          <w:p w14:paraId="38FC740C" w14:textId="77777777" w:rsidR="00A121FC" w:rsidRPr="00A121FC" w:rsidRDefault="00A121FC" w:rsidP="00A121FC">
            <w:pPr>
              <w:pStyle w:val="TableDash"/>
              <w:spacing w:before="60" w:after="60"/>
              <w:rPr>
                <w:rFonts w:eastAsia="Arial Unicode MS"/>
              </w:rPr>
            </w:pPr>
            <w:r w:rsidRPr="00A121FC">
              <w:rPr>
                <w:rFonts w:eastAsia="Arial Unicode MS"/>
              </w:rPr>
              <w:t>Evaluate and provide feedback loops for emerging anti-racist practices</w:t>
            </w:r>
          </w:p>
          <w:p w14:paraId="47FCB97D" w14:textId="77777777" w:rsidR="00A121FC" w:rsidRPr="00A121FC" w:rsidRDefault="00A121FC" w:rsidP="00A121FC">
            <w:pPr>
              <w:pStyle w:val="TableDash"/>
              <w:spacing w:before="60" w:after="60"/>
              <w:rPr>
                <w:rFonts w:eastAsia="Arial Unicode MS"/>
              </w:rPr>
            </w:pPr>
            <w:r w:rsidRPr="00A121FC">
              <w:rPr>
                <w:rFonts w:eastAsia="Arial Unicode MS"/>
              </w:rPr>
              <w:t>Shine the light on successes</w:t>
            </w:r>
          </w:p>
          <w:p w14:paraId="4564D50A" w14:textId="77777777" w:rsidR="00A121FC" w:rsidRPr="00A121FC" w:rsidRDefault="00A121FC" w:rsidP="00A121FC">
            <w:pPr>
              <w:pStyle w:val="TableBullet"/>
              <w:spacing w:before="60"/>
              <w:rPr>
                <w:rFonts w:eastAsia="Arial Unicode MS"/>
              </w:rPr>
            </w:pPr>
            <w:r w:rsidRPr="00A121FC">
              <w:rPr>
                <w:rFonts w:eastAsia="Arial Unicode MS"/>
              </w:rPr>
              <w:t>Monitoring</w:t>
            </w:r>
          </w:p>
          <w:p w14:paraId="484DB84C" w14:textId="77777777" w:rsidR="00A121FC" w:rsidRPr="00A121FC" w:rsidRDefault="00A121FC" w:rsidP="00A121FC">
            <w:pPr>
              <w:pStyle w:val="TableDash"/>
              <w:spacing w:before="60" w:after="60"/>
              <w:rPr>
                <w:rFonts w:eastAsia="Arial Unicode MS"/>
              </w:rPr>
            </w:pPr>
            <w:r w:rsidRPr="00A121FC">
              <w:rPr>
                <w:rFonts w:eastAsia="Arial Unicode MS"/>
              </w:rPr>
              <w:t>Periodic service reviews are implemented across the organisation on achieving equity and anti-racism priorities and practices</w:t>
            </w:r>
          </w:p>
          <w:p w14:paraId="68A42961" w14:textId="77777777" w:rsidR="00A121FC" w:rsidRPr="00A121FC" w:rsidRDefault="00A121FC" w:rsidP="00A121FC">
            <w:pPr>
              <w:pStyle w:val="TableDash"/>
              <w:spacing w:before="60" w:after="60"/>
              <w:rPr>
                <w:rFonts w:eastAsia="Arial Unicode MS"/>
              </w:rPr>
            </w:pPr>
            <w:r w:rsidRPr="00A121FC">
              <w:rPr>
                <w:rFonts w:eastAsia="Arial Unicode MS"/>
              </w:rPr>
              <w:t>Implementation gaps revealed in periodic service reviews are visible and followed through on</w:t>
            </w:r>
          </w:p>
          <w:p w14:paraId="7CD44C0C" w14:textId="77777777" w:rsidR="00A121FC" w:rsidRPr="00A121FC" w:rsidRDefault="00A121FC" w:rsidP="00A121FC">
            <w:pPr>
              <w:pStyle w:val="TableDash"/>
              <w:spacing w:before="60" w:after="60"/>
              <w:rPr>
                <w:rFonts w:eastAsia="Arial Unicode MS"/>
              </w:rPr>
            </w:pPr>
            <w:r w:rsidRPr="00A121FC">
              <w:rPr>
                <w:rFonts w:eastAsia="Arial Unicode MS"/>
              </w:rPr>
              <w:t>Organisation engages in equity auditing</w:t>
            </w:r>
          </w:p>
          <w:p w14:paraId="77765215" w14:textId="77777777" w:rsidR="00A121FC" w:rsidRPr="00A121FC" w:rsidRDefault="00A121FC" w:rsidP="00A121FC">
            <w:pPr>
              <w:pStyle w:val="TableDash"/>
              <w:spacing w:before="60" w:after="60"/>
              <w:rPr>
                <w:rFonts w:eastAsia="Arial Unicode MS"/>
              </w:rPr>
            </w:pPr>
            <w:r w:rsidRPr="00A121FC">
              <w:rPr>
                <w:rFonts w:eastAsia="Arial Unicode MS"/>
              </w:rPr>
              <w:t>Embed measures within existing reporting mechanisms</w:t>
            </w:r>
          </w:p>
          <w:p w14:paraId="44829A51" w14:textId="1137D4DC" w:rsidR="00A121FC" w:rsidRPr="00A121FC" w:rsidRDefault="00A121FC" w:rsidP="00A121FC">
            <w:pPr>
              <w:pStyle w:val="TableDash"/>
              <w:spacing w:before="60" w:after="60"/>
              <w:rPr>
                <w:rFonts w:eastAsia="Arial Unicode MS"/>
              </w:rPr>
            </w:pPr>
            <w:r w:rsidRPr="00A121FC">
              <w:rPr>
                <w:rFonts w:eastAsia="Arial Unicode MS"/>
              </w:rPr>
              <w:t>Outcomes of monitoring and accountability processes</w:t>
            </w:r>
          </w:p>
        </w:tc>
      </w:tr>
    </w:tbl>
    <w:p w14:paraId="740CE9D0" w14:textId="78605A8B" w:rsidR="000D1BF9" w:rsidRDefault="000D1BF9" w:rsidP="000D1BF9">
      <w:pPr>
        <w:rPr>
          <w:rFonts w:eastAsia="Arial Unicode MS"/>
        </w:rPr>
      </w:pPr>
    </w:p>
    <w:p w14:paraId="0352DCE3" w14:textId="77777777" w:rsidR="00A95E51" w:rsidRDefault="00A95E51" w:rsidP="000D1BF9">
      <w:pPr>
        <w:rPr>
          <w:rFonts w:eastAsia="Arial Unicode MS"/>
        </w:rPr>
      </w:pPr>
    </w:p>
    <w:p w14:paraId="2968B9F5" w14:textId="2E72C095" w:rsidR="00A95E51" w:rsidRDefault="00A95E51" w:rsidP="000D1BF9">
      <w:pPr>
        <w:rPr>
          <w:rFonts w:eastAsia="Arial Unicode MS"/>
        </w:rPr>
        <w:sectPr w:rsidR="00A95E51" w:rsidSect="00A95E51">
          <w:footerReference w:type="even" r:id="rId30"/>
          <w:footerReference w:type="default" r:id="rId31"/>
          <w:pgSz w:w="16840" w:h="11907" w:orient="landscape" w:code="9"/>
          <w:pgMar w:top="1134" w:right="1701" w:bottom="1418" w:left="1701" w:header="284" w:footer="425" w:gutter="284"/>
          <w:cols w:space="720"/>
          <w:docGrid w:linePitch="286"/>
        </w:sectPr>
      </w:pPr>
    </w:p>
    <w:p w14:paraId="5150F6E5" w14:textId="72C8AB6C" w:rsidR="000D1BF9" w:rsidRPr="000D1BF9" w:rsidRDefault="000D1BF9" w:rsidP="000D1BF9">
      <w:pPr>
        <w:pStyle w:val="Heading1"/>
        <w:spacing w:before="0"/>
        <w:rPr>
          <w:rFonts w:eastAsia="Arial Unicode MS"/>
        </w:rPr>
      </w:pPr>
      <w:bookmarkStart w:id="25" w:name="_Toc128660391"/>
      <w:r w:rsidRPr="000D1BF9">
        <w:rPr>
          <w:rFonts w:eastAsia="Arial Unicode MS"/>
        </w:rPr>
        <w:lastRenderedPageBreak/>
        <w:t xml:space="preserve">Kupu </w:t>
      </w:r>
      <w:r w:rsidR="00ED7A85">
        <w:rPr>
          <w:rFonts w:eastAsia="Arial Unicode MS"/>
        </w:rPr>
        <w:t>W</w:t>
      </w:r>
      <w:r w:rsidRPr="000D1BF9">
        <w:rPr>
          <w:rFonts w:eastAsia="Arial Unicode MS"/>
        </w:rPr>
        <w:t xml:space="preserve">hakamutunga </w:t>
      </w:r>
      <w:r>
        <w:rPr>
          <w:rFonts w:eastAsia="Arial Unicode MS"/>
        </w:rPr>
        <w:t>|</w:t>
      </w:r>
      <w:r w:rsidRPr="000D1BF9">
        <w:rPr>
          <w:rFonts w:eastAsia="Arial Unicode MS"/>
        </w:rPr>
        <w:t xml:space="preserve"> </w:t>
      </w:r>
      <w:r>
        <w:rPr>
          <w:rFonts w:eastAsia="Arial Unicode MS"/>
        </w:rPr>
        <w:t>C</w:t>
      </w:r>
      <w:r w:rsidRPr="000D1BF9">
        <w:rPr>
          <w:rFonts w:eastAsia="Arial Unicode MS"/>
        </w:rPr>
        <w:t>onclusion</w:t>
      </w:r>
      <w:bookmarkEnd w:id="25"/>
    </w:p>
    <w:p w14:paraId="4474556D" w14:textId="7C9B4C79" w:rsidR="000D1BF9" w:rsidRPr="000D1BF9" w:rsidRDefault="000D1BF9" w:rsidP="000D1BF9">
      <w:pPr>
        <w:rPr>
          <w:rFonts w:eastAsia="Arial Unicode MS"/>
        </w:rPr>
      </w:pPr>
      <w:r>
        <w:rPr>
          <w:rFonts w:eastAsia="Arial Unicode MS"/>
        </w:rPr>
        <w:t>T</w:t>
      </w:r>
      <w:r w:rsidRPr="000D1BF9">
        <w:rPr>
          <w:rFonts w:eastAsia="Arial Unicode MS"/>
        </w:rPr>
        <w:t>his is the second literature review for phase one of Ao Mai te Rā. The purpose of this literature review was to explore best practice approaches to addressing racism in all its forms. In doing so, this literature review recommends a suite</w:t>
      </w:r>
      <w:r>
        <w:rPr>
          <w:rFonts w:eastAsia="Arial Unicode MS"/>
        </w:rPr>
        <w:t xml:space="preserve"> </w:t>
      </w:r>
      <w:r w:rsidRPr="000D1BF9">
        <w:rPr>
          <w:rFonts w:eastAsia="Arial Unicode MS"/>
        </w:rPr>
        <w:t>of levers for change necessary for anti- racism action and transformation.</w:t>
      </w:r>
    </w:p>
    <w:p w14:paraId="3DFE17C8" w14:textId="77777777" w:rsidR="000D1BF9" w:rsidRPr="000D1BF9" w:rsidRDefault="000D1BF9" w:rsidP="000D1BF9">
      <w:pPr>
        <w:rPr>
          <w:rFonts w:eastAsia="Arial Unicode MS"/>
        </w:rPr>
      </w:pPr>
    </w:p>
    <w:p w14:paraId="1881C1A9" w14:textId="397906CA" w:rsidR="000D1BF9" w:rsidRPr="000D1BF9" w:rsidRDefault="000D1BF9" w:rsidP="000D1BF9">
      <w:pPr>
        <w:rPr>
          <w:rFonts w:eastAsia="Arial Unicode MS"/>
        </w:rPr>
      </w:pPr>
      <w:r w:rsidRPr="000D1BF9">
        <w:rPr>
          <w:rFonts w:eastAsia="Arial Unicode MS"/>
        </w:rPr>
        <w:t>Racism and racial health inequity is a complex web of causation, which means that a singular lever on its own will be insufficient in producing real change. The levers for change described in this paper</w:t>
      </w:r>
      <w:r>
        <w:rPr>
          <w:rFonts w:eastAsia="Arial Unicode MS"/>
        </w:rPr>
        <w:t xml:space="preserve"> </w:t>
      </w:r>
      <w:r w:rsidRPr="000D1BF9">
        <w:rPr>
          <w:rFonts w:eastAsia="Arial Unicode MS"/>
        </w:rPr>
        <w:t>will need to be deployed in tandem to achieve mutually reinforcing interaction and change at all levels of the health system.</w:t>
      </w:r>
    </w:p>
    <w:p w14:paraId="44EF3C4C" w14:textId="77777777" w:rsidR="000D1BF9" w:rsidRPr="000D1BF9" w:rsidRDefault="000D1BF9" w:rsidP="000D1BF9">
      <w:pPr>
        <w:rPr>
          <w:rFonts w:eastAsia="Arial Unicode MS"/>
        </w:rPr>
      </w:pPr>
    </w:p>
    <w:p w14:paraId="5692C4C6" w14:textId="28E90986" w:rsidR="00A96C4F" w:rsidRPr="002C1C4B" w:rsidRDefault="000D1BF9" w:rsidP="000D1BF9">
      <w:pPr>
        <w:rPr>
          <w:rFonts w:eastAsia="Arial Unicode MS"/>
        </w:rPr>
      </w:pPr>
      <w:r w:rsidRPr="000D1BF9">
        <w:rPr>
          <w:rFonts w:eastAsia="Arial Unicode MS"/>
        </w:rPr>
        <w:t>The key levers for change identified in this review will be included in a preliminary anti-racism systems change model for the Aotearoa health system (systems change model). In the next phase of Ao Mai te Rā we look forward to testing and expanding the levers and micro-levers for change that are recognised in this paper and integrated into the systems change model.</w:t>
      </w:r>
    </w:p>
    <w:sectPr w:rsidR="00A96C4F" w:rsidRPr="002C1C4B" w:rsidSect="000D1BF9">
      <w:headerReference w:type="default" r:id="rId32"/>
      <w:footerReference w:type="even" r:id="rId33"/>
      <w:footerReference w:type="default" r:id="rId34"/>
      <w:pgSz w:w="11907" w:h="16840"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FEE5" w14:textId="77777777" w:rsidR="000F0021" w:rsidRDefault="000F0021">
      <w:r>
        <w:separator/>
      </w:r>
    </w:p>
    <w:p w14:paraId="5B9E5B13" w14:textId="77777777" w:rsidR="000F0021" w:rsidRDefault="000F0021"/>
  </w:endnote>
  <w:endnote w:type="continuationSeparator" w:id="0">
    <w:p w14:paraId="050F0232" w14:textId="77777777" w:rsidR="000F0021" w:rsidRDefault="000F0021">
      <w:r>
        <w:continuationSeparator/>
      </w:r>
    </w:p>
    <w:p w14:paraId="2BD3E559" w14:textId="77777777" w:rsidR="000F0021" w:rsidRDefault="000F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Mäori">
    <w:altName w:val="Arial"/>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4CD02973" w:rsidR="00A121FC" w:rsidRPr="00581136" w:rsidRDefault="00A121FC" w:rsidP="005A79E5">
    <w:pPr>
      <w:pStyle w:val="Footer"/>
      <w:pBdr>
        <w:bottom w:val="single" w:sz="4" w:space="1" w:color="auto"/>
      </w:pBdr>
      <w:tabs>
        <w:tab w:val="right" w:pos="9639"/>
      </w:tabs>
      <w:rPr>
        <w:b/>
      </w:rPr>
    </w:pPr>
    <w:r w:rsidRPr="00581136">
      <w:rPr>
        <w:b/>
      </w:rPr>
      <w:t>Released 20</w:t>
    </w:r>
    <w:r>
      <w:rPr>
        <w:b/>
      </w:rPr>
      <w:t>2</w:t>
    </w:r>
    <w:r w:rsidR="00AC5304">
      <w:rPr>
        <w:b/>
      </w:rPr>
      <w:t>3</w:t>
    </w:r>
    <w:r w:rsidRPr="00581136">
      <w:rPr>
        <w:b/>
      </w:rPr>
      <w:tab/>
      <w:t>health.govt.nz</w:t>
    </w:r>
  </w:p>
  <w:p w14:paraId="524869F6" w14:textId="77777777" w:rsidR="00A121FC" w:rsidRPr="005A79E5" w:rsidRDefault="00A121FC">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121FC" w14:paraId="7782B833" w14:textId="77777777" w:rsidTr="00D662F8">
      <w:trPr>
        <w:cantSplit/>
      </w:trPr>
      <w:tc>
        <w:tcPr>
          <w:tcW w:w="709" w:type="dxa"/>
          <w:vAlign w:val="center"/>
        </w:tcPr>
        <w:p w14:paraId="01765112" w14:textId="77777777" w:rsidR="00A121FC" w:rsidRPr="00931466" w:rsidRDefault="00A121F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3310CF1F" w14:textId="7C8A5D52" w:rsidR="00A121FC" w:rsidRDefault="001445D2" w:rsidP="00926083">
          <w:pPr>
            <w:pStyle w:val="RectoFooter"/>
            <w:jc w:val="left"/>
          </w:pPr>
          <w:r w:rsidRPr="001445D2">
            <w:t xml:space="preserve">BEST PRACTICE APPROACHES TO ADDRESSING RACISM </w:t>
          </w:r>
          <w:r>
            <w:t>-</w:t>
          </w:r>
          <w:r w:rsidR="00A121FC" w:rsidRPr="00785282">
            <w:t xml:space="preserve"> </w:t>
          </w:r>
        </w:p>
        <w:p w14:paraId="26E698DA" w14:textId="668F27A8" w:rsidR="00A121FC" w:rsidRDefault="00A121FC" w:rsidP="00926083">
          <w:pPr>
            <w:pStyle w:val="RectoFooter"/>
            <w:jc w:val="left"/>
          </w:pPr>
          <w:r w:rsidRPr="00785282">
            <w:t>Lessons for the Aotearoa New Zealand Health System</w:t>
          </w:r>
          <w:r w:rsidR="00304666">
            <w:t xml:space="preserve"> (</w:t>
          </w:r>
          <w:r w:rsidRPr="00785282">
            <w:t xml:space="preserve">Stage </w:t>
          </w:r>
          <w:r w:rsidR="004121E3">
            <w:t>TWO</w:t>
          </w:r>
          <w:r w:rsidRPr="00785282">
            <w:t xml:space="preserve"> Literature Review</w:t>
          </w:r>
          <w:r w:rsidR="00304666">
            <w:t>)</w:t>
          </w:r>
        </w:p>
      </w:tc>
    </w:tr>
  </w:tbl>
  <w:p w14:paraId="6CE16C48" w14:textId="77777777" w:rsidR="00A121FC" w:rsidRPr="00571223" w:rsidRDefault="00A121FC"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121FC" w14:paraId="423138CB" w14:textId="77777777" w:rsidTr="00D662F8">
      <w:trPr>
        <w:cantSplit/>
      </w:trPr>
      <w:tc>
        <w:tcPr>
          <w:tcW w:w="8080" w:type="dxa"/>
          <w:vAlign w:val="center"/>
        </w:tcPr>
        <w:p w14:paraId="24EB9F93" w14:textId="62408925" w:rsidR="00A121FC" w:rsidRDefault="00A121FC" w:rsidP="00AF0BFB">
          <w:pPr>
            <w:pStyle w:val="RectoFooter"/>
          </w:pPr>
          <w:r>
            <w:t>BEST PRACTICE APPROACHES TO ADDRESSING RACISM</w:t>
          </w:r>
          <w:r w:rsidR="001445D2">
            <w:t xml:space="preserve"> -</w:t>
          </w:r>
          <w:r>
            <w:t xml:space="preserve"> </w:t>
          </w:r>
        </w:p>
        <w:p w14:paraId="520A68A6" w14:textId="4342322F" w:rsidR="00A121FC" w:rsidRDefault="00A121FC" w:rsidP="00AF0BFB">
          <w:pPr>
            <w:pStyle w:val="RectoFooter"/>
          </w:pPr>
          <w:r>
            <w:t>LESSONS FOR THE AOTEAROA NEW ZEALAND HEALTH SYSTEM</w:t>
          </w:r>
          <w:r w:rsidR="00304666">
            <w:t xml:space="preserve"> (</w:t>
          </w:r>
          <w:r>
            <w:t>STAGE TWO LITERATURE REVIEW</w:t>
          </w:r>
          <w:r w:rsidR="00304666">
            <w:t>)</w:t>
          </w:r>
        </w:p>
      </w:tc>
      <w:tc>
        <w:tcPr>
          <w:tcW w:w="709" w:type="dxa"/>
          <w:vAlign w:val="center"/>
        </w:tcPr>
        <w:p w14:paraId="745D812B" w14:textId="77777777" w:rsidR="00A121FC" w:rsidRPr="00931466" w:rsidRDefault="00A121F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A121FC" w:rsidRPr="00581EB8" w:rsidRDefault="00A121FC" w:rsidP="00581EB8">
    <w:pPr>
      <w:pStyle w:val="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121FC" w14:paraId="7C909D8F" w14:textId="77777777" w:rsidTr="00D662F8">
      <w:trPr>
        <w:cantSplit/>
      </w:trPr>
      <w:tc>
        <w:tcPr>
          <w:tcW w:w="709" w:type="dxa"/>
          <w:vAlign w:val="center"/>
        </w:tcPr>
        <w:p w14:paraId="2015E01F" w14:textId="77777777" w:rsidR="00A121FC" w:rsidRPr="00931466" w:rsidRDefault="00A121F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0243C9AD" w14:textId="47FFCB88" w:rsidR="00A121FC" w:rsidRDefault="001445D2" w:rsidP="00926083">
          <w:pPr>
            <w:pStyle w:val="RectoFooter"/>
            <w:jc w:val="left"/>
          </w:pPr>
          <w:r w:rsidRPr="001445D2">
            <w:t>BEST PRACTICE APPROACHES TO ADDRESSING RACISM</w:t>
          </w:r>
          <w:r>
            <w:t xml:space="preserve"> -</w:t>
          </w:r>
          <w:r w:rsidR="00A121FC" w:rsidRPr="00785282">
            <w:t xml:space="preserve"> </w:t>
          </w:r>
        </w:p>
        <w:p w14:paraId="7D9C9F1A" w14:textId="5119BD09" w:rsidR="00A121FC" w:rsidRDefault="00A121FC" w:rsidP="00926083">
          <w:pPr>
            <w:pStyle w:val="RectoFooter"/>
            <w:jc w:val="left"/>
          </w:pPr>
          <w:r w:rsidRPr="00785282">
            <w:t>Lessons for the Aotearoa New Zealand Health System</w:t>
          </w:r>
          <w:r w:rsidR="00304666">
            <w:t xml:space="preserve"> (</w:t>
          </w:r>
          <w:r w:rsidRPr="00785282">
            <w:t xml:space="preserve">Stage </w:t>
          </w:r>
          <w:r w:rsidR="001445D2">
            <w:t>TwO</w:t>
          </w:r>
          <w:r w:rsidRPr="00785282">
            <w:t xml:space="preserve"> Literature Review</w:t>
          </w:r>
          <w:r w:rsidR="00304666">
            <w:t>)</w:t>
          </w:r>
        </w:p>
      </w:tc>
    </w:tr>
  </w:tbl>
  <w:p w14:paraId="52F9641E" w14:textId="77777777" w:rsidR="00A121FC" w:rsidRPr="00571223" w:rsidRDefault="00A121FC" w:rsidP="00571223">
    <w:pPr>
      <w:pStyle w:val="Verso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121FC" w14:paraId="16AE3718" w14:textId="77777777" w:rsidTr="00D662F8">
      <w:trPr>
        <w:cantSplit/>
      </w:trPr>
      <w:tc>
        <w:tcPr>
          <w:tcW w:w="8080" w:type="dxa"/>
          <w:vAlign w:val="center"/>
        </w:tcPr>
        <w:p w14:paraId="173F1698" w14:textId="1B53EF97" w:rsidR="00A121FC" w:rsidRDefault="00A121FC" w:rsidP="00AF0BFB">
          <w:pPr>
            <w:pStyle w:val="RectoFooter"/>
          </w:pPr>
          <w:r>
            <w:t>BEST PRACTICE APPROACHES TO ADDRESSING RACISM</w:t>
          </w:r>
          <w:r w:rsidR="001445D2">
            <w:t xml:space="preserve"> -</w:t>
          </w:r>
          <w:r>
            <w:t xml:space="preserve"> </w:t>
          </w:r>
        </w:p>
        <w:p w14:paraId="6A528774" w14:textId="1598A0C1" w:rsidR="00A121FC" w:rsidRDefault="00A121FC" w:rsidP="00AF0BFB">
          <w:pPr>
            <w:pStyle w:val="RectoFooter"/>
          </w:pPr>
          <w:r>
            <w:t>LESSONS FOR THE AOTEAROA NEW ZEALAND HEALTH SYSTEM</w:t>
          </w:r>
          <w:r w:rsidR="00304666">
            <w:t xml:space="preserve"> (</w:t>
          </w:r>
          <w:r>
            <w:t>STAGE TWO LITERATURE REVIEW</w:t>
          </w:r>
          <w:r w:rsidR="00304666">
            <w:t>)</w:t>
          </w:r>
        </w:p>
      </w:tc>
      <w:tc>
        <w:tcPr>
          <w:tcW w:w="709" w:type="dxa"/>
          <w:vAlign w:val="center"/>
        </w:tcPr>
        <w:p w14:paraId="7B235CDB" w14:textId="77777777" w:rsidR="00A121FC" w:rsidRPr="00931466" w:rsidRDefault="00A121F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34845F2C" w14:textId="77777777" w:rsidR="00A121FC" w:rsidRPr="00581EB8" w:rsidRDefault="00A121FC" w:rsidP="00581EB8">
    <w:pPr>
      <w:pStyle w:val="Foote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121FC" w14:paraId="7613A911" w14:textId="77777777" w:rsidTr="00D662F8">
      <w:trPr>
        <w:cantSplit/>
      </w:trPr>
      <w:tc>
        <w:tcPr>
          <w:tcW w:w="709" w:type="dxa"/>
          <w:vAlign w:val="center"/>
        </w:tcPr>
        <w:p w14:paraId="67D1E085" w14:textId="77777777" w:rsidR="00A121FC" w:rsidRPr="00931466" w:rsidRDefault="00A121F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799F41B4" w14:textId="68DDEFD3" w:rsidR="00A121FC" w:rsidRDefault="001445D2" w:rsidP="00926083">
          <w:pPr>
            <w:pStyle w:val="RectoFooter"/>
            <w:jc w:val="left"/>
          </w:pPr>
          <w:r>
            <w:t>BEST PRACTICE APPROACHES TO ADDRESSING RACISM  -</w:t>
          </w:r>
        </w:p>
        <w:p w14:paraId="6DA88C1A" w14:textId="309D6A30" w:rsidR="00A121FC" w:rsidRDefault="00A121FC" w:rsidP="00926083">
          <w:pPr>
            <w:pStyle w:val="RectoFooter"/>
            <w:jc w:val="left"/>
          </w:pPr>
          <w:r w:rsidRPr="00785282">
            <w:t>Lessons for the Aotearoa New Zealand Health System</w:t>
          </w:r>
          <w:r w:rsidR="00304666">
            <w:t xml:space="preserve"> (</w:t>
          </w:r>
          <w:r w:rsidRPr="00785282">
            <w:t xml:space="preserve">Stage </w:t>
          </w:r>
          <w:r w:rsidR="00304666">
            <w:t>Two</w:t>
          </w:r>
          <w:r w:rsidRPr="00785282">
            <w:t xml:space="preserve"> Literature Review</w:t>
          </w:r>
          <w:r w:rsidR="00304666">
            <w:t>)</w:t>
          </w:r>
        </w:p>
      </w:tc>
    </w:tr>
  </w:tbl>
  <w:p w14:paraId="6B49F978" w14:textId="77777777" w:rsidR="00A121FC" w:rsidRPr="00571223" w:rsidRDefault="00A121FC" w:rsidP="00571223">
    <w:pPr>
      <w:pStyle w:val="VersoFoote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58"/>
      <w:gridCol w:w="709"/>
    </w:tblGrid>
    <w:tr w:rsidR="00A121FC" w14:paraId="0931F6AC" w14:textId="77777777" w:rsidTr="00A121FC">
      <w:trPr>
        <w:cantSplit/>
      </w:trPr>
      <w:tc>
        <w:tcPr>
          <w:tcW w:w="12758" w:type="dxa"/>
          <w:vAlign w:val="center"/>
        </w:tcPr>
        <w:p w14:paraId="4234EAD2" w14:textId="776111F1" w:rsidR="00A121FC" w:rsidRDefault="00A121FC" w:rsidP="00AF0BFB">
          <w:pPr>
            <w:pStyle w:val="RectoFooter"/>
          </w:pPr>
          <w:r>
            <w:t>BEST PRACTICE APPROACHES TO ADDRESSING RACISM</w:t>
          </w:r>
          <w:r w:rsidR="001445D2">
            <w:t xml:space="preserve"> - </w:t>
          </w:r>
          <w:r>
            <w:t xml:space="preserve"> </w:t>
          </w:r>
        </w:p>
        <w:p w14:paraId="032145D2" w14:textId="696039C4" w:rsidR="00A121FC" w:rsidRDefault="00A121FC" w:rsidP="00AF0BFB">
          <w:pPr>
            <w:pStyle w:val="RectoFooter"/>
          </w:pPr>
          <w:r>
            <w:t>LESSONS FOR THE AOTEAROA NEW ZEALAND HEALTH SYSTEM</w:t>
          </w:r>
          <w:r w:rsidR="00304666">
            <w:t xml:space="preserve"> (</w:t>
          </w:r>
          <w:r>
            <w:t>STAGE TWO LITERATURE REVIEW</w:t>
          </w:r>
          <w:r w:rsidR="00304666">
            <w:t>)</w:t>
          </w:r>
        </w:p>
      </w:tc>
      <w:tc>
        <w:tcPr>
          <w:tcW w:w="709" w:type="dxa"/>
          <w:vAlign w:val="center"/>
        </w:tcPr>
        <w:p w14:paraId="2E80405D" w14:textId="77777777" w:rsidR="00A121FC" w:rsidRPr="00931466" w:rsidRDefault="00A121F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5CD0E885" w14:textId="77777777" w:rsidR="00A121FC" w:rsidRPr="00581EB8" w:rsidRDefault="00A121FC" w:rsidP="00581EB8">
    <w:pPr>
      <w:pStyle w:val="Foote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A121FC" w14:paraId="7E34FA6B" w14:textId="77777777" w:rsidTr="00D662F8">
      <w:trPr>
        <w:cantSplit/>
      </w:trPr>
      <w:tc>
        <w:tcPr>
          <w:tcW w:w="675" w:type="dxa"/>
          <w:vAlign w:val="center"/>
        </w:tcPr>
        <w:p w14:paraId="6281C317" w14:textId="77777777" w:rsidR="00A121FC" w:rsidRPr="00931466" w:rsidRDefault="00A121F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6E195579" w14:textId="23979EB7" w:rsidR="00A121FC" w:rsidRDefault="00A121FC" w:rsidP="00AF0BFB">
          <w:pPr>
            <w:pStyle w:val="RectoFooter"/>
            <w:jc w:val="left"/>
          </w:pPr>
          <w:r>
            <w:t xml:space="preserve">THE ANTI-RACISM KAUPAPA. BEST PRACTICE APPROACHES TO ADDRESSING RACISM. </w:t>
          </w:r>
        </w:p>
        <w:p w14:paraId="27262A64" w14:textId="5CF0F944" w:rsidR="00A121FC" w:rsidRDefault="00A121FC" w:rsidP="00AF0BFB">
          <w:pPr>
            <w:pStyle w:val="RectoFooter"/>
            <w:jc w:val="left"/>
          </w:pPr>
          <w:r>
            <w:t>LESSONS FOR THE AOTEAROA NEW ZEALAND HEALTH SYSTEM. STAGE TWO LITERATURE REVIEW</w:t>
          </w:r>
        </w:p>
      </w:tc>
    </w:tr>
  </w:tbl>
  <w:p w14:paraId="5177CEA2" w14:textId="77777777" w:rsidR="00A121FC" w:rsidRPr="00571223" w:rsidRDefault="00A121FC" w:rsidP="00571223">
    <w:pPr>
      <w:pStyle w:val="VersoFooter"/>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121FC" w14:paraId="47337729" w14:textId="77777777" w:rsidTr="00D662F8">
      <w:trPr>
        <w:cantSplit/>
      </w:trPr>
      <w:tc>
        <w:tcPr>
          <w:tcW w:w="8080" w:type="dxa"/>
          <w:vAlign w:val="center"/>
        </w:tcPr>
        <w:p w14:paraId="06462E52" w14:textId="07B2450F" w:rsidR="00A121FC" w:rsidRDefault="00A121FC" w:rsidP="00AF0BFB">
          <w:pPr>
            <w:pStyle w:val="RectoFooter"/>
          </w:pPr>
          <w:r>
            <w:t>BEST PRACTICE APPROACHES TO ADDRESSING RACISM</w:t>
          </w:r>
          <w:r w:rsidR="001445D2">
            <w:t xml:space="preserve"> -</w:t>
          </w:r>
          <w:r>
            <w:t xml:space="preserve"> </w:t>
          </w:r>
        </w:p>
        <w:p w14:paraId="1A33CBD1" w14:textId="457F39E9" w:rsidR="00A121FC" w:rsidRDefault="00A121FC" w:rsidP="00AF0BFB">
          <w:pPr>
            <w:pStyle w:val="RectoFooter"/>
          </w:pPr>
          <w:r>
            <w:t xml:space="preserve">LESSONS FOR THE AOTEAROA NEW ZEALAND HEALTH SYSTEM </w:t>
          </w:r>
          <w:r w:rsidR="00304666">
            <w:t>(</w:t>
          </w:r>
          <w:r>
            <w:t>STAGE TWO LITERATURE REVIEW</w:t>
          </w:r>
          <w:r w:rsidR="00304666">
            <w:t>)</w:t>
          </w:r>
        </w:p>
      </w:tc>
      <w:tc>
        <w:tcPr>
          <w:tcW w:w="709" w:type="dxa"/>
          <w:vAlign w:val="center"/>
        </w:tcPr>
        <w:p w14:paraId="501EC334" w14:textId="77777777" w:rsidR="00A121FC" w:rsidRPr="00931466" w:rsidRDefault="00A121F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A121FC" w:rsidRPr="00581EB8" w:rsidRDefault="00A121FC"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A121FC" w:rsidRDefault="00A121FC"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A121FC" w:rsidRDefault="00A121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A121FC" w14:paraId="41B9FD17" w14:textId="77777777" w:rsidTr="00571223">
      <w:tc>
        <w:tcPr>
          <w:tcW w:w="1146" w:type="dxa"/>
          <w:vAlign w:val="center"/>
        </w:tcPr>
        <w:p w14:paraId="392E5685" w14:textId="77777777" w:rsidR="00A121FC" w:rsidRPr="00931466" w:rsidRDefault="00A121FC" w:rsidP="00571223">
          <w:pPr>
            <w:pStyle w:val="Footer"/>
            <w:rPr>
              <w:sz w:val="15"/>
              <w:szCs w:val="15"/>
            </w:rPr>
          </w:pPr>
          <w:r w:rsidRPr="00931466">
            <w:rPr>
              <w:rFonts w:eastAsia="Arial Unicode MS"/>
              <w:noProof/>
              <w:sz w:val="15"/>
              <w:szCs w:val="15"/>
              <w:lang w:eastAsia="en-NZ"/>
            </w:rPr>
            <w:drawing>
              <wp:inline distT="0" distB="0" distL="0" distR="0" wp14:anchorId="075272BC" wp14:editId="568090D6">
                <wp:extent cx="582612" cy="117475"/>
                <wp:effectExtent l="0" t="0" r="8255"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172F2DDB" w14:textId="77777777" w:rsidR="00A121FC" w:rsidRPr="00571223" w:rsidRDefault="00A121FC"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121FC" w14:paraId="71F3685B" w14:textId="77777777" w:rsidTr="00D662F8">
      <w:trPr>
        <w:cantSplit/>
      </w:trPr>
      <w:tc>
        <w:tcPr>
          <w:tcW w:w="8080" w:type="dxa"/>
          <w:vAlign w:val="center"/>
        </w:tcPr>
        <w:p w14:paraId="5784B1D8" w14:textId="4872E037" w:rsidR="00A121FC" w:rsidRDefault="00A121FC" w:rsidP="00926083">
          <w:pPr>
            <w:pStyle w:val="RectoFooter"/>
          </w:pPr>
          <w:r w:rsidRPr="00AF0BFB">
            <w:t>Best Practice Approaches to Addressing Racism</w:t>
          </w:r>
          <w:r w:rsidR="00AB01DD">
            <w:t xml:space="preserve"> -</w:t>
          </w:r>
          <w:r w:rsidRPr="00AF0BFB">
            <w:t xml:space="preserve"> </w:t>
          </w:r>
          <w:r>
            <w:br/>
          </w:r>
          <w:r w:rsidRPr="00AF0BFB">
            <w:t>Lessons for the Aotearoa New Zealand Health System</w:t>
          </w:r>
          <w:r w:rsidR="006220E7">
            <w:t xml:space="preserve"> (</w:t>
          </w:r>
          <w:r w:rsidRPr="00AF0BFB">
            <w:t>Stage Two Literature Review</w:t>
          </w:r>
          <w:r w:rsidR="00991955">
            <w:t>)</w:t>
          </w:r>
        </w:p>
      </w:tc>
      <w:tc>
        <w:tcPr>
          <w:tcW w:w="709" w:type="dxa"/>
          <w:vAlign w:val="center"/>
        </w:tcPr>
        <w:p w14:paraId="18A7A1B5" w14:textId="77777777" w:rsidR="00A121FC" w:rsidRPr="00931466" w:rsidRDefault="00A121F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A121FC" w:rsidRPr="00581EB8" w:rsidRDefault="00A121FC"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121FC" w14:paraId="4C3A3BF7" w14:textId="77777777" w:rsidTr="00D662F8">
      <w:trPr>
        <w:cantSplit/>
      </w:trPr>
      <w:tc>
        <w:tcPr>
          <w:tcW w:w="709" w:type="dxa"/>
          <w:vAlign w:val="center"/>
        </w:tcPr>
        <w:p w14:paraId="28F87ED7" w14:textId="77777777" w:rsidR="00A121FC" w:rsidRPr="00931466" w:rsidRDefault="00A121F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A5860BF" w14:textId="027D1EFB" w:rsidR="00A121FC" w:rsidRDefault="00A121FC" w:rsidP="00AF0BFB">
          <w:pPr>
            <w:pStyle w:val="RectoFooter"/>
            <w:jc w:val="left"/>
          </w:pPr>
          <w:r>
            <w:t>BEST PRACTICE APPROACHES TO ADDRESSING RACISM</w:t>
          </w:r>
          <w:r w:rsidR="00AB01DD">
            <w:t xml:space="preserve"> -</w:t>
          </w:r>
          <w:r>
            <w:t xml:space="preserve"> </w:t>
          </w:r>
        </w:p>
        <w:p w14:paraId="6026D159" w14:textId="25395A7C" w:rsidR="00A121FC" w:rsidRDefault="00A121FC" w:rsidP="00AF0BFB">
          <w:pPr>
            <w:pStyle w:val="RectoFooter"/>
            <w:jc w:val="left"/>
          </w:pPr>
          <w:r>
            <w:t>LESSONS FOR THE AOTEAROA NEW ZEALAND HEALTH SYSTEM</w:t>
          </w:r>
          <w:r w:rsidR="00214EB4">
            <w:t xml:space="preserve"> (</w:t>
          </w:r>
          <w:r>
            <w:t>STAGE TWO LITERATURE REVIEW</w:t>
          </w:r>
          <w:r w:rsidR="00214EB4">
            <w:t>)</w:t>
          </w:r>
        </w:p>
      </w:tc>
    </w:tr>
  </w:tbl>
  <w:p w14:paraId="711B5D80" w14:textId="77777777" w:rsidR="00A121FC" w:rsidRPr="00571223" w:rsidRDefault="00A121FC"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121FC" w14:paraId="58AAB149" w14:textId="77777777" w:rsidTr="00D662F8">
      <w:trPr>
        <w:cantSplit/>
      </w:trPr>
      <w:tc>
        <w:tcPr>
          <w:tcW w:w="8080" w:type="dxa"/>
          <w:vAlign w:val="center"/>
        </w:tcPr>
        <w:p w14:paraId="20E2F0CC" w14:textId="77777777" w:rsidR="00A121FC" w:rsidRDefault="00A121FC" w:rsidP="00926083">
          <w:pPr>
            <w:pStyle w:val="RectoFooter"/>
          </w:pPr>
          <w:r>
            <w:t>[TITLE]</w:t>
          </w:r>
        </w:p>
      </w:tc>
      <w:tc>
        <w:tcPr>
          <w:tcW w:w="709" w:type="dxa"/>
          <w:vAlign w:val="center"/>
        </w:tcPr>
        <w:p w14:paraId="3D3C9847" w14:textId="77777777" w:rsidR="00A121FC" w:rsidRPr="00931466" w:rsidRDefault="00A121F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A121FC" w:rsidRPr="00581EB8" w:rsidRDefault="00A121FC"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121FC" w14:paraId="0ACC8439" w14:textId="77777777" w:rsidTr="00D662F8">
      <w:trPr>
        <w:cantSplit/>
      </w:trPr>
      <w:tc>
        <w:tcPr>
          <w:tcW w:w="709" w:type="dxa"/>
          <w:vAlign w:val="center"/>
        </w:tcPr>
        <w:p w14:paraId="65CE53BA" w14:textId="77777777" w:rsidR="00A121FC" w:rsidRPr="00931466" w:rsidRDefault="00A121F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376EFD42" w14:textId="77777777" w:rsidR="00A121FC" w:rsidRDefault="00A121FC" w:rsidP="00926083">
          <w:pPr>
            <w:pStyle w:val="RectoFooter"/>
            <w:jc w:val="left"/>
          </w:pPr>
          <w:r w:rsidRPr="00785282">
            <w:t xml:space="preserve">Ao Mai te Rā: The Anti-Racism Kaupapa. Evolution of Racism and Anti-Racism. </w:t>
          </w:r>
        </w:p>
        <w:p w14:paraId="37F69C07" w14:textId="77777777" w:rsidR="00A121FC" w:rsidRDefault="00A121FC" w:rsidP="00926083">
          <w:pPr>
            <w:pStyle w:val="RectoFooter"/>
            <w:jc w:val="left"/>
          </w:pPr>
          <w:r w:rsidRPr="00785282">
            <w:t>Lessons for the Aotearoa New Zealand Health System. Stage One Literature Review</w:t>
          </w:r>
        </w:p>
      </w:tc>
    </w:tr>
  </w:tbl>
  <w:p w14:paraId="62F943B7" w14:textId="77777777" w:rsidR="00A121FC" w:rsidRPr="00571223" w:rsidRDefault="00A121FC"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121FC" w14:paraId="375516A0" w14:textId="77777777" w:rsidTr="00D662F8">
      <w:trPr>
        <w:cantSplit/>
      </w:trPr>
      <w:tc>
        <w:tcPr>
          <w:tcW w:w="8080" w:type="dxa"/>
          <w:vAlign w:val="center"/>
        </w:tcPr>
        <w:p w14:paraId="2DF77131" w14:textId="6AEA2090" w:rsidR="00A121FC" w:rsidRDefault="00A121FC" w:rsidP="00926083">
          <w:pPr>
            <w:pStyle w:val="RectoFooter"/>
          </w:pPr>
          <w:r w:rsidRPr="00785282">
            <w:t>Evolution of Racism and Anti-Racism</w:t>
          </w:r>
          <w:r w:rsidR="001445D2">
            <w:t xml:space="preserve"> - </w:t>
          </w:r>
          <w:r w:rsidRPr="00785282">
            <w:t xml:space="preserve"> </w:t>
          </w:r>
        </w:p>
        <w:p w14:paraId="08BE3DF8" w14:textId="36B086C1" w:rsidR="00A121FC" w:rsidRDefault="00A121FC" w:rsidP="00926083">
          <w:pPr>
            <w:pStyle w:val="RectoFooter"/>
          </w:pPr>
          <w:r w:rsidRPr="00785282">
            <w:t>Lessons for the Aotearoa New Zealand Health System</w:t>
          </w:r>
          <w:r w:rsidR="00304666">
            <w:t xml:space="preserve"> (</w:t>
          </w:r>
          <w:r w:rsidRPr="00785282">
            <w:t xml:space="preserve">Stage </w:t>
          </w:r>
          <w:r w:rsidR="004121E3">
            <w:t>TWO</w:t>
          </w:r>
          <w:r w:rsidRPr="00785282">
            <w:t xml:space="preserve"> Literature Review</w:t>
          </w:r>
          <w:r w:rsidR="00304666">
            <w:t>)</w:t>
          </w:r>
        </w:p>
      </w:tc>
      <w:tc>
        <w:tcPr>
          <w:tcW w:w="709" w:type="dxa"/>
          <w:vAlign w:val="center"/>
        </w:tcPr>
        <w:p w14:paraId="055C0C6B" w14:textId="77777777" w:rsidR="00A121FC" w:rsidRPr="00931466" w:rsidRDefault="00A121F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5651C2FA" w14:textId="77777777" w:rsidR="00A121FC" w:rsidRPr="00581EB8" w:rsidRDefault="00A121FC"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D87C" w14:textId="77777777" w:rsidR="000F0021" w:rsidRPr="00A26E6B" w:rsidRDefault="000F0021" w:rsidP="00A26E6B"/>
  </w:footnote>
  <w:footnote w:type="continuationSeparator" w:id="0">
    <w:p w14:paraId="1EA75233" w14:textId="77777777" w:rsidR="000F0021" w:rsidRDefault="000F0021">
      <w:r>
        <w:continuationSeparator/>
      </w:r>
    </w:p>
    <w:p w14:paraId="14093EA1" w14:textId="77777777" w:rsidR="000F0021" w:rsidRDefault="000F0021"/>
  </w:footnote>
  <w:footnote w:id="1">
    <w:p w14:paraId="5D78C58A" w14:textId="1338D53C" w:rsidR="00A121FC" w:rsidRPr="00E33E88" w:rsidRDefault="00A121FC">
      <w:pPr>
        <w:pStyle w:val="FootnoteText"/>
        <w:rPr>
          <w:lang w:val="en-US"/>
        </w:rPr>
      </w:pPr>
      <w:r>
        <w:rPr>
          <w:rStyle w:val="FootnoteReference"/>
        </w:rPr>
        <w:footnoteRef/>
      </w:r>
      <w:r>
        <w:t xml:space="preserve"> </w:t>
      </w:r>
      <w:r w:rsidRPr="00E33E88">
        <w:t xml:space="preserve">Manatū Hauora Combatting racism in the health system. Available at: </w:t>
      </w:r>
      <w:hyperlink r:id="rId1" w:history="1">
        <w:r w:rsidRPr="00A86F66">
          <w:rPr>
            <w:rStyle w:val="Hyperlink"/>
          </w:rPr>
          <w:t>https://www.health.govt.nz/about-ministry/what-we-do/combatting-racism-health-system</w:t>
        </w:r>
      </w:hyperlink>
      <w:r>
        <w:t xml:space="preserve"> </w:t>
      </w:r>
    </w:p>
  </w:footnote>
  <w:footnote w:id="2">
    <w:p w14:paraId="077CD4A1" w14:textId="65D949E2" w:rsidR="00A121FC" w:rsidRPr="004D0223" w:rsidRDefault="00A121FC">
      <w:pPr>
        <w:pStyle w:val="FootnoteText"/>
        <w:rPr>
          <w:lang w:val="en-US"/>
        </w:rPr>
      </w:pPr>
      <w:r>
        <w:rPr>
          <w:rStyle w:val="FootnoteReference"/>
        </w:rPr>
        <w:footnoteRef/>
      </w:r>
      <w:r>
        <w:t xml:space="preserve"> </w:t>
      </w:r>
      <w:r w:rsidRPr="004D0223">
        <w:t>Good, G., 2017. Building Organizational Capacity for Health Equity Action:-A Framework and Assessment Tool for Public Health., 1; William and Flora Hewlett Foundation., 2017 “A Guide to Using Organisational Capacity Assessment Tools,”, 7-8; Mullaly, M., 2014. If maturity is the answer, then exactly what was the question?. International Journal of Managing Projects in Business.: 170.</w:t>
      </w:r>
    </w:p>
  </w:footnote>
  <w:footnote w:id="3">
    <w:p w14:paraId="14E19C31" w14:textId="77777777" w:rsidR="00A121FC" w:rsidRDefault="00A121FC" w:rsidP="004D0223">
      <w:pPr>
        <w:pStyle w:val="FootnoteText"/>
      </w:pPr>
      <w:r>
        <w:rPr>
          <w:rStyle w:val="FootnoteReference"/>
        </w:rPr>
        <w:footnoteRef/>
      </w:r>
      <w:r>
        <w:t xml:space="preserve"> Johnson, A., Nguyen, H., Groth, M., Wang, K. and Ng, J.L. 2016, “Time to change: a review of organisational culture change in health care organisations”, Journal of organisational effectiveness : people and performance, vol. 3, no. 3, pp. 265-288. </w:t>
      </w:r>
    </w:p>
    <w:p w14:paraId="3FB9AF95" w14:textId="19600D0E" w:rsidR="00A121FC" w:rsidRPr="004D0223" w:rsidRDefault="00A121FC" w:rsidP="004D0223">
      <w:pPr>
        <w:pStyle w:val="FootnoteText"/>
        <w:ind w:firstLine="0"/>
        <w:rPr>
          <w:lang w:val="en-US"/>
        </w:rPr>
      </w:pPr>
      <w:r>
        <w:t>Willis, C.D., Saul, J., Bevan, H., Scheirer, M.A., Best, A., Greenhalgh, T., Mannion, R., Cornelissen, E., Howland, D., Jenkins, E. and Bitz, J. 2016, “Sustaining organisational culture change in health systems”, Journal of health organization and management, vol. 30, no. 1, pp. 2-30.</w:t>
      </w:r>
    </w:p>
  </w:footnote>
  <w:footnote w:id="4">
    <w:p w14:paraId="03BE4B83" w14:textId="0558825D" w:rsidR="00A121FC" w:rsidRDefault="00A121FC" w:rsidP="004D0223">
      <w:pPr>
        <w:pStyle w:val="FootnoteText"/>
      </w:pPr>
      <w:r>
        <w:rPr>
          <w:rStyle w:val="FootnoteReference"/>
        </w:rPr>
        <w:footnoteRef/>
      </w:r>
      <w:r>
        <w:t xml:space="preserve"> Johnson, A., Nguyen, H., Groth, M., Wang, K. and Ng, J.L. 2016, “Time to change: a review of organisational culture change in health care organisations”, Journal of organisational effectiveness : people and performance, vol. 3, no. 3, pp. 265-288.</w:t>
      </w:r>
    </w:p>
    <w:p w14:paraId="36638528" w14:textId="77777777" w:rsidR="00A121FC" w:rsidRDefault="00A121FC" w:rsidP="004D0223">
      <w:pPr>
        <w:pStyle w:val="FootnoteText"/>
        <w:ind w:firstLine="0"/>
      </w:pPr>
      <w:r>
        <w:t>Hurst, P.W. and Hurst, T.E. 2016, “Leadership Connectivity: A Leading Indicator for Organisational Culture Change”, Organisation development journal, vol. 34, no. 1, pp. 81.</w:t>
      </w:r>
    </w:p>
    <w:p w14:paraId="22F81B96" w14:textId="77777777" w:rsidR="00A121FC" w:rsidRDefault="00A121FC" w:rsidP="004D0223">
      <w:pPr>
        <w:pStyle w:val="FootnoteText"/>
        <w:ind w:firstLine="0"/>
      </w:pPr>
      <w:r>
        <w:t>Willis, C.D., Saul, J., Bevan, H., Scheirer, M.A., Best, A., Greenhalgh, T., Mannion, R., Cornelissen, E., Howland, D., Jenkins, E. and Bitz, J. 2016, “Sustaining organisational culture change in health systems”, Journal of health organisation and management, vol. 30, no. 1, pp. 2-30.</w:t>
      </w:r>
    </w:p>
    <w:p w14:paraId="23470AFB" w14:textId="77777777" w:rsidR="00A121FC" w:rsidRDefault="00A121FC" w:rsidP="004D0223">
      <w:pPr>
        <w:pStyle w:val="FootnoteText"/>
        <w:ind w:firstLine="0"/>
      </w:pPr>
      <w:r>
        <w:t>Sukhera, J. and Palaniyappan, L. 2022, “Walking the walk: Advice for anti-racist academic leaders”, Psychiatry research, vol. 308, pp. 114343- 114343.</w:t>
      </w:r>
    </w:p>
    <w:p w14:paraId="3E26AD22" w14:textId="777D0F94" w:rsidR="00A121FC" w:rsidRPr="004D0223" w:rsidRDefault="00A121FC" w:rsidP="004D0223">
      <w:pPr>
        <w:pStyle w:val="FootnoteText"/>
        <w:ind w:firstLine="0"/>
        <w:rPr>
          <w:lang w:val="en-US"/>
        </w:rPr>
      </w:pPr>
      <w:r>
        <w:t>Cooper, J.N., Newton, A.C.I., Klein, M. and Jolly, S. 2020, “A Call for Culturally Responsive Transformational Leadership in College Sport: An Anti- ism Approach for Achieving Equity and Inclusion”, Frontiers in sociology, vol. 5, pp. 65.</w:t>
      </w:r>
    </w:p>
  </w:footnote>
  <w:footnote w:id="5">
    <w:p w14:paraId="4D9446AC" w14:textId="50F70080" w:rsidR="00A121FC" w:rsidRPr="004D0223" w:rsidRDefault="00A121FC">
      <w:pPr>
        <w:pStyle w:val="FootnoteText"/>
        <w:rPr>
          <w:lang w:val="en-US"/>
        </w:rPr>
      </w:pPr>
      <w:r>
        <w:rPr>
          <w:rStyle w:val="FootnoteReference"/>
        </w:rPr>
        <w:footnoteRef/>
      </w:r>
      <w:r>
        <w:t xml:space="preserve"> </w:t>
      </w:r>
      <w:r w:rsidRPr="004D0223">
        <w:t>Hassen, N., Lofters, A., Michael, S., Mall, A., Pinto, A.D. and Rackal, J. 2021, “Implementing Anti-Racism Interventions in Healthcare Settings: A Scoping Review”, International journal of environmental research and public health, vol. 18, no. 6, pp. 2993</w:t>
      </w:r>
    </w:p>
  </w:footnote>
  <w:footnote w:id="6">
    <w:p w14:paraId="181DBFB0" w14:textId="186326BA" w:rsidR="00A121FC" w:rsidRPr="004D0223" w:rsidRDefault="00A121FC">
      <w:pPr>
        <w:pStyle w:val="FootnoteText"/>
        <w:rPr>
          <w:lang w:val="en-US"/>
        </w:rPr>
      </w:pPr>
      <w:r>
        <w:rPr>
          <w:rStyle w:val="FootnoteReference"/>
        </w:rPr>
        <w:footnoteRef/>
      </w:r>
      <w:r>
        <w:t xml:space="preserve"> </w:t>
      </w:r>
      <w:r w:rsidRPr="004D0223">
        <w:t>Diversity Works, 2021 “The Aotearoa Inclusivity Matrix,”; Gazmuri, S., Petty, S. and Porter, E., 2010. The equity-driven systems change (esc) model: A toolkit for improving institutional practice and student outcomes.; Came, H., O’Sullivan, D. and McCreanor, T., 2020. Introducing critical Tiriti policy analysis through a retrospective review of the New Zealand Primary Health Care Strategy. Ethnicities, 20(3), pp.434-456.</w:t>
      </w:r>
    </w:p>
  </w:footnote>
  <w:footnote w:id="7">
    <w:p w14:paraId="4E44EFFD" w14:textId="74F3D3E1" w:rsidR="00A121FC" w:rsidRPr="004D0223" w:rsidRDefault="00A121FC">
      <w:pPr>
        <w:pStyle w:val="FootnoteText"/>
        <w:rPr>
          <w:lang w:val="en-US"/>
        </w:rPr>
      </w:pPr>
      <w:r>
        <w:rPr>
          <w:rStyle w:val="FootnoteReference"/>
        </w:rPr>
        <w:footnoteRef/>
      </w:r>
      <w:r>
        <w:t xml:space="preserve"> </w:t>
      </w:r>
      <w:r w:rsidRPr="004D0223">
        <w:t>Good, G., 2017. Building Organizational Capacity for Health Equity Action:-A Framework and Assessment Tool for Public Health.</w:t>
      </w:r>
    </w:p>
  </w:footnote>
  <w:footnote w:id="8">
    <w:p w14:paraId="0CAE44F6" w14:textId="7AC22004" w:rsidR="00A121FC" w:rsidRPr="004D0223" w:rsidRDefault="00A121FC">
      <w:pPr>
        <w:pStyle w:val="FootnoteText"/>
        <w:rPr>
          <w:lang w:val="en-US"/>
        </w:rPr>
      </w:pPr>
      <w:r>
        <w:rPr>
          <w:rStyle w:val="FootnoteReference"/>
        </w:rPr>
        <w:footnoteRef/>
      </w:r>
      <w:r>
        <w:t xml:space="preserve"> </w:t>
      </w:r>
      <w:r w:rsidRPr="004D0223">
        <w:t>Bourke, J. and Dillon, B., 2018. The diversity and inclusion revolution: Eight powerful truths. Deloitte Review, 22, pp.82-95: 95</w:t>
      </w:r>
      <w:r>
        <w:t>.</w:t>
      </w:r>
    </w:p>
  </w:footnote>
  <w:footnote w:id="9">
    <w:p w14:paraId="14DC4C0E" w14:textId="2F005F5D" w:rsidR="00A121FC" w:rsidRPr="00D15D86" w:rsidRDefault="00A121FC">
      <w:pPr>
        <w:pStyle w:val="FootnoteText"/>
        <w:rPr>
          <w:lang w:val="en-US"/>
        </w:rPr>
      </w:pPr>
      <w:r>
        <w:rPr>
          <w:rStyle w:val="FootnoteReference"/>
        </w:rPr>
        <w:footnoteRef/>
      </w:r>
      <w:r>
        <w:t xml:space="preserve"> </w:t>
      </w:r>
      <w:r w:rsidRPr="00D15D86">
        <w:t xml:space="preserve">Building Movement Project and Management Assistance Group “Systems Change with an Equity Lens Community Interventions that Shift Power and Center Race,”, </w:t>
      </w:r>
      <w:hyperlink r:id="rId2" w:history="1">
        <w:r w:rsidRPr="00A86F66">
          <w:rPr>
            <w:rStyle w:val="Hyperlink"/>
          </w:rPr>
          <w:t>https://www.youtube.com/watch?v=DbzeciuPSfM</w:t>
        </w:r>
      </w:hyperlink>
      <w:r>
        <w:t xml:space="preserve"> </w:t>
      </w:r>
    </w:p>
  </w:footnote>
  <w:footnote w:id="10">
    <w:p w14:paraId="6C99EE73" w14:textId="2AD7ED8B" w:rsidR="00A121FC" w:rsidRPr="004D0223" w:rsidRDefault="00A121FC">
      <w:pPr>
        <w:pStyle w:val="FootnoteText"/>
        <w:rPr>
          <w:lang w:val="en-US"/>
        </w:rPr>
      </w:pPr>
      <w:r>
        <w:rPr>
          <w:rStyle w:val="FootnoteReference"/>
        </w:rPr>
        <w:footnoteRef/>
      </w:r>
      <w:r>
        <w:t xml:space="preserve"> </w:t>
      </w:r>
      <w:r w:rsidRPr="00D15D86">
        <w:t xml:space="preserve">Change Elemental “Influencing Complex Systems Change,”, </w:t>
      </w:r>
      <w:hyperlink r:id="rId3" w:history="1">
        <w:r w:rsidRPr="00A86F66">
          <w:rPr>
            <w:rStyle w:val="Hyperlink"/>
          </w:rPr>
          <w:t>https://changeelemental.org/influencing-complex-systems-change/</w:t>
        </w:r>
      </w:hyperlink>
      <w:r>
        <w:t xml:space="preserve"> </w:t>
      </w:r>
    </w:p>
  </w:footnote>
  <w:footnote w:id="11">
    <w:p w14:paraId="5FC43666" w14:textId="3B2B52EB" w:rsidR="00A121FC" w:rsidRPr="00D15D86" w:rsidRDefault="00A121FC">
      <w:pPr>
        <w:pStyle w:val="FootnoteText"/>
        <w:rPr>
          <w:lang w:val="en-US"/>
        </w:rPr>
      </w:pPr>
      <w:r>
        <w:rPr>
          <w:rStyle w:val="FootnoteReference"/>
        </w:rPr>
        <w:footnoteRef/>
      </w:r>
      <w:r>
        <w:t xml:space="preserve"> </w:t>
      </w:r>
      <w:r w:rsidRPr="00D15D86">
        <w:t>N. Amiot, M., Mayer-Glenn, J. and Parker, L., 2020. Applied critical race theory: Educational leadership actions for student equity. Race Ethnicity and Education, 23(2), pp.200-220.: 204; Williams, D.R. and Cooper, L.A., 2019. Reducing racial inequities in health: using what we already know to take action. International journal of environmental research and public health, 16(4), p.606.</w:t>
      </w:r>
    </w:p>
  </w:footnote>
  <w:footnote w:id="12">
    <w:p w14:paraId="487E35AF" w14:textId="51CD4BE5" w:rsidR="00A121FC" w:rsidRPr="00D15D86" w:rsidRDefault="00A121FC">
      <w:pPr>
        <w:pStyle w:val="FootnoteText"/>
        <w:rPr>
          <w:lang w:val="en-US"/>
        </w:rPr>
      </w:pPr>
      <w:r>
        <w:rPr>
          <w:rStyle w:val="FootnoteReference"/>
        </w:rPr>
        <w:footnoteRef/>
      </w:r>
      <w:r>
        <w:t xml:space="preserve"> </w:t>
      </w:r>
      <w:r w:rsidRPr="00D15D86">
        <w:t>Foster-Fishman, P.G. and Behrens, T.R., 2007. Systems change reborn: Rethinking our theories, methods, and efforts in human services reform and community-based change. American journal of community psychology, 39(3), pp.191-196.</w:t>
      </w:r>
    </w:p>
  </w:footnote>
  <w:footnote w:id="13">
    <w:p w14:paraId="47C0B39E" w14:textId="45666FD5" w:rsidR="00A121FC" w:rsidRPr="00D15D86" w:rsidRDefault="00A121FC">
      <w:pPr>
        <w:pStyle w:val="FootnoteText"/>
        <w:rPr>
          <w:lang w:val="en-US"/>
        </w:rPr>
      </w:pPr>
      <w:r>
        <w:rPr>
          <w:rStyle w:val="FootnoteReference"/>
        </w:rPr>
        <w:footnoteRef/>
      </w:r>
      <w:r>
        <w:t xml:space="preserve"> </w:t>
      </w:r>
      <w:r w:rsidRPr="00D15D86">
        <w:t xml:space="preserve">Triangle Diversity Equity and Inclusivity Alliance., 2020. “The Deloitte Diversity And Inclusion Model,”, </w:t>
      </w:r>
      <w:hyperlink r:id="rId4" w:history="1">
        <w:r w:rsidRPr="00A86F66">
          <w:rPr>
            <w:rStyle w:val="Hyperlink"/>
          </w:rPr>
          <w:t>http://www.triangledei.org/blog/the-deloitte-diversity-and-inclusion-model</w:t>
        </w:r>
      </w:hyperlink>
      <w:r>
        <w:t xml:space="preserve">  </w:t>
      </w:r>
    </w:p>
  </w:footnote>
  <w:footnote w:id="14">
    <w:p w14:paraId="0881877E" w14:textId="5D690361" w:rsidR="00A121FC" w:rsidRPr="00D15D86" w:rsidRDefault="00A121FC">
      <w:pPr>
        <w:pStyle w:val="FootnoteText"/>
        <w:rPr>
          <w:lang w:val="en-US"/>
        </w:rPr>
      </w:pPr>
      <w:r>
        <w:rPr>
          <w:rStyle w:val="FootnoteReference"/>
        </w:rPr>
        <w:footnoteRef/>
      </w:r>
      <w:r>
        <w:t xml:space="preserve"> </w:t>
      </w:r>
      <w:r w:rsidRPr="00D15D86">
        <w:t>Harvard Graduate School of Education, 2017 “Diving Deep,”.</w:t>
      </w:r>
    </w:p>
  </w:footnote>
  <w:footnote w:id="15">
    <w:p w14:paraId="00AAC2AF" w14:textId="22744057" w:rsidR="00A121FC" w:rsidRPr="00640DBA" w:rsidRDefault="00A121FC" w:rsidP="00796DEB">
      <w:pPr>
        <w:pStyle w:val="FootnoteText"/>
        <w:rPr>
          <w:lang w:val="en-US"/>
        </w:rPr>
      </w:pPr>
      <w:r>
        <w:rPr>
          <w:rStyle w:val="FootnoteReference"/>
        </w:rPr>
        <w:footnoteRef/>
      </w:r>
      <w:r>
        <w:t xml:space="preserve"> Bourke, J. and Dillon, B., 2018. The diversity and inclusion revolution: Eight powerful truths. Deloitte Review, 22, pp.82-95; Gazmuri, S., Petty, S. and Porter, E., 2010. The equity-driven systems change (esc) model: A toolkit for improving institutional practice and student outcomes.</w:t>
      </w:r>
    </w:p>
  </w:footnote>
  <w:footnote w:id="16">
    <w:p w14:paraId="54DE8F3A" w14:textId="55633E63" w:rsidR="00A121FC" w:rsidRPr="00640DBA" w:rsidRDefault="00A121FC">
      <w:pPr>
        <w:pStyle w:val="FootnoteText"/>
        <w:rPr>
          <w:lang w:val="en-US"/>
        </w:rPr>
      </w:pPr>
      <w:r>
        <w:rPr>
          <w:rStyle w:val="FootnoteReference"/>
        </w:rPr>
        <w:footnoteRef/>
      </w:r>
      <w:r>
        <w:t xml:space="preserve"> </w:t>
      </w:r>
      <w:r w:rsidRPr="00796DEB">
        <w:t>Sotto‐Santiago, S., Sharp, S., Mac, J., Messmore, N., Haywood, A., Tyson, M. and Yi, V., 2021. Reclaiming the mission of academic medicine: An examination of institutional responses to (anti) racism. AEM Education and Training, 5, pp.S33-S43.</w:t>
      </w:r>
    </w:p>
  </w:footnote>
  <w:footnote w:id="17">
    <w:p w14:paraId="5E1F73F2" w14:textId="4C7D7A12" w:rsidR="00A121FC" w:rsidRPr="00640DBA" w:rsidRDefault="00A121FC">
      <w:pPr>
        <w:pStyle w:val="FootnoteText"/>
        <w:rPr>
          <w:lang w:val="en-US"/>
        </w:rPr>
      </w:pPr>
      <w:r>
        <w:rPr>
          <w:rStyle w:val="FootnoteReference"/>
        </w:rPr>
        <w:footnoteRef/>
      </w:r>
      <w:r>
        <w:t xml:space="preserve"> </w:t>
      </w:r>
      <w:r w:rsidRPr="00796DEB">
        <w:t>Watt, S.K., Mahatmya, D., Coghill-Behrends, W., Clay, D.L., Thein, A.H. and Annicella, C., 2021. Being with anti-racism organizational change efforts: using a process-oriented approach to facilitate transformation. Journal of College Student Development, 62(1), pp.130-133.</w:t>
      </w:r>
    </w:p>
  </w:footnote>
  <w:footnote w:id="18">
    <w:p w14:paraId="174C7185" w14:textId="0AADBD3C" w:rsidR="00A121FC" w:rsidRPr="00640DBA" w:rsidRDefault="00A121FC">
      <w:pPr>
        <w:pStyle w:val="FootnoteText"/>
        <w:rPr>
          <w:lang w:val="en-US"/>
        </w:rPr>
      </w:pPr>
      <w:r>
        <w:rPr>
          <w:rStyle w:val="FootnoteReference"/>
        </w:rPr>
        <w:footnoteRef/>
      </w:r>
      <w:r>
        <w:t xml:space="preserve"> </w:t>
      </w:r>
      <w:r w:rsidRPr="00796DEB">
        <w:t>Bourke, J. and Dillon, B., 2018. The diversity and inclusion revolution: Eight powerful truths. Deloitte Review, 22, pp.82-95</w:t>
      </w:r>
      <w:r>
        <w:t>.</w:t>
      </w:r>
    </w:p>
  </w:footnote>
  <w:footnote w:id="19">
    <w:p w14:paraId="784AF17D" w14:textId="43795FD7" w:rsidR="00A121FC" w:rsidRPr="00640DBA" w:rsidRDefault="00A121FC">
      <w:pPr>
        <w:pStyle w:val="FootnoteText"/>
        <w:rPr>
          <w:lang w:val="en-US"/>
        </w:rPr>
      </w:pPr>
      <w:r>
        <w:rPr>
          <w:rStyle w:val="FootnoteReference"/>
        </w:rPr>
        <w:footnoteRef/>
      </w:r>
      <w:r>
        <w:t xml:space="preserve"> </w:t>
      </w:r>
      <w:r w:rsidRPr="00796DEB">
        <w:t>Gazmuri, S., Petty, S. and Porter, E., 2010. The equity-driven systems change (esc) model: A toolkit for improving institutional practice and student outcomes</w:t>
      </w:r>
      <w:r>
        <w:t>.</w:t>
      </w:r>
    </w:p>
  </w:footnote>
  <w:footnote w:id="20">
    <w:p w14:paraId="0DD50590" w14:textId="7AA52288" w:rsidR="00A121FC" w:rsidRPr="00640DBA" w:rsidRDefault="00A121FC">
      <w:pPr>
        <w:pStyle w:val="FootnoteText"/>
        <w:rPr>
          <w:lang w:val="en-US"/>
        </w:rPr>
      </w:pPr>
      <w:r>
        <w:rPr>
          <w:rStyle w:val="FootnoteReference"/>
        </w:rPr>
        <w:footnoteRef/>
      </w:r>
      <w:r>
        <w:t xml:space="preserve"> </w:t>
      </w:r>
      <w:r w:rsidRPr="00796DEB">
        <w:t>Harvard Graduate School of Education, 2017 “Diving Deep,”.</w:t>
      </w:r>
    </w:p>
  </w:footnote>
  <w:footnote w:id="21">
    <w:p w14:paraId="7B604886" w14:textId="696D6F1D" w:rsidR="00A121FC" w:rsidRPr="00796DEB" w:rsidRDefault="00A121FC">
      <w:pPr>
        <w:pStyle w:val="FootnoteText"/>
        <w:rPr>
          <w:lang w:val="en-US"/>
        </w:rPr>
      </w:pPr>
      <w:r>
        <w:rPr>
          <w:rStyle w:val="FootnoteReference"/>
        </w:rPr>
        <w:footnoteRef/>
      </w:r>
      <w:r>
        <w:t xml:space="preserve"> </w:t>
      </w:r>
      <w:r w:rsidRPr="00796DEB">
        <w:t>Gazmuri, S., Petty, S. and Porter, E., 2010. The equity-driven systems change (esc) model: A toolkit for improving institutional practice and student outcomes.</w:t>
      </w:r>
    </w:p>
  </w:footnote>
  <w:footnote w:id="22">
    <w:p w14:paraId="445F463C" w14:textId="772EB943" w:rsidR="00A121FC" w:rsidRPr="00B70D88" w:rsidRDefault="00A121FC">
      <w:pPr>
        <w:pStyle w:val="FootnoteText"/>
        <w:rPr>
          <w:lang w:val="en-US"/>
        </w:rPr>
      </w:pPr>
      <w:r>
        <w:rPr>
          <w:rStyle w:val="FootnoteReference"/>
        </w:rPr>
        <w:footnoteRef/>
      </w:r>
      <w:r>
        <w:t xml:space="preserve"> </w:t>
      </w:r>
      <w:r w:rsidRPr="004B6DAE">
        <w:t xml:space="preserve">TIR: Stop Institutional Racism., 2021. “Briefing Paper on the Forthcoming National Action Plan Against Racism,”, NZ Public Health Association and Auckland University of Technology, 2021, np; Building Movement Project and Management Assistance Group “Systems Change with an Equity Lens Community Interventions that Shift Power and Center Race,”, </w:t>
      </w:r>
      <w:hyperlink r:id="rId5" w:history="1">
        <w:r w:rsidRPr="004B6DAE">
          <w:rPr>
            <w:rStyle w:val="Hyperlink"/>
          </w:rPr>
          <w:t>https://www.youtube.com/watch?v=DbzeciuPSfM</w:t>
        </w:r>
      </w:hyperlink>
      <w:r w:rsidRPr="004B6DAE">
        <w:t xml:space="preserve">; Change Elemental, “Influencing Complex Systems Change,” </w:t>
      </w:r>
      <w:hyperlink r:id="rId6" w:history="1">
        <w:r w:rsidRPr="00A86F66">
          <w:rPr>
            <w:rStyle w:val="Hyperlink"/>
          </w:rPr>
          <w:t>https://changeelemental.org/influencing-complex-systems-change/</w:t>
        </w:r>
      </w:hyperlink>
      <w:r>
        <w:t xml:space="preserve"> </w:t>
      </w:r>
      <w:r w:rsidRPr="004B6DAE">
        <w:t>; Came, H. and Griffith, D., 2018. Tackling racism as a “wicked” public health problem: enabling allies in anti-racism praxis. Social Science &amp; Medicine, 199, pp.181-188</w:t>
      </w:r>
      <w:r>
        <w:t>.</w:t>
      </w:r>
    </w:p>
  </w:footnote>
  <w:footnote w:id="23">
    <w:p w14:paraId="56D6D6B7" w14:textId="6A7FB779" w:rsidR="00A121FC" w:rsidRPr="00B70D88" w:rsidRDefault="00A121FC">
      <w:pPr>
        <w:pStyle w:val="FootnoteText"/>
        <w:rPr>
          <w:lang w:val="en-US"/>
        </w:rPr>
      </w:pPr>
      <w:r>
        <w:rPr>
          <w:rStyle w:val="FootnoteReference"/>
        </w:rPr>
        <w:footnoteRef/>
      </w:r>
      <w:r>
        <w:t xml:space="preserve"> </w:t>
      </w:r>
      <w:r w:rsidRPr="00EC790B">
        <w:t>Willis, C.D., Best, A., Riley, B., Herbert, C.P., Millar, J. and Howland, D., 2014. Systems thinking for transformational change in health. Evidence &amp; policy, 10(1), pp.113-126</w:t>
      </w:r>
      <w:r>
        <w:t>.</w:t>
      </w:r>
    </w:p>
  </w:footnote>
  <w:footnote w:id="24">
    <w:p w14:paraId="75788713" w14:textId="217E5A3E" w:rsidR="00A121FC" w:rsidRPr="00B70D88" w:rsidRDefault="00A121FC">
      <w:pPr>
        <w:pStyle w:val="FootnoteText"/>
        <w:rPr>
          <w:lang w:val="en-US"/>
        </w:rPr>
      </w:pPr>
      <w:r>
        <w:rPr>
          <w:rStyle w:val="FootnoteReference"/>
        </w:rPr>
        <w:footnoteRef/>
      </w:r>
      <w:r>
        <w:t xml:space="preserve"> </w:t>
      </w:r>
      <w:r w:rsidRPr="00EC790B">
        <w:t>Caldwell, R., 2012. Systems thinking, organizational change and agency: A practice theory critique of Senge’s learning organization. Journal of change management, 12(2), pp.145-164.</w:t>
      </w:r>
    </w:p>
  </w:footnote>
  <w:footnote w:id="25">
    <w:p w14:paraId="436CE33D" w14:textId="4602DF3F" w:rsidR="00A121FC" w:rsidRDefault="00A121FC" w:rsidP="00EC790B">
      <w:pPr>
        <w:pStyle w:val="FootnoteText"/>
      </w:pPr>
      <w:r>
        <w:rPr>
          <w:rStyle w:val="FootnoteReference"/>
        </w:rPr>
        <w:footnoteRef/>
      </w:r>
      <w:r>
        <w:t xml:space="preserve"> Came, H. and Griffith, D., 2018. Tackling racism as a “wicked” public health problem: enabling allies in anti-racism praxis. Social Science &amp; Medicine, 199, pp.181-188.</w:t>
      </w:r>
    </w:p>
    <w:p w14:paraId="4356674A" w14:textId="77777777" w:rsidR="00A121FC" w:rsidRDefault="00A121FC" w:rsidP="00EC790B">
      <w:pPr>
        <w:pStyle w:val="FootnoteText"/>
        <w:ind w:firstLine="0"/>
      </w:pPr>
      <w:r>
        <w:t>Came, H., O’Sullivan, D. and McCreanor, T., 2020. Introducing critical Tiriti policy analysis through a retrospective review of the New Zealand Primary Health Care Strategy. Ethnicities, 20(3), pp.434-456</w:t>
      </w:r>
    </w:p>
    <w:p w14:paraId="35998635" w14:textId="773B51FE" w:rsidR="00A121FC" w:rsidRPr="00B70D88" w:rsidRDefault="00A121FC" w:rsidP="00EC790B">
      <w:pPr>
        <w:pStyle w:val="FootnoteText"/>
        <w:ind w:firstLine="0"/>
        <w:rPr>
          <w:lang w:val="en-US"/>
        </w:rPr>
      </w:pPr>
      <w:r>
        <w:t>Deas, K.M. and Mina, R. 2022, “Training Human Service Professionals: Using Intersectionality as a Strategy for Eliminating Anti-Black Racism”, Journal of teaching in social work, vol. 42, no. 2-3, pp. 227-246.</w:t>
      </w:r>
    </w:p>
  </w:footnote>
  <w:footnote w:id="26">
    <w:p w14:paraId="68A98391" w14:textId="05537124" w:rsidR="00A121FC" w:rsidRPr="00B70D88" w:rsidRDefault="00A121FC" w:rsidP="00EC790B">
      <w:pPr>
        <w:pStyle w:val="FootnoteText"/>
        <w:rPr>
          <w:lang w:val="en-US"/>
        </w:rPr>
      </w:pPr>
      <w:r>
        <w:rPr>
          <w:rStyle w:val="FootnoteReference"/>
        </w:rPr>
        <w:footnoteRef/>
      </w:r>
      <w:r>
        <w:t xml:space="preserve"> Beloved Community “Equity Audit User Guide,” https://www.awabybeloved.com, 5; Building Movement Project and Management Assistance Group “Systems Change with an Equity Lens Community Interventions that Shift Power and Center Race,”, </w:t>
      </w:r>
      <w:hyperlink r:id="rId7" w:history="1">
        <w:r w:rsidRPr="00EC790B">
          <w:rPr>
            <w:rStyle w:val="Hyperlink"/>
          </w:rPr>
          <w:t>https://www.youtube.com/watch?v=DbzeciuPSfM</w:t>
        </w:r>
      </w:hyperlink>
      <w:r>
        <w:t>; Came, H., O’Sullivan, D. and McCreanor, T., 2020. Introducing critical Tiriti policy analysis through a retrospective review of the New Zealand Primary Health Care Strategy. Ethnicities, 20(3), pp.434-456</w:t>
      </w:r>
    </w:p>
  </w:footnote>
  <w:footnote w:id="27">
    <w:p w14:paraId="4E3E749A" w14:textId="14B56C7E" w:rsidR="00A121FC" w:rsidRPr="00B70D88" w:rsidRDefault="00A121FC">
      <w:pPr>
        <w:pStyle w:val="FootnoteText"/>
        <w:rPr>
          <w:lang w:val="en-US"/>
        </w:rPr>
      </w:pPr>
      <w:r>
        <w:rPr>
          <w:rStyle w:val="FootnoteReference"/>
        </w:rPr>
        <w:footnoteRef/>
      </w:r>
      <w:r>
        <w:t xml:space="preserve"> </w:t>
      </w:r>
      <w:r w:rsidRPr="00EC790B">
        <w:t xml:space="preserve">Beloved Community “Equity Audit User Guide,” </w:t>
      </w:r>
      <w:hyperlink r:id="rId8" w:history="1">
        <w:r w:rsidRPr="00EC790B">
          <w:rPr>
            <w:rStyle w:val="Hyperlink"/>
          </w:rPr>
          <w:t>https://www.awabybeloved.com</w:t>
        </w:r>
      </w:hyperlink>
      <w:r w:rsidRPr="00EC790B">
        <w:t>, 5</w:t>
      </w:r>
    </w:p>
  </w:footnote>
  <w:footnote w:id="28">
    <w:p w14:paraId="1CF9209D" w14:textId="5F5B6380" w:rsidR="00A121FC" w:rsidRPr="00B70D88" w:rsidRDefault="00A121FC">
      <w:pPr>
        <w:pStyle w:val="FootnoteText"/>
        <w:rPr>
          <w:lang w:val="en-US"/>
        </w:rPr>
      </w:pPr>
      <w:r>
        <w:rPr>
          <w:rStyle w:val="FootnoteReference"/>
        </w:rPr>
        <w:footnoteRef/>
      </w:r>
      <w:r>
        <w:t xml:space="preserve"> </w:t>
      </w:r>
      <w:r w:rsidRPr="00EC790B">
        <w:t>Gazmuri, S., Petty, S. and Porter, E., 2010. The equity-driven systems change (esc) model: A toolkit for improving institutional practice and student outcomes.</w:t>
      </w:r>
    </w:p>
  </w:footnote>
  <w:footnote w:id="29">
    <w:p w14:paraId="64BB29EB" w14:textId="35FDD410" w:rsidR="00A121FC" w:rsidRPr="00B34396" w:rsidRDefault="00A121FC">
      <w:pPr>
        <w:pStyle w:val="FootnoteText"/>
        <w:rPr>
          <w:lang w:val="en-US"/>
        </w:rPr>
      </w:pPr>
      <w:r>
        <w:rPr>
          <w:rStyle w:val="FootnoteReference"/>
        </w:rPr>
        <w:footnoteRef/>
      </w:r>
      <w:r>
        <w:t xml:space="preserve"> </w:t>
      </w:r>
      <w:r w:rsidRPr="00186B5B">
        <w:t xml:space="preserve">“Quakelab., 2020. “The QuakeLab Inclusion Maturity Model,” </w:t>
      </w:r>
      <w:hyperlink r:id="rId9" w:history="1">
        <w:r w:rsidRPr="00186B5B">
          <w:rPr>
            <w:rStyle w:val="Hyperlink"/>
          </w:rPr>
          <w:t>https://quakelab.ca/blog/quakelab-inclusion-maturity-model</w:t>
        </w:r>
      </w:hyperlink>
    </w:p>
  </w:footnote>
  <w:footnote w:id="30">
    <w:p w14:paraId="5DEDF20E" w14:textId="71C48EC9" w:rsidR="00A121FC" w:rsidRPr="00186B5B" w:rsidRDefault="00A121FC">
      <w:pPr>
        <w:pStyle w:val="FootnoteText"/>
        <w:rPr>
          <w:lang w:val="en-US"/>
        </w:rPr>
      </w:pPr>
      <w:r>
        <w:rPr>
          <w:rStyle w:val="FootnoteReference"/>
        </w:rPr>
        <w:footnoteRef/>
      </w:r>
      <w:r>
        <w:t xml:space="preserve"> </w:t>
      </w:r>
      <w:r w:rsidRPr="00BF4062">
        <w:t>Konuthula, D., de Abril Cameron, F., Jonassaint, N., Ufomata, E., Torres, O., Essien, U.R., Hamm, M.E., Merlin, J. and Ragavan, M.I. 2022, “Perspectives on Anti-Black Racism and Mitigation Strategies Among Faculty Experts at Academic Medical Centers”, JAMA network open, vol. 5, no. 4, pp. e228534-e228534.</w:t>
      </w:r>
    </w:p>
  </w:footnote>
  <w:footnote w:id="31">
    <w:p w14:paraId="2A313C08" w14:textId="2B4DA836" w:rsidR="00A121FC" w:rsidRPr="00186B5B" w:rsidRDefault="00A121FC">
      <w:pPr>
        <w:pStyle w:val="FootnoteText"/>
        <w:rPr>
          <w:lang w:val="en-US"/>
        </w:rPr>
      </w:pPr>
      <w:r>
        <w:rPr>
          <w:rStyle w:val="FootnoteReference"/>
        </w:rPr>
        <w:footnoteRef/>
      </w:r>
      <w:r>
        <w:t xml:space="preserve"> </w:t>
      </w:r>
      <w:r w:rsidRPr="00BF4062">
        <w:t>Johnson, T.J., Ellison, A.M., Dalembert, G., Fowler, J., Dhingra, M., Shaw, K. and Ibrahim, S., 2017. Implicit bias in pediatric academic medicine. Journal of the National Medical Association, 109(3), pp.156-163.</w:t>
      </w:r>
    </w:p>
  </w:footnote>
  <w:footnote w:id="32">
    <w:p w14:paraId="30E49719" w14:textId="14856DDF" w:rsidR="00A121FC" w:rsidRPr="00186B5B" w:rsidRDefault="00A121FC">
      <w:pPr>
        <w:pStyle w:val="FootnoteText"/>
        <w:rPr>
          <w:lang w:val="en-US"/>
        </w:rPr>
      </w:pPr>
      <w:r>
        <w:rPr>
          <w:rStyle w:val="FootnoteReference"/>
        </w:rPr>
        <w:footnoteRef/>
      </w:r>
      <w:r>
        <w:t xml:space="preserve"> </w:t>
      </w:r>
      <w:r w:rsidRPr="00BF4062">
        <w:t>Diversity Works, 2021 “The Aotearoa Inclusivity Matrix,” https://diversityworksnz.org.nz/news-resources/aotearoa-inclusivity-matrix/.</w:t>
      </w:r>
    </w:p>
  </w:footnote>
  <w:footnote w:id="33">
    <w:p w14:paraId="5EDE5E50" w14:textId="6DA7A897" w:rsidR="00A121FC" w:rsidRPr="00186B5B" w:rsidRDefault="00A121FC">
      <w:pPr>
        <w:pStyle w:val="FootnoteText"/>
        <w:rPr>
          <w:lang w:val="en-US"/>
        </w:rPr>
      </w:pPr>
      <w:r>
        <w:rPr>
          <w:rStyle w:val="FootnoteReference"/>
        </w:rPr>
        <w:footnoteRef/>
      </w:r>
      <w:r>
        <w:t xml:space="preserve"> </w:t>
      </w:r>
      <w:r w:rsidRPr="00BF4062">
        <w:t>Bourke, J. and Dillon, B., 2018. The diversity and inclusion revolution: Eight powerful truths. Deloitte Review, 22, pp.82-95</w:t>
      </w:r>
      <w:r>
        <w:t>.</w:t>
      </w:r>
    </w:p>
  </w:footnote>
  <w:footnote w:id="34">
    <w:p w14:paraId="650F0271" w14:textId="2FFDD1EB" w:rsidR="00A121FC" w:rsidRPr="00186B5B" w:rsidRDefault="00A121FC">
      <w:pPr>
        <w:pStyle w:val="FootnoteText"/>
        <w:rPr>
          <w:lang w:val="en-US"/>
        </w:rPr>
      </w:pPr>
      <w:r>
        <w:rPr>
          <w:rStyle w:val="FootnoteReference"/>
        </w:rPr>
        <w:footnoteRef/>
      </w:r>
      <w:r>
        <w:t xml:space="preserve"> </w:t>
      </w:r>
      <w:r w:rsidRPr="00BF4062">
        <w:t xml:space="preserve">Quakelab., 2020. “The QuakeLab Inclusion Maturity Model,” </w:t>
      </w:r>
      <w:hyperlink r:id="rId10" w:history="1">
        <w:r w:rsidRPr="00BF4062">
          <w:rPr>
            <w:rStyle w:val="Hyperlink"/>
          </w:rPr>
          <w:t>https://quakelab.ca/blog/quakelab-inclusion-maturity-model</w:t>
        </w:r>
      </w:hyperlink>
      <w:r>
        <w:t>.</w:t>
      </w:r>
    </w:p>
  </w:footnote>
  <w:footnote w:id="35">
    <w:p w14:paraId="1CE2614D" w14:textId="4C7FF408" w:rsidR="00A121FC" w:rsidRPr="00BF4062" w:rsidRDefault="00A121FC">
      <w:pPr>
        <w:pStyle w:val="FootnoteText"/>
        <w:rPr>
          <w:lang w:val="en-US"/>
        </w:rPr>
      </w:pPr>
      <w:r>
        <w:rPr>
          <w:rStyle w:val="FootnoteReference"/>
        </w:rPr>
        <w:footnoteRef/>
      </w:r>
      <w:r>
        <w:t xml:space="preserve"> </w:t>
      </w:r>
      <w:r w:rsidRPr="00BF4062">
        <w:t>Lenihan, H., McGuirk, H. and Murphy, K.R., 2019. Driving innovation: Public policy and human capital. Research policy, 48(9), p.103791.</w:t>
      </w:r>
    </w:p>
  </w:footnote>
  <w:footnote w:id="36">
    <w:p w14:paraId="2220C228" w14:textId="4CB70103" w:rsidR="00A121FC" w:rsidRPr="00BF4062" w:rsidRDefault="00A121FC">
      <w:pPr>
        <w:pStyle w:val="FootnoteText"/>
        <w:rPr>
          <w:lang w:val="en-US"/>
        </w:rPr>
      </w:pPr>
      <w:r>
        <w:rPr>
          <w:rStyle w:val="FootnoteReference"/>
        </w:rPr>
        <w:footnoteRef/>
      </w:r>
      <w:r>
        <w:t xml:space="preserve"> </w:t>
      </w:r>
      <w:r w:rsidRPr="00BF4062">
        <w:t>Foster-Fishman, P.G., Nowell, B. and Yang, H., 2007. Putting the system back into systems change: A framework for understanding and changing organizational and community systems. American journal of community psychology, 39(3), pp.197-215.</w:t>
      </w:r>
    </w:p>
  </w:footnote>
  <w:footnote w:id="37">
    <w:p w14:paraId="035A2D7F" w14:textId="402745A8" w:rsidR="00A121FC" w:rsidRPr="00BF4062" w:rsidRDefault="00A121FC">
      <w:pPr>
        <w:pStyle w:val="FootnoteText"/>
        <w:rPr>
          <w:lang w:val="en-US"/>
        </w:rPr>
      </w:pPr>
      <w:r>
        <w:rPr>
          <w:rStyle w:val="FootnoteReference"/>
        </w:rPr>
        <w:footnoteRef/>
      </w:r>
      <w:r>
        <w:t xml:space="preserve"> </w:t>
      </w:r>
      <w:r w:rsidRPr="00BF4062">
        <w:t xml:space="preserve">Korn Ferry “Diversity, equity, and inclusion diagnostic,”, </w:t>
      </w:r>
      <w:hyperlink r:id="rId11" w:history="1">
        <w:r>
          <w:rPr>
            <w:rStyle w:val="Hyperlink"/>
          </w:rPr>
          <w:t>https://www.kornferry.com/content/dam/kornferry-v2/pdf/KornFerry_DEI_Maturity_Model_Factsheet.pdf</w:t>
        </w:r>
      </w:hyperlink>
    </w:p>
  </w:footnote>
  <w:footnote w:id="38">
    <w:p w14:paraId="09F4480C" w14:textId="491B6FE0" w:rsidR="00A121FC" w:rsidRPr="006C5210" w:rsidRDefault="00A121FC">
      <w:pPr>
        <w:pStyle w:val="FootnoteText"/>
        <w:rPr>
          <w:lang w:val="en-US"/>
        </w:rPr>
      </w:pPr>
      <w:r>
        <w:rPr>
          <w:rStyle w:val="FootnoteReference"/>
        </w:rPr>
        <w:footnoteRef/>
      </w:r>
      <w:r>
        <w:t xml:space="preserve"> </w:t>
      </w:r>
      <w:r w:rsidRPr="006C5210">
        <w:t xml:space="preserve">Diversity Works, 2021 “The Aotearoa Inclusivity Matrix,” </w:t>
      </w:r>
      <w:hyperlink r:id="rId12" w:history="1">
        <w:r w:rsidRPr="006C5210">
          <w:rPr>
            <w:rStyle w:val="Hyperlink"/>
          </w:rPr>
          <w:t>https://diversityworksnz.org.nz/news-resources/aotearoa-inclusivity-matrix/</w:t>
        </w:r>
      </w:hyperlink>
    </w:p>
  </w:footnote>
  <w:footnote w:id="39">
    <w:p w14:paraId="5580E8FB" w14:textId="298ECBAD" w:rsidR="00A121FC" w:rsidRPr="006C5210" w:rsidRDefault="00A121FC">
      <w:pPr>
        <w:pStyle w:val="FootnoteText"/>
        <w:rPr>
          <w:lang w:val="en-US"/>
        </w:rPr>
      </w:pPr>
      <w:r>
        <w:rPr>
          <w:rStyle w:val="FootnoteReference"/>
        </w:rPr>
        <w:footnoteRef/>
      </w:r>
      <w:r>
        <w:t xml:space="preserve"> </w:t>
      </w:r>
      <w:r w:rsidRPr="006C5210">
        <w:t xml:space="preserve">Korn Ferry “Diversity, equity, and inclusion diagnostic,”, </w:t>
      </w:r>
      <w:hyperlink r:id="rId13" w:history="1">
        <w:r w:rsidRPr="006C5210">
          <w:rPr>
            <w:rStyle w:val="Hyperlink"/>
          </w:rPr>
          <w:t>https://www.kornferry.com/content/dam/kornferry-v2/pdf/KornFerry_DEI_Maturity_Model_Factsheet.pdf</w:t>
        </w:r>
      </w:hyperlink>
    </w:p>
  </w:footnote>
  <w:footnote w:id="40">
    <w:p w14:paraId="75A82E98" w14:textId="2095DFE5" w:rsidR="00A121FC" w:rsidRPr="006C5210" w:rsidRDefault="00A121FC">
      <w:pPr>
        <w:pStyle w:val="FootnoteText"/>
        <w:rPr>
          <w:lang w:val="en-US"/>
        </w:rPr>
      </w:pPr>
      <w:r>
        <w:rPr>
          <w:rStyle w:val="FootnoteReference"/>
        </w:rPr>
        <w:footnoteRef/>
      </w:r>
      <w:r>
        <w:t xml:space="preserve"> </w:t>
      </w:r>
      <w:r w:rsidRPr="006C5210">
        <w:t xml:space="preserve">Quakelab., 2020. “The QuakeLab Inclusion Maturity Model,” </w:t>
      </w:r>
      <w:hyperlink r:id="rId14" w:history="1">
        <w:r w:rsidRPr="006C5210">
          <w:rPr>
            <w:rStyle w:val="Hyperlink"/>
          </w:rPr>
          <w:t>https://quakelab.ca/blog/quakelab-inclusion-maturity-model</w:t>
        </w:r>
      </w:hyperlink>
      <w:r w:rsidRPr="006C5210">
        <w:t>; Parsons, B.A. and Krenn, H., 2018. PCI: A reflective evaluation framework for systems change. The Foundation Review, 10(1), p.7</w:t>
      </w:r>
    </w:p>
  </w:footnote>
  <w:footnote w:id="41">
    <w:p w14:paraId="4FCE4101" w14:textId="2BEC5810" w:rsidR="00A121FC" w:rsidRPr="006C5210" w:rsidRDefault="00A121FC">
      <w:pPr>
        <w:pStyle w:val="FootnoteText"/>
        <w:rPr>
          <w:lang w:val="en-US"/>
        </w:rPr>
      </w:pPr>
      <w:r>
        <w:rPr>
          <w:rStyle w:val="FootnoteReference"/>
        </w:rPr>
        <w:footnoteRef/>
      </w:r>
      <w:r>
        <w:t xml:space="preserve"> </w:t>
      </w:r>
      <w:r w:rsidRPr="006C5210">
        <w:t>Scobie, M., Lee, B. and Smyth, S., 2020. Grounded accountability and Indigenous self-determination. Critical Perspectives on Accounting, p.102198.</w:t>
      </w:r>
    </w:p>
  </w:footnote>
  <w:footnote w:id="42">
    <w:p w14:paraId="46A18D05" w14:textId="72A4D62E" w:rsidR="00A121FC" w:rsidRPr="006C5210" w:rsidRDefault="00A121FC">
      <w:pPr>
        <w:pStyle w:val="FootnoteText"/>
        <w:rPr>
          <w:lang w:val="en-US"/>
        </w:rPr>
      </w:pPr>
      <w:r>
        <w:rPr>
          <w:rStyle w:val="FootnoteReference"/>
        </w:rPr>
        <w:footnoteRef/>
      </w:r>
      <w:r>
        <w:t xml:space="preserve"> </w:t>
      </w:r>
      <w:r w:rsidRPr="006C5210">
        <w:t>Scobie, M., Lee, B. and Smyth, S., 2020. Grounded accountability and Indigenous self-determination. Critical Perspectives on Accounting, p.102198.</w:t>
      </w:r>
    </w:p>
  </w:footnote>
  <w:footnote w:id="43">
    <w:p w14:paraId="44D00E63" w14:textId="24111607" w:rsidR="00A121FC" w:rsidRPr="006C5210" w:rsidRDefault="00A121FC">
      <w:pPr>
        <w:pStyle w:val="FootnoteText"/>
        <w:rPr>
          <w:lang w:val="en-US"/>
        </w:rPr>
      </w:pPr>
      <w:r>
        <w:rPr>
          <w:rStyle w:val="FootnoteReference"/>
        </w:rPr>
        <w:footnoteRef/>
      </w:r>
      <w:r>
        <w:t xml:space="preserve"> </w:t>
      </w:r>
      <w:r w:rsidRPr="006C5210">
        <w:t xml:space="preserve">Jeffires-Logan, V., Johnson, M., and Okun, T., “Accountability in a time of justice,” Dismantling Racism, 1, </w:t>
      </w:r>
      <w:hyperlink r:id="rId15" w:history="1">
        <w:r w:rsidRPr="00A762B7">
          <w:rPr>
            <w:rStyle w:val="Hyperlink"/>
          </w:rPr>
          <w:t>https://www.dismantlingracism.org/uploads/4/3/5/7/43579015/accountability.jjo.drworks.pdf</w:t>
        </w:r>
      </w:hyperlink>
    </w:p>
  </w:footnote>
  <w:footnote w:id="44">
    <w:p w14:paraId="7C5BBFB4" w14:textId="2D1F3964" w:rsidR="00A121FC" w:rsidRPr="00856EF7" w:rsidRDefault="00A121FC">
      <w:pPr>
        <w:pStyle w:val="FootnoteText"/>
        <w:rPr>
          <w:lang w:val="en-US"/>
        </w:rPr>
      </w:pPr>
      <w:r>
        <w:rPr>
          <w:rStyle w:val="FootnoteReference"/>
        </w:rPr>
        <w:footnoteRef/>
      </w:r>
      <w:r>
        <w:t xml:space="preserve"> </w:t>
      </w:r>
      <w:r w:rsidRPr="00856EF7">
        <w:t>Faller, P., Lundgren, H. and Marsick, V. 2020, “Overview: Why and How Does Reflection Matter in Workplace Learning?”, Advances in developing human resources, vol. 22, no. 3, pp. 248-263.</w:t>
      </w:r>
    </w:p>
  </w:footnote>
  <w:footnote w:id="45">
    <w:p w14:paraId="7B352B0A" w14:textId="7CAA51D8" w:rsidR="00A121FC" w:rsidRPr="00856EF7" w:rsidRDefault="00A121FC">
      <w:pPr>
        <w:pStyle w:val="FootnoteText"/>
        <w:rPr>
          <w:lang w:val="en-US"/>
        </w:rPr>
      </w:pPr>
      <w:r>
        <w:rPr>
          <w:rStyle w:val="FootnoteReference"/>
        </w:rPr>
        <w:footnoteRef/>
      </w:r>
      <w:r>
        <w:t xml:space="preserve"> </w:t>
      </w:r>
      <w:r w:rsidRPr="00856EF7">
        <w:t>Jaffe, J. 2019, “Reflective Practice for Learning From Experience: Navigating the Back Roads at Work”, The Foundation Review, vol. 11, no. 1, pp. 35-119.</w:t>
      </w:r>
    </w:p>
  </w:footnote>
  <w:footnote w:id="46">
    <w:p w14:paraId="57250288" w14:textId="3A1D6241" w:rsidR="00A121FC" w:rsidRPr="00856EF7" w:rsidRDefault="00A121FC">
      <w:pPr>
        <w:pStyle w:val="FootnoteText"/>
        <w:rPr>
          <w:lang w:val="en-US"/>
        </w:rPr>
      </w:pPr>
      <w:r>
        <w:rPr>
          <w:rStyle w:val="FootnoteReference"/>
        </w:rPr>
        <w:footnoteRef/>
      </w:r>
      <w:r>
        <w:t xml:space="preserve"> </w:t>
      </w:r>
      <w:r w:rsidRPr="00856EF7">
        <w:t>Scobie, M., Lee, B., and Smyth, S. Grounded accountability and Indigenous self-determination. Critical Perspectives on Accounting. In Press. DOI: org/10.1016/j.cpa.2020.102198</w:t>
      </w:r>
      <w:r>
        <w:t>.</w:t>
      </w:r>
    </w:p>
  </w:footnote>
  <w:footnote w:id="47">
    <w:p w14:paraId="6F0E8427" w14:textId="5E69F538" w:rsidR="00A121FC" w:rsidRPr="00856EF7" w:rsidRDefault="00A121FC">
      <w:pPr>
        <w:pStyle w:val="FootnoteText"/>
        <w:rPr>
          <w:lang w:val="en-US"/>
        </w:rPr>
      </w:pPr>
      <w:r>
        <w:rPr>
          <w:rStyle w:val="FootnoteReference"/>
        </w:rPr>
        <w:footnoteRef/>
      </w:r>
      <w:r>
        <w:t xml:space="preserve"> </w:t>
      </w:r>
      <w:r w:rsidRPr="00856EF7">
        <w:t xml:space="preserve">National Collaborating Centre for Determinants of Health., 2020 “Learning Together: A guide to assessment tools for organisational health equity capacity,”,, 2 </w:t>
      </w:r>
      <w:hyperlink r:id="rId16" w:history="1">
        <w:r w:rsidRPr="00856EF7">
          <w:rPr>
            <w:rStyle w:val="Hyperlink"/>
          </w:rPr>
          <w:t>https://substanceuse.ca/learning-together-guide-assessment-tools-organisational-health-equity-capacity</w:t>
        </w:r>
      </w:hyperlink>
      <w:r>
        <w:t>.</w:t>
      </w:r>
    </w:p>
  </w:footnote>
  <w:footnote w:id="48">
    <w:p w14:paraId="35E3DF97" w14:textId="5F80C7B2" w:rsidR="00A121FC" w:rsidRPr="00856EF7" w:rsidRDefault="00A121FC">
      <w:pPr>
        <w:pStyle w:val="FootnoteText"/>
        <w:rPr>
          <w:lang w:val="en-US"/>
        </w:rPr>
      </w:pPr>
      <w:r>
        <w:rPr>
          <w:rStyle w:val="FootnoteReference"/>
        </w:rPr>
        <w:footnoteRef/>
      </w:r>
      <w:r>
        <w:t xml:space="preserve"> </w:t>
      </w:r>
      <w:r w:rsidRPr="00856EF7">
        <w:t>Ibid 7.</w:t>
      </w:r>
    </w:p>
  </w:footnote>
  <w:footnote w:id="49">
    <w:p w14:paraId="5E26CA04" w14:textId="6D4F021B" w:rsidR="00A121FC" w:rsidRPr="00856EF7" w:rsidRDefault="00A121FC">
      <w:pPr>
        <w:pStyle w:val="FootnoteText"/>
        <w:rPr>
          <w:lang w:val="en-US"/>
        </w:rPr>
      </w:pPr>
      <w:r>
        <w:rPr>
          <w:rStyle w:val="FootnoteReference"/>
        </w:rPr>
        <w:footnoteRef/>
      </w:r>
      <w:r>
        <w:t xml:space="preserve"> </w:t>
      </w:r>
      <w:r w:rsidRPr="00305096">
        <w:t>Gazmuri, S., Petty, S. and Porter, E., 2010. The equity-driven systems change (esc) model: A toolkit for improving institutional practice and student outcomes. 4-5.</w:t>
      </w:r>
    </w:p>
  </w:footnote>
  <w:footnote w:id="50">
    <w:p w14:paraId="36A36B86" w14:textId="2CD414D4" w:rsidR="00A121FC" w:rsidRPr="00305096" w:rsidRDefault="00A121FC">
      <w:pPr>
        <w:pStyle w:val="FootnoteText"/>
        <w:rPr>
          <w:lang w:val="en-US"/>
        </w:rPr>
      </w:pPr>
      <w:r>
        <w:rPr>
          <w:rStyle w:val="FootnoteReference"/>
        </w:rPr>
        <w:footnoteRef/>
      </w:r>
      <w:r>
        <w:t xml:space="preserve"> </w:t>
      </w:r>
      <w:r w:rsidRPr="00305096">
        <w:t xml:space="preserve">Graduate School of Education, 2017 “Diving Deep,”. </w:t>
      </w:r>
      <w:hyperlink r:id="rId17" w:history="1">
        <w:r w:rsidRPr="00305096">
          <w:rPr>
            <w:rStyle w:val="Hyperlink"/>
          </w:rPr>
          <w:t>https://www.gse.harvard.edu/news/17/06/diving-deep</w:t>
        </w:r>
      </w:hyperlink>
    </w:p>
  </w:footnote>
  <w:footnote w:id="51">
    <w:p w14:paraId="7E8932D2" w14:textId="64F2C6C2" w:rsidR="00A121FC" w:rsidRPr="00C36E14" w:rsidRDefault="00A121FC">
      <w:pPr>
        <w:pStyle w:val="FootnoteText"/>
        <w:rPr>
          <w:lang w:val="en-US"/>
        </w:rPr>
      </w:pPr>
      <w:r>
        <w:rPr>
          <w:rStyle w:val="FootnoteReference"/>
        </w:rPr>
        <w:footnoteRef/>
      </w:r>
      <w:r>
        <w:t xml:space="preserve"> </w:t>
      </w:r>
      <w:r w:rsidRPr="00C36E14">
        <w:t>Ahmad, N.J. and Shi, M. 2017, “The Need for Anti-Racism Training in Medical School Curricula”, Academic medicine, vol. 92, no. 8, pp. 1073.</w:t>
      </w:r>
    </w:p>
  </w:footnote>
  <w:footnote w:id="52">
    <w:p w14:paraId="4235D343" w14:textId="3DA50DAD" w:rsidR="00A121FC" w:rsidRDefault="00A121FC" w:rsidP="00C36E14">
      <w:pPr>
        <w:pStyle w:val="FootnoteText"/>
      </w:pPr>
      <w:r>
        <w:rPr>
          <w:rStyle w:val="FootnoteReference"/>
        </w:rPr>
        <w:footnoteRef/>
      </w:r>
      <w:r>
        <w:t xml:space="preserve"> Williams, M.T. &amp; Gran-Ruaz, S.M. 2021, “Can anti-racism training improve outgroup liking and allyship behaviours?”, Whiteness and education (Print), vol. ahead-of-print, no. ahead-of-print, pp. 1-19.</w:t>
      </w:r>
    </w:p>
    <w:p w14:paraId="5FEE9E80" w14:textId="25F69AC4" w:rsidR="00A121FC" w:rsidRPr="00C36E14" w:rsidRDefault="00A121FC" w:rsidP="00C36E14">
      <w:pPr>
        <w:pStyle w:val="FootnoteText"/>
        <w:ind w:firstLine="0"/>
        <w:rPr>
          <w:lang w:val="en-US"/>
        </w:rPr>
      </w:pPr>
      <w:r>
        <w:t>Knox, K., Simpson, D., Bidwell, J. and Lehmann, W. 2021, “Implementing an Interprofessional Anti-Racism Training With Community Partners During a Pandemic: Outcomes and Recommended Strategies”, Wisconsin medical journal (Madison, Wis.), vol. 120, no. S1, pp. S70.</w:t>
      </w:r>
    </w:p>
  </w:footnote>
  <w:footnote w:id="53">
    <w:p w14:paraId="5EE52231" w14:textId="52777E0C" w:rsidR="00A121FC" w:rsidRPr="00C36E14" w:rsidRDefault="00A121FC">
      <w:pPr>
        <w:pStyle w:val="FootnoteText"/>
        <w:rPr>
          <w:lang w:val="en-US"/>
        </w:rPr>
      </w:pPr>
      <w:r>
        <w:rPr>
          <w:rStyle w:val="FootnoteReference"/>
        </w:rPr>
        <w:footnoteRef/>
      </w:r>
      <w:r>
        <w:t xml:space="preserve"> </w:t>
      </w:r>
      <w:r w:rsidRPr="00C36E14">
        <w:t>Dobbin, F. and Kalev, A., 2018. Why doesn’t diversity training work? The challenge for industry and academia. Anthropology Now, 10(2), pp.48-55.</w:t>
      </w:r>
    </w:p>
  </w:footnote>
  <w:footnote w:id="54">
    <w:p w14:paraId="4AD5F88B" w14:textId="1E1DBB05" w:rsidR="00A121FC" w:rsidRPr="00C36E14" w:rsidRDefault="00A121FC" w:rsidP="00C36E14">
      <w:pPr>
        <w:pStyle w:val="FootnoteText"/>
        <w:rPr>
          <w:lang w:val="en-US"/>
        </w:rPr>
      </w:pPr>
      <w:r>
        <w:rPr>
          <w:rStyle w:val="FootnoteReference"/>
        </w:rPr>
        <w:footnoteRef/>
      </w:r>
      <w:r>
        <w:t xml:space="preserve"> Kalinoski, Z.T., Steele-Johnson, D., Peyton, E.J., Leas, K.A., Steinke, J. and Bowling, N.A. 2013, “A meta-analytic evaluation of diversity training outcomes: DIVERSITY TRAINING”, Journal of organizational behavior, vol. 34, no. 8, pp. 1076-1104.</w:t>
      </w:r>
    </w:p>
  </w:footnote>
  <w:footnote w:id="55">
    <w:p w14:paraId="56780082" w14:textId="22B879AB" w:rsidR="00A121FC" w:rsidRDefault="00A121FC">
      <w:pPr>
        <w:pStyle w:val="FootnoteText"/>
      </w:pPr>
      <w:r>
        <w:rPr>
          <w:rStyle w:val="FootnoteReference"/>
        </w:rPr>
        <w:footnoteRef/>
      </w:r>
      <w:r>
        <w:t xml:space="preserve"> </w:t>
      </w:r>
      <w:r w:rsidRPr="00C36E14">
        <w:t>Came, H. and Griffith, D. 2018, “Tackling racism as a “wicked” public health problem: Enabling allies in anti-racism praxis”, Social science and medicine (1982), vol. 199, pp. 181-188.</w:t>
      </w:r>
    </w:p>
    <w:p w14:paraId="1A205A48" w14:textId="4BF01FA7" w:rsidR="00A121FC" w:rsidRPr="00C36E14" w:rsidRDefault="00A121FC">
      <w:pPr>
        <w:pStyle w:val="FootnoteText"/>
        <w:rPr>
          <w:lang w:val="en-US"/>
        </w:rPr>
      </w:pPr>
      <w:r>
        <w:tab/>
      </w:r>
      <w:r w:rsidRPr="00C36E14">
        <w:t>Deas, K.M. and Mina, R. 2022, “Training Human Service Professionals: Using Intersectionality as a Strategy for Eliminating Anti-Black Racism”, Journal of teaching in social work, vol. 42, no. 2-3, pp. 227-246.</w:t>
      </w:r>
    </w:p>
  </w:footnote>
  <w:footnote w:id="56">
    <w:p w14:paraId="41B899E9" w14:textId="13607085" w:rsidR="00A121FC" w:rsidRPr="00C36E14" w:rsidRDefault="00A121FC">
      <w:pPr>
        <w:pStyle w:val="FootnoteText"/>
        <w:rPr>
          <w:lang w:val="en-US"/>
        </w:rPr>
      </w:pPr>
      <w:r>
        <w:rPr>
          <w:rStyle w:val="FootnoteReference"/>
        </w:rPr>
        <w:footnoteRef/>
      </w:r>
      <w:r>
        <w:t xml:space="preserve"> </w:t>
      </w:r>
      <w:r w:rsidRPr="00C36E14">
        <w:t>Rogeres, D., (n.d) “Diversity Traning: Good for Business but Insufficient for Social Change,” Dismantling Racism, Resource Book</w:t>
      </w:r>
    </w:p>
  </w:footnote>
  <w:footnote w:id="57">
    <w:p w14:paraId="3A6CA925" w14:textId="4A449F9F" w:rsidR="00A121FC" w:rsidRPr="00C36E14" w:rsidRDefault="00A121FC">
      <w:pPr>
        <w:pStyle w:val="FootnoteText"/>
        <w:rPr>
          <w:lang w:val="en-US"/>
        </w:rPr>
      </w:pPr>
      <w:r>
        <w:rPr>
          <w:rStyle w:val="FootnoteReference"/>
        </w:rPr>
        <w:footnoteRef/>
      </w:r>
      <w:r>
        <w:t xml:space="preserve"> </w:t>
      </w:r>
      <w:r w:rsidRPr="00C36E14">
        <w:t xml:space="preserve">Virginia Organizing, 2015, “Dismantling Racism A Workbook for Social Change Groups,” , </w:t>
      </w:r>
      <w:hyperlink r:id="rId18" w:history="1">
        <w:r w:rsidRPr="00C36E14">
          <w:rPr>
            <w:rStyle w:val="Hyperlink"/>
          </w:rPr>
          <w:t>http://www.virginia-organizing.org/wp-content/uploads/2015/11/2015-Dismantling-Racism-Workbook.pdf</w:t>
        </w:r>
      </w:hyperlink>
      <w:r w:rsidRPr="00C36E14">
        <w:t xml:space="preserve"> 119</w:t>
      </w:r>
    </w:p>
  </w:footnote>
  <w:footnote w:id="58">
    <w:p w14:paraId="50992D32" w14:textId="45D0F9E3" w:rsidR="00A121FC" w:rsidRPr="00C36E14" w:rsidRDefault="00A121FC">
      <w:pPr>
        <w:pStyle w:val="FootnoteText"/>
        <w:rPr>
          <w:lang w:val="en-US"/>
        </w:rPr>
      </w:pPr>
      <w:r>
        <w:rPr>
          <w:rStyle w:val="FootnoteReference"/>
        </w:rPr>
        <w:footnoteRef/>
      </w:r>
      <w:r>
        <w:t xml:space="preserve"> </w:t>
      </w:r>
      <w:r w:rsidRPr="00C36E14">
        <w:t xml:space="preserve">Virginia Organizing, 2015, “Dismantling Racism A Workbook for Social Change Groups,” , </w:t>
      </w:r>
      <w:hyperlink r:id="rId19" w:history="1">
        <w:r w:rsidRPr="00A86F66">
          <w:rPr>
            <w:rStyle w:val="Hyperlink"/>
          </w:rPr>
          <w:t>http://www.virginia-organizing.org/wp-content/uploads/2015/11/2015-Dismantling-Racism-Workbook.pdf</w:t>
        </w:r>
      </w:hyperlink>
      <w:r>
        <w:t xml:space="preserve"> </w:t>
      </w:r>
      <w:r w:rsidRPr="00C36E14">
        <w:t>119.</w:t>
      </w:r>
    </w:p>
  </w:footnote>
  <w:footnote w:id="59">
    <w:p w14:paraId="6317E7C3" w14:textId="3AB1D3C1" w:rsidR="00A121FC" w:rsidRPr="002C1C4B" w:rsidRDefault="00A121FC">
      <w:pPr>
        <w:pStyle w:val="FootnoteText"/>
        <w:rPr>
          <w:lang w:val="en-US"/>
        </w:rPr>
      </w:pPr>
      <w:r>
        <w:rPr>
          <w:rStyle w:val="FootnoteReference"/>
        </w:rPr>
        <w:footnoteRef/>
      </w:r>
      <w:r>
        <w:t xml:space="preserve"> </w:t>
      </w:r>
      <w:r w:rsidRPr="002C1C4B">
        <w:t>Foster-Fishman, P.G. and Behrens, T.R., 2007. Systems change reborn: Rethinking our theories, methods, and efforts in human services reform and community-based change. American journal of community psychology, 39(3), pp.191-196</w:t>
      </w:r>
      <w:r>
        <w:t>.</w:t>
      </w:r>
    </w:p>
  </w:footnote>
  <w:footnote w:id="60">
    <w:p w14:paraId="7074D0FC" w14:textId="1DEEC20C" w:rsidR="00A121FC" w:rsidRPr="002C1C4B" w:rsidRDefault="00A121FC">
      <w:pPr>
        <w:pStyle w:val="FootnoteText"/>
        <w:rPr>
          <w:lang w:val="en-US"/>
        </w:rPr>
      </w:pPr>
      <w:r>
        <w:rPr>
          <w:rStyle w:val="FootnoteReference"/>
        </w:rPr>
        <w:footnoteRef/>
      </w:r>
      <w:r>
        <w:t xml:space="preserve"> </w:t>
      </w:r>
      <w:r w:rsidRPr="002C1C4B">
        <w:t>Bourke, J. and Dillon, B., 2018. The diversity and inclusion revolution: Eight powerful truths. Deloitte Review, 22, pp.82-95, at 84.</w:t>
      </w:r>
    </w:p>
  </w:footnote>
  <w:footnote w:id="61">
    <w:p w14:paraId="7B98AD21" w14:textId="21E094ED" w:rsidR="00A121FC" w:rsidRPr="002C1C4B" w:rsidRDefault="00A121FC">
      <w:pPr>
        <w:pStyle w:val="FootnoteText"/>
        <w:rPr>
          <w:lang w:val="en-US"/>
        </w:rPr>
      </w:pPr>
      <w:r>
        <w:rPr>
          <w:rStyle w:val="FootnoteReference"/>
        </w:rPr>
        <w:footnoteRef/>
      </w:r>
      <w:r>
        <w:t xml:space="preserve"> </w:t>
      </w:r>
      <w:r w:rsidRPr="002C1C4B">
        <w:t>Bourke, J. and Dillon, B., 2018. The diversity and inclusion revolution: Eight powerful truths. Deloitte Review, 22, pp.82-95, at 93</w:t>
      </w:r>
      <w:r>
        <w:t>.</w:t>
      </w:r>
    </w:p>
  </w:footnote>
  <w:footnote w:id="62">
    <w:p w14:paraId="7BF08CAF" w14:textId="5BD77C66" w:rsidR="00A121FC" w:rsidRPr="002C1C4B" w:rsidRDefault="00A121FC">
      <w:pPr>
        <w:pStyle w:val="FootnoteText"/>
        <w:rPr>
          <w:lang w:val="en-US"/>
        </w:rPr>
      </w:pPr>
      <w:r>
        <w:rPr>
          <w:rStyle w:val="FootnoteReference"/>
        </w:rPr>
        <w:footnoteRef/>
      </w:r>
      <w:r>
        <w:t xml:space="preserve"> </w:t>
      </w:r>
      <w:r w:rsidRPr="002C1C4B">
        <w:t>“Equity Audit User Guide,” 5.</w:t>
      </w:r>
    </w:p>
  </w:footnote>
  <w:footnote w:id="63">
    <w:p w14:paraId="6746C227" w14:textId="3B5DB99D" w:rsidR="00A121FC" w:rsidRDefault="00A121FC">
      <w:pPr>
        <w:pStyle w:val="FootnoteText"/>
      </w:pPr>
      <w:r>
        <w:rPr>
          <w:rStyle w:val="FootnoteReference"/>
        </w:rPr>
        <w:footnoteRef/>
      </w:r>
      <w:r>
        <w:t xml:space="preserve"> </w:t>
      </w:r>
      <w:r w:rsidRPr="00C250A8">
        <w:t>Hylton, K., 2010. How a turn to critical race theory can contribute to our understanding of ‘race’, racism and anti-racism in sport. International review for the sociology of sport, 45(3), pp.335-354.; Salter, P.S., Adams, G. and Perez, M.J., 2018. Racism in the structure of everyday worlds: A cultural-psychological perspective. Current Directions in Psychological Science, 27(3), pp.150-155.; “</w:t>
      </w:r>
    </w:p>
    <w:p w14:paraId="15A68518" w14:textId="79C71C3F" w:rsidR="00A121FC" w:rsidRPr="00C250A8" w:rsidRDefault="00A121FC" w:rsidP="00C250A8">
      <w:pPr>
        <w:pStyle w:val="FootnoteText"/>
        <w:ind w:firstLine="0"/>
        <w:rPr>
          <w:lang w:val="en-US"/>
        </w:rPr>
      </w:pPr>
      <w:r w:rsidRPr="00C250A8">
        <w:rPr>
          <w:lang w:val="en-US"/>
        </w:rPr>
        <w:t xml:space="preserve">Quakelab., 2020. “The QuakeLab Inclusion Maturity Model,” </w:t>
      </w:r>
      <w:hyperlink r:id="rId20" w:history="1">
        <w:r w:rsidRPr="00C250A8">
          <w:rPr>
            <w:rStyle w:val="Hyperlink"/>
            <w:lang w:val="en-US"/>
          </w:rPr>
          <w:t>https://quakelab.ca/blog/quakelab-inclusion-maturity-model</w:t>
        </w:r>
      </w:hyperlink>
    </w:p>
  </w:footnote>
  <w:footnote w:id="64">
    <w:p w14:paraId="6B7F8FE5" w14:textId="3D01BA71" w:rsidR="00A121FC" w:rsidRPr="002C1C4B" w:rsidRDefault="00A121FC">
      <w:pPr>
        <w:pStyle w:val="FootnoteText"/>
        <w:rPr>
          <w:lang w:val="en-US"/>
        </w:rPr>
      </w:pPr>
      <w:r>
        <w:rPr>
          <w:rStyle w:val="FootnoteReference"/>
        </w:rPr>
        <w:footnoteRef/>
      </w:r>
      <w:r>
        <w:t xml:space="preserve"> </w:t>
      </w:r>
      <w:r w:rsidRPr="00C250A8">
        <w:t>Signal, L., Martin, J., Reid, P., Carroll, C., Howden-Chapman, P., Ormsby, V.K., Richards, R., Robson, B. and Wall, T., 2007. Tackling health inequalities: moving theory to action. International journal for equity in health, 6(1), pp.1-6. At 4.</w:t>
      </w:r>
    </w:p>
  </w:footnote>
  <w:footnote w:id="65">
    <w:p w14:paraId="49F30747" w14:textId="449AB197" w:rsidR="00A121FC" w:rsidRPr="00C250A8" w:rsidRDefault="00A121FC">
      <w:pPr>
        <w:pStyle w:val="FootnoteText"/>
        <w:rPr>
          <w:lang w:val="en-US"/>
        </w:rPr>
      </w:pPr>
      <w:r>
        <w:rPr>
          <w:rStyle w:val="FootnoteReference"/>
        </w:rPr>
        <w:footnoteRef/>
      </w:r>
      <w:r>
        <w:t xml:space="preserve"> </w:t>
      </w:r>
      <w:r w:rsidRPr="00C250A8">
        <w:t>Louise Signal, Jennifer Martin, Papaarangi Reid, Christopher Carroll, Philippa Howden-Chapman, Vera Keefe Ormsby, Ruth Richards, Bridget Robson, and Teresa Wall, “Tackling health inequalities: moving theory to action,” International Journal for Equity in Health 6, no. 12 (2007): 4.</w:t>
      </w:r>
    </w:p>
  </w:footnote>
  <w:footnote w:id="66">
    <w:p w14:paraId="3DC34198" w14:textId="59C182D7" w:rsidR="00A121FC" w:rsidRPr="00C250A8" w:rsidRDefault="00A121FC">
      <w:pPr>
        <w:pStyle w:val="FootnoteText"/>
        <w:rPr>
          <w:lang w:val="en-US"/>
        </w:rPr>
      </w:pPr>
      <w:r>
        <w:rPr>
          <w:rStyle w:val="FootnoteReference"/>
        </w:rPr>
        <w:footnoteRef/>
      </w:r>
      <w:r>
        <w:t xml:space="preserve"> </w:t>
      </w:r>
      <w:r w:rsidRPr="00C250A8">
        <w:t xml:space="preserve">Just Lead Washington, 2018., “Washington Race Equity and Justice Initiative Organisational Assessment,” 2018 </w:t>
      </w:r>
      <w:hyperlink r:id="rId21" w:history="1">
        <w:r w:rsidRPr="00C250A8">
          <w:rPr>
            <w:rStyle w:val="Hyperlink"/>
          </w:rPr>
          <w:t>https://justleadwa.org/learn/rejitoolkit/</w:t>
        </w:r>
      </w:hyperlink>
    </w:p>
  </w:footnote>
  <w:footnote w:id="67">
    <w:p w14:paraId="2410E215" w14:textId="24E2DBCF" w:rsidR="00A121FC" w:rsidRPr="00C250A8" w:rsidRDefault="00A121FC">
      <w:pPr>
        <w:pStyle w:val="FootnoteText"/>
        <w:rPr>
          <w:lang w:val="en-US"/>
        </w:rPr>
      </w:pPr>
      <w:r>
        <w:rPr>
          <w:rStyle w:val="FootnoteReference"/>
        </w:rPr>
        <w:footnoteRef/>
      </w:r>
      <w:r>
        <w:t xml:space="preserve"> </w:t>
      </w:r>
      <w:r w:rsidRPr="00C250A8">
        <w:t>Came, H., O’Sullivan, D. and McCreanor, T., 2020. Introducing critical Tiriti policy analysis through a retrospective review of the New Zealand Primary Health Care Strategy. Ethnicities, 20(3), pp.434-456.</w:t>
      </w:r>
    </w:p>
  </w:footnote>
  <w:footnote w:id="68">
    <w:p w14:paraId="2034E715" w14:textId="5A075FC7" w:rsidR="00A121FC" w:rsidRPr="00C250A8" w:rsidRDefault="00A121FC">
      <w:pPr>
        <w:pStyle w:val="FootnoteText"/>
        <w:rPr>
          <w:lang w:val="en-US"/>
        </w:rPr>
      </w:pPr>
      <w:r>
        <w:rPr>
          <w:rStyle w:val="FootnoteReference"/>
        </w:rPr>
        <w:footnoteRef/>
      </w:r>
      <w:r>
        <w:t xml:space="preserve"> </w:t>
      </w:r>
      <w:r w:rsidRPr="00A96C4F">
        <w:t>Jagadish, H.V., Stoyanovich, J. and Howe, B., 2021. COVID-19 brings data equity challenges to the fore. Digital Government: Research and Practice, 2(2), pp.1-7.</w:t>
      </w:r>
    </w:p>
  </w:footnote>
  <w:footnote w:id="69">
    <w:p w14:paraId="43B39F40" w14:textId="4EDBABFC" w:rsidR="00A121FC" w:rsidRPr="00A96C4F" w:rsidRDefault="00A121FC">
      <w:pPr>
        <w:pStyle w:val="FootnoteText"/>
        <w:rPr>
          <w:lang w:val="en-US"/>
        </w:rPr>
      </w:pPr>
      <w:r>
        <w:rPr>
          <w:rStyle w:val="FootnoteReference"/>
        </w:rPr>
        <w:footnoteRef/>
      </w:r>
      <w:r>
        <w:t xml:space="preserve"> </w:t>
      </w:r>
      <w:r w:rsidRPr="00A96C4F">
        <w:t>Gazmuri, S., Petty, S. and Porter, E., 2010. The equity-driven systems change (esc) model: A toolkit for improving institutional practice and student outcomes.</w:t>
      </w:r>
    </w:p>
  </w:footnote>
  <w:footnote w:id="70">
    <w:p w14:paraId="0210EFCA" w14:textId="22533409" w:rsidR="00A121FC" w:rsidRPr="00A96C4F" w:rsidRDefault="00A121FC">
      <w:pPr>
        <w:pStyle w:val="FootnoteText"/>
        <w:rPr>
          <w:lang w:val="en-US"/>
        </w:rPr>
      </w:pPr>
      <w:r>
        <w:rPr>
          <w:rStyle w:val="FootnoteReference"/>
        </w:rPr>
        <w:footnoteRef/>
      </w:r>
      <w:r>
        <w:t xml:space="preserve"> </w:t>
      </w:r>
      <w:r w:rsidRPr="00A96C4F">
        <w:t xml:space="preserve">Young, D.M., 2021. RE: Methods and Leading Practices for Advancing Equity and Support for Underserved Communities through Government [OMB-2021-0005-0001] Evident Change., n.d., “The Data for Equity Model,” </w:t>
      </w:r>
      <w:hyperlink r:id="rId22" w:history="1">
        <w:r w:rsidRPr="00A96C4F">
          <w:rPr>
            <w:rStyle w:val="Hyperlink"/>
          </w:rPr>
          <w:t>https://www.evidentchange.org/what-we-do/data-equity-model</w:t>
        </w:r>
      </w:hyperlink>
      <w:r>
        <w:t xml:space="preserve"> </w:t>
      </w:r>
    </w:p>
  </w:footnote>
  <w:footnote w:id="71">
    <w:p w14:paraId="341F1820" w14:textId="40769A13" w:rsidR="00A121FC" w:rsidRPr="00A96C4F" w:rsidRDefault="00A121FC">
      <w:pPr>
        <w:pStyle w:val="FootnoteText"/>
        <w:rPr>
          <w:lang w:val="en-US"/>
        </w:rPr>
      </w:pPr>
      <w:r>
        <w:rPr>
          <w:rStyle w:val="FootnoteReference"/>
        </w:rPr>
        <w:footnoteRef/>
      </w:r>
      <w:r>
        <w:t xml:space="preserve"> </w:t>
      </w:r>
      <w:r w:rsidRPr="00A96C4F">
        <w:t xml:space="preserve">Evident Change., n.d., “The Data for Equity Model,” </w:t>
      </w:r>
      <w:hyperlink r:id="rId23" w:history="1">
        <w:r w:rsidRPr="00A96C4F">
          <w:rPr>
            <w:rStyle w:val="Hyperlink"/>
          </w:rPr>
          <w:t>https://www.evidentchange.org/what-we-do/data-equity-model</w:t>
        </w:r>
      </w:hyperlink>
    </w:p>
  </w:footnote>
  <w:footnote w:id="72">
    <w:p w14:paraId="79D1947C" w14:textId="4C7CFBA7" w:rsidR="00A121FC" w:rsidRPr="00A96C4F" w:rsidRDefault="00A121FC">
      <w:pPr>
        <w:pStyle w:val="FootnoteText"/>
        <w:rPr>
          <w:lang w:val="en-US"/>
        </w:rPr>
      </w:pPr>
      <w:r>
        <w:rPr>
          <w:rStyle w:val="FootnoteReference"/>
        </w:rPr>
        <w:footnoteRef/>
      </w:r>
      <w:r>
        <w:t xml:space="preserve"> </w:t>
      </w:r>
      <w:r w:rsidRPr="00A96C4F">
        <w:t>Ponce, N.A., Bautista, R., Sondik, E.J., Rice, D., Bau, I., Ro, M.J. and Tseng, W., 2015. Championing partnerships for data equity. Journal of health care for the poor and underserved, 26(2), pp.6-15</w:t>
      </w:r>
    </w:p>
  </w:footnote>
  <w:footnote w:id="73">
    <w:p w14:paraId="736A6397" w14:textId="3F250558" w:rsidR="00A121FC" w:rsidRPr="00A96C4F" w:rsidRDefault="00A121FC">
      <w:pPr>
        <w:pStyle w:val="FootnoteText"/>
        <w:rPr>
          <w:lang w:val="en-US"/>
        </w:rPr>
      </w:pPr>
      <w:r>
        <w:rPr>
          <w:rStyle w:val="FootnoteReference"/>
        </w:rPr>
        <w:footnoteRef/>
      </w:r>
      <w:r>
        <w:t xml:space="preserve"> </w:t>
      </w:r>
      <w:r w:rsidRPr="00A96C4F">
        <w:t>Ponce, N.A., Bautista, R., Sondik, E.J., Rice, D., Bau, I., Ro, M.J. and Tseng, W., 2015. Championing partnerships for data equity. Journal of health care for the poor and underserved, 26(2), pp.6-15</w:t>
      </w:r>
    </w:p>
  </w:footnote>
  <w:footnote w:id="74">
    <w:p w14:paraId="33EBB25F" w14:textId="01859272" w:rsidR="00A121FC" w:rsidRPr="0096617C" w:rsidRDefault="00A121FC">
      <w:pPr>
        <w:pStyle w:val="FootnoteText"/>
        <w:rPr>
          <w:lang w:val="en-US"/>
        </w:rPr>
      </w:pPr>
      <w:r>
        <w:rPr>
          <w:rStyle w:val="FootnoteReference"/>
        </w:rPr>
        <w:footnoteRef/>
      </w:r>
      <w:r>
        <w:t xml:space="preserve"> </w:t>
      </w:r>
      <w:r w:rsidRPr="0096617C">
        <w:t>Gazmuri, S., Petty, S. and Porter, E., 2010. The equity-driven systems change (esc) model: A toolkit for improving institutional practice and student outcomes.</w:t>
      </w:r>
    </w:p>
  </w:footnote>
  <w:footnote w:id="75">
    <w:p w14:paraId="1F78D0EB" w14:textId="3ABA4D1B" w:rsidR="00A121FC" w:rsidRPr="0096617C" w:rsidRDefault="00A121FC">
      <w:pPr>
        <w:pStyle w:val="FootnoteText"/>
        <w:rPr>
          <w:lang w:val="en-US"/>
        </w:rPr>
      </w:pPr>
      <w:r>
        <w:rPr>
          <w:rStyle w:val="FootnoteReference"/>
        </w:rPr>
        <w:footnoteRef/>
      </w:r>
      <w:r>
        <w:t xml:space="preserve"> </w:t>
      </w:r>
      <w:r w:rsidRPr="0096617C">
        <w:t>Quakelab., 2020. “The QuakeLab Inclusion Maturity Model,” https://quakelab.ca/blog/quakelab-inclusion-maturity-model</w:t>
      </w:r>
      <w:r>
        <w:t>.</w:t>
      </w:r>
    </w:p>
  </w:footnote>
  <w:footnote w:id="76">
    <w:p w14:paraId="136F5F2A" w14:textId="1E358808" w:rsidR="00A121FC" w:rsidRPr="0096617C" w:rsidRDefault="00A121FC">
      <w:pPr>
        <w:pStyle w:val="FootnoteText"/>
        <w:rPr>
          <w:lang w:val="en-US"/>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A121FC" w:rsidRDefault="00A121FC" w:rsidP="0053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A121FC" w:rsidRDefault="00A121FC" w:rsidP="00900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A121FC" w:rsidRDefault="00A121FC" w:rsidP="00533B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A121FC" w:rsidRDefault="00A121FC" w:rsidP="00900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A121FC" w:rsidRDefault="00A121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5F51FB"/>
    <w:multiLevelType w:val="hybridMultilevel"/>
    <w:tmpl w:val="AB52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6"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1" w15:restartNumberingAfterBreak="0">
    <w:nsid w:val="23385800"/>
    <w:multiLevelType w:val="hybridMultilevel"/>
    <w:tmpl w:val="7FBE0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4"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5"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1"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3"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4"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5"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6"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7"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8"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0"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2"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3"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1"/>
  </w:num>
  <w:num w:numId="2">
    <w:abstractNumId w:val="24"/>
  </w:num>
  <w:num w:numId="3">
    <w:abstractNumId w:val="17"/>
  </w:num>
  <w:num w:numId="4">
    <w:abstractNumId w:val="18"/>
  </w:num>
  <w:num w:numId="5">
    <w:abstractNumId w:val="0"/>
  </w:num>
  <w:num w:numId="6">
    <w:abstractNumId w:val="33"/>
  </w:num>
  <w:num w:numId="7">
    <w:abstractNumId w:val="14"/>
  </w:num>
  <w:num w:numId="8">
    <w:abstractNumId w:val="2"/>
  </w:num>
  <w:num w:numId="9">
    <w:abstractNumId w:val="30"/>
  </w:num>
  <w:num w:numId="10">
    <w:abstractNumId w:val="1"/>
  </w:num>
  <w:num w:numId="11">
    <w:abstractNumId w:val="28"/>
  </w:num>
  <w:num w:numId="12">
    <w:abstractNumId w:val="4"/>
  </w:num>
  <w:num w:numId="13">
    <w:abstractNumId w:val="8"/>
  </w:num>
  <w:num w:numId="14">
    <w:abstractNumId w:val="6"/>
  </w:num>
  <w:num w:numId="15">
    <w:abstractNumId w:val="9"/>
  </w:num>
  <w:num w:numId="16">
    <w:abstractNumId w:val="21"/>
  </w:num>
  <w:num w:numId="17">
    <w:abstractNumId w:val="12"/>
  </w:num>
  <w:num w:numId="18">
    <w:abstractNumId w:val="26"/>
  </w:num>
  <w:num w:numId="19">
    <w:abstractNumId w:val="13"/>
  </w:num>
  <w:num w:numId="20">
    <w:abstractNumId w:val="20"/>
  </w:num>
  <w:num w:numId="21">
    <w:abstractNumId w:val="7"/>
  </w:num>
  <w:num w:numId="22">
    <w:abstractNumId w:val="5"/>
  </w:num>
  <w:num w:numId="23">
    <w:abstractNumId w:val="23"/>
  </w:num>
  <w:num w:numId="24">
    <w:abstractNumId w:val="22"/>
  </w:num>
  <w:num w:numId="25">
    <w:abstractNumId w:val="32"/>
  </w:num>
  <w:num w:numId="26">
    <w:abstractNumId w:val="15"/>
  </w:num>
  <w:num w:numId="27">
    <w:abstractNumId w:val="27"/>
  </w:num>
  <w:num w:numId="28">
    <w:abstractNumId w:val="25"/>
  </w:num>
  <w:num w:numId="29">
    <w:abstractNumId w:val="19"/>
  </w:num>
  <w:num w:numId="30">
    <w:abstractNumId w:val="10"/>
  </w:num>
  <w:num w:numId="31">
    <w:abstractNumId w:val="29"/>
  </w:num>
  <w:num w:numId="32">
    <w:abstractNumId w:val="16"/>
  </w:num>
  <w:num w:numId="33">
    <w:abstractNumId w:val="31"/>
  </w:num>
  <w:num w:numId="34">
    <w:abstractNumId w:val="3"/>
  </w:num>
  <w:num w:numId="35">
    <w:abstractNumId w:val="1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31"/>
  </w:num>
  <w:num w:numId="44">
    <w:abstractNumId w:val="31"/>
  </w:num>
  <w:num w:numId="45">
    <w:abstractNumId w:val="31"/>
  </w:num>
  <w:num w:numId="46">
    <w:abstractNumId w:val="31"/>
  </w:num>
  <w:num w:numId="47">
    <w:abstractNumId w:val="31"/>
  </w:num>
  <w:num w:numId="48">
    <w:abstractNumId w:val="31"/>
  </w:num>
  <w:num w:numId="4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559F"/>
    <w:rsid w:val="00025A6F"/>
    <w:rsid w:val="0002618D"/>
    <w:rsid w:val="00030B26"/>
    <w:rsid w:val="00030E84"/>
    <w:rsid w:val="00032C0A"/>
    <w:rsid w:val="00035257"/>
    <w:rsid w:val="00035D68"/>
    <w:rsid w:val="000369EF"/>
    <w:rsid w:val="00054B44"/>
    <w:rsid w:val="0006228D"/>
    <w:rsid w:val="00072BD6"/>
    <w:rsid w:val="00075B78"/>
    <w:rsid w:val="000763E9"/>
    <w:rsid w:val="00082CD6"/>
    <w:rsid w:val="0008437D"/>
    <w:rsid w:val="00085AFE"/>
    <w:rsid w:val="00094800"/>
    <w:rsid w:val="000A3D1A"/>
    <w:rsid w:val="000A41ED"/>
    <w:rsid w:val="000B0730"/>
    <w:rsid w:val="000D19F4"/>
    <w:rsid w:val="000D1BF9"/>
    <w:rsid w:val="000D58DD"/>
    <w:rsid w:val="000F0021"/>
    <w:rsid w:val="000F2AE2"/>
    <w:rsid w:val="000F2BFF"/>
    <w:rsid w:val="00102063"/>
    <w:rsid w:val="0010541C"/>
    <w:rsid w:val="00106F93"/>
    <w:rsid w:val="00111D50"/>
    <w:rsid w:val="00113B8E"/>
    <w:rsid w:val="0012053C"/>
    <w:rsid w:val="00122270"/>
    <w:rsid w:val="00122363"/>
    <w:rsid w:val="001342C7"/>
    <w:rsid w:val="0013585C"/>
    <w:rsid w:val="00142261"/>
    <w:rsid w:val="00142954"/>
    <w:rsid w:val="001445D2"/>
    <w:rsid w:val="001460E0"/>
    <w:rsid w:val="001472F0"/>
    <w:rsid w:val="00147F71"/>
    <w:rsid w:val="00150A6E"/>
    <w:rsid w:val="0016304B"/>
    <w:rsid w:val="0016468A"/>
    <w:rsid w:val="0018662D"/>
    <w:rsid w:val="00186B5B"/>
    <w:rsid w:val="00197427"/>
    <w:rsid w:val="001A06F2"/>
    <w:rsid w:val="001A21B4"/>
    <w:rsid w:val="001A593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4EB4"/>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1C4B"/>
    <w:rsid w:val="002C2219"/>
    <w:rsid w:val="002C2552"/>
    <w:rsid w:val="002C380A"/>
    <w:rsid w:val="002D0DF2"/>
    <w:rsid w:val="002D23BD"/>
    <w:rsid w:val="002E0B47"/>
    <w:rsid w:val="002F4685"/>
    <w:rsid w:val="002F7213"/>
    <w:rsid w:val="003023AC"/>
    <w:rsid w:val="0030382F"/>
    <w:rsid w:val="0030408D"/>
    <w:rsid w:val="00304666"/>
    <w:rsid w:val="00305096"/>
    <w:rsid w:val="003060E4"/>
    <w:rsid w:val="003160E7"/>
    <w:rsid w:val="0031739E"/>
    <w:rsid w:val="003309CA"/>
    <w:rsid w:val="003325AB"/>
    <w:rsid w:val="003332D1"/>
    <w:rsid w:val="0033412B"/>
    <w:rsid w:val="00335295"/>
    <w:rsid w:val="00341161"/>
    <w:rsid w:val="00343365"/>
    <w:rsid w:val="003445F4"/>
    <w:rsid w:val="00353501"/>
    <w:rsid w:val="00353734"/>
    <w:rsid w:val="003606F8"/>
    <w:rsid w:val="00360A8E"/>
    <w:rsid w:val="003648EF"/>
    <w:rsid w:val="003673E6"/>
    <w:rsid w:val="00377264"/>
    <w:rsid w:val="003779D2"/>
    <w:rsid w:val="0038148C"/>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21E3"/>
    <w:rsid w:val="00413021"/>
    <w:rsid w:val="00421105"/>
    <w:rsid w:val="004301C6"/>
    <w:rsid w:val="0043478F"/>
    <w:rsid w:val="0043602B"/>
    <w:rsid w:val="00440BE0"/>
    <w:rsid w:val="00442C1C"/>
    <w:rsid w:val="00444D0E"/>
    <w:rsid w:val="0044584B"/>
    <w:rsid w:val="00447CB7"/>
    <w:rsid w:val="00455CC9"/>
    <w:rsid w:val="00460826"/>
    <w:rsid w:val="00460EA7"/>
    <w:rsid w:val="0046195B"/>
    <w:rsid w:val="0046362D"/>
    <w:rsid w:val="0046596D"/>
    <w:rsid w:val="00487C04"/>
    <w:rsid w:val="004907E1"/>
    <w:rsid w:val="00490F76"/>
    <w:rsid w:val="004A035B"/>
    <w:rsid w:val="004A2108"/>
    <w:rsid w:val="004A38D7"/>
    <w:rsid w:val="004A778C"/>
    <w:rsid w:val="004B48C7"/>
    <w:rsid w:val="004B6DAE"/>
    <w:rsid w:val="004C2E6A"/>
    <w:rsid w:val="004C64B8"/>
    <w:rsid w:val="004D0223"/>
    <w:rsid w:val="004D2A2D"/>
    <w:rsid w:val="004D479F"/>
    <w:rsid w:val="004D6689"/>
    <w:rsid w:val="004E1D1D"/>
    <w:rsid w:val="004E7AC8"/>
    <w:rsid w:val="004F0C94"/>
    <w:rsid w:val="005019AE"/>
    <w:rsid w:val="00503749"/>
    <w:rsid w:val="00504CF4"/>
    <w:rsid w:val="0050635B"/>
    <w:rsid w:val="005151C2"/>
    <w:rsid w:val="00517AEE"/>
    <w:rsid w:val="0053199F"/>
    <w:rsid w:val="00531E12"/>
    <w:rsid w:val="00533B90"/>
    <w:rsid w:val="005410F8"/>
    <w:rsid w:val="005448EC"/>
    <w:rsid w:val="00545963"/>
    <w:rsid w:val="00550256"/>
    <w:rsid w:val="0055132D"/>
    <w:rsid w:val="00553165"/>
    <w:rsid w:val="0055329F"/>
    <w:rsid w:val="00553958"/>
    <w:rsid w:val="00556BB7"/>
    <w:rsid w:val="0055763D"/>
    <w:rsid w:val="00561516"/>
    <w:rsid w:val="005618D9"/>
    <w:rsid w:val="005621F2"/>
    <w:rsid w:val="005665FD"/>
    <w:rsid w:val="00567B32"/>
    <w:rsid w:val="00567B58"/>
    <w:rsid w:val="00571223"/>
    <w:rsid w:val="005763E0"/>
    <w:rsid w:val="00581136"/>
    <w:rsid w:val="00581EB8"/>
    <w:rsid w:val="005A27CA"/>
    <w:rsid w:val="005A43BD"/>
    <w:rsid w:val="005A79E5"/>
    <w:rsid w:val="005D034C"/>
    <w:rsid w:val="005D7A82"/>
    <w:rsid w:val="005E226E"/>
    <w:rsid w:val="005E2636"/>
    <w:rsid w:val="005F77FC"/>
    <w:rsid w:val="006015D7"/>
    <w:rsid w:val="00601B21"/>
    <w:rsid w:val="00603DF6"/>
    <w:rsid w:val="006041F0"/>
    <w:rsid w:val="00605C6D"/>
    <w:rsid w:val="006120CA"/>
    <w:rsid w:val="006220E7"/>
    <w:rsid w:val="00624174"/>
    <w:rsid w:val="00626CF8"/>
    <w:rsid w:val="006314AF"/>
    <w:rsid w:val="00634ED8"/>
    <w:rsid w:val="00636D7D"/>
    <w:rsid w:val="00637408"/>
    <w:rsid w:val="00640DBA"/>
    <w:rsid w:val="00642868"/>
    <w:rsid w:val="0064755D"/>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170E"/>
    <w:rsid w:val="006C5210"/>
    <w:rsid w:val="006C78EB"/>
    <w:rsid w:val="006D1660"/>
    <w:rsid w:val="006D63E5"/>
    <w:rsid w:val="006E1753"/>
    <w:rsid w:val="006E3911"/>
    <w:rsid w:val="006F1B67"/>
    <w:rsid w:val="006F2C45"/>
    <w:rsid w:val="006F4D9C"/>
    <w:rsid w:val="0070091D"/>
    <w:rsid w:val="00702854"/>
    <w:rsid w:val="0071741C"/>
    <w:rsid w:val="007301FB"/>
    <w:rsid w:val="00742B90"/>
    <w:rsid w:val="0074434D"/>
    <w:rsid w:val="007570C4"/>
    <w:rsid w:val="007605B8"/>
    <w:rsid w:val="00771B1E"/>
    <w:rsid w:val="00773C95"/>
    <w:rsid w:val="0078171E"/>
    <w:rsid w:val="0078658E"/>
    <w:rsid w:val="007920E2"/>
    <w:rsid w:val="0079566E"/>
    <w:rsid w:val="00795B34"/>
    <w:rsid w:val="00796DEB"/>
    <w:rsid w:val="007A067F"/>
    <w:rsid w:val="007A3AE4"/>
    <w:rsid w:val="007B1770"/>
    <w:rsid w:val="007B4D3E"/>
    <w:rsid w:val="007B7C70"/>
    <w:rsid w:val="007B7DEB"/>
    <w:rsid w:val="007C0449"/>
    <w:rsid w:val="007D2151"/>
    <w:rsid w:val="007D3B90"/>
    <w:rsid w:val="007D42CC"/>
    <w:rsid w:val="007D5DE4"/>
    <w:rsid w:val="007D7C3A"/>
    <w:rsid w:val="007E0777"/>
    <w:rsid w:val="007E0DDE"/>
    <w:rsid w:val="007E1341"/>
    <w:rsid w:val="007E1B41"/>
    <w:rsid w:val="007E1EC4"/>
    <w:rsid w:val="007E30B9"/>
    <w:rsid w:val="007E74F1"/>
    <w:rsid w:val="007F0F0C"/>
    <w:rsid w:val="007F1288"/>
    <w:rsid w:val="00800A8A"/>
    <w:rsid w:val="0080155C"/>
    <w:rsid w:val="008052E1"/>
    <w:rsid w:val="008101D0"/>
    <w:rsid w:val="00822F2C"/>
    <w:rsid w:val="00823DEE"/>
    <w:rsid w:val="00827F2B"/>
    <w:rsid w:val="008305E8"/>
    <w:rsid w:val="00834DE7"/>
    <w:rsid w:val="00836165"/>
    <w:rsid w:val="00841590"/>
    <w:rsid w:val="0084640C"/>
    <w:rsid w:val="00856088"/>
    <w:rsid w:val="00856EF7"/>
    <w:rsid w:val="00860826"/>
    <w:rsid w:val="00860E21"/>
    <w:rsid w:val="00863117"/>
    <w:rsid w:val="0086388B"/>
    <w:rsid w:val="008642E5"/>
    <w:rsid w:val="00864488"/>
    <w:rsid w:val="00870A36"/>
    <w:rsid w:val="00872D93"/>
    <w:rsid w:val="00880470"/>
    <w:rsid w:val="00880D94"/>
    <w:rsid w:val="00886F64"/>
    <w:rsid w:val="008924DE"/>
    <w:rsid w:val="008A3755"/>
    <w:rsid w:val="008A6D86"/>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55B98"/>
    <w:rsid w:val="00964AB6"/>
    <w:rsid w:val="0096617C"/>
    <w:rsid w:val="00966F9A"/>
    <w:rsid w:val="00977B8A"/>
    <w:rsid w:val="00982971"/>
    <w:rsid w:val="009845AD"/>
    <w:rsid w:val="00984835"/>
    <w:rsid w:val="0098639B"/>
    <w:rsid w:val="00991955"/>
    <w:rsid w:val="009933EF"/>
    <w:rsid w:val="00995BA0"/>
    <w:rsid w:val="009A418B"/>
    <w:rsid w:val="009A426F"/>
    <w:rsid w:val="009A42D5"/>
    <w:rsid w:val="009A4473"/>
    <w:rsid w:val="009B01CB"/>
    <w:rsid w:val="009B05C9"/>
    <w:rsid w:val="009B286C"/>
    <w:rsid w:val="009C151C"/>
    <w:rsid w:val="009C440A"/>
    <w:rsid w:val="009D5125"/>
    <w:rsid w:val="009D60B8"/>
    <w:rsid w:val="009D7D4B"/>
    <w:rsid w:val="009E11EC"/>
    <w:rsid w:val="009E36ED"/>
    <w:rsid w:val="009E3C8C"/>
    <w:rsid w:val="009E6B77"/>
    <w:rsid w:val="009F460A"/>
    <w:rsid w:val="00A043FB"/>
    <w:rsid w:val="00A06BE4"/>
    <w:rsid w:val="00A0729C"/>
    <w:rsid w:val="00A07779"/>
    <w:rsid w:val="00A1166A"/>
    <w:rsid w:val="00A121FC"/>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65CFB"/>
    <w:rsid w:val="00A7415D"/>
    <w:rsid w:val="00A762B7"/>
    <w:rsid w:val="00A80363"/>
    <w:rsid w:val="00A80939"/>
    <w:rsid w:val="00A83381"/>
    <w:rsid w:val="00A83E9D"/>
    <w:rsid w:val="00A87C05"/>
    <w:rsid w:val="00A9169D"/>
    <w:rsid w:val="00A95E51"/>
    <w:rsid w:val="00A96C4F"/>
    <w:rsid w:val="00AA240C"/>
    <w:rsid w:val="00AB01DD"/>
    <w:rsid w:val="00AC101C"/>
    <w:rsid w:val="00AC5304"/>
    <w:rsid w:val="00AD4CF1"/>
    <w:rsid w:val="00AD5988"/>
    <w:rsid w:val="00AD6293"/>
    <w:rsid w:val="00AF0BFB"/>
    <w:rsid w:val="00AF1BA8"/>
    <w:rsid w:val="00AF7800"/>
    <w:rsid w:val="00B00CF5"/>
    <w:rsid w:val="00B072E0"/>
    <w:rsid w:val="00B1007E"/>
    <w:rsid w:val="00B17C31"/>
    <w:rsid w:val="00B253F6"/>
    <w:rsid w:val="00B26675"/>
    <w:rsid w:val="00B26F0F"/>
    <w:rsid w:val="00B305DB"/>
    <w:rsid w:val="00B332F8"/>
    <w:rsid w:val="00B34396"/>
    <w:rsid w:val="00B3492B"/>
    <w:rsid w:val="00B4646F"/>
    <w:rsid w:val="00B55C7D"/>
    <w:rsid w:val="00B63038"/>
    <w:rsid w:val="00B64BD8"/>
    <w:rsid w:val="00B701D1"/>
    <w:rsid w:val="00B70D88"/>
    <w:rsid w:val="00B73AF2"/>
    <w:rsid w:val="00B7551A"/>
    <w:rsid w:val="00B773F1"/>
    <w:rsid w:val="00B86AB1"/>
    <w:rsid w:val="00B97F07"/>
    <w:rsid w:val="00BA7EBA"/>
    <w:rsid w:val="00BB2A06"/>
    <w:rsid w:val="00BB2CBB"/>
    <w:rsid w:val="00BB4198"/>
    <w:rsid w:val="00BC03EE"/>
    <w:rsid w:val="00BC59F1"/>
    <w:rsid w:val="00BF3DE1"/>
    <w:rsid w:val="00BF4062"/>
    <w:rsid w:val="00BF4843"/>
    <w:rsid w:val="00BF5205"/>
    <w:rsid w:val="00C05132"/>
    <w:rsid w:val="00C12508"/>
    <w:rsid w:val="00C12949"/>
    <w:rsid w:val="00C23728"/>
    <w:rsid w:val="00C250A8"/>
    <w:rsid w:val="00C3026C"/>
    <w:rsid w:val="00C313A9"/>
    <w:rsid w:val="00C36E14"/>
    <w:rsid w:val="00C379F3"/>
    <w:rsid w:val="00C441CF"/>
    <w:rsid w:val="00C45AA2"/>
    <w:rsid w:val="00C4792C"/>
    <w:rsid w:val="00C55BEF"/>
    <w:rsid w:val="00C601AF"/>
    <w:rsid w:val="00C61A63"/>
    <w:rsid w:val="00C627C8"/>
    <w:rsid w:val="00C66296"/>
    <w:rsid w:val="00C708F5"/>
    <w:rsid w:val="00C7394D"/>
    <w:rsid w:val="00C77282"/>
    <w:rsid w:val="00C84DE5"/>
    <w:rsid w:val="00C86248"/>
    <w:rsid w:val="00C90B31"/>
    <w:rsid w:val="00CA0D6F"/>
    <w:rsid w:val="00CA4803"/>
    <w:rsid w:val="00CA4C33"/>
    <w:rsid w:val="00CA6F4A"/>
    <w:rsid w:val="00CB6427"/>
    <w:rsid w:val="00CC0FBE"/>
    <w:rsid w:val="00CD2119"/>
    <w:rsid w:val="00CD237A"/>
    <w:rsid w:val="00CD36AC"/>
    <w:rsid w:val="00CD48CF"/>
    <w:rsid w:val="00CD63BD"/>
    <w:rsid w:val="00CE13A3"/>
    <w:rsid w:val="00CE36BC"/>
    <w:rsid w:val="00CF1747"/>
    <w:rsid w:val="00CF60ED"/>
    <w:rsid w:val="00D05D74"/>
    <w:rsid w:val="00D15D86"/>
    <w:rsid w:val="00D20C59"/>
    <w:rsid w:val="00D23323"/>
    <w:rsid w:val="00D2392A"/>
    <w:rsid w:val="00D25FFE"/>
    <w:rsid w:val="00D30BBE"/>
    <w:rsid w:val="00D35609"/>
    <w:rsid w:val="00D37D80"/>
    <w:rsid w:val="00D4476F"/>
    <w:rsid w:val="00D50573"/>
    <w:rsid w:val="00D54D50"/>
    <w:rsid w:val="00D560B4"/>
    <w:rsid w:val="00D621B0"/>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0DBE"/>
    <w:rsid w:val="00DB39CF"/>
    <w:rsid w:val="00DB7256"/>
    <w:rsid w:val="00DC0401"/>
    <w:rsid w:val="00DC20BD"/>
    <w:rsid w:val="00DD0BCD"/>
    <w:rsid w:val="00DD447A"/>
    <w:rsid w:val="00DE3B20"/>
    <w:rsid w:val="00DE4B2E"/>
    <w:rsid w:val="00DE6C94"/>
    <w:rsid w:val="00DE6FD7"/>
    <w:rsid w:val="00E0717C"/>
    <w:rsid w:val="00E23271"/>
    <w:rsid w:val="00E24F80"/>
    <w:rsid w:val="00E259F3"/>
    <w:rsid w:val="00E30985"/>
    <w:rsid w:val="00E33238"/>
    <w:rsid w:val="00E33E88"/>
    <w:rsid w:val="00E376B7"/>
    <w:rsid w:val="00E42B0F"/>
    <w:rsid w:val="00E42F5D"/>
    <w:rsid w:val="00E4486C"/>
    <w:rsid w:val="00E4562A"/>
    <w:rsid w:val="00E460B6"/>
    <w:rsid w:val="00E511D5"/>
    <w:rsid w:val="00E53A9F"/>
    <w:rsid w:val="00E60249"/>
    <w:rsid w:val="00E65269"/>
    <w:rsid w:val="00E76D66"/>
    <w:rsid w:val="00EA796A"/>
    <w:rsid w:val="00EB1856"/>
    <w:rsid w:val="00EC50CE"/>
    <w:rsid w:val="00EC5B34"/>
    <w:rsid w:val="00EC7219"/>
    <w:rsid w:val="00EC790B"/>
    <w:rsid w:val="00ED021E"/>
    <w:rsid w:val="00ED323C"/>
    <w:rsid w:val="00ED7A85"/>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65EC"/>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styleId="UnresolvedMention">
    <w:name w:val="Unresolved Mention"/>
    <w:basedOn w:val="DefaultParagraphFont"/>
    <w:uiPriority w:val="99"/>
    <w:semiHidden/>
    <w:unhideWhenUsed/>
    <w:rsid w:val="00E33E88"/>
    <w:rPr>
      <w:color w:val="605E5C"/>
      <w:shd w:val="clear" w:color="auto" w:fill="E1DFDD"/>
    </w:rPr>
  </w:style>
  <w:style w:type="character" w:styleId="FollowedHyperlink">
    <w:name w:val="FollowedHyperlink"/>
    <w:basedOn w:val="DefaultParagraphFont"/>
    <w:uiPriority w:val="99"/>
    <w:semiHidden/>
    <w:unhideWhenUsed/>
    <w:rsid w:val="00E33E88"/>
    <w:rPr>
      <w:color w:val="800080" w:themeColor="followedHyperlink"/>
      <w:u w:val="single"/>
    </w:rPr>
  </w:style>
  <w:style w:type="paragraph" w:styleId="ListParagraph">
    <w:name w:val="List Paragraph"/>
    <w:basedOn w:val="Normal"/>
    <w:uiPriority w:val="1"/>
    <w:qFormat/>
    <w:rsid w:val="006C5210"/>
    <w:pPr>
      <w:ind w:left="720"/>
      <w:contextualSpacing/>
    </w:pPr>
  </w:style>
  <w:style w:type="character" w:styleId="CommentReference">
    <w:name w:val="annotation reference"/>
    <w:basedOn w:val="DefaultParagraphFont"/>
    <w:uiPriority w:val="99"/>
    <w:semiHidden/>
    <w:unhideWhenUsed/>
    <w:rsid w:val="009B01CB"/>
    <w:rPr>
      <w:sz w:val="16"/>
      <w:szCs w:val="16"/>
    </w:rPr>
  </w:style>
  <w:style w:type="paragraph" w:styleId="CommentText">
    <w:name w:val="annotation text"/>
    <w:basedOn w:val="Normal"/>
    <w:link w:val="CommentTextChar"/>
    <w:uiPriority w:val="99"/>
    <w:semiHidden/>
    <w:unhideWhenUsed/>
    <w:rsid w:val="009B01CB"/>
    <w:rPr>
      <w:sz w:val="20"/>
    </w:rPr>
  </w:style>
  <w:style w:type="character" w:customStyle="1" w:styleId="CommentTextChar">
    <w:name w:val="Comment Text Char"/>
    <w:basedOn w:val="DefaultParagraphFont"/>
    <w:link w:val="CommentText"/>
    <w:uiPriority w:val="99"/>
    <w:semiHidden/>
    <w:rsid w:val="009B01CB"/>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9B01CB"/>
    <w:rPr>
      <w:b/>
      <w:bCs/>
    </w:rPr>
  </w:style>
  <w:style w:type="character" w:customStyle="1" w:styleId="CommentSubjectChar">
    <w:name w:val="Comment Subject Char"/>
    <w:basedOn w:val="CommentTextChar"/>
    <w:link w:val="CommentSubject"/>
    <w:uiPriority w:val="99"/>
    <w:semiHidden/>
    <w:rsid w:val="009B01CB"/>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awabybeloved.com" TargetMode="External"/><Relationship Id="rId13" Type="http://schemas.openxmlformats.org/officeDocument/2006/relationships/hyperlink" Target="https://www.kornferry.com/content/dam/kornferry-v2/pdf/KornFerry_DEI_Maturity_Model_Factsheet.pdf" TargetMode="External"/><Relationship Id="rId18" Type="http://schemas.openxmlformats.org/officeDocument/2006/relationships/hyperlink" Target="http://www.virginia-organizing.org/wp-content/uploads/2015/11/2015-Dismantling-Racism-Workbook.pdf%20" TargetMode="External"/><Relationship Id="rId3" Type="http://schemas.openxmlformats.org/officeDocument/2006/relationships/hyperlink" Target="https://changeelemental.org/influencing-complex-systems-change/" TargetMode="External"/><Relationship Id="rId21" Type="http://schemas.openxmlformats.org/officeDocument/2006/relationships/hyperlink" Target="https://justleadwa.org/learn/rejitoolkit/" TargetMode="External"/><Relationship Id="rId7" Type="http://schemas.openxmlformats.org/officeDocument/2006/relationships/hyperlink" Target="https://www.youtube.com/watch?v=DbzeciuPSfM" TargetMode="External"/><Relationship Id="rId12" Type="http://schemas.openxmlformats.org/officeDocument/2006/relationships/hyperlink" Target="https://diversityworksnz.org.nz/news-resources/aotearoa-inclusivity-matrix/" TargetMode="External"/><Relationship Id="rId17" Type="http://schemas.openxmlformats.org/officeDocument/2006/relationships/hyperlink" Target="https://www.gse.harvard.edu/news/17/06/diving-deep" TargetMode="External"/><Relationship Id="rId2" Type="http://schemas.openxmlformats.org/officeDocument/2006/relationships/hyperlink" Target="https://www.youtube.com/watch?v=DbzeciuPSfM" TargetMode="External"/><Relationship Id="rId16" Type="http://schemas.openxmlformats.org/officeDocument/2006/relationships/hyperlink" Target="https://substanceuse.ca/learning-together-guide-assessment-tools-organisational-health-equity-capacity" TargetMode="External"/><Relationship Id="rId20" Type="http://schemas.openxmlformats.org/officeDocument/2006/relationships/hyperlink" Target="https://quakelab.ca/blog/quakelab-inclusion-maturity-model" TargetMode="External"/><Relationship Id="rId1" Type="http://schemas.openxmlformats.org/officeDocument/2006/relationships/hyperlink" Target="https://www.health.govt.nz/about-ministry/what-we-do/combatting-racism-health-system" TargetMode="External"/><Relationship Id="rId6" Type="http://schemas.openxmlformats.org/officeDocument/2006/relationships/hyperlink" Target="https://changeelemental.org/influencing-complex-systems-change/" TargetMode="External"/><Relationship Id="rId11" Type="http://schemas.openxmlformats.org/officeDocument/2006/relationships/hyperlink" Target="https://www.kornferry.com/content/dam/kornferry-v2/pdf/KornFerry_DEI_Maturity_Model_Factsheet.pdf" TargetMode="External"/><Relationship Id="rId5" Type="http://schemas.openxmlformats.org/officeDocument/2006/relationships/hyperlink" Target="https://www.youtube.com/watch?v=DbzeciuPSfM" TargetMode="External"/><Relationship Id="rId15" Type="http://schemas.openxmlformats.org/officeDocument/2006/relationships/hyperlink" Target="https://www.dismantlingracism.org/uploads/4/3/5/7/43579015/accountability.jjo.drworks.pdf" TargetMode="External"/><Relationship Id="rId23" Type="http://schemas.openxmlformats.org/officeDocument/2006/relationships/hyperlink" Target="https://www.evidentchange.org/what-we-do/data-equity-model" TargetMode="External"/><Relationship Id="rId10" Type="http://schemas.openxmlformats.org/officeDocument/2006/relationships/hyperlink" Target="https://quakelab.ca/blog/quakelab-inclusion-maturity-model" TargetMode="External"/><Relationship Id="rId19" Type="http://schemas.openxmlformats.org/officeDocument/2006/relationships/hyperlink" Target="http://www.virginia-organizing.org/wp-content/uploads/2015/11/2015-Dismantling-Racism-Workbook.pdf" TargetMode="External"/><Relationship Id="rId4" Type="http://schemas.openxmlformats.org/officeDocument/2006/relationships/hyperlink" Target="http://www.triangledei.org/blog/the-deloitte-diversity-and-inclusion-model" TargetMode="External"/><Relationship Id="rId9" Type="http://schemas.openxmlformats.org/officeDocument/2006/relationships/hyperlink" Target="https://quakelab.ca/blog/quakelab-inclusion-maturity-model" TargetMode="External"/><Relationship Id="rId14" Type="http://schemas.openxmlformats.org/officeDocument/2006/relationships/hyperlink" Target="https://quakelab.ca/blog/quakelab-inclusion-maturity-model" TargetMode="External"/><Relationship Id="rId22" Type="http://schemas.openxmlformats.org/officeDocument/2006/relationships/hyperlink" Target="https://www.evidentchange.org/what-we-do/data-equity-mo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88</TotalTime>
  <Pages>39</Pages>
  <Words>9782</Words>
  <Characters>55759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Best Practice Approaches to Addressing Racism - Lessons for the Aotearoa New Zealand Health System (Stage Two Literature Review)</vt:lpstr>
    </vt:vector>
  </TitlesOfParts>
  <Company>Microsoft</Company>
  <LinksUpToDate>false</LinksUpToDate>
  <CharactersWithSpaces>65411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Approaches to Addressing Racism - Lessons for the Aotearoa New Zealand Health System (Stage Two Literature Review)</dc:title>
  <dc:creator>M Williams;S McMeeking</dc:creator>
  <cp:lastModifiedBy>Ministry of Health</cp:lastModifiedBy>
  <cp:revision>24</cp:revision>
  <cp:lastPrinted>2023-02-24T02:31:00Z</cp:lastPrinted>
  <dcterms:created xsi:type="dcterms:W3CDTF">2023-03-02T01:26:00Z</dcterms:created>
  <dcterms:modified xsi:type="dcterms:W3CDTF">2023-03-02T04:52:00Z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