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5161" w14:textId="41E1EB42" w:rsidR="00C86248" w:rsidRPr="00926083" w:rsidRDefault="004F3111" w:rsidP="00926083">
      <w:pPr>
        <w:pStyle w:val="Title"/>
      </w:pPr>
      <w:r w:rsidRPr="004F3111">
        <w:t xml:space="preserve">Smoking Status </w:t>
      </w:r>
      <w:r w:rsidR="00796EB2">
        <w:t>of</w:t>
      </w:r>
      <w:r w:rsidRPr="004F3111">
        <w:t xml:space="preserve"> Daily Vapers</w:t>
      </w:r>
    </w:p>
    <w:p w14:paraId="2B4FAC6A" w14:textId="62F41AF8" w:rsidR="00C05132" w:rsidRDefault="004F3111" w:rsidP="004F3111">
      <w:pPr>
        <w:pStyle w:val="Subhead"/>
      </w:pPr>
      <w:r>
        <w:t xml:space="preserve">New Zealand Health Survey: </w:t>
      </w:r>
      <w:r>
        <w:br/>
        <w:t>2017/18 to 2021/22</w:t>
      </w:r>
    </w:p>
    <w:p w14:paraId="5C1CCC9F" w14:textId="77777777" w:rsidR="00C05132" w:rsidRDefault="00C05132" w:rsidP="00A06BE4"/>
    <w:p w14:paraId="57E2CB79" w14:textId="49BB8751" w:rsidR="00142954" w:rsidRPr="00142954" w:rsidRDefault="004F3111" w:rsidP="00142954">
      <w:pPr>
        <w:sectPr w:rsidR="00142954" w:rsidRPr="00142954" w:rsidSect="005A79E5">
          <w:headerReference w:type="default" r:id="rId11"/>
          <w:footerReference w:type="default" r:id="rId12"/>
          <w:pgSz w:w="11907" w:h="16834" w:code="9"/>
          <w:pgMar w:top="5670" w:right="1134" w:bottom="1134" w:left="1134" w:header="567" w:footer="851" w:gutter="0"/>
          <w:pgNumType w:start="1"/>
          <w:cols w:space="720"/>
        </w:sectPr>
      </w:pPr>
      <w:r w:rsidRPr="00593A78">
        <w:rPr>
          <w:noProof/>
          <w:color w:val="2B579A"/>
          <w:shd w:val="clear" w:color="auto" w:fill="E6E6E6"/>
          <w:lang w:eastAsia="en-NZ"/>
        </w:rPr>
        <w:drawing>
          <wp:anchor distT="0" distB="0" distL="114300" distR="114300" simplePos="0" relativeHeight="251658240" behindDoc="0" locked="0" layoutInCell="1" allowOverlap="1" wp14:anchorId="3A43057E" wp14:editId="40940244">
            <wp:simplePos x="0" y="0"/>
            <wp:positionH relativeFrom="column">
              <wp:posOffset>275627</wp:posOffset>
            </wp:positionH>
            <wp:positionV relativeFrom="paragraph">
              <wp:posOffset>1875155</wp:posOffset>
            </wp:positionV>
            <wp:extent cx="5400040" cy="1414780"/>
            <wp:effectExtent l="0" t="0" r="0" b="0"/>
            <wp:wrapNone/>
            <wp:docPr id="7" name="Picture 7" descr="NZ Health Survey 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Z Health Survey Logo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1414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A4C763" w14:textId="77777777" w:rsidR="009A42D5" w:rsidRPr="00A63DFF" w:rsidRDefault="009A42D5" w:rsidP="00C05132">
      <w:pPr>
        <w:rPr>
          <w:rFonts w:asciiTheme="minorHAnsi" w:hAnsiTheme="minorHAnsi" w:cstheme="minorHAnsi"/>
          <w:b/>
          <w:spacing w:val="10"/>
          <w:sz w:val="36"/>
          <w:szCs w:val="36"/>
        </w:rPr>
      </w:pPr>
      <w:r w:rsidRPr="00A63DFF">
        <w:rPr>
          <w:rFonts w:asciiTheme="minorHAnsi" w:hAnsiTheme="minorHAnsi" w:cstheme="minorHAnsi"/>
          <w:b/>
          <w:spacing w:val="10"/>
          <w:sz w:val="36"/>
          <w:szCs w:val="36"/>
        </w:rPr>
        <w:lastRenderedPageBreak/>
        <w:t>Acknowledgements</w:t>
      </w:r>
    </w:p>
    <w:p w14:paraId="767BEE56" w14:textId="00F7DCB0" w:rsidR="004F3111" w:rsidRPr="004F3111" w:rsidRDefault="004F3111" w:rsidP="004F3111">
      <w:pPr>
        <w:spacing w:before="120"/>
        <w:rPr>
          <w:rFonts w:cs="Segoe UI"/>
          <w:sz w:val="20"/>
        </w:rPr>
      </w:pPr>
      <w:r w:rsidRPr="004F3111">
        <w:rPr>
          <w:rFonts w:cs="Segoe UI"/>
          <w:sz w:val="20"/>
        </w:rPr>
        <w:t xml:space="preserve">The New Zealand Health Survey relies on the support and enthusiasm of many individuals, including the survey participants and the surveyors who worked so diligently to collect the data. </w:t>
      </w:r>
    </w:p>
    <w:p w14:paraId="5F390A67" w14:textId="3FD9FE84" w:rsidR="004F3111" w:rsidRPr="004F3111" w:rsidRDefault="004F3111" w:rsidP="004F3111">
      <w:pPr>
        <w:spacing w:before="120"/>
        <w:rPr>
          <w:rFonts w:cs="Segoe UI"/>
          <w:sz w:val="20"/>
        </w:rPr>
      </w:pPr>
      <w:r w:rsidRPr="004F3111">
        <w:rPr>
          <w:rFonts w:cs="Segoe UI"/>
          <w:sz w:val="20"/>
        </w:rPr>
        <w:t xml:space="preserve">This report was prepared by the Health Surveys team, Evidence, Research and Analytics, Manatū Hauora (Ministry of Health). </w:t>
      </w:r>
    </w:p>
    <w:p w14:paraId="6F7D50AD" w14:textId="28013E36" w:rsidR="009A42D5" w:rsidRPr="00C05132" w:rsidRDefault="004F3111" w:rsidP="004F3111">
      <w:pPr>
        <w:spacing w:before="120"/>
        <w:rPr>
          <w:rFonts w:cs="Segoe UI"/>
          <w:sz w:val="20"/>
        </w:rPr>
      </w:pPr>
      <w:r w:rsidRPr="004F3111">
        <w:rPr>
          <w:rFonts w:cs="Segoe UI"/>
          <w:sz w:val="20"/>
        </w:rPr>
        <w:t xml:space="preserve">Thank you to everyone who provided input and review, including </w:t>
      </w:r>
      <w:proofErr w:type="spellStart"/>
      <w:r w:rsidR="008B2858" w:rsidRPr="008B2858">
        <w:rPr>
          <w:rFonts w:cs="Segoe UI"/>
          <w:sz w:val="20"/>
        </w:rPr>
        <w:t>Ope</w:t>
      </w:r>
      <w:proofErr w:type="spellEnd"/>
      <w:r w:rsidR="008B2858" w:rsidRPr="008B2858">
        <w:rPr>
          <w:rFonts w:cs="Segoe UI"/>
          <w:sz w:val="20"/>
        </w:rPr>
        <w:t xml:space="preserve"> </w:t>
      </w:r>
      <w:proofErr w:type="spellStart"/>
      <w:r w:rsidR="008B2858" w:rsidRPr="008B2858">
        <w:rPr>
          <w:rFonts w:cs="Segoe UI"/>
          <w:sz w:val="20"/>
        </w:rPr>
        <w:t>Ōpiki</w:t>
      </w:r>
      <w:proofErr w:type="spellEnd"/>
      <w:r w:rsidRPr="004F3111">
        <w:rPr>
          <w:rFonts w:cs="Segoe UI"/>
          <w:sz w:val="20"/>
        </w:rPr>
        <w:t xml:space="preserve">, Public Health Agency, Manatū Hauora. </w:t>
      </w:r>
    </w:p>
    <w:p w14:paraId="358CE3BA" w14:textId="33F26ACF" w:rsidR="00A80363" w:rsidRPr="00C05132" w:rsidRDefault="00A80363" w:rsidP="00A63DFF">
      <w:pPr>
        <w:pStyle w:val="Imprint"/>
        <w:spacing w:before="1200"/>
        <w:rPr>
          <w:rFonts w:cs="Segoe UI"/>
        </w:rPr>
      </w:pPr>
      <w:r w:rsidRPr="00C05132">
        <w:rPr>
          <w:rFonts w:cs="Segoe UI"/>
        </w:rPr>
        <w:t xml:space="preserve">Citation: </w:t>
      </w:r>
      <w:r w:rsidR="00442C1C" w:rsidRPr="00C05132">
        <w:rPr>
          <w:rFonts w:cs="Segoe UI"/>
        </w:rPr>
        <w:t xml:space="preserve">Ministry of Health. </w:t>
      </w:r>
      <w:r w:rsidR="004F3111" w:rsidRPr="004F3111">
        <w:rPr>
          <w:rFonts w:cs="Segoe UI"/>
        </w:rPr>
        <w:t xml:space="preserve">2023. </w:t>
      </w:r>
      <w:r w:rsidR="004F3111" w:rsidRPr="004F3111">
        <w:rPr>
          <w:rFonts w:cs="Segoe UI"/>
          <w:i/>
          <w:iCs/>
        </w:rPr>
        <w:t xml:space="preserve">Smoking Status </w:t>
      </w:r>
      <w:r w:rsidR="00796EB2">
        <w:rPr>
          <w:rFonts w:cs="Segoe UI"/>
          <w:i/>
          <w:iCs/>
        </w:rPr>
        <w:t>of</w:t>
      </w:r>
      <w:r w:rsidR="004F3111" w:rsidRPr="004F3111">
        <w:rPr>
          <w:rFonts w:cs="Segoe UI"/>
          <w:i/>
          <w:iCs/>
        </w:rPr>
        <w:t xml:space="preserve"> Daily Vapers</w:t>
      </w:r>
      <w:r w:rsidR="004F3111" w:rsidRPr="004F3111">
        <w:rPr>
          <w:rFonts w:cs="Segoe UI"/>
        </w:rPr>
        <w:t>.</w:t>
      </w:r>
      <w:r w:rsidR="00442C1C" w:rsidRPr="00C05132">
        <w:rPr>
          <w:rFonts w:cs="Segoe UI"/>
        </w:rPr>
        <w:t xml:space="preserve"> Wellington: Ministry of Health.</w:t>
      </w:r>
    </w:p>
    <w:p w14:paraId="7909192E" w14:textId="56C47C78" w:rsidR="00C86248" w:rsidRDefault="00C86248">
      <w:pPr>
        <w:pStyle w:val="Imprint"/>
      </w:pPr>
      <w:r>
        <w:t xml:space="preserve">Published in </w:t>
      </w:r>
      <w:r w:rsidR="00901575">
        <w:t>June</w:t>
      </w:r>
      <w:r w:rsidR="004F3111" w:rsidRPr="00C4104D">
        <w:t xml:space="preserve"> 2023</w:t>
      </w:r>
      <w:r w:rsidR="004F3111" w:rsidRPr="00593A78">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2381F1C9" w14:textId="73500A08" w:rsidR="004F3111" w:rsidRPr="00593A78" w:rsidRDefault="004F3111" w:rsidP="004F3111">
      <w:pPr>
        <w:pStyle w:val="Imprint"/>
      </w:pPr>
      <w:r w:rsidRPr="001B24EC">
        <w:t xml:space="preserve">ISBN </w:t>
      </w:r>
      <w:r w:rsidR="001B24EC" w:rsidRPr="001B24EC">
        <w:t>978-1-991075-29-1</w:t>
      </w:r>
      <w:r w:rsidRPr="001B24EC">
        <w:t xml:space="preserve"> (</w:t>
      </w:r>
      <w:r w:rsidR="001B24EC">
        <w:t>online</w:t>
      </w:r>
      <w:r w:rsidRPr="001B24EC">
        <w:t>)</w:t>
      </w:r>
      <w:r w:rsidRPr="001B24EC">
        <w:br/>
        <w:t xml:space="preserve">HP </w:t>
      </w:r>
      <w:r w:rsidR="00C2015B">
        <w:t>8775</w:t>
      </w:r>
    </w:p>
    <w:p w14:paraId="48DBDA36" w14:textId="77777777" w:rsidR="00C86248" w:rsidRDefault="008C64C4" w:rsidP="00A63DFF">
      <w:r>
        <w:rPr>
          <w:noProof/>
          <w:lang w:eastAsia="en-NZ"/>
        </w:rPr>
        <w:drawing>
          <wp:inline distT="0" distB="0" distL="0" distR="0" wp14:anchorId="6EF4539D" wp14:editId="20E26EED">
            <wp:extent cx="1216825" cy="576270"/>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6"/>
          <w:footerReference w:type="default" r:id="rId17"/>
          <w:pgSz w:w="11907" w:h="16834" w:code="9"/>
          <w:pgMar w:top="1701" w:right="2268" w:bottom="1134" w:left="2268" w:header="0" w:footer="0" w:gutter="0"/>
          <w:cols w:space="720"/>
          <w:vAlign w:val="bottom"/>
        </w:sectPr>
      </w:pPr>
    </w:p>
    <w:p w14:paraId="648D4F84" w14:textId="77777777" w:rsidR="00C86248" w:rsidRDefault="00C86248" w:rsidP="00025A6F">
      <w:pPr>
        <w:pStyle w:val="IntroHead"/>
      </w:pPr>
      <w:bookmarkStart w:id="1" w:name="_Toc405792991"/>
      <w:bookmarkStart w:id="2" w:name="_Toc405793224"/>
      <w:r>
        <w:lastRenderedPageBreak/>
        <w:t>Contents</w:t>
      </w:r>
      <w:bookmarkEnd w:id="1"/>
      <w:bookmarkEnd w:id="2"/>
    </w:p>
    <w:p w14:paraId="62E81269" w14:textId="5E3015B3" w:rsidR="002361C2" w:rsidRDefault="002361C2">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36265204" w:history="1">
        <w:r w:rsidRPr="00B02294">
          <w:rPr>
            <w:rStyle w:val="Hyperlink"/>
            <w:noProof/>
          </w:rPr>
          <w:t>Key findings</w:t>
        </w:r>
        <w:r>
          <w:rPr>
            <w:noProof/>
            <w:webHidden/>
          </w:rPr>
          <w:tab/>
        </w:r>
        <w:r>
          <w:rPr>
            <w:noProof/>
            <w:webHidden/>
          </w:rPr>
          <w:fldChar w:fldCharType="begin"/>
        </w:r>
        <w:r>
          <w:rPr>
            <w:noProof/>
            <w:webHidden/>
          </w:rPr>
          <w:instrText xml:space="preserve"> PAGEREF _Toc136265204 \h </w:instrText>
        </w:r>
        <w:r>
          <w:rPr>
            <w:noProof/>
            <w:webHidden/>
          </w:rPr>
        </w:r>
        <w:r>
          <w:rPr>
            <w:noProof/>
            <w:webHidden/>
          </w:rPr>
          <w:fldChar w:fldCharType="separate"/>
        </w:r>
        <w:r>
          <w:rPr>
            <w:noProof/>
            <w:webHidden/>
          </w:rPr>
          <w:t>1</w:t>
        </w:r>
        <w:r>
          <w:rPr>
            <w:noProof/>
            <w:webHidden/>
          </w:rPr>
          <w:fldChar w:fldCharType="end"/>
        </w:r>
      </w:hyperlink>
    </w:p>
    <w:p w14:paraId="7C1725AD" w14:textId="5C134D14" w:rsidR="002361C2" w:rsidRDefault="00901575">
      <w:pPr>
        <w:pStyle w:val="TOC1"/>
        <w:rPr>
          <w:rFonts w:asciiTheme="minorHAnsi" w:eastAsiaTheme="minorEastAsia" w:hAnsiTheme="minorHAnsi" w:cstheme="minorBidi"/>
          <w:noProof/>
          <w:sz w:val="22"/>
          <w:szCs w:val="22"/>
          <w:lang w:eastAsia="en-NZ"/>
        </w:rPr>
      </w:pPr>
      <w:hyperlink w:anchor="_Toc136265205" w:history="1">
        <w:r w:rsidR="002361C2" w:rsidRPr="00B02294">
          <w:rPr>
            <w:rStyle w:val="Hyperlink"/>
            <w:noProof/>
          </w:rPr>
          <w:t>Introduction</w:t>
        </w:r>
        <w:r w:rsidR="002361C2">
          <w:rPr>
            <w:noProof/>
            <w:webHidden/>
          </w:rPr>
          <w:tab/>
        </w:r>
        <w:r w:rsidR="002361C2">
          <w:rPr>
            <w:noProof/>
            <w:webHidden/>
          </w:rPr>
          <w:fldChar w:fldCharType="begin"/>
        </w:r>
        <w:r w:rsidR="002361C2">
          <w:rPr>
            <w:noProof/>
            <w:webHidden/>
          </w:rPr>
          <w:instrText xml:space="preserve"> PAGEREF _Toc136265205 \h </w:instrText>
        </w:r>
        <w:r w:rsidR="002361C2">
          <w:rPr>
            <w:noProof/>
            <w:webHidden/>
          </w:rPr>
        </w:r>
        <w:r w:rsidR="002361C2">
          <w:rPr>
            <w:noProof/>
            <w:webHidden/>
          </w:rPr>
          <w:fldChar w:fldCharType="separate"/>
        </w:r>
        <w:r w:rsidR="002361C2">
          <w:rPr>
            <w:noProof/>
            <w:webHidden/>
          </w:rPr>
          <w:t>2</w:t>
        </w:r>
        <w:r w:rsidR="002361C2">
          <w:rPr>
            <w:noProof/>
            <w:webHidden/>
          </w:rPr>
          <w:fldChar w:fldCharType="end"/>
        </w:r>
      </w:hyperlink>
    </w:p>
    <w:p w14:paraId="1F0D4E64" w14:textId="245DD948" w:rsidR="002361C2" w:rsidRDefault="00901575">
      <w:pPr>
        <w:pStyle w:val="TOC1"/>
        <w:rPr>
          <w:rFonts w:asciiTheme="minorHAnsi" w:eastAsiaTheme="minorEastAsia" w:hAnsiTheme="minorHAnsi" w:cstheme="minorBidi"/>
          <w:noProof/>
          <w:sz w:val="22"/>
          <w:szCs w:val="22"/>
          <w:lang w:eastAsia="en-NZ"/>
        </w:rPr>
      </w:pPr>
      <w:hyperlink w:anchor="_Toc136265206" w:history="1">
        <w:r w:rsidR="002361C2" w:rsidRPr="00B02294">
          <w:rPr>
            <w:rStyle w:val="Hyperlink"/>
            <w:noProof/>
          </w:rPr>
          <w:t>Trends in smoking and vaping</w:t>
        </w:r>
        <w:r w:rsidR="002361C2">
          <w:rPr>
            <w:noProof/>
            <w:webHidden/>
          </w:rPr>
          <w:tab/>
        </w:r>
        <w:r w:rsidR="002361C2">
          <w:rPr>
            <w:noProof/>
            <w:webHidden/>
          </w:rPr>
          <w:fldChar w:fldCharType="begin"/>
        </w:r>
        <w:r w:rsidR="002361C2">
          <w:rPr>
            <w:noProof/>
            <w:webHidden/>
          </w:rPr>
          <w:instrText xml:space="preserve"> PAGEREF _Toc136265206 \h </w:instrText>
        </w:r>
        <w:r w:rsidR="002361C2">
          <w:rPr>
            <w:noProof/>
            <w:webHidden/>
          </w:rPr>
        </w:r>
        <w:r w:rsidR="002361C2">
          <w:rPr>
            <w:noProof/>
            <w:webHidden/>
          </w:rPr>
          <w:fldChar w:fldCharType="separate"/>
        </w:r>
        <w:r w:rsidR="002361C2">
          <w:rPr>
            <w:noProof/>
            <w:webHidden/>
          </w:rPr>
          <w:t>4</w:t>
        </w:r>
        <w:r w:rsidR="002361C2">
          <w:rPr>
            <w:noProof/>
            <w:webHidden/>
          </w:rPr>
          <w:fldChar w:fldCharType="end"/>
        </w:r>
      </w:hyperlink>
    </w:p>
    <w:p w14:paraId="5C852592" w14:textId="3BC458A8" w:rsidR="002361C2" w:rsidRDefault="00901575">
      <w:pPr>
        <w:pStyle w:val="TOC2"/>
        <w:rPr>
          <w:rFonts w:asciiTheme="minorHAnsi" w:eastAsiaTheme="minorEastAsia" w:hAnsiTheme="minorHAnsi" w:cstheme="minorBidi"/>
          <w:noProof/>
          <w:szCs w:val="22"/>
          <w:lang w:eastAsia="en-NZ"/>
        </w:rPr>
      </w:pPr>
      <w:hyperlink w:anchor="_Toc136265207" w:history="1">
        <w:r w:rsidR="002361C2" w:rsidRPr="00B02294">
          <w:rPr>
            <w:rStyle w:val="Hyperlink"/>
            <w:noProof/>
          </w:rPr>
          <w:t>Trends in daily vaping</w:t>
        </w:r>
        <w:r w:rsidR="002361C2">
          <w:rPr>
            <w:noProof/>
            <w:webHidden/>
          </w:rPr>
          <w:tab/>
        </w:r>
        <w:r w:rsidR="002361C2">
          <w:rPr>
            <w:noProof/>
            <w:webHidden/>
          </w:rPr>
          <w:fldChar w:fldCharType="begin"/>
        </w:r>
        <w:r w:rsidR="002361C2">
          <w:rPr>
            <w:noProof/>
            <w:webHidden/>
          </w:rPr>
          <w:instrText xml:space="preserve"> PAGEREF _Toc136265207 \h </w:instrText>
        </w:r>
        <w:r w:rsidR="002361C2">
          <w:rPr>
            <w:noProof/>
            <w:webHidden/>
          </w:rPr>
        </w:r>
        <w:r w:rsidR="002361C2">
          <w:rPr>
            <w:noProof/>
            <w:webHidden/>
          </w:rPr>
          <w:fldChar w:fldCharType="separate"/>
        </w:r>
        <w:r w:rsidR="002361C2">
          <w:rPr>
            <w:noProof/>
            <w:webHidden/>
          </w:rPr>
          <w:t>5</w:t>
        </w:r>
        <w:r w:rsidR="002361C2">
          <w:rPr>
            <w:noProof/>
            <w:webHidden/>
          </w:rPr>
          <w:fldChar w:fldCharType="end"/>
        </w:r>
      </w:hyperlink>
    </w:p>
    <w:p w14:paraId="7AFF4AAC" w14:textId="5090DB58" w:rsidR="002361C2" w:rsidRDefault="00901575">
      <w:pPr>
        <w:pStyle w:val="TOC1"/>
        <w:rPr>
          <w:rFonts w:asciiTheme="minorHAnsi" w:eastAsiaTheme="minorEastAsia" w:hAnsiTheme="minorHAnsi" w:cstheme="minorBidi"/>
          <w:noProof/>
          <w:sz w:val="22"/>
          <w:szCs w:val="22"/>
          <w:lang w:eastAsia="en-NZ"/>
        </w:rPr>
      </w:pPr>
      <w:hyperlink w:anchor="_Toc136265208" w:history="1">
        <w:r w:rsidR="002361C2" w:rsidRPr="00B02294">
          <w:rPr>
            <w:rStyle w:val="Hyperlink"/>
            <w:noProof/>
          </w:rPr>
          <w:t>Smoking status of daily vapers</w:t>
        </w:r>
        <w:r w:rsidR="002361C2">
          <w:rPr>
            <w:noProof/>
            <w:webHidden/>
          </w:rPr>
          <w:tab/>
        </w:r>
        <w:r w:rsidR="002361C2">
          <w:rPr>
            <w:noProof/>
            <w:webHidden/>
          </w:rPr>
          <w:fldChar w:fldCharType="begin"/>
        </w:r>
        <w:r w:rsidR="002361C2">
          <w:rPr>
            <w:noProof/>
            <w:webHidden/>
          </w:rPr>
          <w:instrText xml:space="preserve"> PAGEREF _Toc136265208 \h </w:instrText>
        </w:r>
        <w:r w:rsidR="002361C2">
          <w:rPr>
            <w:noProof/>
            <w:webHidden/>
          </w:rPr>
        </w:r>
        <w:r w:rsidR="002361C2">
          <w:rPr>
            <w:noProof/>
            <w:webHidden/>
          </w:rPr>
          <w:fldChar w:fldCharType="separate"/>
        </w:r>
        <w:r w:rsidR="002361C2">
          <w:rPr>
            <w:noProof/>
            <w:webHidden/>
          </w:rPr>
          <w:t>7</w:t>
        </w:r>
        <w:r w:rsidR="002361C2">
          <w:rPr>
            <w:noProof/>
            <w:webHidden/>
          </w:rPr>
          <w:fldChar w:fldCharType="end"/>
        </w:r>
      </w:hyperlink>
    </w:p>
    <w:p w14:paraId="2EE09342" w14:textId="5247D85D" w:rsidR="002361C2" w:rsidRDefault="00901575">
      <w:pPr>
        <w:pStyle w:val="TOC2"/>
        <w:rPr>
          <w:rFonts w:asciiTheme="minorHAnsi" w:eastAsiaTheme="minorEastAsia" w:hAnsiTheme="minorHAnsi" w:cstheme="minorBidi"/>
          <w:noProof/>
          <w:szCs w:val="22"/>
          <w:lang w:eastAsia="en-NZ"/>
        </w:rPr>
      </w:pPr>
      <w:hyperlink w:anchor="_Toc136265209" w:history="1">
        <w:r w:rsidR="002361C2" w:rsidRPr="00B02294">
          <w:rPr>
            <w:rStyle w:val="Hyperlink"/>
            <w:noProof/>
          </w:rPr>
          <w:t>Smoking status of daily vapers – trends</w:t>
        </w:r>
        <w:r w:rsidR="002361C2">
          <w:rPr>
            <w:noProof/>
            <w:webHidden/>
          </w:rPr>
          <w:tab/>
        </w:r>
        <w:r w:rsidR="002361C2">
          <w:rPr>
            <w:noProof/>
            <w:webHidden/>
          </w:rPr>
          <w:fldChar w:fldCharType="begin"/>
        </w:r>
        <w:r w:rsidR="002361C2">
          <w:rPr>
            <w:noProof/>
            <w:webHidden/>
          </w:rPr>
          <w:instrText xml:space="preserve"> PAGEREF _Toc136265209 \h </w:instrText>
        </w:r>
        <w:r w:rsidR="002361C2">
          <w:rPr>
            <w:noProof/>
            <w:webHidden/>
          </w:rPr>
        </w:r>
        <w:r w:rsidR="002361C2">
          <w:rPr>
            <w:noProof/>
            <w:webHidden/>
          </w:rPr>
          <w:fldChar w:fldCharType="separate"/>
        </w:r>
        <w:r w:rsidR="002361C2">
          <w:rPr>
            <w:noProof/>
            <w:webHidden/>
          </w:rPr>
          <w:t>7</w:t>
        </w:r>
        <w:r w:rsidR="002361C2">
          <w:rPr>
            <w:noProof/>
            <w:webHidden/>
          </w:rPr>
          <w:fldChar w:fldCharType="end"/>
        </w:r>
      </w:hyperlink>
    </w:p>
    <w:p w14:paraId="787E1EAB" w14:textId="092CD8A3" w:rsidR="002361C2" w:rsidRDefault="00901575">
      <w:pPr>
        <w:pStyle w:val="TOC2"/>
        <w:rPr>
          <w:rFonts w:asciiTheme="minorHAnsi" w:eastAsiaTheme="minorEastAsia" w:hAnsiTheme="minorHAnsi" w:cstheme="minorBidi"/>
          <w:noProof/>
          <w:szCs w:val="22"/>
          <w:lang w:eastAsia="en-NZ"/>
        </w:rPr>
      </w:pPr>
      <w:hyperlink w:anchor="_Toc136265210" w:history="1">
        <w:r w:rsidR="002361C2" w:rsidRPr="00B02294">
          <w:rPr>
            <w:rStyle w:val="Hyperlink"/>
            <w:noProof/>
          </w:rPr>
          <w:t>Smoking status of daily vapers by age group</w:t>
        </w:r>
        <w:r w:rsidR="002361C2">
          <w:rPr>
            <w:noProof/>
            <w:webHidden/>
          </w:rPr>
          <w:tab/>
        </w:r>
        <w:r w:rsidR="002361C2">
          <w:rPr>
            <w:noProof/>
            <w:webHidden/>
          </w:rPr>
          <w:fldChar w:fldCharType="begin"/>
        </w:r>
        <w:r w:rsidR="002361C2">
          <w:rPr>
            <w:noProof/>
            <w:webHidden/>
          </w:rPr>
          <w:instrText xml:space="preserve"> PAGEREF _Toc136265210 \h </w:instrText>
        </w:r>
        <w:r w:rsidR="002361C2">
          <w:rPr>
            <w:noProof/>
            <w:webHidden/>
          </w:rPr>
        </w:r>
        <w:r w:rsidR="002361C2">
          <w:rPr>
            <w:noProof/>
            <w:webHidden/>
          </w:rPr>
          <w:fldChar w:fldCharType="separate"/>
        </w:r>
        <w:r w:rsidR="002361C2">
          <w:rPr>
            <w:noProof/>
            <w:webHidden/>
          </w:rPr>
          <w:t>9</w:t>
        </w:r>
        <w:r w:rsidR="002361C2">
          <w:rPr>
            <w:noProof/>
            <w:webHidden/>
          </w:rPr>
          <w:fldChar w:fldCharType="end"/>
        </w:r>
      </w:hyperlink>
    </w:p>
    <w:p w14:paraId="196B8234" w14:textId="25571A4A" w:rsidR="002361C2" w:rsidRDefault="00901575">
      <w:pPr>
        <w:pStyle w:val="TOC2"/>
        <w:rPr>
          <w:rFonts w:asciiTheme="minorHAnsi" w:eastAsiaTheme="minorEastAsia" w:hAnsiTheme="minorHAnsi" w:cstheme="minorBidi"/>
          <w:noProof/>
          <w:szCs w:val="22"/>
          <w:lang w:eastAsia="en-NZ"/>
        </w:rPr>
      </w:pPr>
      <w:hyperlink w:anchor="_Toc136265211" w:history="1">
        <w:r w:rsidR="002361C2" w:rsidRPr="00B02294">
          <w:rPr>
            <w:rStyle w:val="Hyperlink"/>
            <w:noProof/>
          </w:rPr>
          <w:t>Smoking status of daily vapers by ethnic group</w:t>
        </w:r>
        <w:r w:rsidR="002361C2">
          <w:rPr>
            <w:noProof/>
            <w:webHidden/>
          </w:rPr>
          <w:tab/>
        </w:r>
        <w:r w:rsidR="002361C2">
          <w:rPr>
            <w:noProof/>
            <w:webHidden/>
          </w:rPr>
          <w:fldChar w:fldCharType="begin"/>
        </w:r>
        <w:r w:rsidR="002361C2">
          <w:rPr>
            <w:noProof/>
            <w:webHidden/>
          </w:rPr>
          <w:instrText xml:space="preserve"> PAGEREF _Toc136265211 \h </w:instrText>
        </w:r>
        <w:r w:rsidR="002361C2">
          <w:rPr>
            <w:noProof/>
            <w:webHidden/>
          </w:rPr>
        </w:r>
        <w:r w:rsidR="002361C2">
          <w:rPr>
            <w:noProof/>
            <w:webHidden/>
          </w:rPr>
          <w:fldChar w:fldCharType="separate"/>
        </w:r>
        <w:r w:rsidR="002361C2">
          <w:rPr>
            <w:noProof/>
            <w:webHidden/>
          </w:rPr>
          <w:t>10</w:t>
        </w:r>
        <w:r w:rsidR="002361C2">
          <w:rPr>
            <w:noProof/>
            <w:webHidden/>
          </w:rPr>
          <w:fldChar w:fldCharType="end"/>
        </w:r>
      </w:hyperlink>
    </w:p>
    <w:p w14:paraId="4C6ED6F0" w14:textId="36AB9D1D" w:rsidR="002361C2" w:rsidRDefault="00901575">
      <w:pPr>
        <w:pStyle w:val="TOC1"/>
        <w:rPr>
          <w:rFonts w:asciiTheme="minorHAnsi" w:eastAsiaTheme="minorEastAsia" w:hAnsiTheme="minorHAnsi" w:cstheme="minorBidi"/>
          <w:noProof/>
          <w:sz w:val="22"/>
          <w:szCs w:val="22"/>
          <w:lang w:eastAsia="en-NZ"/>
        </w:rPr>
      </w:pPr>
      <w:hyperlink w:anchor="_Toc136265212" w:history="1">
        <w:r w:rsidR="002361C2" w:rsidRPr="00B02294">
          <w:rPr>
            <w:rStyle w:val="Hyperlink"/>
            <w:noProof/>
          </w:rPr>
          <w:t>Methods</w:t>
        </w:r>
        <w:r w:rsidR="002361C2">
          <w:rPr>
            <w:noProof/>
            <w:webHidden/>
          </w:rPr>
          <w:tab/>
        </w:r>
        <w:r w:rsidR="002361C2">
          <w:rPr>
            <w:noProof/>
            <w:webHidden/>
          </w:rPr>
          <w:fldChar w:fldCharType="begin"/>
        </w:r>
        <w:r w:rsidR="002361C2">
          <w:rPr>
            <w:noProof/>
            <w:webHidden/>
          </w:rPr>
          <w:instrText xml:space="preserve"> PAGEREF _Toc136265212 \h </w:instrText>
        </w:r>
        <w:r w:rsidR="002361C2">
          <w:rPr>
            <w:noProof/>
            <w:webHidden/>
          </w:rPr>
        </w:r>
        <w:r w:rsidR="002361C2">
          <w:rPr>
            <w:noProof/>
            <w:webHidden/>
          </w:rPr>
          <w:fldChar w:fldCharType="separate"/>
        </w:r>
        <w:r w:rsidR="002361C2">
          <w:rPr>
            <w:noProof/>
            <w:webHidden/>
          </w:rPr>
          <w:t>12</w:t>
        </w:r>
        <w:r w:rsidR="002361C2">
          <w:rPr>
            <w:noProof/>
            <w:webHidden/>
          </w:rPr>
          <w:fldChar w:fldCharType="end"/>
        </w:r>
      </w:hyperlink>
    </w:p>
    <w:p w14:paraId="53388B0E" w14:textId="3B15B0C6" w:rsidR="002361C2" w:rsidRDefault="00901575">
      <w:pPr>
        <w:pStyle w:val="TOC2"/>
        <w:rPr>
          <w:rFonts w:asciiTheme="minorHAnsi" w:eastAsiaTheme="minorEastAsia" w:hAnsiTheme="minorHAnsi" w:cstheme="minorBidi"/>
          <w:noProof/>
          <w:szCs w:val="22"/>
          <w:lang w:eastAsia="en-NZ"/>
        </w:rPr>
      </w:pPr>
      <w:hyperlink w:anchor="_Toc136265213" w:history="1">
        <w:r w:rsidR="002361C2" w:rsidRPr="00B02294">
          <w:rPr>
            <w:rStyle w:val="Hyperlink"/>
            <w:noProof/>
          </w:rPr>
          <w:t>Data source</w:t>
        </w:r>
        <w:r w:rsidR="002361C2">
          <w:rPr>
            <w:noProof/>
            <w:webHidden/>
          </w:rPr>
          <w:tab/>
        </w:r>
        <w:r w:rsidR="002361C2">
          <w:rPr>
            <w:noProof/>
            <w:webHidden/>
          </w:rPr>
          <w:fldChar w:fldCharType="begin"/>
        </w:r>
        <w:r w:rsidR="002361C2">
          <w:rPr>
            <w:noProof/>
            <w:webHidden/>
          </w:rPr>
          <w:instrText xml:space="preserve"> PAGEREF _Toc136265213 \h </w:instrText>
        </w:r>
        <w:r w:rsidR="002361C2">
          <w:rPr>
            <w:noProof/>
            <w:webHidden/>
          </w:rPr>
        </w:r>
        <w:r w:rsidR="002361C2">
          <w:rPr>
            <w:noProof/>
            <w:webHidden/>
          </w:rPr>
          <w:fldChar w:fldCharType="separate"/>
        </w:r>
        <w:r w:rsidR="002361C2">
          <w:rPr>
            <w:noProof/>
            <w:webHidden/>
          </w:rPr>
          <w:t>12</w:t>
        </w:r>
        <w:r w:rsidR="002361C2">
          <w:rPr>
            <w:noProof/>
            <w:webHidden/>
          </w:rPr>
          <w:fldChar w:fldCharType="end"/>
        </w:r>
      </w:hyperlink>
    </w:p>
    <w:p w14:paraId="3B3B7812" w14:textId="7F7BEBF0" w:rsidR="002361C2" w:rsidRDefault="00901575">
      <w:pPr>
        <w:pStyle w:val="TOC2"/>
        <w:rPr>
          <w:rFonts w:asciiTheme="minorHAnsi" w:eastAsiaTheme="minorEastAsia" w:hAnsiTheme="minorHAnsi" w:cstheme="minorBidi"/>
          <w:noProof/>
          <w:szCs w:val="22"/>
          <w:lang w:eastAsia="en-NZ"/>
        </w:rPr>
      </w:pPr>
      <w:hyperlink w:anchor="_Toc136265214" w:history="1">
        <w:r w:rsidR="002361C2" w:rsidRPr="00B02294">
          <w:rPr>
            <w:rStyle w:val="Hyperlink"/>
            <w:noProof/>
          </w:rPr>
          <w:t>Sample size</w:t>
        </w:r>
        <w:r w:rsidR="002361C2">
          <w:rPr>
            <w:noProof/>
            <w:webHidden/>
          </w:rPr>
          <w:tab/>
        </w:r>
        <w:r w:rsidR="002361C2">
          <w:rPr>
            <w:noProof/>
            <w:webHidden/>
          </w:rPr>
          <w:fldChar w:fldCharType="begin"/>
        </w:r>
        <w:r w:rsidR="002361C2">
          <w:rPr>
            <w:noProof/>
            <w:webHidden/>
          </w:rPr>
          <w:instrText xml:space="preserve"> PAGEREF _Toc136265214 \h </w:instrText>
        </w:r>
        <w:r w:rsidR="002361C2">
          <w:rPr>
            <w:noProof/>
            <w:webHidden/>
          </w:rPr>
        </w:r>
        <w:r w:rsidR="002361C2">
          <w:rPr>
            <w:noProof/>
            <w:webHidden/>
          </w:rPr>
          <w:fldChar w:fldCharType="separate"/>
        </w:r>
        <w:r w:rsidR="002361C2">
          <w:rPr>
            <w:noProof/>
            <w:webHidden/>
          </w:rPr>
          <w:t>12</w:t>
        </w:r>
        <w:r w:rsidR="002361C2">
          <w:rPr>
            <w:noProof/>
            <w:webHidden/>
          </w:rPr>
          <w:fldChar w:fldCharType="end"/>
        </w:r>
      </w:hyperlink>
    </w:p>
    <w:p w14:paraId="737A1829" w14:textId="0B38CC3C" w:rsidR="002361C2" w:rsidRDefault="00901575">
      <w:pPr>
        <w:pStyle w:val="TOC2"/>
        <w:rPr>
          <w:rFonts w:asciiTheme="minorHAnsi" w:eastAsiaTheme="minorEastAsia" w:hAnsiTheme="minorHAnsi" w:cstheme="minorBidi"/>
          <w:noProof/>
          <w:szCs w:val="22"/>
          <w:lang w:eastAsia="en-NZ"/>
        </w:rPr>
      </w:pPr>
      <w:hyperlink w:anchor="_Toc136265215" w:history="1">
        <w:r w:rsidR="002361C2" w:rsidRPr="00B02294">
          <w:rPr>
            <w:rStyle w:val="Hyperlink"/>
            <w:noProof/>
          </w:rPr>
          <w:t>Analysis</w:t>
        </w:r>
        <w:r w:rsidR="002361C2">
          <w:rPr>
            <w:noProof/>
            <w:webHidden/>
          </w:rPr>
          <w:tab/>
        </w:r>
        <w:r w:rsidR="002361C2">
          <w:rPr>
            <w:noProof/>
            <w:webHidden/>
          </w:rPr>
          <w:fldChar w:fldCharType="begin"/>
        </w:r>
        <w:r w:rsidR="002361C2">
          <w:rPr>
            <w:noProof/>
            <w:webHidden/>
          </w:rPr>
          <w:instrText xml:space="preserve"> PAGEREF _Toc136265215 \h </w:instrText>
        </w:r>
        <w:r w:rsidR="002361C2">
          <w:rPr>
            <w:noProof/>
            <w:webHidden/>
          </w:rPr>
        </w:r>
        <w:r w:rsidR="002361C2">
          <w:rPr>
            <w:noProof/>
            <w:webHidden/>
          </w:rPr>
          <w:fldChar w:fldCharType="separate"/>
        </w:r>
        <w:r w:rsidR="002361C2">
          <w:rPr>
            <w:noProof/>
            <w:webHidden/>
          </w:rPr>
          <w:t>13</w:t>
        </w:r>
        <w:r w:rsidR="002361C2">
          <w:rPr>
            <w:noProof/>
            <w:webHidden/>
          </w:rPr>
          <w:fldChar w:fldCharType="end"/>
        </w:r>
      </w:hyperlink>
    </w:p>
    <w:p w14:paraId="2DFDE3FE" w14:textId="690DC60E" w:rsidR="002361C2" w:rsidRDefault="00901575">
      <w:pPr>
        <w:pStyle w:val="TOC1"/>
        <w:rPr>
          <w:rFonts w:asciiTheme="minorHAnsi" w:eastAsiaTheme="minorEastAsia" w:hAnsiTheme="minorHAnsi" w:cstheme="minorBidi"/>
          <w:noProof/>
          <w:sz w:val="22"/>
          <w:szCs w:val="22"/>
          <w:lang w:eastAsia="en-NZ"/>
        </w:rPr>
      </w:pPr>
      <w:hyperlink w:anchor="_Toc136265216" w:history="1">
        <w:r w:rsidR="002361C2" w:rsidRPr="00B02294">
          <w:rPr>
            <w:rStyle w:val="Hyperlink"/>
            <w:noProof/>
          </w:rPr>
          <w:t>References</w:t>
        </w:r>
        <w:r w:rsidR="002361C2">
          <w:rPr>
            <w:noProof/>
            <w:webHidden/>
          </w:rPr>
          <w:tab/>
        </w:r>
        <w:r w:rsidR="002361C2">
          <w:rPr>
            <w:noProof/>
            <w:webHidden/>
          </w:rPr>
          <w:fldChar w:fldCharType="begin"/>
        </w:r>
        <w:r w:rsidR="002361C2">
          <w:rPr>
            <w:noProof/>
            <w:webHidden/>
          </w:rPr>
          <w:instrText xml:space="preserve"> PAGEREF _Toc136265216 \h </w:instrText>
        </w:r>
        <w:r w:rsidR="002361C2">
          <w:rPr>
            <w:noProof/>
            <w:webHidden/>
          </w:rPr>
        </w:r>
        <w:r w:rsidR="002361C2">
          <w:rPr>
            <w:noProof/>
            <w:webHidden/>
          </w:rPr>
          <w:fldChar w:fldCharType="separate"/>
        </w:r>
        <w:r w:rsidR="002361C2">
          <w:rPr>
            <w:noProof/>
            <w:webHidden/>
          </w:rPr>
          <w:t>15</w:t>
        </w:r>
        <w:r w:rsidR="002361C2">
          <w:rPr>
            <w:noProof/>
            <w:webHidden/>
          </w:rPr>
          <w:fldChar w:fldCharType="end"/>
        </w:r>
      </w:hyperlink>
    </w:p>
    <w:p w14:paraId="133A9219" w14:textId="00204DEF" w:rsidR="00C86248" w:rsidRDefault="002361C2">
      <w:r>
        <w:rPr>
          <w:rFonts w:ascii="Segoe UI Semibold" w:hAnsi="Segoe UI Semibold"/>
          <w:b/>
          <w:sz w:val="24"/>
        </w:rPr>
        <w:fldChar w:fldCharType="end"/>
      </w:r>
    </w:p>
    <w:p w14:paraId="49038387" w14:textId="77777777" w:rsidR="003A5FEA" w:rsidRDefault="003A5FEA" w:rsidP="001D3E4E">
      <w:pPr>
        <w:pStyle w:val="TOC1"/>
        <w:keepNext/>
      </w:pPr>
      <w:r>
        <w:t>List of Figures</w:t>
      </w:r>
    </w:p>
    <w:p w14:paraId="3E7D0E31" w14:textId="5905B856" w:rsidR="004F3111" w:rsidRDefault="003A5FEA">
      <w:pPr>
        <w:pStyle w:val="TOC3"/>
        <w:rPr>
          <w:rFonts w:asciiTheme="minorHAnsi" w:eastAsiaTheme="minorEastAsia" w:hAnsiTheme="minorHAnsi" w:cstheme="minorBidi"/>
          <w:noProof/>
          <w:sz w:val="22"/>
          <w:szCs w:val="22"/>
          <w:lang w:val="en-AU" w:eastAsia="en-AU"/>
        </w:rPr>
      </w:pPr>
      <w:r>
        <w:fldChar w:fldCharType="begin"/>
      </w:r>
      <w:r>
        <w:instrText xml:space="preserve"> TOC \t "Figure,3" </w:instrText>
      </w:r>
      <w:r>
        <w:fldChar w:fldCharType="separate"/>
      </w:r>
      <w:r w:rsidR="004F3111">
        <w:rPr>
          <w:noProof/>
        </w:rPr>
        <w:t>Figure 1: Smoking and vaping in people aged 15 and older, 2011/12 to 2021/22</w:t>
      </w:r>
      <w:r w:rsidR="004F3111">
        <w:rPr>
          <w:noProof/>
        </w:rPr>
        <w:tab/>
      </w:r>
      <w:r w:rsidR="004F3111">
        <w:rPr>
          <w:noProof/>
        </w:rPr>
        <w:fldChar w:fldCharType="begin"/>
      </w:r>
      <w:r w:rsidR="004F3111">
        <w:rPr>
          <w:noProof/>
        </w:rPr>
        <w:instrText xml:space="preserve"> PAGEREF _Toc135993054 \h </w:instrText>
      </w:r>
      <w:r w:rsidR="004F3111">
        <w:rPr>
          <w:noProof/>
        </w:rPr>
      </w:r>
      <w:r w:rsidR="004F3111">
        <w:rPr>
          <w:noProof/>
        </w:rPr>
        <w:fldChar w:fldCharType="separate"/>
      </w:r>
      <w:r w:rsidR="00537D83">
        <w:rPr>
          <w:noProof/>
        </w:rPr>
        <w:t>4</w:t>
      </w:r>
      <w:r w:rsidR="004F3111">
        <w:rPr>
          <w:noProof/>
        </w:rPr>
        <w:fldChar w:fldCharType="end"/>
      </w:r>
    </w:p>
    <w:p w14:paraId="5E96476A" w14:textId="2E091E91" w:rsidR="004F3111" w:rsidRDefault="004F3111">
      <w:pPr>
        <w:pStyle w:val="TOC3"/>
        <w:rPr>
          <w:rFonts w:asciiTheme="minorHAnsi" w:eastAsiaTheme="minorEastAsia" w:hAnsiTheme="minorHAnsi" w:cstheme="minorBidi"/>
          <w:noProof/>
          <w:sz w:val="22"/>
          <w:szCs w:val="22"/>
          <w:lang w:val="en-AU" w:eastAsia="en-AU"/>
        </w:rPr>
      </w:pPr>
      <w:r>
        <w:rPr>
          <w:noProof/>
        </w:rPr>
        <w:t>Figure 2: Smoking and vaping in people aged 18–24, 2011/12 to 2021/22</w:t>
      </w:r>
      <w:r>
        <w:rPr>
          <w:noProof/>
        </w:rPr>
        <w:tab/>
      </w:r>
      <w:r>
        <w:rPr>
          <w:noProof/>
        </w:rPr>
        <w:fldChar w:fldCharType="begin"/>
      </w:r>
      <w:r>
        <w:rPr>
          <w:noProof/>
        </w:rPr>
        <w:instrText xml:space="preserve"> PAGEREF _Toc135993055 \h </w:instrText>
      </w:r>
      <w:r>
        <w:rPr>
          <w:noProof/>
        </w:rPr>
      </w:r>
      <w:r>
        <w:rPr>
          <w:noProof/>
        </w:rPr>
        <w:fldChar w:fldCharType="separate"/>
      </w:r>
      <w:r w:rsidR="00537D83">
        <w:rPr>
          <w:noProof/>
        </w:rPr>
        <w:t>5</w:t>
      </w:r>
      <w:r>
        <w:rPr>
          <w:noProof/>
        </w:rPr>
        <w:fldChar w:fldCharType="end"/>
      </w:r>
    </w:p>
    <w:p w14:paraId="463E90A3" w14:textId="58BAE55C" w:rsidR="004F3111" w:rsidRDefault="004F3111">
      <w:pPr>
        <w:pStyle w:val="TOC3"/>
        <w:rPr>
          <w:rFonts w:asciiTheme="minorHAnsi" w:eastAsiaTheme="minorEastAsia" w:hAnsiTheme="minorHAnsi" w:cstheme="minorBidi"/>
          <w:noProof/>
          <w:sz w:val="22"/>
          <w:szCs w:val="22"/>
          <w:lang w:val="en-AU" w:eastAsia="en-AU"/>
        </w:rPr>
      </w:pPr>
      <w:r>
        <w:rPr>
          <w:noProof/>
        </w:rPr>
        <w:t>Figure 3: Daily vaping in people aged 15 or older, by age group, 2017/18 to 2021/22</w:t>
      </w:r>
      <w:r>
        <w:rPr>
          <w:noProof/>
        </w:rPr>
        <w:tab/>
      </w:r>
      <w:r>
        <w:rPr>
          <w:noProof/>
        </w:rPr>
        <w:fldChar w:fldCharType="begin"/>
      </w:r>
      <w:r>
        <w:rPr>
          <w:noProof/>
        </w:rPr>
        <w:instrText xml:space="preserve"> PAGEREF _Toc135993056 \h </w:instrText>
      </w:r>
      <w:r>
        <w:rPr>
          <w:noProof/>
        </w:rPr>
      </w:r>
      <w:r>
        <w:rPr>
          <w:noProof/>
        </w:rPr>
        <w:fldChar w:fldCharType="separate"/>
      </w:r>
      <w:r w:rsidR="00537D83">
        <w:rPr>
          <w:noProof/>
        </w:rPr>
        <w:t>6</w:t>
      </w:r>
      <w:r>
        <w:rPr>
          <w:noProof/>
        </w:rPr>
        <w:fldChar w:fldCharType="end"/>
      </w:r>
    </w:p>
    <w:p w14:paraId="693FA2F7" w14:textId="6ADE67D3" w:rsidR="004F3111" w:rsidRDefault="004F3111">
      <w:pPr>
        <w:pStyle w:val="TOC3"/>
        <w:rPr>
          <w:rFonts w:asciiTheme="minorHAnsi" w:eastAsiaTheme="minorEastAsia" w:hAnsiTheme="minorHAnsi" w:cstheme="minorBidi"/>
          <w:noProof/>
          <w:sz w:val="22"/>
          <w:szCs w:val="22"/>
          <w:lang w:val="en-AU" w:eastAsia="en-AU"/>
        </w:rPr>
      </w:pPr>
      <w:r>
        <w:rPr>
          <w:noProof/>
        </w:rPr>
        <w:t>Figure 4: Daily vaping in people aged 15 and older, by smoking status, 2017/18 to 2021/22</w:t>
      </w:r>
      <w:r>
        <w:rPr>
          <w:noProof/>
        </w:rPr>
        <w:tab/>
      </w:r>
      <w:r>
        <w:rPr>
          <w:noProof/>
        </w:rPr>
        <w:fldChar w:fldCharType="begin"/>
      </w:r>
      <w:r>
        <w:rPr>
          <w:noProof/>
        </w:rPr>
        <w:instrText xml:space="preserve"> PAGEREF _Toc135993057 \h </w:instrText>
      </w:r>
      <w:r>
        <w:rPr>
          <w:noProof/>
        </w:rPr>
      </w:r>
      <w:r>
        <w:rPr>
          <w:noProof/>
        </w:rPr>
        <w:fldChar w:fldCharType="separate"/>
      </w:r>
      <w:r w:rsidR="00537D83">
        <w:rPr>
          <w:noProof/>
        </w:rPr>
        <w:t>8</w:t>
      </w:r>
      <w:r>
        <w:rPr>
          <w:noProof/>
        </w:rPr>
        <w:fldChar w:fldCharType="end"/>
      </w:r>
    </w:p>
    <w:p w14:paraId="495BD132" w14:textId="0CEE4ED4" w:rsidR="004F3111" w:rsidRDefault="004F3111">
      <w:pPr>
        <w:pStyle w:val="TOC3"/>
        <w:rPr>
          <w:rFonts w:asciiTheme="minorHAnsi" w:eastAsiaTheme="minorEastAsia" w:hAnsiTheme="minorHAnsi" w:cstheme="minorBidi"/>
          <w:noProof/>
          <w:sz w:val="22"/>
          <w:szCs w:val="22"/>
          <w:lang w:val="en-AU" w:eastAsia="en-AU"/>
        </w:rPr>
      </w:pPr>
      <w:r>
        <w:rPr>
          <w:noProof/>
        </w:rPr>
        <w:t>Figure 5: Daily vaping in people aged 15 and older, by smoking status, 2017/18 to 2021/22</w:t>
      </w:r>
      <w:r>
        <w:rPr>
          <w:noProof/>
        </w:rPr>
        <w:tab/>
      </w:r>
      <w:r>
        <w:rPr>
          <w:noProof/>
        </w:rPr>
        <w:fldChar w:fldCharType="begin"/>
      </w:r>
      <w:r>
        <w:rPr>
          <w:noProof/>
        </w:rPr>
        <w:instrText xml:space="preserve"> PAGEREF _Toc135993058 \h </w:instrText>
      </w:r>
      <w:r>
        <w:rPr>
          <w:noProof/>
        </w:rPr>
      </w:r>
      <w:r>
        <w:rPr>
          <w:noProof/>
        </w:rPr>
        <w:fldChar w:fldCharType="separate"/>
      </w:r>
      <w:r w:rsidR="00537D83">
        <w:rPr>
          <w:noProof/>
        </w:rPr>
        <w:t>8</w:t>
      </w:r>
      <w:r>
        <w:rPr>
          <w:noProof/>
        </w:rPr>
        <w:fldChar w:fldCharType="end"/>
      </w:r>
    </w:p>
    <w:p w14:paraId="6275417B" w14:textId="5F7A6A68" w:rsidR="004F3111" w:rsidRDefault="004F3111">
      <w:pPr>
        <w:pStyle w:val="TOC3"/>
        <w:rPr>
          <w:rFonts w:asciiTheme="minorHAnsi" w:eastAsiaTheme="minorEastAsia" w:hAnsiTheme="minorHAnsi" w:cstheme="minorBidi"/>
          <w:noProof/>
          <w:sz w:val="22"/>
          <w:szCs w:val="22"/>
          <w:lang w:val="en-AU" w:eastAsia="en-AU"/>
        </w:rPr>
      </w:pPr>
      <w:r>
        <w:rPr>
          <w:noProof/>
        </w:rPr>
        <w:t>Figure 6: Daily vaping in people aged 15 and older, by smoking status and age group, pooled data for 2020/21 and 2021/22</w:t>
      </w:r>
      <w:r>
        <w:rPr>
          <w:noProof/>
        </w:rPr>
        <w:tab/>
      </w:r>
      <w:r>
        <w:rPr>
          <w:noProof/>
        </w:rPr>
        <w:fldChar w:fldCharType="begin"/>
      </w:r>
      <w:r>
        <w:rPr>
          <w:noProof/>
        </w:rPr>
        <w:instrText xml:space="preserve"> PAGEREF _Toc135993059 \h </w:instrText>
      </w:r>
      <w:r>
        <w:rPr>
          <w:noProof/>
        </w:rPr>
      </w:r>
      <w:r>
        <w:rPr>
          <w:noProof/>
        </w:rPr>
        <w:fldChar w:fldCharType="separate"/>
      </w:r>
      <w:r w:rsidR="00537D83">
        <w:rPr>
          <w:noProof/>
        </w:rPr>
        <w:t>10</w:t>
      </w:r>
      <w:r>
        <w:rPr>
          <w:noProof/>
        </w:rPr>
        <w:fldChar w:fldCharType="end"/>
      </w:r>
    </w:p>
    <w:p w14:paraId="475DEF1D" w14:textId="1B82E4BA" w:rsidR="004F3111" w:rsidRDefault="004F3111">
      <w:pPr>
        <w:pStyle w:val="TOC3"/>
        <w:rPr>
          <w:rFonts w:asciiTheme="minorHAnsi" w:eastAsiaTheme="minorEastAsia" w:hAnsiTheme="minorHAnsi" w:cstheme="minorBidi"/>
          <w:noProof/>
          <w:sz w:val="22"/>
          <w:szCs w:val="22"/>
          <w:lang w:val="en-AU" w:eastAsia="en-AU"/>
        </w:rPr>
      </w:pPr>
      <w:r>
        <w:rPr>
          <w:noProof/>
        </w:rPr>
        <w:t>Figure 7: Daily vaping in people aged 15 and older, by smoking status and ethnic group (total response), pooled data for 2020/21 and 2021/22</w:t>
      </w:r>
      <w:r>
        <w:rPr>
          <w:noProof/>
        </w:rPr>
        <w:tab/>
      </w:r>
      <w:r>
        <w:rPr>
          <w:noProof/>
        </w:rPr>
        <w:fldChar w:fldCharType="begin"/>
      </w:r>
      <w:r>
        <w:rPr>
          <w:noProof/>
        </w:rPr>
        <w:instrText xml:space="preserve"> PAGEREF _Toc135993060 \h </w:instrText>
      </w:r>
      <w:r>
        <w:rPr>
          <w:noProof/>
        </w:rPr>
      </w:r>
      <w:r>
        <w:rPr>
          <w:noProof/>
        </w:rPr>
        <w:fldChar w:fldCharType="separate"/>
      </w:r>
      <w:r w:rsidR="00537D83">
        <w:rPr>
          <w:noProof/>
        </w:rPr>
        <w:t>11</w:t>
      </w:r>
      <w:r>
        <w:rPr>
          <w:noProof/>
        </w:rPr>
        <w:fldChar w:fldCharType="end"/>
      </w:r>
    </w:p>
    <w:p w14:paraId="05CC63FD" w14:textId="79AB06CB" w:rsidR="003A5FEA" w:rsidRDefault="003A5FEA" w:rsidP="003A5FEA">
      <w:r>
        <w:fldChar w:fldCharType="end"/>
      </w:r>
    </w:p>
    <w:p w14:paraId="7A0E6B63" w14:textId="77777777" w:rsidR="004F3111" w:rsidRDefault="004F3111" w:rsidP="002B76A7">
      <w:pPr>
        <w:pStyle w:val="TOC1"/>
        <w:keepNext/>
        <w:sectPr w:rsidR="004F3111" w:rsidSect="0078658E">
          <w:headerReference w:type="even" r:id="rId18"/>
          <w:headerReference w:type="default" r:id="rId19"/>
          <w:footerReference w:type="even" r:id="rId20"/>
          <w:footerReference w:type="default" r:id="rId21"/>
          <w:pgSz w:w="11907" w:h="16840" w:code="9"/>
          <w:pgMar w:top="1418" w:right="1701" w:bottom="1134" w:left="1843" w:header="284" w:footer="425" w:gutter="284"/>
          <w:pgNumType w:fmt="lowerRoman"/>
          <w:cols w:space="720"/>
        </w:sectPr>
      </w:pPr>
    </w:p>
    <w:p w14:paraId="0D248541" w14:textId="2A437C90" w:rsidR="002B76A7" w:rsidRDefault="002B76A7" w:rsidP="002B76A7">
      <w:pPr>
        <w:pStyle w:val="TOC1"/>
        <w:keepNext/>
      </w:pPr>
      <w:r>
        <w:lastRenderedPageBreak/>
        <w:t>List of Tables</w:t>
      </w:r>
    </w:p>
    <w:p w14:paraId="1322AA3C" w14:textId="5A2C6133" w:rsidR="004F3111" w:rsidRDefault="002B76A7">
      <w:pPr>
        <w:pStyle w:val="TOC3"/>
        <w:rPr>
          <w:rFonts w:asciiTheme="minorHAnsi" w:eastAsiaTheme="minorEastAsia" w:hAnsiTheme="minorHAnsi" w:cstheme="minorBidi"/>
          <w:noProof/>
          <w:sz w:val="22"/>
          <w:szCs w:val="22"/>
          <w:lang w:val="en-AU" w:eastAsia="en-AU"/>
        </w:rPr>
      </w:pPr>
      <w:r>
        <w:rPr>
          <w:sz w:val="20"/>
        </w:rPr>
        <w:fldChar w:fldCharType="begin"/>
      </w:r>
      <w:r>
        <w:instrText xml:space="preserve"> TOC \t "Table,3" </w:instrText>
      </w:r>
      <w:r>
        <w:rPr>
          <w:sz w:val="20"/>
        </w:rPr>
        <w:fldChar w:fldCharType="separate"/>
      </w:r>
      <w:r w:rsidR="004F3111">
        <w:rPr>
          <w:noProof/>
        </w:rPr>
        <w:t>Table 1: Daily vaping in people aged 15 or older, 2017/18 to 2021/22</w:t>
      </w:r>
      <w:r w:rsidR="004F3111">
        <w:rPr>
          <w:noProof/>
        </w:rPr>
        <w:tab/>
      </w:r>
      <w:r w:rsidR="004F3111">
        <w:rPr>
          <w:noProof/>
        </w:rPr>
        <w:fldChar w:fldCharType="begin"/>
      </w:r>
      <w:r w:rsidR="004F3111">
        <w:rPr>
          <w:noProof/>
        </w:rPr>
        <w:instrText xml:space="preserve"> PAGEREF _Toc135993050 \h </w:instrText>
      </w:r>
      <w:r w:rsidR="004F3111">
        <w:rPr>
          <w:noProof/>
        </w:rPr>
      </w:r>
      <w:r w:rsidR="004F3111">
        <w:rPr>
          <w:noProof/>
        </w:rPr>
        <w:fldChar w:fldCharType="separate"/>
      </w:r>
      <w:r w:rsidR="00537D83">
        <w:rPr>
          <w:noProof/>
        </w:rPr>
        <w:t>5</w:t>
      </w:r>
      <w:r w:rsidR="004F3111">
        <w:rPr>
          <w:noProof/>
        </w:rPr>
        <w:fldChar w:fldCharType="end"/>
      </w:r>
    </w:p>
    <w:p w14:paraId="33E97E37" w14:textId="6B261D49" w:rsidR="004F3111" w:rsidRDefault="004F3111">
      <w:pPr>
        <w:pStyle w:val="TOC3"/>
        <w:rPr>
          <w:rFonts w:asciiTheme="minorHAnsi" w:eastAsiaTheme="minorEastAsia" w:hAnsiTheme="minorHAnsi" w:cstheme="minorBidi"/>
          <w:noProof/>
          <w:sz w:val="22"/>
          <w:szCs w:val="22"/>
          <w:lang w:val="en-AU" w:eastAsia="en-AU"/>
        </w:rPr>
      </w:pPr>
      <w:r>
        <w:rPr>
          <w:noProof/>
        </w:rPr>
        <w:t>Table 2: Daily vaping in people aged 15 and older, by smoking status and age group, pooled data for 2020/21 and 2021/22</w:t>
      </w:r>
      <w:r>
        <w:rPr>
          <w:noProof/>
        </w:rPr>
        <w:tab/>
      </w:r>
      <w:r>
        <w:rPr>
          <w:noProof/>
        </w:rPr>
        <w:fldChar w:fldCharType="begin"/>
      </w:r>
      <w:r>
        <w:rPr>
          <w:noProof/>
        </w:rPr>
        <w:instrText xml:space="preserve"> PAGEREF _Toc135993051 \h </w:instrText>
      </w:r>
      <w:r>
        <w:rPr>
          <w:noProof/>
        </w:rPr>
      </w:r>
      <w:r>
        <w:rPr>
          <w:noProof/>
        </w:rPr>
        <w:fldChar w:fldCharType="separate"/>
      </w:r>
      <w:r w:rsidR="00537D83">
        <w:rPr>
          <w:noProof/>
        </w:rPr>
        <w:t>9</w:t>
      </w:r>
      <w:r>
        <w:rPr>
          <w:noProof/>
        </w:rPr>
        <w:fldChar w:fldCharType="end"/>
      </w:r>
    </w:p>
    <w:p w14:paraId="1F9BC339" w14:textId="6421AA5F" w:rsidR="004F3111" w:rsidRDefault="004F3111">
      <w:pPr>
        <w:pStyle w:val="TOC3"/>
        <w:rPr>
          <w:rFonts w:asciiTheme="minorHAnsi" w:eastAsiaTheme="minorEastAsia" w:hAnsiTheme="minorHAnsi" w:cstheme="minorBidi"/>
          <w:noProof/>
          <w:sz w:val="22"/>
          <w:szCs w:val="22"/>
          <w:lang w:val="en-AU" w:eastAsia="en-AU"/>
        </w:rPr>
      </w:pPr>
      <w:r>
        <w:rPr>
          <w:noProof/>
        </w:rPr>
        <w:t>Table 3: Daily vaping in people aged 15 and older, by smoking status and ethnic group (total response), pooled data for 2020/21 and 2021/22</w:t>
      </w:r>
      <w:r>
        <w:rPr>
          <w:noProof/>
        </w:rPr>
        <w:tab/>
      </w:r>
      <w:r>
        <w:rPr>
          <w:noProof/>
        </w:rPr>
        <w:fldChar w:fldCharType="begin"/>
      </w:r>
      <w:r>
        <w:rPr>
          <w:noProof/>
        </w:rPr>
        <w:instrText xml:space="preserve"> PAGEREF _Toc135993052 \h </w:instrText>
      </w:r>
      <w:r>
        <w:rPr>
          <w:noProof/>
        </w:rPr>
      </w:r>
      <w:r>
        <w:rPr>
          <w:noProof/>
        </w:rPr>
        <w:fldChar w:fldCharType="separate"/>
      </w:r>
      <w:r w:rsidR="00537D83">
        <w:rPr>
          <w:noProof/>
        </w:rPr>
        <w:t>11</w:t>
      </w:r>
      <w:r>
        <w:rPr>
          <w:noProof/>
        </w:rPr>
        <w:fldChar w:fldCharType="end"/>
      </w:r>
    </w:p>
    <w:p w14:paraId="359D20DF" w14:textId="4A78CB99" w:rsidR="004F3111" w:rsidRDefault="004F3111">
      <w:pPr>
        <w:pStyle w:val="TOC3"/>
        <w:rPr>
          <w:rFonts w:asciiTheme="minorHAnsi" w:eastAsiaTheme="minorEastAsia" w:hAnsiTheme="minorHAnsi" w:cstheme="minorBidi"/>
          <w:noProof/>
          <w:sz w:val="22"/>
          <w:szCs w:val="22"/>
          <w:lang w:val="en-AU" w:eastAsia="en-AU"/>
        </w:rPr>
      </w:pPr>
      <w:r>
        <w:rPr>
          <w:noProof/>
        </w:rPr>
        <w:t>Table 4: Data collection period, sample size and response rate, 2017/18 to 2021/22</w:t>
      </w:r>
      <w:r>
        <w:rPr>
          <w:noProof/>
        </w:rPr>
        <w:tab/>
      </w:r>
      <w:r>
        <w:rPr>
          <w:noProof/>
        </w:rPr>
        <w:fldChar w:fldCharType="begin"/>
      </w:r>
      <w:r>
        <w:rPr>
          <w:noProof/>
        </w:rPr>
        <w:instrText xml:space="preserve"> PAGEREF _Toc135993053 \h </w:instrText>
      </w:r>
      <w:r>
        <w:rPr>
          <w:noProof/>
        </w:rPr>
      </w:r>
      <w:r>
        <w:rPr>
          <w:noProof/>
        </w:rPr>
        <w:fldChar w:fldCharType="separate"/>
      </w:r>
      <w:r w:rsidR="00537D83">
        <w:rPr>
          <w:noProof/>
        </w:rPr>
        <w:t>12</w:t>
      </w:r>
      <w:r>
        <w:rPr>
          <w:noProof/>
        </w:rPr>
        <w:fldChar w:fldCharType="end"/>
      </w:r>
    </w:p>
    <w:p w14:paraId="4A6797B1" w14:textId="6802E992" w:rsidR="002B76A7" w:rsidRDefault="002B76A7" w:rsidP="003A5FEA">
      <w:r>
        <w:fldChar w:fldCharType="end"/>
      </w:r>
    </w:p>
    <w:p w14:paraId="5DDB57FC" w14:textId="77777777" w:rsidR="001D3E4E" w:rsidRDefault="001D3E4E" w:rsidP="003A5FEA"/>
    <w:p w14:paraId="42CB3D8F" w14:textId="77777777" w:rsidR="001D3E4E" w:rsidRDefault="001D3E4E" w:rsidP="003A5FEA">
      <w:pPr>
        <w:sectPr w:rsidR="001D3E4E" w:rsidSect="0078658E">
          <w:footerReference w:type="even" r:id="rId22"/>
          <w:pgSz w:w="11907" w:h="16840" w:code="9"/>
          <w:pgMar w:top="1418" w:right="1701" w:bottom="1134" w:left="1843" w:header="284" w:footer="425" w:gutter="284"/>
          <w:pgNumType w:fmt="lowerRoman"/>
          <w:cols w:space="720"/>
        </w:sectPr>
      </w:pPr>
    </w:p>
    <w:p w14:paraId="6889BC0F" w14:textId="77777777" w:rsidR="009A42D5" w:rsidRPr="0043478F" w:rsidRDefault="009A42D5" w:rsidP="0008437D">
      <w:pPr>
        <w:ind w:left="-2268" w:right="-1701"/>
      </w:pPr>
    </w:p>
    <w:p w14:paraId="7A9F75C6" w14:textId="77777777" w:rsidR="004F3111" w:rsidRPr="00593A78" w:rsidRDefault="004F3111" w:rsidP="004F3111">
      <w:pPr>
        <w:pStyle w:val="Heading1"/>
        <w:spacing w:before="0"/>
      </w:pPr>
      <w:bookmarkStart w:id="3" w:name="_Toc135985865"/>
      <w:bookmarkStart w:id="4" w:name="_Toc136265204"/>
      <w:r w:rsidRPr="00593A78">
        <w:t>Key findings</w:t>
      </w:r>
      <w:bookmarkEnd w:id="3"/>
      <w:bookmarkEnd w:id="4"/>
    </w:p>
    <w:p w14:paraId="52761BE6" w14:textId="77777777" w:rsidR="004F3111" w:rsidRPr="004F3111" w:rsidRDefault="004F3111" w:rsidP="004F3111">
      <w:pPr>
        <w:pStyle w:val="Bullet"/>
      </w:pPr>
      <w:r w:rsidRPr="004F3111">
        <w:t xml:space="preserve">In 2021/22, 1 in 12 people aged 15 or older (8.3%) were daily vapers (346,000 people). This is a large increase since 2019/20, when about 1 in 30 people (3.5%) were daily vapers (144,000 people). </w:t>
      </w:r>
    </w:p>
    <w:p w14:paraId="181920D9" w14:textId="77777777" w:rsidR="004F3111" w:rsidRPr="004F3111" w:rsidRDefault="004F3111" w:rsidP="004F3111">
      <w:pPr>
        <w:pStyle w:val="Bullet"/>
      </w:pPr>
      <w:r w:rsidRPr="004F3111">
        <w:t>Young people aged 18–24 had the highest rate of daily vaping in 2021/22 (22.9%), up from 5.0% in 2019/20.</w:t>
      </w:r>
    </w:p>
    <w:p w14:paraId="170DD397" w14:textId="77777777" w:rsidR="004F3111" w:rsidRPr="004F3111" w:rsidRDefault="004F3111" w:rsidP="004F3111">
      <w:pPr>
        <w:pStyle w:val="Bullet"/>
      </w:pPr>
      <w:r w:rsidRPr="004F3111">
        <w:t>The majority of daily vapers aged 15 or older were either ex-smokers or current smokers. In 2021/22, 56% of daily vapers were ex-smokers and 22% were current smokers (that is, dual users).</w:t>
      </w:r>
    </w:p>
    <w:p w14:paraId="087B0886" w14:textId="77777777" w:rsidR="004F3111" w:rsidRPr="004F3111" w:rsidRDefault="004F3111" w:rsidP="004F3111">
      <w:pPr>
        <w:pStyle w:val="Bullet"/>
      </w:pPr>
      <w:r w:rsidRPr="004F3111">
        <w:t>A relatively small, but increasing, proportion of daily vapers are people who have never been smokers. In 2021/22, 18% of daily vapers were never-smokers, up from 7% in 2017/18.</w:t>
      </w:r>
    </w:p>
    <w:p w14:paraId="7302A6C9" w14:textId="77777777" w:rsidR="004F3111" w:rsidRPr="004F3111" w:rsidRDefault="004F3111" w:rsidP="004F3111">
      <w:pPr>
        <w:pStyle w:val="Bullet"/>
      </w:pPr>
      <w:r w:rsidRPr="004F3111">
        <w:t xml:space="preserve">The smoking status of daily vapers varies by age. Among daily vapers aged 25 or older, nearly all were ex-smokers (64%) or current smokers (26%). </w:t>
      </w:r>
    </w:p>
    <w:p w14:paraId="47C5705E" w14:textId="77777777" w:rsidR="004F3111" w:rsidRPr="004F3111" w:rsidRDefault="004F3111" w:rsidP="004F3111">
      <w:pPr>
        <w:pStyle w:val="Bullet"/>
      </w:pPr>
      <w:r w:rsidRPr="004F3111">
        <w:t>Among daily vapers aged 18–24, 33% were ex-smokers, 21% were current smokers (that is, dual users), and 37% were never-smokers (based on pooled data for 2020/21 and 2021/22).</w:t>
      </w:r>
    </w:p>
    <w:p w14:paraId="7C74B005" w14:textId="77777777" w:rsidR="004F3111" w:rsidRPr="004F3111" w:rsidRDefault="004F3111" w:rsidP="004F3111">
      <w:pPr>
        <w:pStyle w:val="Bullet"/>
      </w:pPr>
      <w:r w:rsidRPr="004F3111">
        <w:t>Estimates for young people aged 15–17 are based on small numbers and should be interpreted with caution. Based on pooled data for 2020/21 and 2021/22, 1 in 14 young people aged 15–17 (6.9%) were daily vapers. Of these, 76% were never-smokers, 18% were ex-smokers and 6% were current smokers. This age group accounted for 4% of all daily vapers.</w:t>
      </w:r>
    </w:p>
    <w:p w14:paraId="2391A2E9" w14:textId="7A4C8A35" w:rsidR="004F3111" w:rsidRDefault="004F3111" w:rsidP="004F3111">
      <w:pPr>
        <w:pStyle w:val="Bullet"/>
      </w:pPr>
      <w:r w:rsidRPr="004F3111">
        <w:t xml:space="preserve">In all ethnic groups, about half of daily vapers were ex-smokers. The proportion of daily vapers who were also current smokers (that is, dual users) was: Māori (28%), Pacific (35%), Asian (14%), European/Other (23%). The proportion of daily vapers who were never-smokers was: Māori (16%), Pacific (12%), Asian (28%) and European/Other (18%). </w:t>
      </w:r>
    </w:p>
    <w:p w14:paraId="13E37D63" w14:textId="77777777" w:rsidR="004F3111" w:rsidRDefault="004F3111" w:rsidP="004F3111">
      <w:pPr>
        <w:sectPr w:rsidR="004F3111" w:rsidSect="004F3111">
          <w:headerReference w:type="default" r:id="rId23"/>
          <w:footerReference w:type="even" r:id="rId24"/>
          <w:footerReference w:type="default" r:id="rId25"/>
          <w:pgSz w:w="11907" w:h="16834" w:code="9"/>
          <w:pgMar w:top="1135" w:right="1701" w:bottom="1134" w:left="1843" w:header="284" w:footer="425" w:gutter="284"/>
          <w:pgNumType w:start="1"/>
          <w:cols w:space="720"/>
        </w:sectPr>
      </w:pPr>
    </w:p>
    <w:p w14:paraId="325C3DD0" w14:textId="77777777" w:rsidR="004F3111" w:rsidRPr="00593A78" w:rsidRDefault="004F3111" w:rsidP="004F3111">
      <w:pPr>
        <w:pStyle w:val="Heading1"/>
        <w:spacing w:before="0"/>
      </w:pPr>
      <w:bookmarkStart w:id="5" w:name="_Toc135985866"/>
      <w:bookmarkStart w:id="6" w:name="_Toc136265205"/>
      <w:r w:rsidRPr="00593A78">
        <w:lastRenderedPageBreak/>
        <w:t>Introduction</w:t>
      </w:r>
      <w:bookmarkEnd w:id="5"/>
      <w:bookmarkEnd w:id="6"/>
    </w:p>
    <w:p w14:paraId="17BC148E" w14:textId="77777777" w:rsidR="004F3111" w:rsidRPr="00593A78" w:rsidRDefault="004F3111" w:rsidP="004F3111">
      <w:r w:rsidRPr="00593A78">
        <w:t xml:space="preserve">Smoking is a leading cause of potentially avoidable health loss in Aotearoa New Zealand and globally. In 2019, smoking accounted for 9.6% of all illness and premature mortality in New Zealand. This included about 4,800 deaths from tobacco smoking and 350 deaths from second-hand smoking (Global Burden of Disease 2023). </w:t>
      </w:r>
    </w:p>
    <w:p w14:paraId="256D43B6" w14:textId="77777777" w:rsidR="004F3111" w:rsidRPr="00593A78" w:rsidRDefault="004F3111" w:rsidP="004F3111"/>
    <w:p w14:paraId="6BCB5277" w14:textId="77777777" w:rsidR="004F3111" w:rsidRPr="00593A78" w:rsidRDefault="004F3111" w:rsidP="004F3111">
      <w:r w:rsidRPr="00593A78">
        <w:t>In 2011, the Government set a goal for Smokefree 2025. In 2021, the Smokefree Aotearoa 2025 Action Plan was launched to accelerate progress towards a smokefree future (Ministry of Health 2021). The goal of the Action Plan is to reduce daily smoking prevalence to less than 5% for all population groups in New Zealand by 2025. The Action Plan has 3 main outcomes: eliminate inequities in smoking rates and smoking-related illnesses, create a smokefree generation by increasing the number of children and young people who remain smokefree, and increasing the number of people who successfully quit smoking.</w:t>
      </w:r>
    </w:p>
    <w:p w14:paraId="722785A8" w14:textId="77777777" w:rsidR="004F3111" w:rsidRPr="00593A78" w:rsidRDefault="004F3111" w:rsidP="004F3111"/>
    <w:p w14:paraId="713F638E" w14:textId="77777777" w:rsidR="004F3111" w:rsidRPr="00593A78" w:rsidRDefault="004F3111" w:rsidP="004F3111">
      <w:pPr>
        <w:rPr>
          <w:rFonts w:eastAsia="Segoe UI" w:cs="Segoe UI"/>
          <w:color w:val="444444"/>
        </w:rPr>
      </w:pPr>
      <w:r w:rsidRPr="00593A78">
        <w:t>Vaping products have the potential to contribute to the Smokefree 2025 goal by helping smokers quit or reduce the number of cigarettes they smoke. However, it is important that children, young people and non-smokers do not vape because vaping does have risks (although it is significantly safer than smoking). Vaping refers to the use of an electronic device that heats a liquid turning it into an aerosol (vapour) which the user inhales.</w:t>
      </w:r>
    </w:p>
    <w:p w14:paraId="27DB4396" w14:textId="77777777" w:rsidR="004F3111" w:rsidRPr="00593A78" w:rsidRDefault="004F3111" w:rsidP="004F3111">
      <w:pPr>
        <w:rPr>
          <w:rStyle w:val="Hyperlink"/>
          <w:b w:val="0"/>
          <w:color w:val="000000" w:themeColor="text1"/>
        </w:rPr>
      </w:pPr>
    </w:p>
    <w:p w14:paraId="21BC94DB" w14:textId="52BC58A9" w:rsidR="004F3111" w:rsidRPr="00593A78" w:rsidRDefault="004F3111" w:rsidP="004F3111">
      <w:r w:rsidRPr="00593A78">
        <w:t xml:space="preserve">The New Zealand Health Survey is a key tool for monitoring smoking and vaping among people aged 15 and older. Data from the survey shows that smoking rates are declining, while vaping rates are increasing. </w:t>
      </w:r>
      <w:r w:rsidR="009552C6">
        <w:t xml:space="preserve">Since </w:t>
      </w:r>
      <w:r w:rsidR="00AE42B1">
        <w:t>2019/20</w:t>
      </w:r>
      <w:r w:rsidRPr="00593A78">
        <w:t xml:space="preserve"> increases in vaping have exceeded declines in smoking, especially among young people. This suggests that some people who have never smoked are taking up vaping. </w:t>
      </w:r>
    </w:p>
    <w:p w14:paraId="5AA75459" w14:textId="77777777" w:rsidR="004F3111" w:rsidRPr="00593A78" w:rsidRDefault="004F3111" w:rsidP="004F3111"/>
    <w:p w14:paraId="605BBC69" w14:textId="77777777" w:rsidR="004F3111" w:rsidRPr="00593A78" w:rsidRDefault="004F3111" w:rsidP="004F3111">
      <w:r w:rsidRPr="00593A78">
        <w:t>The main purpose of this report is to determine the smoking status (current smoker, ex-smoker, never-smoker) of daily vapers. The report includes the following:</w:t>
      </w:r>
    </w:p>
    <w:p w14:paraId="3A57FF6E" w14:textId="77777777" w:rsidR="004F3111" w:rsidRPr="00593A78" w:rsidRDefault="004F3111" w:rsidP="004F3111">
      <w:pPr>
        <w:pStyle w:val="Bullet"/>
      </w:pPr>
      <w:r w:rsidRPr="00593A78">
        <w:t xml:space="preserve">trends in smoking (2011/12 to 2021/22) and vaping (2017/18 to 2021/22) </w:t>
      </w:r>
    </w:p>
    <w:p w14:paraId="5CEEFF64" w14:textId="77777777" w:rsidR="004F3111" w:rsidRPr="00593A78" w:rsidRDefault="004F3111" w:rsidP="004F3111">
      <w:pPr>
        <w:pStyle w:val="Bullet"/>
      </w:pPr>
      <w:r w:rsidRPr="00593A78">
        <w:t>trends in daily vaping by smoking status (2017/18 to 2021/22)</w:t>
      </w:r>
    </w:p>
    <w:p w14:paraId="57C896C3" w14:textId="77777777" w:rsidR="004F3111" w:rsidRPr="00593A78" w:rsidRDefault="004F3111" w:rsidP="004F3111">
      <w:pPr>
        <w:pStyle w:val="Bullet"/>
      </w:pPr>
      <w:r w:rsidRPr="00593A78">
        <w:t>daily vaping by smoking status for population subgroups (2020/21 and 2021/22 combined).</w:t>
      </w:r>
    </w:p>
    <w:p w14:paraId="454CA536" w14:textId="77777777" w:rsidR="004F3111" w:rsidRPr="00593A78" w:rsidRDefault="004F3111" w:rsidP="004F3111">
      <w:pPr>
        <w:pStyle w:val="Heading3"/>
      </w:pPr>
      <w:r w:rsidRPr="00593A78">
        <w:t>Things to consider when interpreting results</w:t>
      </w:r>
    </w:p>
    <w:p w14:paraId="286AD173" w14:textId="77777777" w:rsidR="004F3111" w:rsidRPr="00593A78" w:rsidRDefault="004F3111" w:rsidP="004F3111">
      <w:r w:rsidRPr="00593A78">
        <w:t xml:space="preserve">Keep these factors in mind when interpreting findings in this report. </w:t>
      </w:r>
    </w:p>
    <w:p w14:paraId="24F1F189" w14:textId="77777777" w:rsidR="004F3111" w:rsidRPr="00593A78" w:rsidRDefault="004F3111" w:rsidP="004F3111">
      <w:pPr>
        <w:pStyle w:val="Heading4"/>
      </w:pPr>
      <w:r w:rsidRPr="00593A78">
        <w:t xml:space="preserve">Sample sizes </w:t>
      </w:r>
    </w:p>
    <w:p w14:paraId="70CBD68E" w14:textId="3DAD32BB" w:rsidR="004F3111" w:rsidRPr="00593A78" w:rsidRDefault="004F3111" w:rsidP="004F3111">
      <w:r w:rsidRPr="00593A78">
        <w:t xml:space="preserve">The sample refers to both the total sample size (denominator) and the number of people vaping or smoking (numerator). While the total sample sizes for the 2017/18 and 2018/19 surveys were at usual levels (about 13,500 people aged 15 or older), rates of vaping were low during these years. Vaping rates have increased in the last few </w:t>
      </w:r>
      <w:r w:rsidRPr="00593A78">
        <w:lastRenderedPageBreak/>
        <w:t xml:space="preserve">years, but the total sample sizes for surveys from 2019/20 to 2021/22 were reduced due to COVID-19 (see </w:t>
      </w:r>
      <w:r>
        <w:fldChar w:fldCharType="begin"/>
      </w:r>
      <w:r>
        <w:instrText xml:space="preserve"> REF _Ref135992940 \h </w:instrText>
      </w:r>
      <w:r>
        <w:fldChar w:fldCharType="separate"/>
      </w:r>
      <w:r>
        <w:t xml:space="preserve">Table </w:t>
      </w:r>
      <w:r>
        <w:rPr>
          <w:noProof/>
        </w:rPr>
        <w:t>4</w:t>
      </w:r>
      <w:r>
        <w:fldChar w:fldCharType="end"/>
      </w:r>
      <w:r w:rsidRPr="00593A78">
        <w:t xml:space="preserve"> in the Methods section). </w:t>
      </w:r>
    </w:p>
    <w:p w14:paraId="56F2F1DB" w14:textId="77777777" w:rsidR="004F3111" w:rsidRPr="00593A78" w:rsidRDefault="004F3111" w:rsidP="004F3111"/>
    <w:p w14:paraId="41354A88" w14:textId="419B557B" w:rsidR="004F3111" w:rsidRPr="00593A78" w:rsidRDefault="004F3111" w:rsidP="004F3111">
      <w:r w:rsidRPr="00593A78">
        <w:t xml:space="preserve">The sample size (numerator and/or denominator) limited our analysis. For example, it was not possible to </w:t>
      </w:r>
      <w:r w:rsidR="00037E97">
        <w:t>analyse</w:t>
      </w:r>
      <w:r w:rsidRPr="00593A78">
        <w:t xml:space="preserve"> annual trends in the smoking status of daily vapers for population subgroups. To understand patterns by age and ethnic group, we pooled data across the last 2 survey years (2020/21 and 2021/22). </w:t>
      </w:r>
    </w:p>
    <w:p w14:paraId="3479136E" w14:textId="77777777" w:rsidR="004F3111" w:rsidRPr="00593A78" w:rsidRDefault="004F3111" w:rsidP="004F3111">
      <w:pPr>
        <w:pStyle w:val="Heading4"/>
      </w:pPr>
      <w:r w:rsidRPr="00593A78">
        <w:t xml:space="preserve">Reliability of results </w:t>
      </w:r>
    </w:p>
    <w:p w14:paraId="23EB3C81" w14:textId="77777777" w:rsidR="004F3111" w:rsidRPr="00593A78" w:rsidRDefault="004F3111" w:rsidP="004F3111">
      <w:r w:rsidRPr="00593A78">
        <w:t xml:space="preserve">All survey estimates have a margin of error. We use 95% confidence intervals to indicate the uncertainty in an estimate due to collecting data from only a sample of the population. Wider confidence intervals indicate less precise estimates due to smaller numbers in a sample and/or higher variation within a sample. </w:t>
      </w:r>
    </w:p>
    <w:p w14:paraId="127CD6AA" w14:textId="77777777" w:rsidR="004F3111" w:rsidRPr="00593A78" w:rsidRDefault="004F3111" w:rsidP="004F3111"/>
    <w:p w14:paraId="5A43FB44" w14:textId="77777777" w:rsidR="004F3111" w:rsidRPr="00593A78" w:rsidRDefault="004F3111" w:rsidP="004F3111">
      <w:r w:rsidRPr="00593A78">
        <w:t xml:space="preserve">A difference over time or between population subgroups is statistically significant if the 95% confidence intervals do not overlap. In tables, the 95% confidence intervals are shown in parentheses after the point estimate. In charts, the 95% confidence intervals are represented by error bars. </w:t>
      </w:r>
    </w:p>
    <w:p w14:paraId="7D0B52CA" w14:textId="77777777" w:rsidR="004F3111" w:rsidRPr="00593A78" w:rsidRDefault="004F3111" w:rsidP="004F3111"/>
    <w:p w14:paraId="36740F96" w14:textId="77777777" w:rsidR="004F3111" w:rsidRPr="00593A78" w:rsidRDefault="004F3111" w:rsidP="004F3111">
      <w:r w:rsidRPr="00593A78">
        <w:t>We also use the relative standard error (RSE) to indicate data quality. The RSE is a measure of the size of the standard error relative to the estimate. If the RSE is over 30%, estimates are flagged in tables and graphs to recommend caution when interpreting these estimates.</w:t>
      </w:r>
    </w:p>
    <w:p w14:paraId="1D86BF3E" w14:textId="77777777" w:rsidR="004F3111" w:rsidRPr="00593A78" w:rsidRDefault="004F3111" w:rsidP="004F3111">
      <w:pPr>
        <w:pStyle w:val="Heading4"/>
      </w:pPr>
      <w:r w:rsidRPr="00593A78">
        <w:t>Results are for people aged 15 and older</w:t>
      </w:r>
    </w:p>
    <w:p w14:paraId="55636784" w14:textId="4AD8A580" w:rsidR="004F3111" w:rsidRPr="00593A78" w:rsidRDefault="004F3111" w:rsidP="004F3111">
      <w:r w:rsidRPr="00593A78">
        <w:t>Data on smoking and vaping is collected as part of the New Zealand Health Survey 'adult' questionnaire, which is for people aged 15 and older. It is illegal to sell tobacco and vapes to people under 18, so results for young people aged 15–17 are reported separately where possible. We recommend caution when interpreting this data as the very small group means results have lower reliability.</w:t>
      </w:r>
    </w:p>
    <w:p w14:paraId="6187236B" w14:textId="77777777" w:rsidR="004F3111" w:rsidRPr="00593A78" w:rsidRDefault="004F3111" w:rsidP="004F3111">
      <w:pPr>
        <w:pStyle w:val="Heading4"/>
      </w:pPr>
      <w:r w:rsidRPr="00593A78">
        <w:t>Some 2021/22 results were collected by video interview</w:t>
      </w:r>
    </w:p>
    <w:p w14:paraId="1866B25D" w14:textId="77777777" w:rsidR="004F3111" w:rsidRPr="00593A78" w:rsidRDefault="004F3111" w:rsidP="004F3111">
      <w:pPr>
        <w:spacing w:before="200"/>
      </w:pPr>
      <w:r w:rsidRPr="00593A78">
        <w:t>The survey is usually conducted as a face-to-face interview in the respondent’s home. However, in 2021/22 about one-third of interviews were completed by video due to COVID-19 restrictions. The video interview replicated the in-person interview as much as possible and is of high quality in the context of the COVID-19 pandemic. Analysis of data by survey mode (face-to-face and video) showed no difference for most key indicators. If there was a difference, it was small relative to sampling errors.</w:t>
      </w:r>
    </w:p>
    <w:p w14:paraId="36D5623E" w14:textId="77777777" w:rsidR="004F3111" w:rsidRPr="00593A78" w:rsidRDefault="004F3111" w:rsidP="004F3111">
      <w:pPr>
        <w:pStyle w:val="Heading4"/>
      </w:pPr>
      <w:r w:rsidRPr="00593A78">
        <w:t>Data on smoking and vaping is self-reported</w:t>
      </w:r>
    </w:p>
    <w:p w14:paraId="3326B0CD" w14:textId="77777777" w:rsidR="004F3111" w:rsidRPr="00593A78" w:rsidRDefault="004F3111" w:rsidP="004F3111">
      <w:pPr>
        <w:rPr>
          <w:b/>
          <w:color w:val="0A6AB4"/>
          <w:spacing w:val="-5"/>
          <w:sz w:val="48"/>
        </w:rPr>
      </w:pPr>
      <w:r w:rsidRPr="00593A78">
        <w:t>Data on smoking and vaping is self-reported. People may over-report good behaviours or under-report risky behaviours based on what they consider socially desirable. Every effort is made to minimise misreporting in the New Zealand Health Survey, including using highly trained interviewers to conduct in-person interviews.</w:t>
      </w:r>
      <w:r w:rsidRPr="00593A78">
        <w:br w:type="page"/>
      </w:r>
    </w:p>
    <w:p w14:paraId="6E597EDD" w14:textId="77777777" w:rsidR="004F3111" w:rsidRPr="00593A78" w:rsidRDefault="004F3111" w:rsidP="004F3111">
      <w:pPr>
        <w:pStyle w:val="Heading1"/>
      </w:pPr>
      <w:bookmarkStart w:id="7" w:name="_Toc135985867"/>
      <w:bookmarkStart w:id="8" w:name="_Toc136265206"/>
      <w:r w:rsidRPr="00593A78">
        <w:lastRenderedPageBreak/>
        <w:t>Trends in smoking and vaping</w:t>
      </w:r>
      <w:bookmarkEnd w:id="7"/>
      <w:bookmarkEnd w:id="8"/>
    </w:p>
    <w:p w14:paraId="7A64CEAE" w14:textId="77777777" w:rsidR="004F3111" w:rsidRPr="00593A78" w:rsidRDefault="004F3111" w:rsidP="004F3111">
      <w:r w:rsidRPr="00593A78">
        <w:t xml:space="preserve">This section summarises key trends in smoking and vaping to provide some context for the new analysis in this report. Most data in this section is published in the </w:t>
      </w:r>
      <w:r w:rsidRPr="00593A78">
        <w:rPr>
          <w:i/>
          <w:iCs/>
        </w:rPr>
        <w:t>Annual Data Explorer</w:t>
      </w:r>
      <w:r w:rsidRPr="00593A78">
        <w:t xml:space="preserve"> 2021/22 (Ministry of Health 2022a).</w:t>
      </w:r>
    </w:p>
    <w:p w14:paraId="0859E6B8" w14:textId="77777777" w:rsidR="004F3111" w:rsidRPr="00593A78" w:rsidRDefault="004F3111" w:rsidP="004F3111"/>
    <w:p w14:paraId="7BF4DDE8" w14:textId="77777777" w:rsidR="004F3111" w:rsidRPr="00593A78" w:rsidRDefault="004F3111" w:rsidP="004F3111">
      <w:r w:rsidRPr="00593A78">
        <w:t xml:space="preserve">The New Zealand Health Survey has collected data on smoking in people aged 15 or older annually since 2011/12. Questions on vaping were first asked in 2015/16 as part of a tobacco use module, and these questions were added to the annual survey in 2017/18. The prevalence of daily vaping was very low in 2015/16 (0.9%), so this report focuses on data since 2017/18. </w:t>
      </w:r>
    </w:p>
    <w:p w14:paraId="7BF20EE7" w14:textId="77777777" w:rsidR="004F3111" w:rsidRPr="00593A78" w:rsidRDefault="004F3111" w:rsidP="004F3111"/>
    <w:p w14:paraId="1032BD6A" w14:textId="5C6AA5F3" w:rsidR="004F3111" w:rsidRPr="00593A78" w:rsidRDefault="004F3111" w:rsidP="004F3111">
      <w:r>
        <w:fldChar w:fldCharType="begin"/>
      </w:r>
      <w:r>
        <w:instrText xml:space="preserve"> REF _Ref135993074 \h </w:instrText>
      </w:r>
      <w:r>
        <w:fldChar w:fldCharType="separate"/>
      </w:r>
      <w:r>
        <w:t xml:space="preserve">Figure </w:t>
      </w:r>
      <w:r>
        <w:rPr>
          <w:noProof/>
        </w:rPr>
        <w:t>1</w:t>
      </w:r>
      <w:r>
        <w:fldChar w:fldCharType="end"/>
      </w:r>
      <w:r w:rsidRPr="00593A78">
        <w:t xml:space="preserve"> shows trends in the prevalence of smoking and vaping in people aged 15 and older. The prevalence of smoking (current and daily) has been declining since 2011/12, </w:t>
      </w:r>
      <w:r w:rsidR="00D34905">
        <w:t xml:space="preserve">with </w:t>
      </w:r>
      <w:r w:rsidR="002C4E82">
        <w:t>a greater rate of decline over the last 2 survey years. T</w:t>
      </w:r>
      <w:r w:rsidRPr="00593A78">
        <w:t>he prevalence of vaping has been increasing since 2017/18</w:t>
      </w:r>
      <w:r w:rsidR="00DF0C71">
        <w:t xml:space="preserve">, with more rapid increases </w:t>
      </w:r>
      <w:r w:rsidR="00F9492B">
        <w:t xml:space="preserve">over the last 2 </w:t>
      </w:r>
      <w:r w:rsidR="00810D65">
        <w:t xml:space="preserve">survey </w:t>
      </w:r>
      <w:r w:rsidR="00F9492B">
        <w:t>years</w:t>
      </w:r>
      <w:r w:rsidRPr="00593A78">
        <w:t>.</w:t>
      </w:r>
      <w:r w:rsidR="00B0096A">
        <w:t xml:space="preserve"> </w:t>
      </w:r>
      <w:r w:rsidRPr="00593A78">
        <w:t>In 2021/22, the prevalence of current vaping was higher than the prevalence of current smoking for the first time, although the difference was not statistically significant.</w:t>
      </w:r>
    </w:p>
    <w:p w14:paraId="05994AFA" w14:textId="77777777" w:rsidR="004F3111" w:rsidRPr="00593A78" w:rsidRDefault="004F3111" w:rsidP="004F3111"/>
    <w:p w14:paraId="64DE0686" w14:textId="17B7B732" w:rsidR="004F3111" w:rsidRDefault="004F3111" w:rsidP="004F3111">
      <w:pPr>
        <w:pStyle w:val="Figure"/>
      </w:pPr>
      <w:bookmarkStart w:id="9" w:name="_Ref135993074"/>
      <w:bookmarkStart w:id="10" w:name="_Toc135985878"/>
      <w:bookmarkStart w:id="11" w:name="_Toc135993054"/>
      <w:r>
        <w:t xml:space="preserve">Figure </w:t>
      </w:r>
      <w:fldSimple w:instr=" SEQ Figure \* ARABIC ">
        <w:r>
          <w:rPr>
            <w:noProof/>
          </w:rPr>
          <w:t>1</w:t>
        </w:r>
      </w:fldSimple>
      <w:bookmarkEnd w:id="9"/>
      <w:r>
        <w:t xml:space="preserve">: </w:t>
      </w:r>
      <w:r w:rsidRPr="00593A78">
        <w:t>Smoking and vaping in people aged 15 and older, 2011/12 to 2021/22</w:t>
      </w:r>
      <w:bookmarkEnd w:id="10"/>
      <w:bookmarkEnd w:id="11"/>
    </w:p>
    <w:p w14:paraId="12013677" w14:textId="744A46AC" w:rsidR="004F3111" w:rsidRPr="004F3111" w:rsidRDefault="001C5880" w:rsidP="004F3111">
      <w:r>
        <w:rPr>
          <w:noProof/>
        </w:rPr>
        <w:drawing>
          <wp:inline distT="0" distB="0" distL="0" distR="0" wp14:anchorId="352E0B60" wp14:editId="7DABB48E">
            <wp:extent cx="5117885" cy="2980707"/>
            <wp:effectExtent l="0" t="0" r="6985"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31047" cy="2988373"/>
                    </a:xfrm>
                    <a:prstGeom prst="rect">
                      <a:avLst/>
                    </a:prstGeom>
                    <a:noFill/>
                  </pic:spPr>
                </pic:pic>
              </a:graphicData>
            </a:graphic>
          </wp:inline>
        </w:drawing>
      </w:r>
    </w:p>
    <w:p w14:paraId="56BD4664" w14:textId="77777777" w:rsidR="004F3111" w:rsidRPr="00593A78" w:rsidRDefault="004F3111" w:rsidP="004F3111">
      <w:pPr>
        <w:pStyle w:val="Note"/>
      </w:pPr>
      <w:r>
        <w:t xml:space="preserve">Note: </w:t>
      </w:r>
      <w:r w:rsidRPr="00593A78">
        <w:t>current = at least monthly (includes daily)</w:t>
      </w:r>
    </w:p>
    <w:p w14:paraId="3642461E" w14:textId="77777777" w:rsidR="004F3111" w:rsidRPr="00593A78" w:rsidRDefault="004F3111" w:rsidP="004F3111"/>
    <w:p w14:paraId="2788B3EF" w14:textId="177410C9" w:rsidR="004F3111" w:rsidRPr="00593A78" w:rsidRDefault="004F3111" w:rsidP="004F3111">
      <w:r w:rsidRPr="00593A78">
        <w:t>Vaping rates are highest in young people aged 18–24. Vaping rates in this age group have increased rapidly over the last 2 survey years, with increases greatly exceeding declines in smoking (</w:t>
      </w:r>
      <w:r>
        <w:fldChar w:fldCharType="begin"/>
      </w:r>
      <w:r>
        <w:instrText xml:space="preserve"> REF _Ref135993083 \h </w:instrText>
      </w:r>
      <w:r>
        <w:fldChar w:fldCharType="separate"/>
      </w:r>
      <w:r>
        <w:t xml:space="preserve">Figure </w:t>
      </w:r>
      <w:r>
        <w:rPr>
          <w:noProof/>
        </w:rPr>
        <w:t>2</w:t>
      </w:r>
      <w:r>
        <w:fldChar w:fldCharType="end"/>
      </w:r>
      <w:r w:rsidRPr="00593A78">
        <w:t>). The prevalence of vaping in this age group began to exceed the prevalence of smoking in about 2019/20.</w:t>
      </w:r>
    </w:p>
    <w:p w14:paraId="230377DF" w14:textId="678B0EBA" w:rsidR="004F3111" w:rsidRPr="00593A78" w:rsidRDefault="004F3111" w:rsidP="004F3111">
      <w:pPr>
        <w:pStyle w:val="Figure"/>
      </w:pPr>
      <w:bookmarkStart w:id="12" w:name="_Ref135993083"/>
      <w:bookmarkStart w:id="13" w:name="_Toc135985879"/>
      <w:bookmarkStart w:id="14" w:name="_Toc135993055"/>
      <w:r>
        <w:lastRenderedPageBreak/>
        <w:t xml:space="preserve">Figure </w:t>
      </w:r>
      <w:fldSimple w:instr=" SEQ Figure \* ARABIC ">
        <w:r>
          <w:rPr>
            <w:noProof/>
          </w:rPr>
          <w:t>2</w:t>
        </w:r>
      </w:fldSimple>
      <w:bookmarkEnd w:id="12"/>
      <w:r>
        <w:t xml:space="preserve">: </w:t>
      </w:r>
      <w:r w:rsidRPr="00593A78">
        <w:t>Smoking and vaping in people aged 18–24, 2011/12 to 2021/22</w:t>
      </w:r>
      <w:bookmarkEnd w:id="13"/>
      <w:bookmarkEnd w:id="14"/>
    </w:p>
    <w:p w14:paraId="571A6806" w14:textId="644B8B79" w:rsidR="004F3111" w:rsidRPr="00593A78" w:rsidRDefault="001C5880" w:rsidP="004F3111">
      <w:r>
        <w:rPr>
          <w:noProof/>
        </w:rPr>
        <w:drawing>
          <wp:inline distT="0" distB="0" distL="0" distR="0" wp14:anchorId="7D8C0E48" wp14:editId="3F3A9D54">
            <wp:extent cx="5120631" cy="2968831"/>
            <wp:effectExtent l="0" t="0" r="4445" b="317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40312" cy="2980242"/>
                    </a:xfrm>
                    <a:prstGeom prst="rect">
                      <a:avLst/>
                    </a:prstGeom>
                    <a:noFill/>
                  </pic:spPr>
                </pic:pic>
              </a:graphicData>
            </a:graphic>
          </wp:inline>
        </w:drawing>
      </w:r>
    </w:p>
    <w:p w14:paraId="2B1588FF" w14:textId="77777777" w:rsidR="004F3111" w:rsidRPr="00593A78" w:rsidRDefault="004F3111" w:rsidP="004F3111">
      <w:pPr>
        <w:pStyle w:val="Note"/>
      </w:pPr>
      <w:r w:rsidRPr="00593A78">
        <w:t>Note: current = at least monthly (includes daily)</w:t>
      </w:r>
    </w:p>
    <w:p w14:paraId="743557CE" w14:textId="77777777" w:rsidR="004F3111" w:rsidRPr="00593A78" w:rsidRDefault="004F3111" w:rsidP="004F3111">
      <w:pPr>
        <w:pStyle w:val="Heading2"/>
      </w:pPr>
      <w:bookmarkStart w:id="15" w:name="_Toc135985868"/>
      <w:bookmarkStart w:id="16" w:name="_Toc136265207"/>
      <w:r w:rsidRPr="00593A78">
        <w:t>Trends in daily vaping</w:t>
      </w:r>
      <w:bookmarkEnd w:id="15"/>
      <w:bookmarkEnd w:id="16"/>
    </w:p>
    <w:p w14:paraId="3D766A61" w14:textId="77777777" w:rsidR="004F3111" w:rsidRPr="00593A78" w:rsidRDefault="004F3111" w:rsidP="004F3111">
      <w:pPr>
        <w:keepNext/>
        <w:keepLines/>
        <w:spacing w:before="240"/>
      </w:pPr>
      <w:r w:rsidRPr="00593A78">
        <w:t xml:space="preserve">This report focuses on daily vaping because it is more likely to reflect addiction than current vaping, which includes non-daily vaping (that is, weekly or monthly). In the most recent (2021/22) New Zealand Health Survey, 1 in 12 people (8.3%) aged 15 or older were daily vapers (equivalent to 346,000 people). This is a large increase since 2019/20, when about 1 in 30 people (3.5%) were daily vapers (144,000 people). </w:t>
      </w:r>
    </w:p>
    <w:p w14:paraId="02DBDE7D" w14:textId="77777777" w:rsidR="004F3111" w:rsidRPr="00593A78" w:rsidRDefault="004F3111" w:rsidP="004F3111"/>
    <w:p w14:paraId="47F30D51" w14:textId="1DDDDA2C" w:rsidR="004F3111" w:rsidRPr="00593A78" w:rsidRDefault="004F3111" w:rsidP="004F3111">
      <w:pPr>
        <w:pStyle w:val="Table"/>
      </w:pPr>
      <w:bookmarkStart w:id="17" w:name="_Toc135985885"/>
      <w:bookmarkStart w:id="18" w:name="_Toc135993050"/>
      <w:r>
        <w:t xml:space="preserve">Table </w:t>
      </w:r>
      <w:fldSimple w:instr=" SEQ Table \* ARABIC ">
        <w:r>
          <w:rPr>
            <w:noProof/>
          </w:rPr>
          <w:t>1</w:t>
        </w:r>
      </w:fldSimple>
      <w:r>
        <w:t xml:space="preserve">: </w:t>
      </w:r>
      <w:r w:rsidRPr="00593A78">
        <w:t>Daily vaping in people aged 15 or older, 2017/18 to 2021/22</w:t>
      </w:r>
      <w:bookmarkEnd w:id="17"/>
      <w:bookmarkEnd w:id="18"/>
    </w:p>
    <w:tbl>
      <w:tblPr>
        <w:tblW w:w="8023"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474"/>
        <w:gridCol w:w="3203"/>
        <w:gridCol w:w="3346"/>
      </w:tblGrid>
      <w:tr w:rsidR="004F3111" w:rsidRPr="00593A78" w14:paraId="220BB530" w14:textId="77777777" w:rsidTr="004F3111">
        <w:trPr>
          <w:cantSplit/>
        </w:trPr>
        <w:tc>
          <w:tcPr>
            <w:tcW w:w="1474" w:type="dxa"/>
            <w:tcBorders>
              <w:top w:val="nil"/>
              <w:bottom w:val="nil"/>
            </w:tcBorders>
            <w:shd w:val="clear" w:color="auto" w:fill="D9D9D9" w:themeFill="background1" w:themeFillShade="D9"/>
          </w:tcPr>
          <w:p w14:paraId="5252C733" w14:textId="77777777" w:rsidR="004F3111" w:rsidRPr="00593A78" w:rsidRDefault="004F3111" w:rsidP="004F3111">
            <w:pPr>
              <w:pStyle w:val="TableText"/>
              <w:rPr>
                <w:b/>
              </w:rPr>
            </w:pPr>
            <w:r w:rsidRPr="00593A78">
              <w:rPr>
                <w:b/>
              </w:rPr>
              <w:t>Survey year</w:t>
            </w:r>
          </w:p>
        </w:tc>
        <w:tc>
          <w:tcPr>
            <w:tcW w:w="3203" w:type="dxa"/>
            <w:tcBorders>
              <w:top w:val="nil"/>
              <w:bottom w:val="nil"/>
            </w:tcBorders>
            <w:shd w:val="clear" w:color="auto" w:fill="D9D9D9" w:themeFill="background1" w:themeFillShade="D9"/>
          </w:tcPr>
          <w:p w14:paraId="4CB0DA26" w14:textId="77777777" w:rsidR="004F3111" w:rsidRPr="00593A78" w:rsidRDefault="004F3111" w:rsidP="004F3111">
            <w:pPr>
              <w:pStyle w:val="TableText"/>
              <w:jc w:val="center"/>
              <w:rPr>
                <w:b/>
                <w:bCs/>
              </w:rPr>
            </w:pPr>
            <w:r w:rsidRPr="00593A78">
              <w:rPr>
                <w:b/>
                <w:bCs/>
              </w:rPr>
              <w:t>Prevalence (95% CI)</w:t>
            </w:r>
          </w:p>
        </w:tc>
        <w:tc>
          <w:tcPr>
            <w:tcW w:w="3346" w:type="dxa"/>
            <w:tcBorders>
              <w:top w:val="nil"/>
              <w:bottom w:val="nil"/>
            </w:tcBorders>
            <w:shd w:val="clear" w:color="auto" w:fill="D9D9D9" w:themeFill="background1" w:themeFillShade="D9"/>
          </w:tcPr>
          <w:p w14:paraId="37ADCFDA" w14:textId="77777777" w:rsidR="004F3111" w:rsidRPr="00593A78" w:rsidRDefault="004F3111" w:rsidP="004F3111">
            <w:pPr>
              <w:pStyle w:val="TableText"/>
              <w:jc w:val="center"/>
              <w:rPr>
                <w:b/>
              </w:rPr>
            </w:pPr>
            <w:r w:rsidRPr="00593A78">
              <w:rPr>
                <w:b/>
              </w:rPr>
              <w:t>Estimated number (95% CI)</w:t>
            </w:r>
          </w:p>
        </w:tc>
      </w:tr>
      <w:tr w:rsidR="004F3111" w:rsidRPr="00593A78" w14:paraId="04B13507" w14:textId="77777777" w:rsidTr="004F3111">
        <w:trPr>
          <w:cantSplit/>
        </w:trPr>
        <w:tc>
          <w:tcPr>
            <w:tcW w:w="1474" w:type="dxa"/>
            <w:tcBorders>
              <w:top w:val="nil"/>
            </w:tcBorders>
          </w:tcPr>
          <w:p w14:paraId="3632C7DB" w14:textId="77777777" w:rsidR="004F3111" w:rsidRPr="004F3111" w:rsidRDefault="004F3111" w:rsidP="004F3111">
            <w:pPr>
              <w:pStyle w:val="TableText"/>
            </w:pPr>
            <w:r w:rsidRPr="004F3111">
              <w:t>2017/18</w:t>
            </w:r>
          </w:p>
        </w:tc>
        <w:tc>
          <w:tcPr>
            <w:tcW w:w="3203" w:type="dxa"/>
            <w:tcBorders>
              <w:top w:val="nil"/>
            </w:tcBorders>
          </w:tcPr>
          <w:p w14:paraId="5529F918" w14:textId="77777777" w:rsidR="004F3111" w:rsidRPr="004F3111" w:rsidRDefault="004F3111" w:rsidP="004F3111">
            <w:pPr>
              <w:pStyle w:val="TableText"/>
              <w:jc w:val="center"/>
            </w:pPr>
            <w:r w:rsidRPr="004F3111">
              <w:t>2.6% (2.3–3.0%)</w:t>
            </w:r>
          </w:p>
        </w:tc>
        <w:tc>
          <w:tcPr>
            <w:tcW w:w="3346" w:type="dxa"/>
            <w:tcBorders>
              <w:top w:val="nil"/>
            </w:tcBorders>
          </w:tcPr>
          <w:p w14:paraId="4645F412" w14:textId="77777777" w:rsidR="004F3111" w:rsidRPr="004F3111" w:rsidRDefault="004F3111" w:rsidP="004F3111">
            <w:pPr>
              <w:pStyle w:val="TableText"/>
              <w:jc w:val="center"/>
            </w:pPr>
            <w:r w:rsidRPr="004F3111">
              <w:t>103,000 (91,000–116,000)</w:t>
            </w:r>
          </w:p>
        </w:tc>
      </w:tr>
      <w:tr w:rsidR="004F3111" w:rsidRPr="00593A78" w14:paraId="2F07FDC5" w14:textId="77777777" w:rsidTr="004F3111">
        <w:trPr>
          <w:cantSplit/>
        </w:trPr>
        <w:tc>
          <w:tcPr>
            <w:tcW w:w="1474" w:type="dxa"/>
          </w:tcPr>
          <w:p w14:paraId="1D4C02E5" w14:textId="77777777" w:rsidR="004F3111" w:rsidRPr="004F3111" w:rsidRDefault="004F3111" w:rsidP="004F3111">
            <w:pPr>
              <w:pStyle w:val="TableText"/>
            </w:pPr>
            <w:r w:rsidRPr="004F3111">
              <w:t>2018/19</w:t>
            </w:r>
          </w:p>
        </w:tc>
        <w:tc>
          <w:tcPr>
            <w:tcW w:w="3203" w:type="dxa"/>
          </w:tcPr>
          <w:p w14:paraId="0817CB42" w14:textId="77777777" w:rsidR="004F3111" w:rsidRPr="004F3111" w:rsidRDefault="004F3111" w:rsidP="004F3111">
            <w:pPr>
              <w:pStyle w:val="TableText"/>
              <w:jc w:val="center"/>
            </w:pPr>
            <w:r w:rsidRPr="004F3111">
              <w:t>3.3% (2.9–3.6%)</w:t>
            </w:r>
          </w:p>
        </w:tc>
        <w:tc>
          <w:tcPr>
            <w:tcW w:w="3346" w:type="dxa"/>
          </w:tcPr>
          <w:p w14:paraId="13DD6212" w14:textId="77777777" w:rsidR="004F3111" w:rsidRPr="004F3111" w:rsidRDefault="004F3111" w:rsidP="004F3111">
            <w:pPr>
              <w:pStyle w:val="TableText"/>
              <w:jc w:val="center"/>
            </w:pPr>
            <w:r w:rsidRPr="004F3111">
              <w:t>131,000 (116,000–145,000)</w:t>
            </w:r>
          </w:p>
        </w:tc>
      </w:tr>
      <w:tr w:rsidR="004F3111" w:rsidRPr="00593A78" w14:paraId="5984B0E4" w14:textId="77777777" w:rsidTr="004F3111">
        <w:trPr>
          <w:cantSplit/>
        </w:trPr>
        <w:tc>
          <w:tcPr>
            <w:tcW w:w="1474" w:type="dxa"/>
          </w:tcPr>
          <w:p w14:paraId="609F2F01" w14:textId="77777777" w:rsidR="004F3111" w:rsidRPr="004F3111" w:rsidRDefault="004F3111" w:rsidP="004F3111">
            <w:pPr>
              <w:pStyle w:val="TableText"/>
            </w:pPr>
            <w:r w:rsidRPr="004F3111">
              <w:t>2019/20</w:t>
            </w:r>
          </w:p>
        </w:tc>
        <w:tc>
          <w:tcPr>
            <w:tcW w:w="3203" w:type="dxa"/>
          </w:tcPr>
          <w:p w14:paraId="55DB1B4B" w14:textId="77777777" w:rsidR="004F3111" w:rsidRPr="004F3111" w:rsidRDefault="004F3111" w:rsidP="004F3111">
            <w:pPr>
              <w:pStyle w:val="TableText"/>
              <w:jc w:val="center"/>
            </w:pPr>
            <w:r w:rsidRPr="004F3111">
              <w:t>3.5% (3.0–4.1%)</w:t>
            </w:r>
          </w:p>
        </w:tc>
        <w:tc>
          <w:tcPr>
            <w:tcW w:w="3346" w:type="dxa"/>
          </w:tcPr>
          <w:p w14:paraId="51B2F598" w14:textId="77777777" w:rsidR="004F3111" w:rsidRPr="004F3111" w:rsidRDefault="004F3111" w:rsidP="004F3111">
            <w:pPr>
              <w:pStyle w:val="TableText"/>
              <w:jc w:val="center"/>
            </w:pPr>
            <w:r w:rsidRPr="004F3111">
              <w:t>144,000 (124,000–164,000)</w:t>
            </w:r>
          </w:p>
        </w:tc>
      </w:tr>
      <w:tr w:rsidR="004F3111" w:rsidRPr="00593A78" w14:paraId="64973901" w14:textId="77777777" w:rsidTr="004F3111">
        <w:trPr>
          <w:cantSplit/>
        </w:trPr>
        <w:tc>
          <w:tcPr>
            <w:tcW w:w="1474" w:type="dxa"/>
          </w:tcPr>
          <w:p w14:paraId="52831184" w14:textId="77777777" w:rsidR="004F3111" w:rsidRPr="004F3111" w:rsidRDefault="004F3111" w:rsidP="004F3111">
            <w:pPr>
              <w:pStyle w:val="TableText"/>
            </w:pPr>
            <w:r w:rsidRPr="004F3111">
              <w:t>2020/21</w:t>
            </w:r>
          </w:p>
        </w:tc>
        <w:tc>
          <w:tcPr>
            <w:tcW w:w="3203" w:type="dxa"/>
          </w:tcPr>
          <w:p w14:paraId="0943C402" w14:textId="77777777" w:rsidR="004F3111" w:rsidRPr="004F3111" w:rsidRDefault="004F3111" w:rsidP="004F3111">
            <w:pPr>
              <w:pStyle w:val="TableText"/>
              <w:jc w:val="center"/>
            </w:pPr>
            <w:r w:rsidRPr="004F3111">
              <w:t>6.2% (5.5–7.0%)</w:t>
            </w:r>
          </w:p>
        </w:tc>
        <w:tc>
          <w:tcPr>
            <w:tcW w:w="3346" w:type="dxa"/>
          </w:tcPr>
          <w:p w14:paraId="07C3260B" w14:textId="77777777" w:rsidR="004F3111" w:rsidRPr="004F3111" w:rsidRDefault="004F3111" w:rsidP="004F3111">
            <w:pPr>
              <w:pStyle w:val="TableText"/>
              <w:jc w:val="center"/>
            </w:pPr>
            <w:r w:rsidRPr="004F3111">
              <w:t>258,000 (228,000–289,000)</w:t>
            </w:r>
          </w:p>
        </w:tc>
      </w:tr>
      <w:tr w:rsidR="004F3111" w:rsidRPr="00593A78" w14:paraId="234213D4" w14:textId="77777777" w:rsidTr="004F3111">
        <w:trPr>
          <w:cantSplit/>
        </w:trPr>
        <w:tc>
          <w:tcPr>
            <w:tcW w:w="1474" w:type="dxa"/>
          </w:tcPr>
          <w:p w14:paraId="1872C05F" w14:textId="77777777" w:rsidR="004F3111" w:rsidRPr="004F3111" w:rsidRDefault="004F3111" w:rsidP="004F3111">
            <w:pPr>
              <w:pStyle w:val="TableText"/>
            </w:pPr>
            <w:r w:rsidRPr="004F3111">
              <w:t>2021/22</w:t>
            </w:r>
          </w:p>
        </w:tc>
        <w:tc>
          <w:tcPr>
            <w:tcW w:w="3203" w:type="dxa"/>
          </w:tcPr>
          <w:p w14:paraId="054AAA4C" w14:textId="77777777" w:rsidR="004F3111" w:rsidRPr="004F3111" w:rsidRDefault="004F3111" w:rsidP="004F3111">
            <w:pPr>
              <w:pStyle w:val="TableText"/>
              <w:jc w:val="center"/>
            </w:pPr>
            <w:r w:rsidRPr="004F3111">
              <w:t>8.3% (7.1–9.7%)</w:t>
            </w:r>
          </w:p>
        </w:tc>
        <w:tc>
          <w:tcPr>
            <w:tcW w:w="3346" w:type="dxa"/>
          </w:tcPr>
          <w:p w14:paraId="1C73D86A" w14:textId="77777777" w:rsidR="004F3111" w:rsidRPr="004F3111" w:rsidRDefault="004F3111" w:rsidP="004F3111">
            <w:pPr>
              <w:pStyle w:val="TableText"/>
              <w:jc w:val="center"/>
            </w:pPr>
            <w:r w:rsidRPr="004F3111">
              <w:t>346,000 (295,000–397,000)</w:t>
            </w:r>
          </w:p>
        </w:tc>
      </w:tr>
    </w:tbl>
    <w:p w14:paraId="38FF8422" w14:textId="77777777" w:rsidR="004F3111" w:rsidRPr="00593A78" w:rsidRDefault="004F3111" w:rsidP="004F3111">
      <w:pPr>
        <w:spacing w:line="20" w:lineRule="atLeast"/>
        <w:ind w:left="1695"/>
        <w:rPr>
          <w:rFonts w:ascii="Arial Unicode MS" w:eastAsia="Arial Unicode MS" w:hAnsi="Arial Unicode MS" w:cs="Arial Unicode MS"/>
          <w:sz w:val="2"/>
          <w:szCs w:val="2"/>
        </w:rPr>
      </w:pPr>
    </w:p>
    <w:p w14:paraId="3D7CD735" w14:textId="77777777" w:rsidR="004F3111" w:rsidRPr="00593A78" w:rsidRDefault="004F3111" w:rsidP="004F3111"/>
    <w:p w14:paraId="10912082" w14:textId="5CC89287" w:rsidR="004F3111" w:rsidRDefault="004F3111" w:rsidP="004F3111">
      <w:pPr>
        <w:sectPr w:rsidR="004F3111" w:rsidSect="004F3111">
          <w:pgSz w:w="11907" w:h="16834" w:code="9"/>
          <w:pgMar w:top="1418" w:right="1701" w:bottom="1134" w:left="1843" w:header="284" w:footer="425" w:gutter="284"/>
          <w:cols w:space="720"/>
        </w:sectPr>
      </w:pPr>
      <w:r w:rsidRPr="00593A78">
        <w:t xml:space="preserve">As shown in </w:t>
      </w:r>
      <w:r>
        <w:fldChar w:fldCharType="begin"/>
      </w:r>
      <w:r>
        <w:instrText xml:space="preserve"> REF _Ref135993095 \h </w:instrText>
      </w:r>
      <w:r>
        <w:fldChar w:fldCharType="separate"/>
      </w:r>
      <w:r>
        <w:t xml:space="preserve">Figure </w:t>
      </w:r>
      <w:r>
        <w:rPr>
          <w:noProof/>
        </w:rPr>
        <w:t>3</w:t>
      </w:r>
      <w:r>
        <w:fldChar w:fldCharType="end"/>
      </w:r>
      <w:r w:rsidRPr="00593A78">
        <w:t xml:space="preserve">, the prevalence of vaping has increased in all age groups, with the largest absolute increase in those aged 18–24 (from 5.0% in 2019/20 to 22.9% in 2021/22). </w:t>
      </w:r>
      <w:r w:rsidR="006B5799">
        <w:t xml:space="preserve">Note that </w:t>
      </w:r>
      <w:r w:rsidR="00AA395F">
        <w:t>size of the age groups varies</w:t>
      </w:r>
      <w:r w:rsidR="00343C50">
        <w:t xml:space="preserve"> so th</w:t>
      </w:r>
      <w:r w:rsidR="008528A7">
        <w:t xml:space="preserve">e prevalence does not reflect the estimated number of daily vapers in each </w:t>
      </w:r>
      <w:r w:rsidR="008C4F1A">
        <w:t xml:space="preserve">age </w:t>
      </w:r>
      <w:r w:rsidR="008528A7">
        <w:t xml:space="preserve">group. </w:t>
      </w:r>
      <w:r w:rsidR="00DB65DF">
        <w:t>For example, daily vapers aged 18–24 accounted for 30% of all daily vapers in 2021/22, whereas daily vapers aged 15–17 accounted for 4%.</w:t>
      </w:r>
    </w:p>
    <w:p w14:paraId="671F430C" w14:textId="03336C57" w:rsidR="004F3111" w:rsidRPr="00593A78" w:rsidRDefault="004F3111" w:rsidP="004F3111">
      <w:pPr>
        <w:pStyle w:val="Figure"/>
      </w:pPr>
      <w:bookmarkStart w:id="19" w:name="_Ref135993095"/>
      <w:bookmarkStart w:id="20" w:name="_Toc135985880"/>
      <w:bookmarkStart w:id="21" w:name="_Toc135993056"/>
      <w:r>
        <w:lastRenderedPageBreak/>
        <w:t xml:space="preserve">Figure </w:t>
      </w:r>
      <w:fldSimple w:instr=" SEQ Figure \* ARABIC ">
        <w:r>
          <w:rPr>
            <w:noProof/>
          </w:rPr>
          <w:t>3</w:t>
        </w:r>
      </w:fldSimple>
      <w:bookmarkEnd w:id="19"/>
      <w:r>
        <w:t xml:space="preserve">: </w:t>
      </w:r>
      <w:r w:rsidRPr="00593A78">
        <w:t>Daily vaping in people aged 15 or older, by age group, 2017/18 to 2021/22</w:t>
      </w:r>
      <w:bookmarkEnd w:id="20"/>
      <w:bookmarkEnd w:id="21"/>
    </w:p>
    <w:p w14:paraId="355C1EEB" w14:textId="43710B9A" w:rsidR="004F3111" w:rsidRPr="00593A78" w:rsidRDefault="007B590F" w:rsidP="004F3111">
      <w:r>
        <w:rPr>
          <w:noProof/>
        </w:rPr>
        <w:drawing>
          <wp:inline distT="0" distB="0" distL="0" distR="0" wp14:anchorId="65A1DC7B" wp14:editId="46B26F2A">
            <wp:extent cx="5143582" cy="3016333"/>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57709" cy="3024617"/>
                    </a:xfrm>
                    <a:prstGeom prst="rect">
                      <a:avLst/>
                    </a:prstGeom>
                    <a:noFill/>
                  </pic:spPr>
                </pic:pic>
              </a:graphicData>
            </a:graphic>
          </wp:inline>
        </w:drawing>
      </w:r>
    </w:p>
    <w:p w14:paraId="2A1AE501" w14:textId="23691662" w:rsidR="004F3111" w:rsidRDefault="004F3111" w:rsidP="004F3111">
      <w:pPr>
        <w:pStyle w:val="Note"/>
      </w:pPr>
      <w:r w:rsidRPr="00593A78">
        <w:t>Note: RSE over 30% for those aged 15–17 (all years except 2020/21)</w:t>
      </w:r>
    </w:p>
    <w:p w14:paraId="118C7323" w14:textId="5429CEC5" w:rsidR="004F3111" w:rsidRDefault="004F3111" w:rsidP="004F3111"/>
    <w:p w14:paraId="62EE393A" w14:textId="77777777" w:rsidR="004F3111" w:rsidRPr="004F3111" w:rsidRDefault="004F3111" w:rsidP="004F3111"/>
    <w:p w14:paraId="64D023B7" w14:textId="77777777" w:rsidR="004F3111" w:rsidRPr="00593A78" w:rsidRDefault="004F3111" w:rsidP="004F3111">
      <w:pPr>
        <w:rPr>
          <w:b/>
          <w:color w:val="0A6AB4"/>
          <w:spacing w:val="-5"/>
          <w:sz w:val="48"/>
        </w:rPr>
      </w:pPr>
      <w:r w:rsidRPr="00593A78">
        <w:br w:type="page"/>
      </w:r>
    </w:p>
    <w:p w14:paraId="476ECFBB" w14:textId="77777777" w:rsidR="004F3111" w:rsidRPr="004F3111" w:rsidRDefault="004F3111" w:rsidP="004F3111">
      <w:pPr>
        <w:pStyle w:val="Heading1"/>
      </w:pPr>
      <w:bookmarkStart w:id="22" w:name="_Toc135985869"/>
      <w:bookmarkStart w:id="23" w:name="_Toc136265208"/>
      <w:r w:rsidRPr="004F3111">
        <w:lastRenderedPageBreak/>
        <w:t>Smoking status of daily vapers</w:t>
      </w:r>
      <w:bookmarkEnd w:id="22"/>
      <w:bookmarkEnd w:id="23"/>
    </w:p>
    <w:p w14:paraId="01241E51" w14:textId="77777777" w:rsidR="004F3111" w:rsidRPr="00593A78" w:rsidRDefault="004F3111" w:rsidP="004F3111">
      <w:r w:rsidRPr="00593A78">
        <w:t>The main purpose of this report is to look at the smoking status of daily vapers. Daily vapers were assigned to one of the following smoking status groups.</w:t>
      </w:r>
    </w:p>
    <w:p w14:paraId="61ABB3AF" w14:textId="77777777" w:rsidR="004F3111" w:rsidRPr="004F3111" w:rsidRDefault="004F3111" w:rsidP="004F3111">
      <w:pPr>
        <w:pStyle w:val="Bullet"/>
      </w:pPr>
      <w:r w:rsidRPr="004F3111">
        <w:t>Current smokers – people who have smoked more than 100 cigarettes in their lifetime and now smoke at least monthly. This group is predominantly made up of daily smokers, but also includes some people who smoke less often (weekly or monthly).</w:t>
      </w:r>
    </w:p>
    <w:p w14:paraId="13192B80" w14:textId="77777777" w:rsidR="004F3111" w:rsidRPr="004F3111" w:rsidRDefault="004F3111" w:rsidP="004F3111">
      <w:pPr>
        <w:pStyle w:val="Bullet"/>
      </w:pPr>
      <w:r w:rsidRPr="004F3111">
        <w:t xml:space="preserve">Ex-smokers – people who have smoked more than 100 cigarettes in their lifetime and stopped smoking more than one month ago. </w:t>
      </w:r>
    </w:p>
    <w:p w14:paraId="47A69428" w14:textId="77777777" w:rsidR="004F3111" w:rsidRPr="004F3111" w:rsidRDefault="004F3111" w:rsidP="004F3111">
      <w:pPr>
        <w:pStyle w:val="Bullet"/>
      </w:pPr>
      <w:r w:rsidRPr="004F3111">
        <w:t>Never-smokers – people who have never tried smoking (not even a puff) or tried smoking but smoked fewer than 100 cigarettes in their lifetime.</w:t>
      </w:r>
    </w:p>
    <w:p w14:paraId="5C8EA762" w14:textId="77777777" w:rsidR="004F3111" w:rsidRPr="004F3111" w:rsidRDefault="004F3111" w:rsidP="004F3111">
      <w:pPr>
        <w:pStyle w:val="Bullet"/>
      </w:pPr>
      <w:r w:rsidRPr="004F3111">
        <w:t>Others – people who have smoked more than 100 cigarettes in their lifetime but smoke less than monthly (so are not considered current smokers), and people who quit smoking in the last month (so are not considered ex-smokers due to their risk of relapse). This is a small group, so results are not shown in tables and graphs.</w:t>
      </w:r>
    </w:p>
    <w:p w14:paraId="67B8472C" w14:textId="77777777" w:rsidR="004F3111" w:rsidRPr="00593A78" w:rsidRDefault="004F3111" w:rsidP="004F3111">
      <w:pPr>
        <w:pStyle w:val="Heading2"/>
      </w:pPr>
      <w:bookmarkStart w:id="24" w:name="_Toc135985870"/>
      <w:bookmarkStart w:id="25" w:name="_Toc136265209"/>
      <w:r w:rsidRPr="00593A78">
        <w:t>Smoking status of daily vapers – trends</w:t>
      </w:r>
      <w:bookmarkEnd w:id="24"/>
      <w:bookmarkEnd w:id="25"/>
      <w:r w:rsidRPr="00593A78">
        <w:t xml:space="preserve"> </w:t>
      </w:r>
    </w:p>
    <w:p w14:paraId="238F4465" w14:textId="7271AF5F" w:rsidR="004F3111" w:rsidRPr="00593A78" w:rsidRDefault="004F3111" w:rsidP="004F3111">
      <w:r>
        <w:fldChar w:fldCharType="begin"/>
      </w:r>
      <w:r>
        <w:instrText xml:space="preserve"> REF _Ref135993106 \h </w:instrText>
      </w:r>
      <w:r>
        <w:fldChar w:fldCharType="separate"/>
      </w:r>
      <w:r>
        <w:t xml:space="preserve">Figure </w:t>
      </w:r>
      <w:r>
        <w:rPr>
          <w:noProof/>
        </w:rPr>
        <w:t>4</w:t>
      </w:r>
      <w:r>
        <w:fldChar w:fldCharType="end"/>
      </w:r>
      <w:r w:rsidRPr="00593A78">
        <w:t xml:space="preserve"> shows trends in daily vaping by smoking status. The percentage of people aged 15 and older who were both a daily vaper and current smoker (that is, a dual user) was relatively stable across years. The percentage of people who were a daily vaper and an ex-smoker increased steadily, from 0.9% in 2017/18 to 4.7% in 2021/22. The percentage of people who were a daily vaper and a never-smoker was very low (0.2–0.3%) up until 2019/20, but then increased to 1.5% in 2021/22 (63,000 people).</w:t>
      </w:r>
    </w:p>
    <w:p w14:paraId="4A3F8F43" w14:textId="77777777" w:rsidR="004F3111" w:rsidRPr="00593A78" w:rsidRDefault="004F3111" w:rsidP="004F3111"/>
    <w:p w14:paraId="68E2E86A" w14:textId="77777777" w:rsidR="004F3111" w:rsidRDefault="004F3111" w:rsidP="004F3111">
      <w:pPr>
        <w:pStyle w:val="Figure"/>
        <w:sectPr w:rsidR="004F3111" w:rsidSect="004F3111">
          <w:pgSz w:w="11907" w:h="16834" w:code="9"/>
          <w:pgMar w:top="1418" w:right="1701" w:bottom="1134" w:left="1843" w:header="284" w:footer="425" w:gutter="284"/>
          <w:cols w:space="720"/>
        </w:sectPr>
      </w:pPr>
      <w:bookmarkStart w:id="26" w:name="_Toc135985881"/>
    </w:p>
    <w:p w14:paraId="18D9E851" w14:textId="0052B9F4" w:rsidR="004F3111" w:rsidRDefault="004F3111" w:rsidP="004F3111">
      <w:pPr>
        <w:pStyle w:val="Figure"/>
      </w:pPr>
      <w:bookmarkStart w:id="27" w:name="_Ref135993106"/>
      <w:bookmarkStart w:id="28" w:name="_Toc135993057"/>
      <w:r>
        <w:lastRenderedPageBreak/>
        <w:t xml:space="preserve">Figure </w:t>
      </w:r>
      <w:fldSimple w:instr=" SEQ Figure \* ARABIC ">
        <w:r>
          <w:rPr>
            <w:noProof/>
          </w:rPr>
          <w:t>4</w:t>
        </w:r>
      </w:fldSimple>
      <w:bookmarkEnd w:id="27"/>
      <w:r>
        <w:t xml:space="preserve">: </w:t>
      </w:r>
      <w:r w:rsidRPr="00593A78">
        <w:t>Daily vaping in people aged 15 and older, by smoking status, 2017/18 to 2021/22</w:t>
      </w:r>
      <w:bookmarkEnd w:id="26"/>
      <w:bookmarkEnd w:id="28"/>
    </w:p>
    <w:p w14:paraId="00B46C75" w14:textId="3D588AFF" w:rsidR="002F5D25" w:rsidRDefault="007B590F" w:rsidP="002F5D25">
      <w:r>
        <w:rPr>
          <w:noProof/>
        </w:rPr>
        <w:drawing>
          <wp:inline distT="0" distB="0" distL="0" distR="0" wp14:anchorId="6EFD59DA" wp14:editId="6B02A042">
            <wp:extent cx="5120631" cy="2968831"/>
            <wp:effectExtent l="0" t="0" r="4445" b="317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4217" cy="2982506"/>
                    </a:xfrm>
                    <a:prstGeom prst="rect">
                      <a:avLst/>
                    </a:prstGeom>
                    <a:noFill/>
                  </pic:spPr>
                </pic:pic>
              </a:graphicData>
            </a:graphic>
          </wp:inline>
        </w:drawing>
      </w:r>
    </w:p>
    <w:p w14:paraId="3312D43B" w14:textId="77777777" w:rsidR="004F3111" w:rsidRPr="00593A78" w:rsidRDefault="004F3111" w:rsidP="004F3111"/>
    <w:p w14:paraId="74649DE4" w14:textId="76DCA1D1" w:rsidR="004F3111" w:rsidRPr="00593A78" w:rsidRDefault="004F3111" w:rsidP="004F3111">
      <w:r>
        <w:fldChar w:fldCharType="begin"/>
      </w:r>
      <w:r>
        <w:instrText xml:space="preserve"> REF _Ref135993117 \h </w:instrText>
      </w:r>
      <w:r>
        <w:fldChar w:fldCharType="separate"/>
      </w:r>
      <w:r>
        <w:t xml:space="preserve">Figure </w:t>
      </w:r>
      <w:r>
        <w:rPr>
          <w:noProof/>
        </w:rPr>
        <w:t>5</w:t>
      </w:r>
      <w:r>
        <w:fldChar w:fldCharType="end"/>
      </w:r>
      <w:r w:rsidRPr="00593A78">
        <w:t xml:space="preserve"> shows the same data, but as a stacked bar chart. This is useful to show overall trends in daily vaping by smoking status, but take into account the 95% confidence intervals in the previous graph when interpreting results. </w:t>
      </w:r>
    </w:p>
    <w:p w14:paraId="530A3873" w14:textId="77777777" w:rsidR="004F3111" w:rsidRPr="00593A78" w:rsidRDefault="004F3111" w:rsidP="004F3111"/>
    <w:p w14:paraId="75797671" w14:textId="148BDFFB" w:rsidR="004F3111" w:rsidRDefault="004F3111" w:rsidP="001C5880">
      <w:pPr>
        <w:pStyle w:val="Figure"/>
        <w:rPr>
          <w:noProof/>
        </w:rPr>
      </w:pPr>
      <w:bookmarkStart w:id="29" w:name="_Ref135993117"/>
      <w:bookmarkStart w:id="30" w:name="_Toc135985882"/>
      <w:bookmarkStart w:id="31" w:name="_Toc135993058"/>
      <w:r>
        <w:t xml:space="preserve">Figure </w:t>
      </w:r>
      <w:fldSimple w:instr=" SEQ Figure \* ARABIC ">
        <w:r>
          <w:rPr>
            <w:noProof/>
          </w:rPr>
          <w:t>5</w:t>
        </w:r>
      </w:fldSimple>
      <w:bookmarkEnd w:id="29"/>
      <w:r>
        <w:t xml:space="preserve">: </w:t>
      </w:r>
      <w:r w:rsidRPr="00593A78">
        <w:t>Daily vaping in people aged 15 and older, by smoking status, 2017/18 to 2021/22</w:t>
      </w:r>
      <w:bookmarkEnd w:id="30"/>
      <w:bookmarkEnd w:id="31"/>
    </w:p>
    <w:p w14:paraId="551C4E30" w14:textId="0FB85635" w:rsidR="007B590F" w:rsidRPr="007B590F" w:rsidRDefault="007B590F" w:rsidP="007B590F">
      <w:r>
        <w:rPr>
          <w:noProof/>
        </w:rPr>
        <w:drawing>
          <wp:inline distT="0" distB="0" distL="0" distR="0" wp14:anchorId="0972B87A" wp14:editId="3D8CEAEF">
            <wp:extent cx="5126470" cy="2932023"/>
            <wp:effectExtent l="0" t="0" r="0" b="190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5126470" cy="2932023"/>
                    </a:xfrm>
                    <a:prstGeom prst="rect">
                      <a:avLst/>
                    </a:prstGeom>
                    <a:noFill/>
                  </pic:spPr>
                </pic:pic>
              </a:graphicData>
            </a:graphic>
          </wp:inline>
        </w:drawing>
      </w:r>
    </w:p>
    <w:p w14:paraId="4FC1CF80" w14:textId="77777777" w:rsidR="004F3111" w:rsidRPr="00593A78" w:rsidRDefault="004F3111" w:rsidP="004F3111">
      <w:pPr>
        <w:pStyle w:val="Note"/>
      </w:pPr>
      <w:r w:rsidRPr="00593A78">
        <w:t xml:space="preserve">Note: excludes the Other smoking group, so percentages do not sum to daily vaping estimates published in the </w:t>
      </w:r>
      <w:r w:rsidRPr="00593A78">
        <w:rPr>
          <w:i/>
          <w:iCs/>
        </w:rPr>
        <w:t>Annual Data Explorer 2021/22</w:t>
      </w:r>
      <w:r w:rsidRPr="00593A78">
        <w:t xml:space="preserve"> (Ministry of Health 2022a)</w:t>
      </w:r>
    </w:p>
    <w:p w14:paraId="5942447B" w14:textId="77777777" w:rsidR="004F3111" w:rsidRPr="00593A78" w:rsidRDefault="004F3111" w:rsidP="004F3111"/>
    <w:p w14:paraId="5E49FA7F" w14:textId="77777777" w:rsidR="004F3111" w:rsidRPr="00593A78" w:rsidRDefault="004F3111" w:rsidP="004F3111">
      <w:r w:rsidRPr="00593A78">
        <w:t xml:space="preserve">The majority of daily vapers are either ex-smokers or current smokers, although the mix has changed over time. In 2017/18 there was an estimated 103,000 daily vapers. Of these, 52% were current smokers, 36% were ex-smokers and 7% were never-smokers. </w:t>
      </w:r>
      <w:r w:rsidRPr="00593A78">
        <w:lastRenderedPageBreak/>
        <w:t xml:space="preserve">In 2021/22, there was an estimated 346,000 daily vapers. Of these, 56% were ex-smokers, 22% were current smokers, and 18% were never-smokers. </w:t>
      </w:r>
    </w:p>
    <w:p w14:paraId="571BD5D8" w14:textId="77777777" w:rsidR="004F3111" w:rsidRPr="00593A78" w:rsidRDefault="004F3111" w:rsidP="004F3111">
      <w:pPr>
        <w:pStyle w:val="Heading2"/>
      </w:pPr>
      <w:bookmarkStart w:id="32" w:name="_Toc135985871"/>
      <w:bookmarkStart w:id="33" w:name="_Toc136265210"/>
      <w:r w:rsidRPr="00593A78">
        <w:t>Smoking status of daily vapers by age group</w:t>
      </w:r>
      <w:bookmarkEnd w:id="32"/>
      <w:bookmarkEnd w:id="33"/>
    </w:p>
    <w:p w14:paraId="61E79509" w14:textId="77777777" w:rsidR="004F3111" w:rsidRPr="00593A78" w:rsidRDefault="004F3111" w:rsidP="004F3111">
      <w:bookmarkStart w:id="34" w:name="_TOC_250001"/>
      <w:r w:rsidRPr="00593A78">
        <w:t>The sample size was not sufficient to provide annual estimates of daily vaping by smoking status and age group. Therefore, data from the most recent 2 survey years (2020/21 and 2021/22) was pooled to boost the sample size and provide a more reliable estimate. However, even with pooled data some age and/or smoking status groups have wide 95% confidence intervals.</w:t>
      </w:r>
    </w:p>
    <w:p w14:paraId="0C4D64BF" w14:textId="77777777" w:rsidR="004F3111" w:rsidRPr="00593A78" w:rsidRDefault="004F3111" w:rsidP="004F3111"/>
    <w:p w14:paraId="101EAB23" w14:textId="77777777" w:rsidR="004F3111" w:rsidRPr="00593A78" w:rsidRDefault="004F3111" w:rsidP="004F3111">
      <w:r w:rsidRPr="00593A78">
        <w:t>The percentage of people who were both a daily vaper and current smoker (that is, a dual user) was highest in those aged 18–24, followed by 25–34. The percentage of people who were a daily vaper and an ex-smoker was highest in those aged 18–44. The percentage of people who were a daily vaper and a never-smoker was highest in those aged 18–24, followed by 15–17. People aged under 25 years accounted for three-quarters of all daily vapers who had never smoked.</w:t>
      </w:r>
    </w:p>
    <w:p w14:paraId="03981697" w14:textId="77777777" w:rsidR="004F3111" w:rsidRPr="00593A78" w:rsidRDefault="004F3111" w:rsidP="004F3111"/>
    <w:p w14:paraId="7CA74D28" w14:textId="37A7DCA9" w:rsidR="004F3111" w:rsidRPr="00593A78" w:rsidRDefault="004F3111" w:rsidP="004F3111">
      <w:pPr>
        <w:pStyle w:val="Table"/>
      </w:pPr>
      <w:bookmarkStart w:id="35" w:name="_Toc135985886"/>
      <w:bookmarkStart w:id="36" w:name="_Toc135993051"/>
      <w:r>
        <w:t xml:space="preserve">Table </w:t>
      </w:r>
      <w:fldSimple w:instr=" SEQ Table \* ARABIC ">
        <w:r>
          <w:rPr>
            <w:noProof/>
          </w:rPr>
          <w:t>2</w:t>
        </w:r>
      </w:fldSimple>
      <w:r>
        <w:t xml:space="preserve">: </w:t>
      </w:r>
      <w:r w:rsidRPr="00593A78">
        <w:t>Daily vaping in people aged 15 and older, by smoking status and age group, pooled data for 2020/21 and 2021/22</w:t>
      </w:r>
      <w:bookmarkEnd w:id="35"/>
      <w:bookmarkEnd w:id="36"/>
    </w:p>
    <w:tbl>
      <w:tblPr>
        <w:tblW w:w="8165"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361"/>
        <w:gridCol w:w="1134"/>
        <w:gridCol w:w="1134"/>
        <w:gridCol w:w="1134"/>
        <w:gridCol w:w="1134"/>
        <w:gridCol w:w="1134"/>
        <w:gridCol w:w="1134"/>
      </w:tblGrid>
      <w:tr w:rsidR="004F3111" w:rsidRPr="00593A78" w14:paraId="58A16430" w14:textId="77777777" w:rsidTr="004F3111">
        <w:trPr>
          <w:cantSplit/>
        </w:trPr>
        <w:tc>
          <w:tcPr>
            <w:tcW w:w="1361" w:type="dxa"/>
            <w:tcBorders>
              <w:top w:val="nil"/>
              <w:bottom w:val="nil"/>
            </w:tcBorders>
            <w:shd w:val="clear" w:color="auto" w:fill="D9D9D9" w:themeFill="background1" w:themeFillShade="D9"/>
          </w:tcPr>
          <w:p w14:paraId="3948017A" w14:textId="77777777" w:rsidR="004F3111" w:rsidRPr="00593A78" w:rsidRDefault="004F3111" w:rsidP="004F3111">
            <w:pPr>
              <w:pStyle w:val="TableText"/>
              <w:keepNext/>
              <w:rPr>
                <w:b/>
              </w:rPr>
            </w:pPr>
          </w:p>
        </w:tc>
        <w:tc>
          <w:tcPr>
            <w:tcW w:w="1134" w:type="dxa"/>
            <w:tcBorders>
              <w:top w:val="nil"/>
              <w:bottom w:val="nil"/>
            </w:tcBorders>
            <w:shd w:val="clear" w:color="auto" w:fill="D9D9D9" w:themeFill="background1" w:themeFillShade="D9"/>
          </w:tcPr>
          <w:p w14:paraId="1A6D683C" w14:textId="77777777" w:rsidR="004F3111" w:rsidRPr="00593A78" w:rsidRDefault="004F3111" w:rsidP="004F3111">
            <w:pPr>
              <w:pStyle w:val="TableText"/>
              <w:keepNext/>
              <w:jc w:val="center"/>
              <w:rPr>
                <w:b/>
              </w:rPr>
            </w:pPr>
            <w:r w:rsidRPr="00593A78">
              <w:rPr>
                <w:b/>
              </w:rPr>
              <w:t>15</w:t>
            </w:r>
            <w:r w:rsidRPr="00593A78">
              <w:t>–</w:t>
            </w:r>
            <w:r w:rsidRPr="00593A78">
              <w:rPr>
                <w:b/>
              </w:rPr>
              <w:t>17</w:t>
            </w:r>
          </w:p>
        </w:tc>
        <w:tc>
          <w:tcPr>
            <w:tcW w:w="1134" w:type="dxa"/>
            <w:tcBorders>
              <w:top w:val="nil"/>
              <w:bottom w:val="nil"/>
            </w:tcBorders>
            <w:shd w:val="clear" w:color="auto" w:fill="D9D9D9" w:themeFill="background1" w:themeFillShade="D9"/>
          </w:tcPr>
          <w:p w14:paraId="72448123" w14:textId="77777777" w:rsidR="004F3111" w:rsidRPr="00593A78" w:rsidRDefault="004F3111" w:rsidP="004F3111">
            <w:pPr>
              <w:pStyle w:val="TableText"/>
              <w:keepNext/>
              <w:jc w:val="center"/>
              <w:rPr>
                <w:b/>
              </w:rPr>
            </w:pPr>
            <w:r w:rsidRPr="00593A78">
              <w:rPr>
                <w:b/>
              </w:rPr>
              <w:t>18</w:t>
            </w:r>
            <w:r w:rsidRPr="00593A78">
              <w:t>–</w:t>
            </w:r>
            <w:r w:rsidRPr="00593A78">
              <w:rPr>
                <w:b/>
              </w:rPr>
              <w:t>24</w:t>
            </w:r>
          </w:p>
        </w:tc>
        <w:tc>
          <w:tcPr>
            <w:tcW w:w="1134" w:type="dxa"/>
            <w:tcBorders>
              <w:top w:val="nil"/>
              <w:bottom w:val="nil"/>
            </w:tcBorders>
            <w:shd w:val="clear" w:color="auto" w:fill="D9D9D9" w:themeFill="background1" w:themeFillShade="D9"/>
          </w:tcPr>
          <w:p w14:paraId="491B1686" w14:textId="77777777" w:rsidR="004F3111" w:rsidRPr="00593A78" w:rsidRDefault="004F3111" w:rsidP="004F3111">
            <w:pPr>
              <w:pStyle w:val="TableText"/>
              <w:keepNext/>
              <w:jc w:val="center"/>
              <w:rPr>
                <w:b/>
              </w:rPr>
            </w:pPr>
            <w:r w:rsidRPr="00593A78">
              <w:rPr>
                <w:b/>
              </w:rPr>
              <w:t>25</w:t>
            </w:r>
            <w:r w:rsidRPr="00593A78">
              <w:t>–</w:t>
            </w:r>
            <w:r w:rsidRPr="00593A78">
              <w:rPr>
                <w:b/>
              </w:rPr>
              <w:t>34</w:t>
            </w:r>
          </w:p>
        </w:tc>
        <w:tc>
          <w:tcPr>
            <w:tcW w:w="1134" w:type="dxa"/>
            <w:tcBorders>
              <w:top w:val="nil"/>
              <w:bottom w:val="nil"/>
            </w:tcBorders>
            <w:shd w:val="clear" w:color="auto" w:fill="D9D9D9" w:themeFill="background1" w:themeFillShade="D9"/>
          </w:tcPr>
          <w:p w14:paraId="2F3BE16E" w14:textId="77777777" w:rsidR="004F3111" w:rsidRPr="00593A78" w:rsidRDefault="004F3111" w:rsidP="004F3111">
            <w:pPr>
              <w:pStyle w:val="TableText"/>
              <w:keepNext/>
              <w:jc w:val="center"/>
              <w:rPr>
                <w:b/>
              </w:rPr>
            </w:pPr>
            <w:r w:rsidRPr="00593A78">
              <w:rPr>
                <w:b/>
              </w:rPr>
              <w:t>35</w:t>
            </w:r>
            <w:r w:rsidRPr="00593A78">
              <w:t>–</w:t>
            </w:r>
            <w:r w:rsidRPr="00593A78">
              <w:rPr>
                <w:b/>
              </w:rPr>
              <w:t>44</w:t>
            </w:r>
          </w:p>
        </w:tc>
        <w:tc>
          <w:tcPr>
            <w:tcW w:w="1134" w:type="dxa"/>
            <w:tcBorders>
              <w:top w:val="nil"/>
              <w:bottom w:val="nil"/>
            </w:tcBorders>
            <w:shd w:val="clear" w:color="auto" w:fill="D9D9D9" w:themeFill="background1" w:themeFillShade="D9"/>
          </w:tcPr>
          <w:p w14:paraId="27440F21" w14:textId="77777777" w:rsidR="004F3111" w:rsidRPr="00593A78" w:rsidRDefault="004F3111" w:rsidP="004F3111">
            <w:pPr>
              <w:pStyle w:val="TableText"/>
              <w:keepNext/>
              <w:jc w:val="center"/>
              <w:rPr>
                <w:b/>
              </w:rPr>
            </w:pPr>
            <w:r w:rsidRPr="00593A78">
              <w:rPr>
                <w:b/>
              </w:rPr>
              <w:t>45+</w:t>
            </w:r>
          </w:p>
        </w:tc>
        <w:tc>
          <w:tcPr>
            <w:tcW w:w="1134" w:type="dxa"/>
            <w:tcBorders>
              <w:top w:val="nil"/>
              <w:bottom w:val="nil"/>
            </w:tcBorders>
            <w:shd w:val="clear" w:color="auto" w:fill="D9D9D9" w:themeFill="background1" w:themeFillShade="D9"/>
          </w:tcPr>
          <w:p w14:paraId="79053A7A" w14:textId="77777777" w:rsidR="004F3111" w:rsidRPr="00593A78" w:rsidRDefault="004F3111" w:rsidP="004F3111">
            <w:pPr>
              <w:pStyle w:val="TableText"/>
              <w:keepNext/>
              <w:jc w:val="center"/>
              <w:rPr>
                <w:b/>
              </w:rPr>
            </w:pPr>
            <w:r w:rsidRPr="00593A78">
              <w:rPr>
                <w:b/>
              </w:rPr>
              <w:t>All 15+</w:t>
            </w:r>
          </w:p>
        </w:tc>
      </w:tr>
      <w:tr w:rsidR="004F3111" w:rsidRPr="00593A78" w14:paraId="49514E5C" w14:textId="77777777" w:rsidTr="004F3111">
        <w:trPr>
          <w:cantSplit/>
        </w:trPr>
        <w:tc>
          <w:tcPr>
            <w:tcW w:w="1361" w:type="dxa"/>
            <w:tcBorders>
              <w:top w:val="nil"/>
            </w:tcBorders>
          </w:tcPr>
          <w:p w14:paraId="428D67AB" w14:textId="77777777" w:rsidR="004F3111" w:rsidRPr="00593A78" w:rsidRDefault="004F3111" w:rsidP="004F3111">
            <w:pPr>
              <w:pStyle w:val="TableText"/>
              <w:keepNext/>
            </w:pPr>
            <w:r w:rsidRPr="00593A78">
              <w:t>Daily vaper</w:t>
            </w:r>
          </w:p>
        </w:tc>
        <w:tc>
          <w:tcPr>
            <w:tcW w:w="1134" w:type="dxa"/>
            <w:tcBorders>
              <w:top w:val="nil"/>
            </w:tcBorders>
          </w:tcPr>
          <w:p w14:paraId="45CEE9FB" w14:textId="77777777" w:rsidR="004F3111" w:rsidRPr="00593A78" w:rsidRDefault="004F3111" w:rsidP="004F3111">
            <w:pPr>
              <w:pStyle w:val="TableText"/>
              <w:keepNext/>
              <w:jc w:val="center"/>
            </w:pPr>
            <w:r w:rsidRPr="00593A78">
              <w:t>6.9%</w:t>
            </w:r>
            <w:r w:rsidRPr="00593A78">
              <w:br/>
              <w:t>(4.0-11.1%)</w:t>
            </w:r>
          </w:p>
        </w:tc>
        <w:tc>
          <w:tcPr>
            <w:tcW w:w="1134" w:type="dxa"/>
            <w:tcBorders>
              <w:top w:val="nil"/>
            </w:tcBorders>
          </w:tcPr>
          <w:p w14:paraId="2DF31A60" w14:textId="77777777" w:rsidR="004F3111" w:rsidRPr="00593A78" w:rsidRDefault="004F3111" w:rsidP="004F3111">
            <w:pPr>
              <w:pStyle w:val="TableText"/>
              <w:keepNext/>
              <w:jc w:val="center"/>
            </w:pPr>
            <w:r w:rsidRPr="00593A78">
              <w:t>19.1%</w:t>
            </w:r>
            <w:r w:rsidRPr="00593A78">
              <w:br/>
              <w:t>(15.0-23.8%)</w:t>
            </w:r>
          </w:p>
        </w:tc>
        <w:tc>
          <w:tcPr>
            <w:tcW w:w="1134" w:type="dxa"/>
            <w:tcBorders>
              <w:top w:val="nil"/>
            </w:tcBorders>
            <w:shd w:val="clear" w:color="auto" w:fill="auto"/>
          </w:tcPr>
          <w:p w14:paraId="6247A6B2" w14:textId="77777777" w:rsidR="004F3111" w:rsidRPr="00593A78" w:rsidRDefault="004F3111" w:rsidP="004F3111">
            <w:pPr>
              <w:pStyle w:val="TableText"/>
              <w:keepNext/>
              <w:jc w:val="center"/>
            </w:pPr>
            <w:r w:rsidRPr="00593A78">
              <w:t>10.6%</w:t>
            </w:r>
            <w:r w:rsidRPr="00593A78">
              <w:br/>
              <w:t>(8.8-12.5%)</w:t>
            </w:r>
          </w:p>
        </w:tc>
        <w:tc>
          <w:tcPr>
            <w:tcW w:w="1134" w:type="dxa"/>
            <w:tcBorders>
              <w:top w:val="nil"/>
            </w:tcBorders>
            <w:shd w:val="clear" w:color="auto" w:fill="auto"/>
          </w:tcPr>
          <w:p w14:paraId="71D2E1FD" w14:textId="77777777" w:rsidR="004F3111" w:rsidRPr="00593A78" w:rsidRDefault="004F3111" w:rsidP="004F3111">
            <w:pPr>
              <w:pStyle w:val="TableText"/>
              <w:keepNext/>
              <w:jc w:val="center"/>
            </w:pPr>
            <w:r w:rsidRPr="00593A78">
              <w:t>8.0%</w:t>
            </w:r>
            <w:r w:rsidRPr="00593A78">
              <w:br/>
              <w:t>(6.6-9.7%)</w:t>
            </w:r>
          </w:p>
        </w:tc>
        <w:tc>
          <w:tcPr>
            <w:tcW w:w="1134" w:type="dxa"/>
            <w:tcBorders>
              <w:top w:val="nil"/>
            </w:tcBorders>
            <w:shd w:val="clear" w:color="auto" w:fill="auto"/>
          </w:tcPr>
          <w:p w14:paraId="42349342" w14:textId="77777777" w:rsidR="004F3111" w:rsidRPr="00593A78" w:rsidRDefault="004F3111" w:rsidP="004F3111">
            <w:pPr>
              <w:pStyle w:val="TableText"/>
              <w:keepNext/>
              <w:jc w:val="center"/>
            </w:pPr>
            <w:r w:rsidRPr="00593A78">
              <w:t>3.4%</w:t>
            </w:r>
            <w:r w:rsidRPr="00593A78">
              <w:br/>
              <w:t>(2.8-3.9%)</w:t>
            </w:r>
          </w:p>
        </w:tc>
        <w:tc>
          <w:tcPr>
            <w:tcW w:w="1134" w:type="dxa"/>
            <w:tcBorders>
              <w:top w:val="nil"/>
            </w:tcBorders>
            <w:shd w:val="clear" w:color="auto" w:fill="auto"/>
          </w:tcPr>
          <w:p w14:paraId="760217A0" w14:textId="77777777" w:rsidR="004F3111" w:rsidRPr="00593A78" w:rsidRDefault="004F3111" w:rsidP="004F3111">
            <w:pPr>
              <w:pStyle w:val="TableText"/>
              <w:keepNext/>
              <w:jc w:val="center"/>
            </w:pPr>
            <w:r w:rsidRPr="00593A78">
              <w:t>7.3%</w:t>
            </w:r>
            <w:r w:rsidRPr="00593A78">
              <w:br/>
              <w:t>(6.6-8.0%)</w:t>
            </w:r>
          </w:p>
        </w:tc>
      </w:tr>
      <w:tr w:rsidR="004F3111" w:rsidRPr="00593A78" w14:paraId="3CC42CE7" w14:textId="77777777" w:rsidTr="004F3111">
        <w:trPr>
          <w:cantSplit/>
        </w:trPr>
        <w:tc>
          <w:tcPr>
            <w:tcW w:w="1361" w:type="dxa"/>
          </w:tcPr>
          <w:p w14:paraId="4F37F55D" w14:textId="77777777" w:rsidR="004F3111" w:rsidRPr="00593A78" w:rsidRDefault="004F3111" w:rsidP="004F3111">
            <w:pPr>
              <w:pStyle w:val="TableText"/>
              <w:keepNext/>
            </w:pPr>
            <w:r w:rsidRPr="00593A78">
              <w:t>Daily vaper and current smoker</w:t>
            </w:r>
          </w:p>
        </w:tc>
        <w:tc>
          <w:tcPr>
            <w:tcW w:w="1134" w:type="dxa"/>
          </w:tcPr>
          <w:p w14:paraId="30CCD7BD" w14:textId="77777777" w:rsidR="004F3111" w:rsidRPr="00593A78" w:rsidRDefault="004F3111" w:rsidP="004F3111">
            <w:pPr>
              <w:pStyle w:val="TableText"/>
              <w:keepNext/>
              <w:jc w:val="center"/>
            </w:pPr>
            <w:r w:rsidRPr="00593A78">
              <w:t xml:space="preserve">0.4% </w:t>
            </w:r>
            <w:r w:rsidRPr="00593A78">
              <w:br/>
              <w:t>(0.0-1.5%)†</w:t>
            </w:r>
          </w:p>
        </w:tc>
        <w:tc>
          <w:tcPr>
            <w:tcW w:w="1134" w:type="dxa"/>
          </w:tcPr>
          <w:p w14:paraId="3D7D372A" w14:textId="77777777" w:rsidR="004F3111" w:rsidRPr="00593A78" w:rsidRDefault="004F3111" w:rsidP="004F3111">
            <w:pPr>
              <w:pStyle w:val="TableText"/>
              <w:keepNext/>
              <w:jc w:val="center"/>
            </w:pPr>
            <w:r w:rsidRPr="00593A78">
              <w:t xml:space="preserve">4.0% </w:t>
            </w:r>
            <w:r w:rsidRPr="00593A78">
              <w:br/>
              <w:t>(2.5-6.1%)</w:t>
            </w:r>
          </w:p>
        </w:tc>
        <w:tc>
          <w:tcPr>
            <w:tcW w:w="1134" w:type="dxa"/>
            <w:shd w:val="clear" w:color="auto" w:fill="auto"/>
          </w:tcPr>
          <w:p w14:paraId="07BA275E" w14:textId="77777777" w:rsidR="004F3111" w:rsidRPr="00593A78" w:rsidRDefault="004F3111" w:rsidP="004F3111">
            <w:pPr>
              <w:pStyle w:val="TableText"/>
              <w:keepNext/>
              <w:jc w:val="center"/>
            </w:pPr>
            <w:r w:rsidRPr="00593A78">
              <w:t xml:space="preserve">2.9% </w:t>
            </w:r>
            <w:r w:rsidRPr="00593A78">
              <w:br/>
              <w:t>(2.1-4.0%)</w:t>
            </w:r>
          </w:p>
        </w:tc>
        <w:tc>
          <w:tcPr>
            <w:tcW w:w="1134" w:type="dxa"/>
            <w:shd w:val="clear" w:color="auto" w:fill="auto"/>
          </w:tcPr>
          <w:p w14:paraId="0B850436" w14:textId="77777777" w:rsidR="004F3111" w:rsidRPr="00593A78" w:rsidRDefault="004F3111" w:rsidP="004F3111">
            <w:pPr>
              <w:pStyle w:val="TableText"/>
              <w:keepNext/>
              <w:jc w:val="center"/>
            </w:pPr>
            <w:r w:rsidRPr="00593A78">
              <w:t xml:space="preserve">1.6% </w:t>
            </w:r>
            <w:r w:rsidRPr="00593A78">
              <w:br/>
              <w:t>(1.1-2.3%)</w:t>
            </w:r>
          </w:p>
        </w:tc>
        <w:tc>
          <w:tcPr>
            <w:tcW w:w="1134" w:type="dxa"/>
            <w:shd w:val="clear" w:color="auto" w:fill="auto"/>
          </w:tcPr>
          <w:p w14:paraId="08FF54E7" w14:textId="77777777" w:rsidR="004F3111" w:rsidRPr="00593A78" w:rsidRDefault="004F3111" w:rsidP="004F3111">
            <w:pPr>
              <w:pStyle w:val="TableText"/>
              <w:keepNext/>
              <w:jc w:val="center"/>
            </w:pPr>
            <w:r w:rsidRPr="00593A78">
              <w:t xml:space="preserve">1.0% </w:t>
            </w:r>
            <w:r w:rsidRPr="00593A78">
              <w:br/>
              <w:t>(0.7-1.3%)</w:t>
            </w:r>
          </w:p>
        </w:tc>
        <w:tc>
          <w:tcPr>
            <w:tcW w:w="1134" w:type="dxa"/>
            <w:shd w:val="clear" w:color="auto" w:fill="auto"/>
          </w:tcPr>
          <w:p w14:paraId="4668C7C2" w14:textId="77777777" w:rsidR="004F3111" w:rsidRPr="00593A78" w:rsidRDefault="004F3111" w:rsidP="004F3111">
            <w:pPr>
              <w:pStyle w:val="TableText"/>
              <w:keepNext/>
              <w:jc w:val="center"/>
            </w:pPr>
            <w:r w:rsidRPr="00593A78">
              <w:t xml:space="preserve">1.7% </w:t>
            </w:r>
            <w:r w:rsidRPr="00593A78">
              <w:br/>
              <w:t>(1.4-2.0%)</w:t>
            </w:r>
          </w:p>
        </w:tc>
      </w:tr>
      <w:tr w:rsidR="004F3111" w:rsidRPr="00593A78" w14:paraId="03D6208C" w14:textId="77777777" w:rsidTr="004F3111">
        <w:trPr>
          <w:cantSplit/>
        </w:trPr>
        <w:tc>
          <w:tcPr>
            <w:tcW w:w="1361" w:type="dxa"/>
          </w:tcPr>
          <w:p w14:paraId="4CFB6213" w14:textId="77777777" w:rsidR="004F3111" w:rsidRPr="00593A78" w:rsidRDefault="004F3111" w:rsidP="004F3111">
            <w:pPr>
              <w:pStyle w:val="TableText"/>
              <w:keepNext/>
            </w:pPr>
            <w:r w:rsidRPr="00593A78">
              <w:t xml:space="preserve">Daily vaper and </w:t>
            </w:r>
            <w:r w:rsidRPr="00593A78">
              <w:br/>
              <w:t>ex-smoker</w:t>
            </w:r>
          </w:p>
        </w:tc>
        <w:tc>
          <w:tcPr>
            <w:tcW w:w="1134" w:type="dxa"/>
          </w:tcPr>
          <w:p w14:paraId="62EE49AB" w14:textId="77777777" w:rsidR="004F3111" w:rsidRPr="00593A78" w:rsidRDefault="004F3111" w:rsidP="004F3111">
            <w:pPr>
              <w:pStyle w:val="TableText"/>
              <w:keepNext/>
              <w:jc w:val="center"/>
            </w:pPr>
            <w:r w:rsidRPr="00593A78">
              <w:t xml:space="preserve">1.2% </w:t>
            </w:r>
            <w:r w:rsidRPr="00593A78">
              <w:br/>
              <w:t>(0.3-3.1%)†</w:t>
            </w:r>
          </w:p>
        </w:tc>
        <w:tc>
          <w:tcPr>
            <w:tcW w:w="1134" w:type="dxa"/>
          </w:tcPr>
          <w:p w14:paraId="6A8D0BFF" w14:textId="77777777" w:rsidR="004F3111" w:rsidRPr="00593A78" w:rsidRDefault="004F3111" w:rsidP="004F3111">
            <w:pPr>
              <w:pStyle w:val="TableText"/>
              <w:keepNext/>
              <w:jc w:val="center"/>
            </w:pPr>
            <w:r w:rsidRPr="00593A78">
              <w:t xml:space="preserve">6.3% </w:t>
            </w:r>
            <w:r w:rsidRPr="00593A78">
              <w:br/>
              <w:t>(4.1-9.1%)</w:t>
            </w:r>
          </w:p>
        </w:tc>
        <w:tc>
          <w:tcPr>
            <w:tcW w:w="1134" w:type="dxa"/>
            <w:shd w:val="clear" w:color="auto" w:fill="auto"/>
          </w:tcPr>
          <w:p w14:paraId="40121E89" w14:textId="77777777" w:rsidR="004F3111" w:rsidRPr="00593A78" w:rsidRDefault="004F3111" w:rsidP="004F3111">
            <w:pPr>
              <w:pStyle w:val="TableText"/>
              <w:keepNext/>
              <w:jc w:val="center"/>
            </w:pPr>
            <w:r w:rsidRPr="00593A78">
              <w:t xml:space="preserve">6.2% </w:t>
            </w:r>
            <w:r w:rsidRPr="00593A78">
              <w:br/>
              <w:t>(4.8-7.8%)</w:t>
            </w:r>
          </w:p>
        </w:tc>
        <w:tc>
          <w:tcPr>
            <w:tcW w:w="1134" w:type="dxa"/>
            <w:shd w:val="clear" w:color="auto" w:fill="auto"/>
          </w:tcPr>
          <w:p w14:paraId="122A5300" w14:textId="77777777" w:rsidR="004F3111" w:rsidRPr="00593A78" w:rsidRDefault="004F3111" w:rsidP="004F3111">
            <w:pPr>
              <w:pStyle w:val="TableText"/>
              <w:keepNext/>
              <w:jc w:val="center"/>
            </w:pPr>
            <w:r w:rsidRPr="00593A78">
              <w:t xml:space="preserve">6.0% </w:t>
            </w:r>
            <w:r w:rsidRPr="00593A78">
              <w:br/>
              <w:t>(4.6-7.6%)</w:t>
            </w:r>
          </w:p>
        </w:tc>
        <w:tc>
          <w:tcPr>
            <w:tcW w:w="1134" w:type="dxa"/>
            <w:shd w:val="clear" w:color="auto" w:fill="auto"/>
          </w:tcPr>
          <w:p w14:paraId="7CBEE9AF" w14:textId="77777777" w:rsidR="004F3111" w:rsidRPr="00593A78" w:rsidRDefault="004F3111" w:rsidP="004F3111">
            <w:pPr>
              <w:pStyle w:val="TableText"/>
              <w:keepNext/>
              <w:jc w:val="center"/>
            </w:pPr>
            <w:r w:rsidRPr="00593A78">
              <w:t xml:space="preserve">2.1% </w:t>
            </w:r>
            <w:r w:rsidRPr="00593A78">
              <w:br/>
              <w:t>(1.7-2.6%)</w:t>
            </w:r>
          </w:p>
        </w:tc>
        <w:tc>
          <w:tcPr>
            <w:tcW w:w="1134" w:type="dxa"/>
            <w:shd w:val="clear" w:color="auto" w:fill="auto"/>
          </w:tcPr>
          <w:p w14:paraId="4317D1BD" w14:textId="77777777" w:rsidR="004F3111" w:rsidRPr="00593A78" w:rsidRDefault="004F3111" w:rsidP="004F3111">
            <w:pPr>
              <w:pStyle w:val="TableText"/>
              <w:keepNext/>
              <w:jc w:val="center"/>
            </w:pPr>
            <w:r w:rsidRPr="00593A78">
              <w:t xml:space="preserve">3.9% </w:t>
            </w:r>
            <w:r w:rsidRPr="00593A78">
              <w:br/>
              <w:t>(3.4-4.4%)</w:t>
            </w:r>
          </w:p>
        </w:tc>
      </w:tr>
      <w:tr w:rsidR="004F3111" w:rsidRPr="00593A78" w14:paraId="5A12DDA8" w14:textId="77777777" w:rsidTr="004F3111">
        <w:trPr>
          <w:cantSplit/>
        </w:trPr>
        <w:tc>
          <w:tcPr>
            <w:tcW w:w="1361" w:type="dxa"/>
          </w:tcPr>
          <w:p w14:paraId="48AB4904" w14:textId="15AA3C55" w:rsidR="004F3111" w:rsidRPr="00593A78" w:rsidRDefault="004F3111" w:rsidP="004F3111">
            <w:pPr>
              <w:pStyle w:val="TableText"/>
              <w:keepNext/>
            </w:pPr>
            <w:r w:rsidRPr="00593A78">
              <w:t xml:space="preserve">Daily vaper and </w:t>
            </w:r>
            <w:r w:rsidRPr="00593A78">
              <w:br/>
            </w:r>
            <w:r w:rsidR="00666807">
              <w:t>never-smoker</w:t>
            </w:r>
          </w:p>
        </w:tc>
        <w:tc>
          <w:tcPr>
            <w:tcW w:w="1134" w:type="dxa"/>
          </w:tcPr>
          <w:p w14:paraId="6E1CF418" w14:textId="5F2A3095" w:rsidR="004F3111" w:rsidRPr="00593A78" w:rsidRDefault="004F3111" w:rsidP="004F3111">
            <w:pPr>
              <w:pStyle w:val="TableText"/>
              <w:keepNext/>
              <w:jc w:val="center"/>
            </w:pPr>
            <w:r w:rsidRPr="00593A78">
              <w:t xml:space="preserve">5.3% </w:t>
            </w:r>
            <w:r w:rsidRPr="00593A78">
              <w:br/>
              <w:t>(2.5-9.6%)</w:t>
            </w:r>
          </w:p>
        </w:tc>
        <w:tc>
          <w:tcPr>
            <w:tcW w:w="1134" w:type="dxa"/>
          </w:tcPr>
          <w:p w14:paraId="67CD2E28" w14:textId="77777777" w:rsidR="004F3111" w:rsidRPr="00593A78" w:rsidRDefault="004F3111" w:rsidP="004F3111">
            <w:pPr>
              <w:pStyle w:val="TableText"/>
              <w:keepNext/>
              <w:jc w:val="center"/>
            </w:pPr>
            <w:r w:rsidRPr="00593A78">
              <w:t xml:space="preserve">7.0% </w:t>
            </w:r>
            <w:r w:rsidRPr="00593A78">
              <w:br/>
              <w:t>(4.3-10.6%)</w:t>
            </w:r>
          </w:p>
        </w:tc>
        <w:tc>
          <w:tcPr>
            <w:tcW w:w="1134" w:type="dxa"/>
            <w:shd w:val="clear" w:color="auto" w:fill="auto"/>
          </w:tcPr>
          <w:p w14:paraId="4570B509" w14:textId="77777777" w:rsidR="004F3111" w:rsidRPr="00593A78" w:rsidRDefault="004F3111" w:rsidP="004F3111">
            <w:pPr>
              <w:pStyle w:val="TableText"/>
              <w:keepNext/>
              <w:jc w:val="center"/>
            </w:pPr>
            <w:r w:rsidRPr="00593A78">
              <w:t xml:space="preserve">1.0% </w:t>
            </w:r>
            <w:r w:rsidRPr="00593A78">
              <w:br/>
              <w:t>(0.5-1.6%)</w:t>
            </w:r>
          </w:p>
        </w:tc>
        <w:tc>
          <w:tcPr>
            <w:tcW w:w="1134" w:type="dxa"/>
            <w:shd w:val="clear" w:color="auto" w:fill="auto"/>
          </w:tcPr>
          <w:p w14:paraId="0FDDE174" w14:textId="77777777" w:rsidR="004F3111" w:rsidRPr="00593A78" w:rsidRDefault="004F3111" w:rsidP="004F3111">
            <w:pPr>
              <w:pStyle w:val="TableText"/>
              <w:keepNext/>
              <w:jc w:val="center"/>
            </w:pPr>
            <w:r w:rsidRPr="00593A78">
              <w:t xml:space="preserve">0.3% </w:t>
            </w:r>
            <w:r w:rsidRPr="00593A78">
              <w:br/>
              <w:t>(0.1-0.6%)†</w:t>
            </w:r>
          </w:p>
        </w:tc>
        <w:tc>
          <w:tcPr>
            <w:tcW w:w="1134" w:type="dxa"/>
            <w:shd w:val="clear" w:color="auto" w:fill="auto"/>
          </w:tcPr>
          <w:p w14:paraId="4E1EE80C" w14:textId="77777777" w:rsidR="004F3111" w:rsidRPr="00593A78" w:rsidRDefault="004F3111" w:rsidP="004F3111">
            <w:pPr>
              <w:pStyle w:val="TableText"/>
              <w:keepNext/>
              <w:jc w:val="center"/>
            </w:pPr>
            <w:r w:rsidRPr="00593A78">
              <w:t xml:space="preserve">0.1% </w:t>
            </w:r>
            <w:r w:rsidRPr="00593A78">
              <w:br/>
              <w:t>(0.0-0.4%)†</w:t>
            </w:r>
          </w:p>
        </w:tc>
        <w:tc>
          <w:tcPr>
            <w:tcW w:w="1134" w:type="dxa"/>
            <w:shd w:val="clear" w:color="auto" w:fill="auto"/>
          </w:tcPr>
          <w:p w14:paraId="12B8E416" w14:textId="77777777" w:rsidR="004F3111" w:rsidRPr="00593A78" w:rsidRDefault="004F3111" w:rsidP="004F3111">
            <w:pPr>
              <w:pStyle w:val="TableText"/>
              <w:keepNext/>
              <w:jc w:val="center"/>
            </w:pPr>
            <w:r w:rsidRPr="00593A78">
              <w:t xml:space="preserve">1.3% </w:t>
            </w:r>
            <w:r w:rsidRPr="00593A78">
              <w:br/>
              <w:t>(1.0-1.7%)</w:t>
            </w:r>
          </w:p>
        </w:tc>
      </w:tr>
    </w:tbl>
    <w:p w14:paraId="20CE62AE" w14:textId="77777777" w:rsidR="004F3111" w:rsidRPr="00593A78" w:rsidRDefault="004F3111" w:rsidP="004F3111">
      <w:pPr>
        <w:pStyle w:val="Note"/>
      </w:pPr>
      <w:r w:rsidRPr="00593A78">
        <w:t xml:space="preserve">Note: excludes the Other smoking group, so the subcategories may not sum to daily vapers </w:t>
      </w:r>
      <w:r w:rsidRPr="00593A78">
        <w:br/>
        <w:t>† RSE over 30%.</w:t>
      </w:r>
    </w:p>
    <w:p w14:paraId="28AC6F39" w14:textId="77777777" w:rsidR="004F3111" w:rsidRPr="00593A78" w:rsidRDefault="004F3111" w:rsidP="004F3111"/>
    <w:p w14:paraId="7A33B884" w14:textId="4EECD875" w:rsidR="004F3111" w:rsidRPr="00593A78" w:rsidRDefault="004F3111" w:rsidP="004F3111">
      <w:r>
        <w:fldChar w:fldCharType="begin"/>
      </w:r>
      <w:r>
        <w:instrText xml:space="preserve"> REF _Ref135993126 \h </w:instrText>
      </w:r>
      <w:r>
        <w:fldChar w:fldCharType="separate"/>
      </w:r>
      <w:r>
        <w:t xml:space="preserve">Figure </w:t>
      </w:r>
      <w:r>
        <w:rPr>
          <w:noProof/>
        </w:rPr>
        <w:t>6</w:t>
      </w:r>
      <w:r>
        <w:fldChar w:fldCharType="end"/>
      </w:r>
      <w:r w:rsidRPr="00593A78">
        <w:t xml:space="preserve"> shows the same data, but as a stacked bar graph. This is useful to show patterns by age group, but take into account the 95% confidence intervals and quality flags († interpret with caution) in the previous table when interpreting results in this graph. </w:t>
      </w:r>
    </w:p>
    <w:p w14:paraId="2D3AA5DA" w14:textId="77777777" w:rsidR="004F3111" w:rsidRPr="00593A78" w:rsidRDefault="004F3111" w:rsidP="004F3111"/>
    <w:p w14:paraId="3DF96673" w14:textId="0861D012" w:rsidR="004F3111" w:rsidRDefault="004F3111" w:rsidP="004F3111">
      <w:pPr>
        <w:pStyle w:val="Figure"/>
      </w:pPr>
      <w:bookmarkStart w:id="37" w:name="_Ref135993126"/>
      <w:bookmarkStart w:id="38" w:name="_Toc135985883"/>
      <w:bookmarkStart w:id="39" w:name="_Toc135993059"/>
      <w:r>
        <w:lastRenderedPageBreak/>
        <w:t xml:space="preserve">Figure </w:t>
      </w:r>
      <w:fldSimple w:instr=" SEQ Figure \* ARABIC ">
        <w:r>
          <w:rPr>
            <w:noProof/>
          </w:rPr>
          <w:t>6</w:t>
        </w:r>
      </w:fldSimple>
      <w:bookmarkEnd w:id="37"/>
      <w:r>
        <w:t xml:space="preserve">: </w:t>
      </w:r>
      <w:r w:rsidRPr="00593A78">
        <w:t>Daily vaping in people aged 15 and older, by smoking status and age group, pooled data for 2020/21 and 2021/22</w:t>
      </w:r>
      <w:bookmarkEnd w:id="38"/>
      <w:bookmarkEnd w:id="39"/>
    </w:p>
    <w:p w14:paraId="2B780899" w14:textId="686A2709" w:rsidR="001C5880" w:rsidRDefault="007B590F" w:rsidP="001C5880">
      <w:r>
        <w:rPr>
          <w:noProof/>
        </w:rPr>
        <w:drawing>
          <wp:inline distT="0" distB="0" distL="0" distR="0" wp14:anchorId="53943B7B" wp14:editId="621DB953">
            <wp:extent cx="5110387" cy="2874213"/>
            <wp:effectExtent l="0" t="0" r="0" b="254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5110387" cy="2874213"/>
                    </a:xfrm>
                    <a:prstGeom prst="rect">
                      <a:avLst/>
                    </a:prstGeom>
                    <a:noFill/>
                  </pic:spPr>
                </pic:pic>
              </a:graphicData>
            </a:graphic>
          </wp:inline>
        </w:drawing>
      </w:r>
    </w:p>
    <w:p w14:paraId="4F57D5AF" w14:textId="77777777" w:rsidR="004F3111" w:rsidRPr="00593A78" w:rsidRDefault="004F3111" w:rsidP="004F3111">
      <w:pPr>
        <w:pStyle w:val="Note"/>
      </w:pPr>
      <w:r w:rsidRPr="00593A78">
        <w:t>Notes: results for the Other smoking group are not shown; RSE over 30% for current and ex-smokers aged 15–17 years and never-smokers aged 35–44 and 45+</w:t>
      </w:r>
    </w:p>
    <w:p w14:paraId="77AD6799" w14:textId="77777777" w:rsidR="004F3111" w:rsidRPr="00593A78" w:rsidRDefault="004F3111" w:rsidP="004F3111">
      <w:pPr>
        <w:pStyle w:val="Note"/>
      </w:pPr>
    </w:p>
    <w:p w14:paraId="526C4E4B" w14:textId="02A0DA26" w:rsidR="004F3111" w:rsidRDefault="004F3111" w:rsidP="004F3111">
      <w:r w:rsidRPr="00593A78">
        <w:t xml:space="preserve">Among daily vapers aged 25 or older, nearly all were ex-smokers (64%) or current smokers (26%). Among daily vapers aged 18–24, just over half were either ex-smokers (33%) or current smokers (21%), 9% were in the other smoking group (people who smoke less than monthly or quit smoking in the past month), and 37% were never-smokers. </w:t>
      </w:r>
    </w:p>
    <w:p w14:paraId="6FDD922F" w14:textId="77777777" w:rsidR="004F3111" w:rsidRPr="00593A78" w:rsidRDefault="004F3111" w:rsidP="004F3111"/>
    <w:p w14:paraId="20047AE0" w14:textId="77777777" w:rsidR="004F3111" w:rsidRPr="00593A78" w:rsidRDefault="004F3111" w:rsidP="004F3111">
      <w:r w:rsidRPr="00593A78">
        <w:t>Results for the 15–17 age group have lower reliability and we recommend caution in interpretation. Based on pooled data from the last 2 survey years (2020/21 and 2021/22), about 1 in 14 people aged 15–17 (6.9%) were daily vapers. Of these, 76% were never-smokers, 18% were ex-smokers and 6% were current smokers (that is, dual users). This age group accounted for 4% of all daily vapers.</w:t>
      </w:r>
    </w:p>
    <w:p w14:paraId="66EA9EDE" w14:textId="77777777" w:rsidR="004F3111" w:rsidRPr="00593A78" w:rsidRDefault="004F3111" w:rsidP="004F3111">
      <w:pPr>
        <w:pStyle w:val="Heading2"/>
      </w:pPr>
      <w:bookmarkStart w:id="40" w:name="_Toc134721745"/>
      <w:bookmarkStart w:id="41" w:name="_Toc135985872"/>
      <w:bookmarkStart w:id="42" w:name="_Toc136265211"/>
      <w:r w:rsidRPr="00593A78">
        <w:t xml:space="preserve">Smoking status of daily vapers by </w:t>
      </w:r>
      <w:bookmarkEnd w:id="40"/>
      <w:r w:rsidRPr="00593A78">
        <w:t>ethnic group</w:t>
      </w:r>
      <w:bookmarkEnd w:id="41"/>
      <w:bookmarkEnd w:id="42"/>
    </w:p>
    <w:p w14:paraId="51DD8D07" w14:textId="77777777" w:rsidR="004F3111" w:rsidRPr="00593A78" w:rsidRDefault="004F3111" w:rsidP="004F3111">
      <w:r w:rsidRPr="00593A78">
        <w:t>The sample size was not sufficient to provide reliable annual estimates of daily vaping by smoking status and ethnic group. Therefore, data from the most recent 2 survey years (2020/21 and 2021/22) was pooled to boost the sample size and provide a more reliable estimate. However, even with pooled data the 95% confidence intervals are wide for some smoking status and/or ethnic groups.</w:t>
      </w:r>
    </w:p>
    <w:p w14:paraId="3B783257" w14:textId="77777777" w:rsidR="004F3111" w:rsidRPr="00593A78" w:rsidRDefault="004F3111" w:rsidP="004F3111"/>
    <w:p w14:paraId="0D30038F" w14:textId="77777777" w:rsidR="004F3111" w:rsidRPr="00593A78" w:rsidRDefault="004F3111" w:rsidP="004F3111">
      <w:r w:rsidRPr="00593A78">
        <w:t>The percentage of people who were both a daily vaper and current smoker (that is, a dual user) was highest in Māori and Pacific peoples. The percentage of people who were a daily vaper and an ex-smoker was also highest in Māori and Pacific peoples. There was no significant difference by ethnic group in the percentage of people who were a daily vaper and a never-smoker.</w:t>
      </w:r>
    </w:p>
    <w:p w14:paraId="103BABD1" w14:textId="65620CA4" w:rsidR="004F3111" w:rsidRPr="00593A78" w:rsidRDefault="004F3111" w:rsidP="004F3111">
      <w:pPr>
        <w:pStyle w:val="Table"/>
      </w:pPr>
      <w:bookmarkStart w:id="43" w:name="_Toc135985887"/>
      <w:bookmarkStart w:id="44" w:name="_Toc135993052"/>
      <w:r>
        <w:lastRenderedPageBreak/>
        <w:t xml:space="preserve">Table </w:t>
      </w:r>
      <w:fldSimple w:instr=" SEQ Table \* ARABIC ">
        <w:r>
          <w:rPr>
            <w:noProof/>
          </w:rPr>
          <w:t>3</w:t>
        </w:r>
      </w:fldSimple>
      <w:r>
        <w:t xml:space="preserve">: </w:t>
      </w:r>
      <w:r w:rsidRPr="00593A78">
        <w:t>Daily vaping in people aged 15 and older, by smoking status and ethnic group (total response), pooled data for 2020/21 and 2021/22</w:t>
      </w:r>
      <w:bookmarkEnd w:id="43"/>
      <w:bookmarkEnd w:id="44"/>
    </w:p>
    <w:tbl>
      <w:tblPr>
        <w:tblW w:w="8278"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758"/>
        <w:gridCol w:w="1304"/>
        <w:gridCol w:w="1304"/>
        <w:gridCol w:w="1304"/>
        <w:gridCol w:w="1304"/>
        <w:gridCol w:w="1304"/>
      </w:tblGrid>
      <w:tr w:rsidR="004F3111" w:rsidRPr="00593A78" w14:paraId="25521FC9" w14:textId="77777777" w:rsidTr="004F3111">
        <w:trPr>
          <w:cantSplit/>
        </w:trPr>
        <w:tc>
          <w:tcPr>
            <w:tcW w:w="1758" w:type="dxa"/>
            <w:tcBorders>
              <w:top w:val="nil"/>
              <w:bottom w:val="nil"/>
            </w:tcBorders>
            <w:shd w:val="clear" w:color="auto" w:fill="D9D9D9" w:themeFill="background1" w:themeFillShade="D9"/>
          </w:tcPr>
          <w:p w14:paraId="5C3B340F" w14:textId="77777777" w:rsidR="004F3111" w:rsidRPr="00593A78" w:rsidRDefault="004F3111" w:rsidP="004F3111">
            <w:pPr>
              <w:pStyle w:val="TableText"/>
              <w:keepNext/>
              <w:rPr>
                <w:b/>
              </w:rPr>
            </w:pPr>
          </w:p>
        </w:tc>
        <w:tc>
          <w:tcPr>
            <w:tcW w:w="1304" w:type="dxa"/>
            <w:tcBorders>
              <w:top w:val="nil"/>
              <w:bottom w:val="nil"/>
            </w:tcBorders>
            <w:shd w:val="clear" w:color="auto" w:fill="D9D9D9" w:themeFill="background1" w:themeFillShade="D9"/>
          </w:tcPr>
          <w:p w14:paraId="66491A0F" w14:textId="77777777" w:rsidR="004F3111" w:rsidRPr="00593A78" w:rsidRDefault="004F3111" w:rsidP="004F3111">
            <w:pPr>
              <w:pStyle w:val="TableText"/>
              <w:keepNext/>
              <w:jc w:val="center"/>
              <w:rPr>
                <w:b/>
              </w:rPr>
            </w:pPr>
            <w:r w:rsidRPr="00593A78">
              <w:rPr>
                <w:b/>
              </w:rPr>
              <w:t xml:space="preserve">Māori </w:t>
            </w:r>
          </w:p>
        </w:tc>
        <w:tc>
          <w:tcPr>
            <w:tcW w:w="1304" w:type="dxa"/>
            <w:tcBorders>
              <w:top w:val="nil"/>
              <w:bottom w:val="nil"/>
            </w:tcBorders>
            <w:shd w:val="clear" w:color="auto" w:fill="D9D9D9" w:themeFill="background1" w:themeFillShade="D9"/>
          </w:tcPr>
          <w:p w14:paraId="1D799FE5" w14:textId="77777777" w:rsidR="004F3111" w:rsidRPr="00593A78" w:rsidRDefault="004F3111" w:rsidP="004F3111">
            <w:pPr>
              <w:pStyle w:val="TableText"/>
              <w:keepNext/>
              <w:jc w:val="center"/>
              <w:rPr>
                <w:b/>
              </w:rPr>
            </w:pPr>
            <w:r w:rsidRPr="00593A78">
              <w:rPr>
                <w:b/>
              </w:rPr>
              <w:t>Pacific</w:t>
            </w:r>
          </w:p>
        </w:tc>
        <w:tc>
          <w:tcPr>
            <w:tcW w:w="1304" w:type="dxa"/>
            <w:tcBorders>
              <w:top w:val="nil"/>
            </w:tcBorders>
            <w:shd w:val="clear" w:color="auto" w:fill="D9D9D9" w:themeFill="background1" w:themeFillShade="D9"/>
          </w:tcPr>
          <w:p w14:paraId="5DF7E3FD" w14:textId="77777777" w:rsidR="004F3111" w:rsidRPr="00593A78" w:rsidRDefault="004F3111" w:rsidP="004F3111">
            <w:pPr>
              <w:pStyle w:val="TableText"/>
              <w:keepNext/>
              <w:jc w:val="center"/>
              <w:rPr>
                <w:b/>
              </w:rPr>
            </w:pPr>
            <w:r w:rsidRPr="00593A78">
              <w:rPr>
                <w:b/>
              </w:rPr>
              <w:t>Asian</w:t>
            </w:r>
          </w:p>
        </w:tc>
        <w:tc>
          <w:tcPr>
            <w:tcW w:w="1304" w:type="dxa"/>
            <w:tcBorders>
              <w:top w:val="nil"/>
            </w:tcBorders>
            <w:shd w:val="clear" w:color="auto" w:fill="D9D9D9" w:themeFill="background1" w:themeFillShade="D9"/>
          </w:tcPr>
          <w:p w14:paraId="09F24BE9" w14:textId="77777777" w:rsidR="004F3111" w:rsidRPr="00593A78" w:rsidRDefault="004F3111" w:rsidP="004F3111">
            <w:pPr>
              <w:pStyle w:val="TableText"/>
              <w:keepNext/>
              <w:jc w:val="center"/>
              <w:rPr>
                <w:b/>
              </w:rPr>
            </w:pPr>
            <w:r w:rsidRPr="00593A78">
              <w:rPr>
                <w:b/>
              </w:rPr>
              <w:t>European/</w:t>
            </w:r>
          </w:p>
          <w:p w14:paraId="2F56EBCF" w14:textId="77777777" w:rsidR="004F3111" w:rsidRPr="00593A78" w:rsidRDefault="004F3111" w:rsidP="004F3111">
            <w:pPr>
              <w:pStyle w:val="TableText"/>
              <w:keepNext/>
              <w:jc w:val="center"/>
              <w:rPr>
                <w:b/>
              </w:rPr>
            </w:pPr>
            <w:r w:rsidRPr="00593A78">
              <w:rPr>
                <w:b/>
              </w:rPr>
              <w:t>Other</w:t>
            </w:r>
          </w:p>
        </w:tc>
        <w:tc>
          <w:tcPr>
            <w:tcW w:w="1304" w:type="dxa"/>
            <w:tcBorders>
              <w:top w:val="nil"/>
            </w:tcBorders>
            <w:shd w:val="clear" w:color="auto" w:fill="D9D9D9" w:themeFill="background1" w:themeFillShade="D9"/>
          </w:tcPr>
          <w:p w14:paraId="34A12696" w14:textId="77777777" w:rsidR="004F3111" w:rsidRPr="00593A78" w:rsidRDefault="004F3111" w:rsidP="004F3111">
            <w:pPr>
              <w:pStyle w:val="TableText"/>
              <w:keepNext/>
              <w:jc w:val="center"/>
              <w:rPr>
                <w:b/>
              </w:rPr>
            </w:pPr>
            <w:r w:rsidRPr="00593A78">
              <w:rPr>
                <w:b/>
              </w:rPr>
              <w:t>All</w:t>
            </w:r>
          </w:p>
        </w:tc>
      </w:tr>
      <w:tr w:rsidR="004F3111" w:rsidRPr="00593A78" w14:paraId="11B041FF" w14:textId="77777777" w:rsidTr="004F3111">
        <w:trPr>
          <w:cantSplit/>
        </w:trPr>
        <w:tc>
          <w:tcPr>
            <w:tcW w:w="1758" w:type="dxa"/>
            <w:tcBorders>
              <w:top w:val="nil"/>
            </w:tcBorders>
          </w:tcPr>
          <w:p w14:paraId="5A9A2CF2" w14:textId="77777777" w:rsidR="004F3111" w:rsidRPr="00593A78" w:rsidRDefault="004F3111" w:rsidP="004F3111">
            <w:pPr>
              <w:pStyle w:val="TableText"/>
              <w:keepNext/>
            </w:pPr>
            <w:r w:rsidRPr="00593A78">
              <w:t>Daily vaper</w:t>
            </w:r>
          </w:p>
        </w:tc>
        <w:tc>
          <w:tcPr>
            <w:tcW w:w="1304" w:type="dxa"/>
            <w:tcBorders>
              <w:top w:val="nil"/>
            </w:tcBorders>
          </w:tcPr>
          <w:p w14:paraId="67BB3254" w14:textId="77777777" w:rsidR="004F3111" w:rsidRPr="00593A78" w:rsidRDefault="004F3111" w:rsidP="004F3111">
            <w:pPr>
              <w:pStyle w:val="TableText"/>
              <w:keepNext/>
              <w:jc w:val="center"/>
            </w:pPr>
            <w:r w:rsidRPr="00593A78">
              <w:t xml:space="preserve">15.1% </w:t>
            </w:r>
            <w:r w:rsidRPr="00593A78">
              <w:br/>
              <w:t>(13.1-17.2%)</w:t>
            </w:r>
          </w:p>
        </w:tc>
        <w:tc>
          <w:tcPr>
            <w:tcW w:w="1304" w:type="dxa"/>
            <w:tcBorders>
              <w:top w:val="nil"/>
            </w:tcBorders>
          </w:tcPr>
          <w:p w14:paraId="1386A85F" w14:textId="77777777" w:rsidR="004F3111" w:rsidRPr="00593A78" w:rsidRDefault="004F3111" w:rsidP="004F3111">
            <w:pPr>
              <w:pStyle w:val="TableText"/>
              <w:keepNext/>
              <w:jc w:val="center"/>
            </w:pPr>
            <w:r w:rsidRPr="00593A78">
              <w:t xml:space="preserve">12.7% </w:t>
            </w:r>
            <w:r w:rsidRPr="00593A78">
              <w:br/>
              <w:t>(9.0-17.2%)</w:t>
            </w:r>
          </w:p>
        </w:tc>
        <w:tc>
          <w:tcPr>
            <w:tcW w:w="1304" w:type="dxa"/>
            <w:shd w:val="clear" w:color="auto" w:fill="auto"/>
          </w:tcPr>
          <w:p w14:paraId="2FF5EE8C" w14:textId="77777777" w:rsidR="004F3111" w:rsidRPr="00593A78" w:rsidRDefault="004F3111" w:rsidP="004F3111">
            <w:pPr>
              <w:pStyle w:val="TableText"/>
              <w:keepNext/>
              <w:jc w:val="center"/>
            </w:pPr>
            <w:r w:rsidRPr="00593A78">
              <w:t xml:space="preserve">4.8% </w:t>
            </w:r>
            <w:r w:rsidRPr="00593A78">
              <w:br/>
              <w:t>(3.5-6.4%)</w:t>
            </w:r>
          </w:p>
        </w:tc>
        <w:tc>
          <w:tcPr>
            <w:tcW w:w="1304" w:type="dxa"/>
            <w:shd w:val="clear" w:color="auto" w:fill="auto"/>
          </w:tcPr>
          <w:p w14:paraId="08CD46E1" w14:textId="77777777" w:rsidR="004F3111" w:rsidRPr="00593A78" w:rsidRDefault="004F3111" w:rsidP="004F3111">
            <w:pPr>
              <w:pStyle w:val="TableText"/>
              <w:keepNext/>
              <w:jc w:val="center"/>
            </w:pPr>
            <w:r w:rsidRPr="00593A78">
              <w:t xml:space="preserve">7.0% </w:t>
            </w:r>
            <w:r w:rsidRPr="00593A78">
              <w:br/>
              <w:t>(6.3-7.8%)</w:t>
            </w:r>
          </w:p>
        </w:tc>
        <w:tc>
          <w:tcPr>
            <w:tcW w:w="1304" w:type="dxa"/>
            <w:shd w:val="clear" w:color="auto" w:fill="auto"/>
          </w:tcPr>
          <w:p w14:paraId="4624ED4B" w14:textId="77777777" w:rsidR="004F3111" w:rsidRPr="00593A78" w:rsidRDefault="004F3111" w:rsidP="004F3111">
            <w:pPr>
              <w:pStyle w:val="TableText"/>
              <w:keepNext/>
              <w:jc w:val="center"/>
            </w:pPr>
            <w:r w:rsidRPr="00593A78">
              <w:t xml:space="preserve">7.3% </w:t>
            </w:r>
            <w:r w:rsidRPr="00593A78">
              <w:br/>
              <w:t>(6.6-8.0%)</w:t>
            </w:r>
          </w:p>
        </w:tc>
      </w:tr>
      <w:tr w:rsidR="004F3111" w:rsidRPr="00593A78" w14:paraId="50DD59D5" w14:textId="77777777" w:rsidTr="004F3111">
        <w:trPr>
          <w:cantSplit/>
        </w:trPr>
        <w:tc>
          <w:tcPr>
            <w:tcW w:w="1758" w:type="dxa"/>
          </w:tcPr>
          <w:p w14:paraId="31E08EC2" w14:textId="77777777" w:rsidR="004F3111" w:rsidRPr="00593A78" w:rsidRDefault="004F3111" w:rsidP="004F3111">
            <w:pPr>
              <w:pStyle w:val="TableText"/>
              <w:keepNext/>
            </w:pPr>
            <w:r w:rsidRPr="00593A78">
              <w:t>Daily vaper and current smoker</w:t>
            </w:r>
          </w:p>
        </w:tc>
        <w:tc>
          <w:tcPr>
            <w:tcW w:w="1304" w:type="dxa"/>
          </w:tcPr>
          <w:p w14:paraId="0ED16805" w14:textId="77777777" w:rsidR="004F3111" w:rsidRPr="00593A78" w:rsidRDefault="004F3111" w:rsidP="004F3111">
            <w:pPr>
              <w:pStyle w:val="TableText"/>
              <w:keepNext/>
              <w:jc w:val="center"/>
            </w:pPr>
            <w:r w:rsidRPr="00593A78">
              <w:t xml:space="preserve">4.3% </w:t>
            </w:r>
            <w:r w:rsidRPr="00593A78">
              <w:br/>
              <w:t>(3.1-5.8%)</w:t>
            </w:r>
          </w:p>
        </w:tc>
        <w:tc>
          <w:tcPr>
            <w:tcW w:w="1304" w:type="dxa"/>
          </w:tcPr>
          <w:p w14:paraId="12903C7E" w14:textId="77777777" w:rsidR="004F3111" w:rsidRPr="00593A78" w:rsidRDefault="004F3111" w:rsidP="004F3111">
            <w:pPr>
              <w:pStyle w:val="TableText"/>
              <w:keepNext/>
              <w:jc w:val="center"/>
            </w:pPr>
            <w:r w:rsidRPr="00593A78">
              <w:t xml:space="preserve">4.5% </w:t>
            </w:r>
            <w:r w:rsidRPr="00593A78">
              <w:br/>
              <w:t>(2.4-7.7%)</w:t>
            </w:r>
          </w:p>
        </w:tc>
        <w:tc>
          <w:tcPr>
            <w:tcW w:w="1304" w:type="dxa"/>
            <w:shd w:val="clear" w:color="auto" w:fill="auto"/>
          </w:tcPr>
          <w:p w14:paraId="426D7BD9" w14:textId="77777777" w:rsidR="004F3111" w:rsidRPr="00593A78" w:rsidRDefault="004F3111" w:rsidP="004F3111">
            <w:pPr>
              <w:pStyle w:val="TableText"/>
              <w:keepNext/>
              <w:jc w:val="center"/>
            </w:pPr>
            <w:r w:rsidRPr="00593A78">
              <w:t xml:space="preserve">0.7% </w:t>
            </w:r>
            <w:r w:rsidRPr="00593A78">
              <w:br/>
              <w:t>(0.3-1.4%)†</w:t>
            </w:r>
          </w:p>
        </w:tc>
        <w:tc>
          <w:tcPr>
            <w:tcW w:w="1304" w:type="dxa"/>
            <w:shd w:val="clear" w:color="auto" w:fill="auto"/>
          </w:tcPr>
          <w:p w14:paraId="7D351802" w14:textId="77777777" w:rsidR="004F3111" w:rsidRPr="00593A78" w:rsidRDefault="004F3111" w:rsidP="004F3111">
            <w:pPr>
              <w:pStyle w:val="TableText"/>
              <w:keepNext/>
              <w:jc w:val="center"/>
            </w:pPr>
            <w:r w:rsidRPr="00593A78">
              <w:t xml:space="preserve">1.6% </w:t>
            </w:r>
            <w:r w:rsidRPr="00593A78">
              <w:br/>
              <w:t>(1.3-2.0%)</w:t>
            </w:r>
          </w:p>
        </w:tc>
        <w:tc>
          <w:tcPr>
            <w:tcW w:w="1304" w:type="dxa"/>
            <w:shd w:val="clear" w:color="auto" w:fill="auto"/>
          </w:tcPr>
          <w:p w14:paraId="78E6FF4E" w14:textId="77777777" w:rsidR="004F3111" w:rsidRPr="00593A78" w:rsidRDefault="004F3111" w:rsidP="004F3111">
            <w:pPr>
              <w:pStyle w:val="TableText"/>
              <w:keepNext/>
              <w:jc w:val="center"/>
            </w:pPr>
            <w:r w:rsidRPr="00593A78">
              <w:t xml:space="preserve">1.7% </w:t>
            </w:r>
            <w:r w:rsidRPr="00593A78">
              <w:br/>
              <w:t>(1.4-2.0%)</w:t>
            </w:r>
          </w:p>
        </w:tc>
      </w:tr>
      <w:tr w:rsidR="004F3111" w:rsidRPr="00593A78" w14:paraId="47656BA0" w14:textId="77777777" w:rsidTr="004F3111">
        <w:trPr>
          <w:cantSplit/>
        </w:trPr>
        <w:tc>
          <w:tcPr>
            <w:tcW w:w="1758" w:type="dxa"/>
          </w:tcPr>
          <w:p w14:paraId="56CC1C04" w14:textId="77777777" w:rsidR="004F3111" w:rsidRPr="00593A78" w:rsidRDefault="004F3111" w:rsidP="004F3111">
            <w:pPr>
              <w:pStyle w:val="TableText"/>
              <w:keepNext/>
            </w:pPr>
            <w:r w:rsidRPr="00593A78">
              <w:t xml:space="preserve">Daily vaper and </w:t>
            </w:r>
            <w:r w:rsidRPr="00593A78">
              <w:br/>
              <w:t>ex-smoker</w:t>
            </w:r>
          </w:p>
        </w:tc>
        <w:tc>
          <w:tcPr>
            <w:tcW w:w="1304" w:type="dxa"/>
          </w:tcPr>
          <w:p w14:paraId="6F5BA4E9" w14:textId="77777777" w:rsidR="004F3111" w:rsidRPr="00593A78" w:rsidRDefault="004F3111" w:rsidP="004F3111">
            <w:pPr>
              <w:pStyle w:val="TableText"/>
              <w:keepNext/>
              <w:jc w:val="center"/>
            </w:pPr>
            <w:r w:rsidRPr="00593A78">
              <w:t xml:space="preserve">7.7% </w:t>
            </w:r>
            <w:r w:rsidRPr="00593A78">
              <w:br/>
              <w:t>(6.2-9.4%)</w:t>
            </w:r>
          </w:p>
        </w:tc>
        <w:tc>
          <w:tcPr>
            <w:tcW w:w="1304" w:type="dxa"/>
          </w:tcPr>
          <w:p w14:paraId="29D26838" w14:textId="77777777" w:rsidR="004F3111" w:rsidRPr="00593A78" w:rsidRDefault="004F3111" w:rsidP="004F3111">
            <w:pPr>
              <w:pStyle w:val="TableText"/>
              <w:keepNext/>
              <w:jc w:val="center"/>
            </w:pPr>
            <w:r w:rsidRPr="00593A78">
              <w:t xml:space="preserve">6.1% </w:t>
            </w:r>
            <w:r w:rsidRPr="00593A78">
              <w:br/>
              <w:t>(3.2-10.4%)</w:t>
            </w:r>
          </w:p>
        </w:tc>
        <w:tc>
          <w:tcPr>
            <w:tcW w:w="1304" w:type="dxa"/>
            <w:shd w:val="clear" w:color="auto" w:fill="auto"/>
          </w:tcPr>
          <w:p w14:paraId="07F503A4" w14:textId="77777777" w:rsidR="004F3111" w:rsidRPr="00593A78" w:rsidRDefault="004F3111" w:rsidP="004F3111">
            <w:pPr>
              <w:pStyle w:val="TableText"/>
              <w:keepNext/>
              <w:jc w:val="center"/>
            </w:pPr>
            <w:r w:rsidRPr="00593A78">
              <w:t xml:space="preserve">2.6% </w:t>
            </w:r>
            <w:r w:rsidRPr="00593A78">
              <w:br/>
              <w:t>(1.7-3.6%)</w:t>
            </w:r>
          </w:p>
        </w:tc>
        <w:tc>
          <w:tcPr>
            <w:tcW w:w="1304" w:type="dxa"/>
            <w:shd w:val="clear" w:color="auto" w:fill="auto"/>
          </w:tcPr>
          <w:p w14:paraId="5D994F24" w14:textId="77777777" w:rsidR="004F3111" w:rsidRPr="00593A78" w:rsidRDefault="004F3111" w:rsidP="004F3111">
            <w:pPr>
              <w:pStyle w:val="TableText"/>
              <w:keepNext/>
              <w:jc w:val="center"/>
            </w:pPr>
            <w:r w:rsidRPr="00593A78">
              <w:t xml:space="preserve">3.7% </w:t>
            </w:r>
            <w:r w:rsidRPr="00593A78">
              <w:br/>
              <w:t>(3.1-4.3%)</w:t>
            </w:r>
          </w:p>
        </w:tc>
        <w:tc>
          <w:tcPr>
            <w:tcW w:w="1304" w:type="dxa"/>
            <w:shd w:val="clear" w:color="auto" w:fill="auto"/>
          </w:tcPr>
          <w:p w14:paraId="5D7E0A7E" w14:textId="77777777" w:rsidR="004F3111" w:rsidRPr="00593A78" w:rsidRDefault="004F3111" w:rsidP="004F3111">
            <w:pPr>
              <w:pStyle w:val="TableText"/>
              <w:keepNext/>
              <w:jc w:val="center"/>
            </w:pPr>
            <w:r w:rsidRPr="00593A78">
              <w:t xml:space="preserve">3.9% </w:t>
            </w:r>
            <w:r w:rsidRPr="00593A78">
              <w:br/>
              <w:t>(3.4-4.4%)</w:t>
            </w:r>
          </w:p>
        </w:tc>
      </w:tr>
      <w:tr w:rsidR="004F3111" w:rsidRPr="00593A78" w14:paraId="45179EE8" w14:textId="77777777" w:rsidTr="004F3111">
        <w:trPr>
          <w:cantSplit/>
        </w:trPr>
        <w:tc>
          <w:tcPr>
            <w:tcW w:w="1758" w:type="dxa"/>
          </w:tcPr>
          <w:p w14:paraId="18DEA987" w14:textId="77777777" w:rsidR="004F3111" w:rsidRPr="00593A78" w:rsidRDefault="004F3111" w:rsidP="004F3111">
            <w:pPr>
              <w:pStyle w:val="TableText"/>
              <w:keepNext/>
            </w:pPr>
            <w:r w:rsidRPr="00593A78">
              <w:t xml:space="preserve">Daily vaper and </w:t>
            </w:r>
            <w:r w:rsidRPr="00593A78">
              <w:br/>
              <w:t>never-smoker</w:t>
            </w:r>
          </w:p>
        </w:tc>
        <w:tc>
          <w:tcPr>
            <w:tcW w:w="1304" w:type="dxa"/>
          </w:tcPr>
          <w:p w14:paraId="311A4FB3" w14:textId="77777777" w:rsidR="004F3111" w:rsidRPr="00593A78" w:rsidRDefault="004F3111" w:rsidP="004F3111">
            <w:pPr>
              <w:pStyle w:val="TableText"/>
              <w:keepNext/>
              <w:jc w:val="center"/>
            </w:pPr>
            <w:r w:rsidRPr="00593A78">
              <w:t xml:space="preserve">2.4% </w:t>
            </w:r>
            <w:r w:rsidRPr="00593A78">
              <w:br/>
              <w:t>(1.5-3.5%)</w:t>
            </w:r>
          </w:p>
        </w:tc>
        <w:tc>
          <w:tcPr>
            <w:tcW w:w="1304" w:type="dxa"/>
          </w:tcPr>
          <w:p w14:paraId="59704D95" w14:textId="77777777" w:rsidR="004F3111" w:rsidRPr="00593A78" w:rsidRDefault="004F3111" w:rsidP="004F3111">
            <w:pPr>
              <w:pStyle w:val="TableText"/>
              <w:keepNext/>
              <w:jc w:val="center"/>
            </w:pPr>
            <w:r w:rsidRPr="00593A78">
              <w:t xml:space="preserve">1.5% </w:t>
            </w:r>
            <w:r w:rsidRPr="00593A78">
              <w:br/>
              <w:t>(0.8-2.7%)†</w:t>
            </w:r>
          </w:p>
        </w:tc>
        <w:tc>
          <w:tcPr>
            <w:tcW w:w="1304" w:type="dxa"/>
            <w:shd w:val="clear" w:color="auto" w:fill="auto"/>
          </w:tcPr>
          <w:p w14:paraId="445D38E0" w14:textId="77777777" w:rsidR="004F3111" w:rsidRPr="00593A78" w:rsidRDefault="004F3111" w:rsidP="004F3111">
            <w:pPr>
              <w:pStyle w:val="TableText"/>
              <w:keepNext/>
              <w:jc w:val="center"/>
            </w:pPr>
            <w:r w:rsidRPr="00593A78">
              <w:t xml:space="preserve">1.3% </w:t>
            </w:r>
            <w:r w:rsidRPr="00593A78">
              <w:br/>
              <w:t>(0.5-2.9%)†</w:t>
            </w:r>
          </w:p>
        </w:tc>
        <w:tc>
          <w:tcPr>
            <w:tcW w:w="1304" w:type="dxa"/>
            <w:shd w:val="clear" w:color="auto" w:fill="auto"/>
          </w:tcPr>
          <w:p w14:paraId="475BCADB" w14:textId="77777777" w:rsidR="004F3111" w:rsidRPr="00593A78" w:rsidRDefault="004F3111" w:rsidP="004F3111">
            <w:pPr>
              <w:pStyle w:val="TableText"/>
              <w:keepNext/>
              <w:jc w:val="center"/>
            </w:pPr>
            <w:r w:rsidRPr="00593A78">
              <w:t xml:space="preserve">1.3% </w:t>
            </w:r>
            <w:r w:rsidRPr="00593A78">
              <w:br/>
              <w:t>(0.9-1.8%)</w:t>
            </w:r>
          </w:p>
        </w:tc>
        <w:tc>
          <w:tcPr>
            <w:tcW w:w="1304" w:type="dxa"/>
            <w:shd w:val="clear" w:color="auto" w:fill="auto"/>
          </w:tcPr>
          <w:p w14:paraId="27821976" w14:textId="77777777" w:rsidR="004F3111" w:rsidRPr="00593A78" w:rsidRDefault="004F3111" w:rsidP="004F3111">
            <w:pPr>
              <w:pStyle w:val="TableText"/>
              <w:keepNext/>
              <w:jc w:val="center"/>
            </w:pPr>
            <w:r w:rsidRPr="00593A78">
              <w:t xml:space="preserve">1.3% </w:t>
            </w:r>
            <w:r w:rsidRPr="00593A78">
              <w:br/>
              <w:t>(1.0-1.7%)</w:t>
            </w:r>
          </w:p>
        </w:tc>
      </w:tr>
    </w:tbl>
    <w:p w14:paraId="3637F85C" w14:textId="77777777" w:rsidR="004F3111" w:rsidRPr="00593A78" w:rsidRDefault="004F3111" w:rsidP="004F3111">
      <w:pPr>
        <w:pStyle w:val="Note"/>
      </w:pPr>
      <w:r w:rsidRPr="00593A78">
        <w:t xml:space="preserve">Note: excludes the Other smoking group, so the subcategories may not sum to daily vapers </w:t>
      </w:r>
      <w:r w:rsidRPr="00593A78">
        <w:br/>
        <w:t>† RSE over 30%.</w:t>
      </w:r>
    </w:p>
    <w:p w14:paraId="1C3F9F3D" w14:textId="77777777" w:rsidR="004F3111" w:rsidRPr="00593A78" w:rsidRDefault="004F3111" w:rsidP="004F3111"/>
    <w:p w14:paraId="4FCCBB61" w14:textId="22F19DE7" w:rsidR="004F3111" w:rsidRPr="00593A78" w:rsidRDefault="004F3111" w:rsidP="004F3111">
      <w:r>
        <w:fldChar w:fldCharType="begin"/>
      </w:r>
      <w:r>
        <w:instrText xml:space="preserve"> REF _Ref135993135 \h </w:instrText>
      </w:r>
      <w:r>
        <w:fldChar w:fldCharType="separate"/>
      </w:r>
      <w:r>
        <w:t xml:space="preserve">Figure </w:t>
      </w:r>
      <w:r>
        <w:rPr>
          <w:noProof/>
        </w:rPr>
        <w:t>7</w:t>
      </w:r>
      <w:r>
        <w:fldChar w:fldCharType="end"/>
      </w:r>
      <w:r w:rsidRPr="00593A78">
        <w:t xml:space="preserve"> shows the same data, but as a stacked bar graph. Take into account the 95% confidence intervals in the previous table when interpreting results in this graph. </w:t>
      </w:r>
    </w:p>
    <w:p w14:paraId="7C3D585E" w14:textId="77777777" w:rsidR="004F3111" w:rsidRPr="00593A78" w:rsidRDefault="004F3111" w:rsidP="004F3111"/>
    <w:p w14:paraId="7799818A" w14:textId="56725F96" w:rsidR="004F3111" w:rsidRDefault="004F3111" w:rsidP="0058172B">
      <w:pPr>
        <w:pStyle w:val="Figure"/>
      </w:pPr>
      <w:bookmarkStart w:id="45" w:name="_Ref135993135"/>
      <w:bookmarkStart w:id="46" w:name="_Toc134721756"/>
      <w:bookmarkStart w:id="47" w:name="_Toc135985884"/>
      <w:bookmarkStart w:id="48" w:name="_Toc135993060"/>
      <w:r>
        <w:t xml:space="preserve">Figure </w:t>
      </w:r>
      <w:fldSimple w:instr=" SEQ Figure \* ARABIC ">
        <w:r>
          <w:rPr>
            <w:noProof/>
          </w:rPr>
          <w:t>7</w:t>
        </w:r>
      </w:fldSimple>
      <w:bookmarkEnd w:id="45"/>
      <w:r>
        <w:t xml:space="preserve">: </w:t>
      </w:r>
      <w:r w:rsidRPr="00593A78">
        <w:t>Daily vaping in people aged 15 and older, by smoking status and ethnic group</w:t>
      </w:r>
      <w:r>
        <w:t xml:space="preserve"> (total response)</w:t>
      </w:r>
      <w:r w:rsidRPr="00593A78">
        <w:t>, pooled data for 2020/21 and 2021/22</w:t>
      </w:r>
      <w:bookmarkEnd w:id="46"/>
      <w:bookmarkEnd w:id="47"/>
      <w:bookmarkEnd w:id="48"/>
    </w:p>
    <w:p w14:paraId="529D029C" w14:textId="3B3214D2" w:rsidR="0058172B" w:rsidRPr="00593A78" w:rsidRDefault="007B590F" w:rsidP="004F3111">
      <w:r>
        <w:rPr>
          <w:noProof/>
          <w:sz w:val="16"/>
          <w:szCs w:val="16"/>
        </w:rPr>
        <w:drawing>
          <wp:inline distT="0" distB="0" distL="0" distR="0" wp14:anchorId="0A9E533D" wp14:editId="2016DC2B">
            <wp:extent cx="5163932" cy="2876347"/>
            <wp:effectExtent l="0" t="0" r="0" b="63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5163932" cy="2876347"/>
                    </a:xfrm>
                    <a:prstGeom prst="rect">
                      <a:avLst/>
                    </a:prstGeom>
                    <a:noFill/>
                  </pic:spPr>
                </pic:pic>
              </a:graphicData>
            </a:graphic>
          </wp:inline>
        </w:drawing>
      </w:r>
    </w:p>
    <w:p w14:paraId="570B86C3" w14:textId="77777777" w:rsidR="004F3111" w:rsidRPr="00593A78" w:rsidRDefault="004F3111" w:rsidP="004F3111">
      <w:pPr>
        <w:pStyle w:val="Note"/>
      </w:pPr>
      <w:r w:rsidRPr="00593A78">
        <w:t>Notes: results for the Other smoking group are not shown; RSE over 30% for Asian smokers and never-smokers</w:t>
      </w:r>
    </w:p>
    <w:p w14:paraId="703DDBF3" w14:textId="77777777" w:rsidR="004F3111" w:rsidRPr="00593A78" w:rsidRDefault="004F3111" w:rsidP="004F3111"/>
    <w:p w14:paraId="102BF5D0" w14:textId="77777777" w:rsidR="004F3111" w:rsidRPr="00593A78" w:rsidRDefault="004F3111" w:rsidP="004F3111">
      <w:r w:rsidRPr="00593A78">
        <w:t xml:space="preserve">In all ethnic groups, about half of daily vapers were ex-smokers. The proportion of daily vapers who were also current smokers (that is, dual users) was: Māori (28%), Pacific (35%), Asian (14%), European/Other (23%). The proportion of daily vapers who were never-smokers was: Māori (16%), Pacific (12%), Asian (28%) and European/Other (18%). </w:t>
      </w:r>
    </w:p>
    <w:p w14:paraId="0181DBD9" w14:textId="77777777" w:rsidR="004F3111" w:rsidRPr="00593A78" w:rsidRDefault="004F3111" w:rsidP="004F3111"/>
    <w:p w14:paraId="6DDBB88B" w14:textId="77777777" w:rsidR="004F3111" w:rsidRPr="00593A78" w:rsidRDefault="004F3111" w:rsidP="004F3111">
      <w:pPr>
        <w:pStyle w:val="Heading1"/>
      </w:pPr>
      <w:bookmarkStart w:id="49" w:name="_Toc135985873"/>
      <w:bookmarkStart w:id="50" w:name="_Toc136265212"/>
      <w:bookmarkEnd w:id="34"/>
      <w:r w:rsidRPr="00593A78">
        <w:lastRenderedPageBreak/>
        <w:t>Methods</w:t>
      </w:r>
      <w:bookmarkEnd w:id="49"/>
      <w:bookmarkEnd w:id="50"/>
    </w:p>
    <w:p w14:paraId="2143ACDA" w14:textId="77777777" w:rsidR="004F3111" w:rsidRPr="00593A78" w:rsidRDefault="004F3111" w:rsidP="004F3111">
      <w:pPr>
        <w:pStyle w:val="Heading2"/>
      </w:pPr>
      <w:bookmarkStart w:id="51" w:name="_Toc135985874"/>
      <w:bookmarkStart w:id="52" w:name="_Toc136265213"/>
      <w:r w:rsidRPr="00593A78">
        <w:t>Data source</w:t>
      </w:r>
      <w:bookmarkEnd w:id="51"/>
      <w:bookmarkEnd w:id="52"/>
    </w:p>
    <w:p w14:paraId="3C4AEC0E" w14:textId="77777777" w:rsidR="004F3111" w:rsidRPr="00593A78" w:rsidRDefault="004F3111" w:rsidP="004F3111">
      <w:r w:rsidRPr="00593A78">
        <w:t xml:space="preserve">The data in this report was collected as part of the New Zealand Health Survey, which is a population-based survey commissioned by the Ministry of Health. The survey is an annual, nationally representative, household survey of the 'usually resident' population of all ages living in private dwellings, aged-care facilities and student accommodation (99% of the eligible population). The survey includes different content for adults (15+ years) and children (0–14 years). For more information about the survey see the latest </w:t>
      </w:r>
      <w:r w:rsidRPr="00593A78">
        <w:rPr>
          <w:i/>
          <w:iCs/>
        </w:rPr>
        <w:t>Methodology Report</w:t>
      </w:r>
      <w:r w:rsidRPr="00593A78">
        <w:t xml:space="preserve"> (Ministry of Health 2022b).</w:t>
      </w:r>
    </w:p>
    <w:p w14:paraId="214EAC28" w14:textId="77777777" w:rsidR="004F3111" w:rsidRPr="00593A78" w:rsidRDefault="004F3111" w:rsidP="004F3111"/>
    <w:p w14:paraId="622F308E" w14:textId="77777777" w:rsidR="004F3111" w:rsidRPr="00593A78" w:rsidRDefault="004F3111" w:rsidP="004F3111">
      <w:r w:rsidRPr="00593A78">
        <w:t xml:space="preserve">The New Zealand Health Survey has been measuring the prevalence of smoking in people aged 15 or older annually since 2011/12. Questions on vaping were first asked in 2015/16 as part of a tobacco use module and these questions were introduced into the annual survey in 2017/18. See the latest </w:t>
      </w:r>
      <w:r w:rsidRPr="00593A78">
        <w:rPr>
          <w:i/>
          <w:iCs/>
        </w:rPr>
        <w:t>Questionnaires and Content Guide</w:t>
      </w:r>
      <w:r w:rsidRPr="00593A78">
        <w:t xml:space="preserve"> for the questions on vaping and smoking (Ministry of Health 2022c). </w:t>
      </w:r>
    </w:p>
    <w:p w14:paraId="47669000" w14:textId="77777777" w:rsidR="004F3111" w:rsidRPr="00593A78" w:rsidRDefault="004F3111" w:rsidP="004F3111">
      <w:pPr>
        <w:pStyle w:val="Heading2"/>
      </w:pPr>
      <w:bookmarkStart w:id="53" w:name="_Toc135985875"/>
      <w:bookmarkStart w:id="54" w:name="_Toc136265214"/>
      <w:r w:rsidRPr="00593A78">
        <w:t>Sample size</w:t>
      </w:r>
      <w:bookmarkEnd w:id="53"/>
      <w:bookmarkEnd w:id="54"/>
    </w:p>
    <w:p w14:paraId="44AF36BA" w14:textId="733058EF" w:rsidR="004F3111" w:rsidRPr="00593A78" w:rsidRDefault="004F3111" w:rsidP="004F3111">
      <w:r>
        <w:fldChar w:fldCharType="begin"/>
      </w:r>
      <w:r>
        <w:instrText xml:space="preserve"> REF _Ref135992940 \h </w:instrText>
      </w:r>
      <w:r>
        <w:fldChar w:fldCharType="separate"/>
      </w:r>
      <w:r>
        <w:t xml:space="preserve">Table </w:t>
      </w:r>
      <w:r>
        <w:rPr>
          <w:noProof/>
        </w:rPr>
        <w:t>4</w:t>
      </w:r>
      <w:r>
        <w:fldChar w:fldCharType="end"/>
      </w:r>
      <w:r w:rsidRPr="00593A78">
        <w:t xml:space="preserve"> shows the data collection period, sample size and response rate for the last 5 survey years (since vaping was part of the annual survey). Data collection generally occurs from July to June, but there is always a period of ‘mop-up’ so there is some overlap between data collection periods.</w:t>
      </w:r>
    </w:p>
    <w:p w14:paraId="10D35889" w14:textId="77777777" w:rsidR="004F3111" w:rsidRPr="00593A78" w:rsidRDefault="004F3111" w:rsidP="004F3111"/>
    <w:p w14:paraId="16F846E1" w14:textId="4458E999" w:rsidR="004F3111" w:rsidRPr="00593A78" w:rsidRDefault="004F3111" w:rsidP="004F3111">
      <w:pPr>
        <w:pStyle w:val="Table"/>
      </w:pPr>
      <w:bookmarkStart w:id="55" w:name="_Ref135992940"/>
      <w:bookmarkStart w:id="56" w:name="_Toc135985888"/>
      <w:bookmarkStart w:id="57" w:name="_Toc135993053"/>
      <w:r>
        <w:t xml:space="preserve">Table </w:t>
      </w:r>
      <w:fldSimple w:instr=" SEQ Table \* ARABIC ">
        <w:r>
          <w:rPr>
            <w:noProof/>
          </w:rPr>
          <w:t>4</w:t>
        </w:r>
      </w:fldSimple>
      <w:bookmarkEnd w:id="55"/>
      <w:r>
        <w:t xml:space="preserve">: </w:t>
      </w:r>
      <w:r w:rsidRPr="00593A78">
        <w:t>Data collection period, sample size and response rate, 2017/18 to 2021/22</w:t>
      </w:r>
      <w:bookmarkEnd w:id="56"/>
      <w:bookmarkEnd w:id="57"/>
    </w:p>
    <w:tbl>
      <w:tblPr>
        <w:tblW w:w="774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644"/>
        <w:gridCol w:w="3119"/>
        <w:gridCol w:w="1488"/>
        <w:gridCol w:w="1489"/>
      </w:tblGrid>
      <w:tr w:rsidR="004F3111" w:rsidRPr="00593A78" w14:paraId="5345E38F" w14:textId="77777777" w:rsidTr="004F3111">
        <w:trPr>
          <w:cantSplit/>
        </w:trPr>
        <w:tc>
          <w:tcPr>
            <w:tcW w:w="1644" w:type="dxa"/>
            <w:tcBorders>
              <w:top w:val="nil"/>
              <w:bottom w:val="nil"/>
            </w:tcBorders>
            <w:shd w:val="clear" w:color="auto" w:fill="D9D9D9" w:themeFill="background1" w:themeFillShade="D9"/>
          </w:tcPr>
          <w:p w14:paraId="4DC3E7AD" w14:textId="77777777" w:rsidR="004F3111" w:rsidRPr="00593A78" w:rsidRDefault="004F3111" w:rsidP="004F3111">
            <w:pPr>
              <w:pStyle w:val="TableText"/>
              <w:keepNext/>
              <w:rPr>
                <w:b/>
              </w:rPr>
            </w:pPr>
            <w:r w:rsidRPr="00593A78">
              <w:rPr>
                <w:b/>
              </w:rPr>
              <w:t>Survey year</w:t>
            </w:r>
          </w:p>
        </w:tc>
        <w:tc>
          <w:tcPr>
            <w:tcW w:w="3119" w:type="dxa"/>
            <w:tcBorders>
              <w:top w:val="nil"/>
              <w:bottom w:val="nil"/>
            </w:tcBorders>
            <w:shd w:val="clear" w:color="auto" w:fill="D9D9D9" w:themeFill="background1" w:themeFillShade="D9"/>
          </w:tcPr>
          <w:p w14:paraId="6F9BABB1" w14:textId="77777777" w:rsidR="004F3111" w:rsidRPr="00593A78" w:rsidRDefault="004F3111" w:rsidP="004F3111">
            <w:pPr>
              <w:pStyle w:val="TableText"/>
              <w:keepNext/>
              <w:rPr>
                <w:b/>
              </w:rPr>
            </w:pPr>
            <w:r w:rsidRPr="00593A78">
              <w:rPr>
                <w:b/>
              </w:rPr>
              <w:t>Data collection period</w:t>
            </w:r>
          </w:p>
        </w:tc>
        <w:tc>
          <w:tcPr>
            <w:tcW w:w="1488" w:type="dxa"/>
            <w:tcBorders>
              <w:top w:val="nil"/>
              <w:bottom w:val="nil"/>
            </w:tcBorders>
            <w:shd w:val="clear" w:color="auto" w:fill="D9D9D9" w:themeFill="background1" w:themeFillShade="D9"/>
          </w:tcPr>
          <w:p w14:paraId="421688F5" w14:textId="77777777" w:rsidR="004F3111" w:rsidRPr="00593A78" w:rsidRDefault="004F3111" w:rsidP="004F3111">
            <w:pPr>
              <w:pStyle w:val="TableText"/>
              <w:keepNext/>
              <w:jc w:val="right"/>
              <w:rPr>
                <w:b/>
              </w:rPr>
            </w:pPr>
            <w:r w:rsidRPr="00593A78">
              <w:rPr>
                <w:b/>
              </w:rPr>
              <w:t>Sample size</w:t>
            </w:r>
          </w:p>
        </w:tc>
        <w:tc>
          <w:tcPr>
            <w:tcW w:w="1489" w:type="dxa"/>
            <w:tcBorders>
              <w:top w:val="nil"/>
              <w:bottom w:val="nil"/>
            </w:tcBorders>
            <w:shd w:val="clear" w:color="auto" w:fill="D9D9D9" w:themeFill="background1" w:themeFillShade="D9"/>
          </w:tcPr>
          <w:p w14:paraId="7590E8F5" w14:textId="77777777" w:rsidR="004F3111" w:rsidRPr="00593A78" w:rsidRDefault="004F3111" w:rsidP="004F3111">
            <w:pPr>
              <w:pStyle w:val="TableText"/>
              <w:keepNext/>
              <w:jc w:val="right"/>
              <w:rPr>
                <w:b/>
              </w:rPr>
            </w:pPr>
            <w:r w:rsidRPr="00593A78">
              <w:rPr>
                <w:b/>
              </w:rPr>
              <w:t>Response rate</w:t>
            </w:r>
          </w:p>
        </w:tc>
      </w:tr>
      <w:tr w:rsidR="004F3111" w:rsidRPr="00593A78" w14:paraId="79756354" w14:textId="77777777" w:rsidTr="004F3111">
        <w:trPr>
          <w:cantSplit/>
        </w:trPr>
        <w:tc>
          <w:tcPr>
            <w:tcW w:w="1644" w:type="dxa"/>
            <w:tcBorders>
              <w:top w:val="nil"/>
            </w:tcBorders>
          </w:tcPr>
          <w:p w14:paraId="3B37B5CC" w14:textId="77777777" w:rsidR="004F3111" w:rsidRPr="00593A78" w:rsidRDefault="004F3111" w:rsidP="004F3111">
            <w:pPr>
              <w:pStyle w:val="TableText"/>
              <w:keepNext/>
            </w:pPr>
            <w:r w:rsidRPr="00593A78">
              <w:t>2017/18</w:t>
            </w:r>
          </w:p>
        </w:tc>
        <w:tc>
          <w:tcPr>
            <w:tcW w:w="3119" w:type="dxa"/>
            <w:tcBorders>
              <w:top w:val="nil"/>
            </w:tcBorders>
          </w:tcPr>
          <w:p w14:paraId="63462C92" w14:textId="77777777" w:rsidR="004F3111" w:rsidRPr="00593A78" w:rsidRDefault="004F3111" w:rsidP="004F3111">
            <w:pPr>
              <w:pStyle w:val="TableText"/>
              <w:keepNext/>
            </w:pPr>
            <w:r w:rsidRPr="00593A78">
              <w:t>July 2017 to October 2018</w:t>
            </w:r>
          </w:p>
        </w:tc>
        <w:tc>
          <w:tcPr>
            <w:tcW w:w="1488" w:type="dxa"/>
            <w:tcBorders>
              <w:top w:val="nil"/>
            </w:tcBorders>
          </w:tcPr>
          <w:p w14:paraId="1628D899" w14:textId="77777777" w:rsidR="004F3111" w:rsidRPr="00593A78" w:rsidRDefault="004F3111" w:rsidP="004F3111">
            <w:pPr>
              <w:pStyle w:val="TableText"/>
              <w:keepNext/>
              <w:jc w:val="right"/>
            </w:pPr>
            <w:r w:rsidRPr="00593A78">
              <w:t>13,869</w:t>
            </w:r>
          </w:p>
        </w:tc>
        <w:tc>
          <w:tcPr>
            <w:tcW w:w="1489" w:type="dxa"/>
            <w:tcBorders>
              <w:top w:val="nil"/>
            </w:tcBorders>
          </w:tcPr>
          <w:p w14:paraId="380A2D37" w14:textId="77777777" w:rsidR="004F3111" w:rsidRPr="00593A78" w:rsidRDefault="004F3111" w:rsidP="004F3111">
            <w:pPr>
              <w:pStyle w:val="TableText"/>
              <w:keepNext/>
              <w:jc w:val="right"/>
            </w:pPr>
            <w:r w:rsidRPr="00593A78">
              <w:t>80%</w:t>
            </w:r>
          </w:p>
        </w:tc>
      </w:tr>
      <w:tr w:rsidR="004F3111" w:rsidRPr="00593A78" w14:paraId="2D5D34BE" w14:textId="77777777" w:rsidTr="004F3111">
        <w:trPr>
          <w:cantSplit/>
        </w:trPr>
        <w:tc>
          <w:tcPr>
            <w:tcW w:w="1644" w:type="dxa"/>
          </w:tcPr>
          <w:p w14:paraId="2770913E" w14:textId="77777777" w:rsidR="004F3111" w:rsidRPr="00593A78" w:rsidRDefault="004F3111" w:rsidP="004F3111">
            <w:pPr>
              <w:pStyle w:val="TableText"/>
              <w:keepNext/>
            </w:pPr>
            <w:r w:rsidRPr="00593A78">
              <w:t>2018/19</w:t>
            </w:r>
          </w:p>
        </w:tc>
        <w:tc>
          <w:tcPr>
            <w:tcW w:w="3119" w:type="dxa"/>
          </w:tcPr>
          <w:p w14:paraId="2480B797" w14:textId="77777777" w:rsidR="004F3111" w:rsidRPr="00593A78" w:rsidRDefault="004F3111" w:rsidP="004F3111">
            <w:pPr>
              <w:pStyle w:val="TableText"/>
              <w:keepNext/>
            </w:pPr>
            <w:r w:rsidRPr="00593A78">
              <w:t>July 2018 to August 2019</w:t>
            </w:r>
          </w:p>
        </w:tc>
        <w:tc>
          <w:tcPr>
            <w:tcW w:w="1488" w:type="dxa"/>
          </w:tcPr>
          <w:p w14:paraId="790FDAF1" w14:textId="77777777" w:rsidR="004F3111" w:rsidRPr="00593A78" w:rsidRDefault="004F3111" w:rsidP="004F3111">
            <w:pPr>
              <w:pStyle w:val="TableText"/>
              <w:keepNext/>
              <w:jc w:val="right"/>
            </w:pPr>
            <w:r w:rsidRPr="00593A78">
              <w:t>13,752</w:t>
            </w:r>
          </w:p>
        </w:tc>
        <w:tc>
          <w:tcPr>
            <w:tcW w:w="1489" w:type="dxa"/>
          </w:tcPr>
          <w:p w14:paraId="704F4D81" w14:textId="77777777" w:rsidR="004F3111" w:rsidRPr="00593A78" w:rsidRDefault="004F3111" w:rsidP="004F3111">
            <w:pPr>
              <w:pStyle w:val="TableText"/>
              <w:keepNext/>
              <w:jc w:val="right"/>
            </w:pPr>
            <w:r w:rsidRPr="00593A78">
              <w:t>80%</w:t>
            </w:r>
          </w:p>
        </w:tc>
      </w:tr>
      <w:tr w:rsidR="004F3111" w:rsidRPr="00593A78" w14:paraId="323C37BC" w14:textId="77777777" w:rsidTr="004F3111">
        <w:trPr>
          <w:cantSplit/>
        </w:trPr>
        <w:tc>
          <w:tcPr>
            <w:tcW w:w="1644" w:type="dxa"/>
          </w:tcPr>
          <w:p w14:paraId="6BBD1FA2" w14:textId="77777777" w:rsidR="004F3111" w:rsidRPr="00593A78" w:rsidRDefault="004F3111" w:rsidP="004F3111">
            <w:pPr>
              <w:pStyle w:val="TableText"/>
              <w:keepNext/>
            </w:pPr>
            <w:r w:rsidRPr="00593A78">
              <w:t>2019/20</w:t>
            </w:r>
          </w:p>
        </w:tc>
        <w:tc>
          <w:tcPr>
            <w:tcW w:w="3119" w:type="dxa"/>
          </w:tcPr>
          <w:p w14:paraId="5173760C" w14:textId="77777777" w:rsidR="004F3111" w:rsidRPr="00593A78" w:rsidRDefault="004F3111" w:rsidP="004F3111">
            <w:pPr>
              <w:pStyle w:val="TableText"/>
              <w:keepNext/>
            </w:pPr>
            <w:r w:rsidRPr="00593A78">
              <w:t>July 2019 to March 2020</w:t>
            </w:r>
          </w:p>
        </w:tc>
        <w:tc>
          <w:tcPr>
            <w:tcW w:w="1488" w:type="dxa"/>
          </w:tcPr>
          <w:p w14:paraId="55848F49" w14:textId="77777777" w:rsidR="004F3111" w:rsidRPr="00593A78" w:rsidRDefault="004F3111" w:rsidP="004F3111">
            <w:pPr>
              <w:pStyle w:val="TableText"/>
              <w:keepNext/>
              <w:jc w:val="right"/>
            </w:pPr>
            <w:r w:rsidRPr="00593A78">
              <w:t>9,699</w:t>
            </w:r>
          </w:p>
        </w:tc>
        <w:tc>
          <w:tcPr>
            <w:tcW w:w="1489" w:type="dxa"/>
          </w:tcPr>
          <w:p w14:paraId="5979D70F" w14:textId="77777777" w:rsidR="004F3111" w:rsidRPr="00593A78" w:rsidRDefault="004F3111" w:rsidP="004F3111">
            <w:pPr>
              <w:pStyle w:val="TableText"/>
              <w:keepNext/>
              <w:jc w:val="right"/>
            </w:pPr>
            <w:r w:rsidRPr="00593A78">
              <w:t>75%</w:t>
            </w:r>
          </w:p>
        </w:tc>
      </w:tr>
      <w:tr w:rsidR="004F3111" w:rsidRPr="00593A78" w14:paraId="6C307AF3" w14:textId="77777777" w:rsidTr="004F3111">
        <w:trPr>
          <w:cantSplit/>
        </w:trPr>
        <w:tc>
          <w:tcPr>
            <w:tcW w:w="1644" w:type="dxa"/>
          </w:tcPr>
          <w:p w14:paraId="4B33069B" w14:textId="77777777" w:rsidR="004F3111" w:rsidRPr="00593A78" w:rsidRDefault="004F3111" w:rsidP="004F3111">
            <w:pPr>
              <w:pStyle w:val="TableText"/>
              <w:keepNext/>
            </w:pPr>
            <w:r w:rsidRPr="00593A78">
              <w:t>2020/21</w:t>
            </w:r>
          </w:p>
        </w:tc>
        <w:tc>
          <w:tcPr>
            <w:tcW w:w="3119" w:type="dxa"/>
          </w:tcPr>
          <w:p w14:paraId="7F9143F1" w14:textId="77777777" w:rsidR="004F3111" w:rsidRPr="00593A78" w:rsidRDefault="004F3111" w:rsidP="004F3111">
            <w:pPr>
              <w:pStyle w:val="TableText"/>
              <w:keepNext/>
            </w:pPr>
            <w:r w:rsidRPr="00593A78">
              <w:t>September 2020 to August 2021</w:t>
            </w:r>
          </w:p>
        </w:tc>
        <w:tc>
          <w:tcPr>
            <w:tcW w:w="1488" w:type="dxa"/>
          </w:tcPr>
          <w:p w14:paraId="02E87A60" w14:textId="77777777" w:rsidR="004F3111" w:rsidRPr="00593A78" w:rsidRDefault="004F3111" w:rsidP="004F3111">
            <w:pPr>
              <w:pStyle w:val="TableText"/>
              <w:keepNext/>
              <w:jc w:val="right"/>
            </w:pPr>
            <w:r w:rsidRPr="00593A78">
              <w:t>9,709</w:t>
            </w:r>
          </w:p>
        </w:tc>
        <w:tc>
          <w:tcPr>
            <w:tcW w:w="1489" w:type="dxa"/>
          </w:tcPr>
          <w:p w14:paraId="2BAB783D" w14:textId="77777777" w:rsidR="004F3111" w:rsidRPr="00593A78" w:rsidRDefault="004F3111" w:rsidP="004F3111">
            <w:pPr>
              <w:pStyle w:val="TableText"/>
              <w:keepNext/>
              <w:jc w:val="right"/>
            </w:pPr>
            <w:r w:rsidRPr="00593A78">
              <w:t>77%</w:t>
            </w:r>
          </w:p>
        </w:tc>
      </w:tr>
      <w:tr w:rsidR="004F3111" w:rsidRPr="00593A78" w14:paraId="032CC011" w14:textId="77777777" w:rsidTr="004F3111">
        <w:trPr>
          <w:cantSplit/>
        </w:trPr>
        <w:tc>
          <w:tcPr>
            <w:tcW w:w="1644" w:type="dxa"/>
          </w:tcPr>
          <w:p w14:paraId="1AE9B55D" w14:textId="77777777" w:rsidR="004F3111" w:rsidRPr="00593A78" w:rsidRDefault="004F3111" w:rsidP="004F3111">
            <w:pPr>
              <w:pStyle w:val="TableText"/>
              <w:keepNext/>
            </w:pPr>
            <w:r w:rsidRPr="00593A78">
              <w:t>2021/22</w:t>
            </w:r>
          </w:p>
        </w:tc>
        <w:tc>
          <w:tcPr>
            <w:tcW w:w="3119" w:type="dxa"/>
          </w:tcPr>
          <w:p w14:paraId="12DF78A5" w14:textId="77777777" w:rsidR="004F3111" w:rsidRPr="00593A78" w:rsidRDefault="004F3111" w:rsidP="004F3111">
            <w:pPr>
              <w:pStyle w:val="TableText"/>
              <w:keepNext/>
            </w:pPr>
            <w:r w:rsidRPr="00593A78">
              <w:t>July 2021 to July 2022</w:t>
            </w:r>
          </w:p>
        </w:tc>
        <w:tc>
          <w:tcPr>
            <w:tcW w:w="1488" w:type="dxa"/>
          </w:tcPr>
          <w:p w14:paraId="22240CD6" w14:textId="77777777" w:rsidR="004F3111" w:rsidRPr="00593A78" w:rsidRDefault="004F3111" w:rsidP="004F3111">
            <w:pPr>
              <w:pStyle w:val="TableText"/>
              <w:keepNext/>
              <w:jc w:val="right"/>
            </w:pPr>
            <w:r w:rsidRPr="00593A78">
              <w:t>4,434</w:t>
            </w:r>
          </w:p>
        </w:tc>
        <w:tc>
          <w:tcPr>
            <w:tcW w:w="1489" w:type="dxa"/>
          </w:tcPr>
          <w:p w14:paraId="5C0D3EBD" w14:textId="77777777" w:rsidR="004F3111" w:rsidRPr="00593A78" w:rsidRDefault="004F3111" w:rsidP="004F3111">
            <w:pPr>
              <w:pStyle w:val="TableText"/>
              <w:keepNext/>
              <w:jc w:val="right"/>
            </w:pPr>
            <w:r w:rsidRPr="00593A78">
              <w:t>56%</w:t>
            </w:r>
          </w:p>
        </w:tc>
      </w:tr>
    </w:tbl>
    <w:p w14:paraId="66D0F2C3" w14:textId="77777777" w:rsidR="004F3111" w:rsidRPr="00593A78" w:rsidRDefault="004F3111" w:rsidP="004F3111">
      <w:pPr>
        <w:keepNext/>
        <w:spacing w:line="20" w:lineRule="atLeast"/>
        <w:ind w:left="1695"/>
        <w:rPr>
          <w:rFonts w:ascii="Arial Unicode MS" w:eastAsia="Arial Unicode MS" w:hAnsi="Arial Unicode MS" w:cs="Arial Unicode MS"/>
          <w:sz w:val="2"/>
          <w:szCs w:val="2"/>
        </w:rPr>
      </w:pPr>
    </w:p>
    <w:p w14:paraId="78FE1195" w14:textId="77777777" w:rsidR="004F3111" w:rsidRPr="00593A78" w:rsidRDefault="004F3111" w:rsidP="004F3111">
      <w:pPr>
        <w:pStyle w:val="Heading3"/>
      </w:pPr>
      <w:r w:rsidRPr="00593A78">
        <w:t>Impact of COVID-19</w:t>
      </w:r>
    </w:p>
    <w:p w14:paraId="45F583CE" w14:textId="77777777" w:rsidR="004F3111" w:rsidRPr="00593A78" w:rsidRDefault="004F3111" w:rsidP="004F3111">
      <w:r w:rsidRPr="00593A78">
        <w:t xml:space="preserve">COVID-19 impacted on surveys from 2019/20 onwards. The main disruptions to data collection are summarised below, with more information available in the methodology report for each survey year. </w:t>
      </w:r>
    </w:p>
    <w:p w14:paraId="76CE4748" w14:textId="77777777" w:rsidR="004F3111" w:rsidRPr="00593A78" w:rsidRDefault="004F3111" w:rsidP="004F3111">
      <w:pPr>
        <w:pStyle w:val="Bullet"/>
      </w:pPr>
      <w:r w:rsidRPr="00593A78">
        <w:t xml:space="preserve">2019/20 – data was collected from July 2019 to March 2020, then stopped just before the first national lockdown. </w:t>
      </w:r>
    </w:p>
    <w:p w14:paraId="62918001" w14:textId="77777777" w:rsidR="004F3111" w:rsidRPr="00593A78" w:rsidRDefault="004F3111" w:rsidP="004F3111">
      <w:pPr>
        <w:pStyle w:val="Bullet"/>
      </w:pPr>
      <w:r w:rsidRPr="00593A78">
        <w:lastRenderedPageBreak/>
        <w:t xml:space="preserve">2020/21 – data collection started slightly late but continued for 12 months (from September 2020 to August 2021). Data collection was paused at times due to regional outbreaks. </w:t>
      </w:r>
    </w:p>
    <w:p w14:paraId="02E8811B" w14:textId="77777777" w:rsidR="004F3111" w:rsidRPr="00593A78" w:rsidRDefault="004F3111" w:rsidP="004F3111">
      <w:pPr>
        <w:pStyle w:val="Bullet"/>
      </w:pPr>
      <w:r w:rsidRPr="00593A78">
        <w:t xml:space="preserve">2021/22 – data was collected from July 2021 to July 2022, but paused at times due to national or regional lockdowns. Data collection was slower than usual due to workforce issues. About one-third of surveys were conducted by virtual interview (see below for more information). </w:t>
      </w:r>
    </w:p>
    <w:p w14:paraId="2CAD9B03" w14:textId="77777777" w:rsidR="004F3111" w:rsidRPr="00593A78" w:rsidRDefault="004F3111" w:rsidP="004F3111">
      <w:pPr>
        <w:keepNext/>
      </w:pPr>
    </w:p>
    <w:p w14:paraId="1B209065" w14:textId="13C5D060" w:rsidR="004F3111" w:rsidRPr="00593A78" w:rsidRDefault="004F3111" w:rsidP="004F3111">
      <w:pPr>
        <w:keepNext/>
      </w:pPr>
      <w:r w:rsidRPr="00593A78">
        <w:t xml:space="preserve">Disruptions to data collection resulted in smaller sample sizes for the last 3 survey years, especially for 2021/22 (see </w:t>
      </w:r>
      <w:r>
        <w:fldChar w:fldCharType="begin"/>
      </w:r>
      <w:r>
        <w:instrText xml:space="preserve"> REF _Ref135992940 \h </w:instrText>
      </w:r>
      <w:r>
        <w:fldChar w:fldCharType="separate"/>
      </w:r>
      <w:r>
        <w:t xml:space="preserve">Table </w:t>
      </w:r>
      <w:r>
        <w:rPr>
          <w:noProof/>
        </w:rPr>
        <w:t>4</w:t>
      </w:r>
      <w:r>
        <w:fldChar w:fldCharType="end"/>
      </w:r>
      <w:r w:rsidRPr="00593A78">
        <w:t xml:space="preserve">). The main impact of smaller sample sizes is increased sampling errors associated with estimates. Sampling errors are used to calculate the 95% confidence intervals, meaning these are wider than usual. Wider 95% confidence intervals indicate lower quality data, and differences over time and between groups have to be larger to reach statistical significance. </w:t>
      </w:r>
    </w:p>
    <w:p w14:paraId="4B50360D" w14:textId="77777777" w:rsidR="004F3111" w:rsidRPr="00593A78" w:rsidRDefault="004F3111" w:rsidP="004F3111">
      <w:pPr>
        <w:keepNext/>
      </w:pPr>
    </w:p>
    <w:p w14:paraId="5F3675E0" w14:textId="77777777" w:rsidR="004F3111" w:rsidRPr="00593A78" w:rsidRDefault="004F3111" w:rsidP="004F3111">
      <w:pPr>
        <w:keepNext/>
      </w:pPr>
      <w:r w:rsidRPr="00593A78">
        <w:t>COVID-19 disruptions also affected response rates, with slight declines in 2019/20 and 2020/21. The response rate for 2021/22 was much lower than in pre-COVID years, but is still relatively high by international standards. Also, the survey weights largely adjust for differences in coverage and non-response.</w:t>
      </w:r>
    </w:p>
    <w:p w14:paraId="4754F475" w14:textId="77777777" w:rsidR="004F3111" w:rsidRPr="00593A78" w:rsidRDefault="004F3111" w:rsidP="004F3111">
      <w:pPr>
        <w:keepNext/>
      </w:pPr>
    </w:p>
    <w:p w14:paraId="2132FD6E" w14:textId="77777777" w:rsidR="004F3111" w:rsidRPr="00593A78" w:rsidRDefault="004F3111" w:rsidP="004F3111">
      <w:pPr>
        <w:keepNext/>
      </w:pPr>
      <w:r w:rsidRPr="00593A78">
        <w:t xml:space="preserve">The survey is usually conducted as a face-to-face interview in the respondent’s home. However, in 2021/22 about one-third of interviews (33% of adult and 35% of child) were completed by video due to COVID-19 restrictions. The video interview replicated the in-person interview as much as possible and is of high quality in the context of the COVID-19 pandemic. Most other countries suspended data collection or conducted their surveys by telephone interview or online. </w:t>
      </w:r>
    </w:p>
    <w:p w14:paraId="3C311F08" w14:textId="77777777" w:rsidR="004F3111" w:rsidRPr="00593A78" w:rsidRDefault="004F3111" w:rsidP="004F3111">
      <w:pPr>
        <w:spacing w:before="200"/>
      </w:pPr>
      <w:r w:rsidRPr="00593A78">
        <w:t>The move to video interviews was a rapid response to COVID-19 restrictions and could not be tested in advance. To investigate possible mode effects, we compared results for key indicators by interview type (face-to-face or video). For most indicators, there was no difference between the 2 survey types. If there was a difference, it was not substantial in comparison to the sampling errors for the indicator.</w:t>
      </w:r>
    </w:p>
    <w:p w14:paraId="438046FB" w14:textId="77777777" w:rsidR="004F3111" w:rsidRPr="00593A78" w:rsidRDefault="004F3111" w:rsidP="004F3111">
      <w:pPr>
        <w:pStyle w:val="Heading2"/>
      </w:pPr>
      <w:bookmarkStart w:id="58" w:name="_Toc135985876"/>
      <w:bookmarkStart w:id="59" w:name="_Toc136265215"/>
      <w:r w:rsidRPr="00593A78">
        <w:t>Analysis</w:t>
      </w:r>
      <w:bookmarkEnd w:id="58"/>
      <w:bookmarkEnd w:id="59"/>
    </w:p>
    <w:p w14:paraId="2B2FD331" w14:textId="77777777" w:rsidR="004F3111" w:rsidRPr="00593A78" w:rsidRDefault="004F3111" w:rsidP="004F3111">
      <w:pPr>
        <w:pStyle w:val="Heading3"/>
      </w:pPr>
      <w:r w:rsidRPr="00593A78">
        <w:t>Survey weights</w:t>
      </w:r>
    </w:p>
    <w:p w14:paraId="64C5C7A1" w14:textId="77777777" w:rsidR="004F3111" w:rsidRPr="00593A78" w:rsidRDefault="004F3111" w:rsidP="004F3111">
      <w:pPr>
        <w:spacing w:before="200"/>
      </w:pPr>
      <w:r w:rsidRPr="00593A78">
        <w:t>Survey weights were used in all analyses so that estimates are representative of the usually resident adult population of New Zealand. The survey weights account for the unequal probability of selection (</w:t>
      </w:r>
      <w:proofErr w:type="spellStart"/>
      <w:r w:rsidRPr="00593A78">
        <w:t>eg</w:t>
      </w:r>
      <w:proofErr w:type="spellEnd"/>
      <w:r w:rsidRPr="00593A78">
        <w:t>, oversampling of some population groups) and differential non-response.</w:t>
      </w:r>
    </w:p>
    <w:p w14:paraId="12885A9C" w14:textId="77777777" w:rsidR="004F3111" w:rsidRPr="00593A78" w:rsidRDefault="004F3111" w:rsidP="004F3111">
      <w:pPr>
        <w:pStyle w:val="Heading3"/>
      </w:pPr>
      <w:r w:rsidRPr="00593A78">
        <w:t xml:space="preserve">Ethnicity </w:t>
      </w:r>
    </w:p>
    <w:p w14:paraId="1408D476" w14:textId="77777777" w:rsidR="004F3111" w:rsidRPr="00593A78" w:rsidRDefault="004F3111" w:rsidP="004F3111">
      <w:pPr>
        <w:spacing w:before="200"/>
      </w:pPr>
      <w:r w:rsidRPr="00593A78">
        <w:t xml:space="preserve">Survey respondents were asked which ethnic group or groups they identify with. This analysis uses the total response classification of ethnicity. This means that people who reported more than one ethnic group are counted once in each group they reported. </w:t>
      </w:r>
      <w:r w:rsidRPr="00593A78">
        <w:lastRenderedPageBreak/>
        <w:t>Results are output for the following 4 ethnic groups: Māori, Pacific, Asian and European/Other.</w:t>
      </w:r>
    </w:p>
    <w:p w14:paraId="31CB78C7" w14:textId="77777777" w:rsidR="004F3111" w:rsidRPr="00593A78" w:rsidRDefault="004F3111" w:rsidP="004F3111">
      <w:pPr>
        <w:pStyle w:val="Heading3"/>
      </w:pPr>
      <w:r w:rsidRPr="00593A78">
        <w:t>Reliability of results</w:t>
      </w:r>
    </w:p>
    <w:p w14:paraId="65E52FD3" w14:textId="77777777" w:rsidR="004F3111" w:rsidRPr="00593A78" w:rsidRDefault="004F3111" w:rsidP="004F3111">
      <w:r w:rsidRPr="00593A78">
        <w:t xml:space="preserve">All survey estimates have a margin of error. We use 95% confidence intervals to indicate the uncertainty in an estimate due to collecting data from only a sample of the population. </w:t>
      </w:r>
      <w:r w:rsidRPr="00593A78">
        <w:rPr>
          <w:color w:val="000000" w:themeColor="text1"/>
        </w:rPr>
        <w:t xml:space="preserve">Take care when interpreting estimates with wide confidence intervals. </w:t>
      </w:r>
      <w:r w:rsidRPr="00593A78">
        <w:t xml:space="preserve">Wider confidence intervals indicate less precise estimates due to smaller numbers in a sample and/or higher variation within a sample. </w:t>
      </w:r>
    </w:p>
    <w:p w14:paraId="2468A113" w14:textId="77777777" w:rsidR="004F3111" w:rsidRPr="00593A78" w:rsidRDefault="004F3111" w:rsidP="004F3111"/>
    <w:p w14:paraId="5CF80D33" w14:textId="77777777" w:rsidR="004F3111" w:rsidRPr="00593A78" w:rsidRDefault="004F3111" w:rsidP="004F3111">
      <w:r w:rsidRPr="00593A78">
        <w:t>We also use the relative standard error (RSE) to indicate data quality. The RSE is a measure of the size of the standard error relative to the estimate. If the RSE is over 30%, estimates are flagged in tables and graphs to recommend caution when interpreting these estimates.</w:t>
      </w:r>
    </w:p>
    <w:p w14:paraId="331F3951" w14:textId="77777777" w:rsidR="004F3111" w:rsidRPr="00593A78" w:rsidRDefault="004F3111" w:rsidP="004F3111">
      <w:pPr>
        <w:pStyle w:val="Heading3"/>
      </w:pPr>
      <w:r w:rsidRPr="00593A78">
        <w:t>Statistical significance</w:t>
      </w:r>
    </w:p>
    <w:p w14:paraId="4FE69F75" w14:textId="77777777" w:rsidR="004F3111" w:rsidRPr="00593A78" w:rsidRDefault="004F3111" w:rsidP="004F3111">
      <w:r w:rsidRPr="00593A78">
        <w:t xml:space="preserve">When 95% confidence intervals do not overlap, it means the difference over time or between groups is statistically significant. In this report, all differences reported in the text are statistically significant unless otherwise stated. </w:t>
      </w:r>
    </w:p>
    <w:p w14:paraId="5D802CD6" w14:textId="77777777" w:rsidR="004F3111" w:rsidRPr="00593A78" w:rsidRDefault="004F3111" w:rsidP="004F3111"/>
    <w:p w14:paraId="1944E5B6" w14:textId="77777777" w:rsidR="004F3111" w:rsidRPr="00593A78" w:rsidRDefault="004F3111" w:rsidP="004F3111">
      <w:r w:rsidRPr="00593A78">
        <w:t>Note that a key factor influencing tests for statistical significance is the sample size. This means that for smaller population subgroups (for example, young people aged 15–17, Pacific peoples) the difference needed for statistical significance is much larger than for other population subgroups and the population overall.</w:t>
      </w:r>
    </w:p>
    <w:p w14:paraId="032D340A" w14:textId="77777777" w:rsidR="004F3111" w:rsidRPr="00593A78" w:rsidRDefault="004F3111" w:rsidP="004F3111"/>
    <w:p w14:paraId="78320A98" w14:textId="77777777" w:rsidR="004F3111" w:rsidRPr="00593A78" w:rsidRDefault="004F3111" w:rsidP="004F3111"/>
    <w:p w14:paraId="32CD5472" w14:textId="77777777" w:rsidR="004F3111" w:rsidRPr="00593A78" w:rsidRDefault="004F3111" w:rsidP="004F3111">
      <w:pPr>
        <w:rPr>
          <w:color w:val="000000" w:themeColor="text1"/>
        </w:rPr>
      </w:pPr>
    </w:p>
    <w:p w14:paraId="0A2D6120" w14:textId="77777777" w:rsidR="004F3111" w:rsidRPr="00593A78" w:rsidRDefault="004F3111" w:rsidP="004F3111"/>
    <w:p w14:paraId="09F3B596" w14:textId="77777777" w:rsidR="004F3111" w:rsidRPr="00593A78" w:rsidRDefault="004F3111" w:rsidP="004F3111">
      <w:pPr>
        <w:spacing w:before="200"/>
      </w:pPr>
    </w:p>
    <w:p w14:paraId="6589EE5E" w14:textId="77777777" w:rsidR="004F3111" w:rsidRPr="00593A78" w:rsidRDefault="004F3111" w:rsidP="004F3111"/>
    <w:p w14:paraId="11F4EC63" w14:textId="77777777" w:rsidR="004F3111" w:rsidRDefault="004F3111" w:rsidP="004F3111">
      <w:pPr>
        <w:pStyle w:val="Heading1"/>
        <w:sectPr w:rsidR="004F3111" w:rsidSect="004F3111">
          <w:pgSz w:w="11907" w:h="16834" w:code="9"/>
          <w:pgMar w:top="1418" w:right="1701" w:bottom="1134" w:left="1843" w:header="284" w:footer="425" w:gutter="284"/>
          <w:cols w:space="720"/>
        </w:sectPr>
      </w:pPr>
      <w:bookmarkStart w:id="60" w:name="_Toc135985877"/>
      <w:bookmarkStart w:id="61" w:name="_TOC_250000"/>
      <w:bookmarkStart w:id="62" w:name="_Toc57295689"/>
    </w:p>
    <w:p w14:paraId="778A72CC" w14:textId="6EA6D98D" w:rsidR="004F3111" w:rsidRPr="00593A78" w:rsidRDefault="004F3111" w:rsidP="004F3111">
      <w:pPr>
        <w:pStyle w:val="Heading1"/>
        <w:spacing w:before="0"/>
      </w:pPr>
      <w:bookmarkStart w:id="63" w:name="_Toc136265216"/>
      <w:r w:rsidRPr="00593A78">
        <w:lastRenderedPageBreak/>
        <w:t>References</w:t>
      </w:r>
      <w:bookmarkEnd w:id="60"/>
      <w:bookmarkEnd w:id="63"/>
      <w:r w:rsidRPr="00593A78">
        <w:t xml:space="preserve"> </w:t>
      </w:r>
      <w:bookmarkEnd w:id="61"/>
      <w:bookmarkEnd w:id="62"/>
    </w:p>
    <w:p w14:paraId="1562F678" w14:textId="3DA6B80F" w:rsidR="004F3111" w:rsidRPr="00593A78" w:rsidRDefault="004F3111" w:rsidP="004F3111">
      <w:pPr>
        <w:pStyle w:val="References"/>
      </w:pPr>
      <w:r w:rsidRPr="00593A78">
        <w:t xml:space="preserve">Global Burden of Disease Collaborative Network. 2023. </w:t>
      </w:r>
      <w:r w:rsidRPr="00593A78">
        <w:rPr>
          <w:i/>
        </w:rPr>
        <w:t>Global Burden of Disease Study 2019 Results</w:t>
      </w:r>
      <w:r w:rsidRPr="00593A78">
        <w:t xml:space="preserve">. Seattle, WA: Institute for Health Metrics and Evaluation. URL: </w:t>
      </w:r>
      <w:hyperlink r:id="rId33" w:history="1">
        <w:r w:rsidR="00FF71D1">
          <w:rPr>
            <w:rStyle w:val="Hyperlink"/>
            <w:bCs/>
          </w:rPr>
          <w:t>vizhub.healthdata.org/</w:t>
        </w:r>
        <w:proofErr w:type="spellStart"/>
        <w:r w:rsidR="00FF71D1">
          <w:rPr>
            <w:rStyle w:val="Hyperlink"/>
            <w:bCs/>
          </w:rPr>
          <w:t>gbd</w:t>
        </w:r>
        <w:proofErr w:type="spellEnd"/>
        <w:r w:rsidR="00FF71D1">
          <w:rPr>
            <w:rStyle w:val="Hyperlink"/>
            <w:bCs/>
          </w:rPr>
          <w:t>-compare/</w:t>
        </w:r>
      </w:hyperlink>
      <w:r w:rsidRPr="00593A78">
        <w:t xml:space="preserve"> (accessed 15 March 2023).</w:t>
      </w:r>
    </w:p>
    <w:p w14:paraId="109624E6" w14:textId="1D3E5A61" w:rsidR="004F3111" w:rsidRPr="00593A78" w:rsidRDefault="004F3111" w:rsidP="004F3111">
      <w:pPr>
        <w:pStyle w:val="References"/>
      </w:pPr>
      <w:r w:rsidRPr="00593A78">
        <w:t xml:space="preserve">Ministry of Health. 2021. </w:t>
      </w:r>
      <w:r w:rsidRPr="00593A78">
        <w:rPr>
          <w:i/>
        </w:rPr>
        <w:t xml:space="preserve">Smokefree Aotearoa 2025 Action Plan - </w:t>
      </w:r>
      <w:proofErr w:type="spellStart"/>
      <w:r w:rsidRPr="00593A78">
        <w:rPr>
          <w:i/>
        </w:rPr>
        <w:t>Auahi</w:t>
      </w:r>
      <w:proofErr w:type="spellEnd"/>
      <w:r w:rsidRPr="00593A78">
        <w:rPr>
          <w:i/>
        </w:rPr>
        <w:t xml:space="preserve"> Kore Aotearoa </w:t>
      </w:r>
      <w:proofErr w:type="spellStart"/>
      <w:r w:rsidRPr="00593A78">
        <w:rPr>
          <w:i/>
        </w:rPr>
        <w:t>Mahere</w:t>
      </w:r>
      <w:proofErr w:type="spellEnd"/>
      <w:r w:rsidRPr="00593A78">
        <w:rPr>
          <w:i/>
        </w:rPr>
        <w:t xml:space="preserve"> </w:t>
      </w:r>
      <w:proofErr w:type="spellStart"/>
      <w:r w:rsidRPr="00593A78">
        <w:rPr>
          <w:i/>
        </w:rPr>
        <w:t>Rautaki</w:t>
      </w:r>
      <w:proofErr w:type="spellEnd"/>
      <w:r w:rsidRPr="00593A78">
        <w:rPr>
          <w:i/>
        </w:rPr>
        <w:t xml:space="preserve"> 2025</w:t>
      </w:r>
      <w:r w:rsidRPr="00593A78">
        <w:t xml:space="preserve">. URL: </w:t>
      </w:r>
      <w:hyperlink r:id="rId34" w:history="1">
        <w:r w:rsidR="00366821">
          <w:rPr>
            <w:rStyle w:val="Hyperlink"/>
          </w:rPr>
          <w:t>www.health.govt.nz/publication/smokefree-aotearoa-2025-action-plan-auahi-kore-aotearoa-mahere-rautaki-2025</w:t>
        </w:r>
      </w:hyperlink>
      <w:r>
        <w:t xml:space="preserve"> </w:t>
      </w:r>
    </w:p>
    <w:p w14:paraId="6B125415" w14:textId="51EB20EA" w:rsidR="004F3111" w:rsidRPr="00593A78" w:rsidRDefault="004F3111" w:rsidP="004F3111">
      <w:pPr>
        <w:pStyle w:val="References"/>
      </w:pPr>
      <w:r w:rsidRPr="00593A78">
        <w:t xml:space="preserve">Ministry of Health. 2022a. </w:t>
      </w:r>
      <w:r w:rsidRPr="00593A78">
        <w:rPr>
          <w:i/>
          <w:iCs/>
        </w:rPr>
        <w:t>Annual Data Explorer 2021/22: New Zealand Health Survey</w:t>
      </w:r>
      <w:r w:rsidRPr="00593A78">
        <w:t xml:space="preserve"> [Data File]. URL: </w:t>
      </w:r>
      <w:hyperlink r:id="rId35" w:history="1">
        <w:r w:rsidR="00366821">
          <w:rPr>
            <w:rStyle w:val="Hyperlink"/>
          </w:rPr>
          <w:t>minhealthnz.shinyapps.io/nz-health-survey-2021-22-annual-data-explorer/</w:t>
        </w:r>
      </w:hyperlink>
      <w:r>
        <w:t xml:space="preserve"> </w:t>
      </w:r>
    </w:p>
    <w:p w14:paraId="3930A33D" w14:textId="3BC939CA" w:rsidR="004F3111" w:rsidRPr="00593A78" w:rsidRDefault="004F3111" w:rsidP="004F3111">
      <w:pPr>
        <w:pStyle w:val="References"/>
      </w:pPr>
      <w:r w:rsidRPr="00593A78">
        <w:t xml:space="preserve">Ministry of Health. 2022b. </w:t>
      </w:r>
      <w:r w:rsidRPr="00593A78">
        <w:rPr>
          <w:i/>
        </w:rPr>
        <w:t>Methodology Report 2021/22 New Zealand Health Survey</w:t>
      </w:r>
      <w:r w:rsidRPr="00593A78">
        <w:t xml:space="preserve">. URL: </w:t>
      </w:r>
      <w:hyperlink r:id="rId36" w:history="1">
        <w:r w:rsidR="00366821" w:rsidRPr="00366821">
          <w:rPr>
            <w:rStyle w:val="Hyperlink"/>
          </w:rPr>
          <w:t>www.health.govt.nz/publication/methodology-report-2021-22-new-zealand-health-survey</w:t>
        </w:r>
      </w:hyperlink>
      <w:r w:rsidR="00366821">
        <w:t xml:space="preserve"> </w:t>
      </w:r>
    </w:p>
    <w:p w14:paraId="19F32D82" w14:textId="4154677B" w:rsidR="004F3111" w:rsidRDefault="004F3111" w:rsidP="004F3111">
      <w:pPr>
        <w:pStyle w:val="References"/>
      </w:pPr>
      <w:r w:rsidRPr="00593A78">
        <w:t xml:space="preserve">Ministry of Health. 2022c. </w:t>
      </w:r>
      <w:r w:rsidRPr="00593A78">
        <w:rPr>
          <w:i/>
        </w:rPr>
        <w:t>Questionnaires and Content Guide 2021/22: New Zealand Health Survey</w:t>
      </w:r>
      <w:r w:rsidRPr="00593A78">
        <w:t xml:space="preserve">. URL: </w:t>
      </w:r>
      <w:hyperlink r:id="rId37" w:history="1">
        <w:r w:rsidR="00FF71D1">
          <w:rPr>
            <w:rStyle w:val="Hyperlink"/>
          </w:rPr>
          <w:t>www.health.govt.nz/publication/questionnaires-and-content-guide-2021-22-new-zealand-health-survey</w:t>
        </w:r>
      </w:hyperlink>
      <w:r>
        <w:t xml:space="preserve"> </w:t>
      </w:r>
    </w:p>
    <w:p w14:paraId="655F0538" w14:textId="6078ACFC" w:rsidR="004F3111" w:rsidRPr="004F3111" w:rsidRDefault="004F3111" w:rsidP="004F3111"/>
    <w:sectPr w:rsidR="004F3111" w:rsidRPr="004F3111" w:rsidSect="004F3111">
      <w:pgSz w:w="11907" w:h="16834"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97E96" w14:textId="77777777" w:rsidR="0022221E" w:rsidRDefault="0022221E">
      <w:r>
        <w:separator/>
      </w:r>
    </w:p>
    <w:p w14:paraId="2719FF95" w14:textId="77777777" w:rsidR="0022221E" w:rsidRDefault="0022221E"/>
  </w:endnote>
  <w:endnote w:type="continuationSeparator" w:id="0">
    <w:p w14:paraId="54FD66A6" w14:textId="77777777" w:rsidR="0022221E" w:rsidRDefault="0022221E">
      <w:r>
        <w:continuationSeparator/>
      </w:r>
    </w:p>
    <w:p w14:paraId="1857C72C" w14:textId="77777777" w:rsidR="0022221E" w:rsidRDefault="002222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7EF088AF" w:rsidR="004F3111" w:rsidRPr="00581136" w:rsidRDefault="004F3111" w:rsidP="005A79E5">
    <w:pPr>
      <w:pStyle w:val="Footer"/>
      <w:pBdr>
        <w:bottom w:val="single" w:sz="4" w:space="1" w:color="auto"/>
      </w:pBdr>
      <w:tabs>
        <w:tab w:val="right" w:pos="9639"/>
      </w:tabs>
      <w:rPr>
        <w:b/>
      </w:rPr>
    </w:pPr>
    <w:r w:rsidRPr="00581136">
      <w:rPr>
        <w:b/>
      </w:rPr>
      <w:t>Released 20</w:t>
    </w:r>
    <w:r>
      <w:rPr>
        <w:b/>
      </w:rPr>
      <w:t>2</w:t>
    </w:r>
    <w:r w:rsidR="00796EB2">
      <w:rPr>
        <w:b/>
      </w:rPr>
      <w:t>3</w:t>
    </w:r>
    <w:r w:rsidRPr="00581136">
      <w:rPr>
        <w:b/>
      </w:rPr>
      <w:tab/>
      <w:t>health.govt.nz</w:t>
    </w:r>
  </w:p>
  <w:p w14:paraId="524869F6" w14:textId="77777777" w:rsidR="004F3111" w:rsidRPr="005A79E5" w:rsidRDefault="004F311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4F3111" w:rsidRDefault="004F3111"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4F3111" w:rsidRDefault="004F31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4F3111" w14:paraId="4C3A3BF7" w14:textId="77777777" w:rsidTr="00D662F8">
      <w:trPr>
        <w:cantSplit/>
      </w:trPr>
      <w:tc>
        <w:tcPr>
          <w:tcW w:w="709" w:type="dxa"/>
          <w:vAlign w:val="center"/>
        </w:tcPr>
        <w:p w14:paraId="28F87ED7" w14:textId="77777777" w:rsidR="004F3111" w:rsidRPr="00931466" w:rsidRDefault="004F3111"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6026D159" w14:textId="77777777" w:rsidR="004F3111" w:rsidRDefault="004F3111" w:rsidP="00926083">
          <w:pPr>
            <w:pStyle w:val="RectoFooter"/>
            <w:jc w:val="left"/>
          </w:pPr>
          <w:r>
            <w:t>[INSERT TITLE]</w:t>
          </w:r>
        </w:p>
      </w:tc>
    </w:tr>
  </w:tbl>
  <w:p w14:paraId="711B5D80" w14:textId="77777777" w:rsidR="004F3111" w:rsidRPr="00571223" w:rsidRDefault="004F3111"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4F3111" w14:paraId="58AAB149" w14:textId="77777777" w:rsidTr="00D662F8">
      <w:trPr>
        <w:cantSplit/>
      </w:trPr>
      <w:tc>
        <w:tcPr>
          <w:tcW w:w="8080" w:type="dxa"/>
          <w:vAlign w:val="center"/>
        </w:tcPr>
        <w:p w14:paraId="20E2F0CC" w14:textId="404742E6" w:rsidR="004F3111" w:rsidRDefault="004F3111" w:rsidP="00926083">
          <w:pPr>
            <w:pStyle w:val="RectoFooter"/>
          </w:pPr>
          <w:r w:rsidRPr="004F3111">
            <w:t xml:space="preserve">Smoking Status </w:t>
          </w:r>
          <w:r w:rsidR="00267722">
            <w:t>of</w:t>
          </w:r>
          <w:r w:rsidRPr="004F3111">
            <w:t xml:space="preserve"> Daily Vapers</w:t>
          </w:r>
        </w:p>
      </w:tc>
      <w:tc>
        <w:tcPr>
          <w:tcW w:w="709" w:type="dxa"/>
          <w:vAlign w:val="center"/>
        </w:tcPr>
        <w:p w14:paraId="3D3C9847" w14:textId="77777777" w:rsidR="004F3111" w:rsidRPr="00931466" w:rsidRDefault="004F3111"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7602107" w14:textId="77777777" w:rsidR="004F3111" w:rsidRPr="00581EB8" w:rsidRDefault="004F3111"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4F3111" w14:paraId="55CF2C74" w14:textId="77777777" w:rsidTr="004F3111">
      <w:trPr>
        <w:cantSplit/>
      </w:trPr>
      <w:tc>
        <w:tcPr>
          <w:tcW w:w="8080" w:type="dxa"/>
          <w:vAlign w:val="center"/>
        </w:tcPr>
        <w:p w14:paraId="22DF7F80" w14:textId="506C5133" w:rsidR="004F3111" w:rsidRDefault="004F3111" w:rsidP="004F3111">
          <w:pPr>
            <w:pStyle w:val="RectoFooter"/>
          </w:pPr>
          <w:r w:rsidRPr="004F3111">
            <w:t xml:space="preserve">Smoking Status </w:t>
          </w:r>
          <w:r w:rsidR="00267722">
            <w:t>of</w:t>
          </w:r>
          <w:r w:rsidRPr="004F3111">
            <w:t xml:space="preserve"> Daily Vapers</w:t>
          </w:r>
        </w:p>
      </w:tc>
      <w:tc>
        <w:tcPr>
          <w:tcW w:w="709" w:type="dxa"/>
          <w:vAlign w:val="center"/>
        </w:tcPr>
        <w:p w14:paraId="732B0E44" w14:textId="77777777" w:rsidR="004F3111" w:rsidRPr="00931466" w:rsidRDefault="004F3111" w:rsidP="004F3111">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7CA52C00" w14:textId="77777777" w:rsidR="004F3111" w:rsidRPr="00571223" w:rsidRDefault="004F3111"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4F3111" w14:paraId="7E34FA6B" w14:textId="77777777" w:rsidTr="00D662F8">
      <w:trPr>
        <w:cantSplit/>
      </w:trPr>
      <w:tc>
        <w:tcPr>
          <w:tcW w:w="675" w:type="dxa"/>
          <w:vAlign w:val="center"/>
        </w:tcPr>
        <w:p w14:paraId="6281C317" w14:textId="77777777" w:rsidR="004F3111" w:rsidRPr="00931466" w:rsidRDefault="004F3111"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27262A64" w14:textId="4D365CEE" w:rsidR="004F3111" w:rsidRDefault="004F3111" w:rsidP="000D58DD">
          <w:pPr>
            <w:pStyle w:val="RectoFooter"/>
            <w:jc w:val="left"/>
          </w:pPr>
          <w:r w:rsidRPr="004F3111">
            <w:t xml:space="preserve">Smoking Status </w:t>
          </w:r>
          <w:r w:rsidR="00267722">
            <w:t>of</w:t>
          </w:r>
          <w:r w:rsidRPr="004F3111">
            <w:t xml:space="preserve"> Daily Vapers</w:t>
          </w:r>
        </w:p>
      </w:tc>
    </w:tr>
  </w:tbl>
  <w:p w14:paraId="5177CEA2" w14:textId="77777777" w:rsidR="004F3111" w:rsidRPr="00571223" w:rsidRDefault="004F3111" w:rsidP="00571223">
    <w:pPr>
      <w:pStyle w:val="Verso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4F3111" w14:paraId="47337729" w14:textId="77777777" w:rsidTr="00D662F8">
      <w:trPr>
        <w:cantSplit/>
      </w:trPr>
      <w:tc>
        <w:tcPr>
          <w:tcW w:w="8080" w:type="dxa"/>
          <w:vAlign w:val="center"/>
        </w:tcPr>
        <w:p w14:paraId="1A33CBD1" w14:textId="7AF8A746" w:rsidR="004F3111" w:rsidRDefault="004F3111" w:rsidP="00931466">
          <w:pPr>
            <w:pStyle w:val="RectoFooter"/>
          </w:pPr>
          <w:r w:rsidRPr="004F3111">
            <w:t xml:space="preserve">Smoking Status </w:t>
          </w:r>
          <w:r w:rsidR="00267722">
            <w:t>of</w:t>
          </w:r>
          <w:r w:rsidRPr="004F3111">
            <w:t xml:space="preserve"> Daily Vapers</w:t>
          </w:r>
        </w:p>
      </w:tc>
      <w:tc>
        <w:tcPr>
          <w:tcW w:w="709" w:type="dxa"/>
          <w:vAlign w:val="center"/>
        </w:tcPr>
        <w:p w14:paraId="501EC334" w14:textId="77777777" w:rsidR="004F3111" w:rsidRPr="00931466" w:rsidRDefault="004F3111"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1C6F2E7F" w14:textId="77777777" w:rsidR="004F3111" w:rsidRPr="00581EB8" w:rsidRDefault="004F3111"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2EAF" w14:textId="77777777" w:rsidR="0022221E" w:rsidRPr="00A26E6B" w:rsidRDefault="0022221E" w:rsidP="00A26E6B"/>
  </w:footnote>
  <w:footnote w:type="continuationSeparator" w:id="0">
    <w:p w14:paraId="4E7BC36A" w14:textId="77777777" w:rsidR="0022221E" w:rsidRDefault="0022221E">
      <w:r>
        <w:continuationSeparator/>
      </w:r>
    </w:p>
    <w:p w14:paraId="7D0485DB" w14:textId="77777777" w:rsidR="0022221E" w:rsidRDefault="002222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4F3111" w14:paraId="11530A0D" w14:textId="77777777" w:rsidTr="008F2B72">
      <w:trPr>
        <w:cantSplit/>
      </w:trPr>
      <w:tc>
        <w:tcPr>
          <w:tcW w:w="5210" w:type="dxa"/>
          <w:vAlign w:val="center"/>
        </w:tcPr>
        <w:p w14:paraId="2BDE3162" w14:textId="4E67EED4" w:rsidR="004F3111" w:rsidRDefault="004F3111" w:rsidP="00B26F0F">
          <w:pPr>
            <w:pStyle w:val="Header"/>
          </w:pPr>
          <w:bookmarkStart w:id="0" w:name="_Hlk110933925"/>
          <w:r>
            <w:rPr>
              <w:noProof/>
              <w:lang w:eastAsia="en-NZ"/>
            </w:rPr>
            <w:drawing>
              <wp:inline distT="0" distB="0" distL="0" distR="0" wp14:anchorId="04421456" wp14:editId="4F827569">
                <wp:extent cx="2294626" cy="542925"/>
                <wp:effectExtent l="0" t="0" r="0" b="0"/>
                <wp:docPr id="1" name="Picture 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6193D58" w14:textId="31929113" w:rsidR="004F3111" w:rsidRDefault="004F3111" w:rsidP="004F3111">
          <w:pPr>
            <w:pStyle w:val="Header"/>
            <w:jc w:val="right"/>
          </w:pPr>
          <w:r>
            <w:rPr>
              <w:noProof/>
            </w:rPr>
            <w:drawing>
              <wp:anchor distT="0" distB="0" distL="114300" distR="114300" simplePos="0" relativeHeight="251658240" behindDoc="0" locked="0" layoutInCell="1" allowOverlap="1" wp14:anchorId="1D75C094" wp14:editId="60E653CC">
                <wp:simplePos x="0" y="0"/>
                <wp:positionH relativeFrom="column">
                  <wp:posOffset>1362710</wp:posOffset>
                </wp:positionH>
                <wp:positionV relativeFrom="paragraph">
                  <wp:posOffset>-1905</wp:posOffset>
                </wp:positionV>
                <wp:extent cx="1519555" cy="718185"/>
                <wp:effectExtent l="0" t="0" r="4445" b="5715"/>
                <wp:wrapNone/>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4AC8EC99" w14:textId="1B35D83E" w:rsidR="004F3111" w:rsidRDefault="004F3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77777777" w:rsidR="004F3111" w:rsidRDefault="004F3111"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77777777" w:rsidR="004F3111" w:rsidRDefault="004F3111"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4F3111" w:rsidRDefault="004F31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5"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7"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0"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2"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3"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4"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5"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18"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19"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1"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22"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23"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24"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25"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26"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28"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0"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31"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9"/>
  </w:num>
  <w:num w:numId="2">
    <w:abstractNumId w:val="22"/>
  </w:num>
  <w:num w:numId="3">
    <w:abstractNumId w:val="15"/>
  </w:num>
  <w:num w:numId="4">
    <w:abstractNumId w:val="16"/>
  </w:num>
  <w:num w:numId="5">
    <w:abstractNumId w:val="0"/>
  </w:num>
  <w:num w:numId="6">
    <w:abstractNumId w:val="31"/>
  </w:num>
  <w:num w:numId="7">
    <w:abstractNumId w:val="12"/>
  </w:num>
  <w:num w:numId="8">
    <w:abstractNumId w:val="2"/>
  </w:num>
  <w:num w:numId="9">
    <w:abstractNumId w:val="28"/>
  </w:num>
  <w:num w:numId="10">
    <w:abstractNumId w:val="1"/>
  </w:num>
  <w:num w:numId="11">
    <w:abstractNumId w:val="26"/>
  </w:num>
  <w:num w:numId="12">
    <w:abstractNumId w:val="3"/>
  </w:num>
  <w:num w:numId="13">
    <w:abstractNumId w:val="7"/>
  </w:num>
  <w:num w:numId="14">
    <w:abstractNumId w:val="5"/>
  </w:num>
  <w:num w:numId="15">
    <w:abstractNumId w:val="8"/>
  </w:num>
  <w:num w:numId="16">
    <w:abstractNumId w:val="19"/>
  </w:num>
  <w:num w:numId="17">
    <w:abstractNumId w:val="10"/>
  </w:num>
  <w:num w:numId="18">
    <w:abstractNumId w:val="24"/>
  </w:num>
  <w:num w:numId="19">
    <w:abstractNumId w:val="11"/>
  </w:num>
  <w:num w:numId="20">
    <w:abstractNumId w:val="18"/>
  </w:num>
  <w:num w:numId="21">
    <w:abstractNumId w:val="6"/>
  </w:num>
  <w:num w:numId="22">
    <w:abstractNumId w:val="4"/>
  </w:num>
  <w:num w:numId="23">
    <w:abstractNumId w:val="21"/>
  </w:num>
  <w:num w:numId="24">
    <w:abstractNumId w:val="20"/>
  </w:num>
  <w:num w:numId="25">
    <w:abstractNumId w:val="30"/>
  </w:num>
  <w:num w:numId="26">
    <w:abstractNumId w:val="13"/>
  </w:num>
  <w:num w:numId="27">
    <w:abstractNumId w:val="25"/>
  </w:num>
  <w:num w:numId="28">
    <w:abstractNumId w:val="23"/>
  </w:num>
  <w:num w:numId="29">
    <w:abstractNumId w:val="17"/>
  </w:num>
  <w:num w:numId="30">
    <w:abstractNumId w:val="9"/>
  </w:num>
  <w:num w:numId="31">
    <w:abstractNumId w:val="27"/>
  </w:num>
  <w:num w:numId="3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37ABC"/>
    <w:rsid w:val="00037E97"/>
    <w:rsid w:val="00054B44"/>
    <w:rsid w:val="0006228D"/>
    <w:rsid w:val="00072BD6"/>
    <w:rsid w:val="00075B78"/>
    <w:rsid w:val="000763E9"/>
    <w:rsid w:val="00082CD6"/>
    <w:rsid w:val="0008437D"/>
    <w:rsid w:val="00085AFE"/>
    <w:rsid w:val="00094800"/>
    <w:rsid w:val="000A2434"/>
    <w:rsid w:val="000A41ED"/>
    <w:rsid w:val="000A7F77"/>
    <w:rsid w:val="000B0730"/>
    <w:rsid w:val="000C4FAA"/>
    <w:rsid w:val="000C7B45"/>
    <w:rsid w:val="000D19F4"/>
    <w:rsid w:val="000D58DD"/>
    <w:rsid w:val="000F1EC0"/>
    <w:rsid w:val="000F2AE2"/>
    <w:rsid w:val="000F2BFF"/>
    <w:rsid w:val="00102063"/>
    <w:rsid w:val="0010541C"/>
    <w:rsid w:val="00106F93"/>
    <w:rsid w:val="00111D50"/>
    <w:rsid w:val="00113B8E"/>
    <w:rsid w:val="00113DFF"/>
    <w:rsid w:val="0012053C"/>
    <w:rsid w:val="00122363"/>
    <w:rsid w:val="001342C7"/>
    <w:rsid w:val="0013585C"/>
    <w:rsid w:val="00142261"/>
    <w:rsid w:val="00142954"/>
    <w:rsid w:val="001460E0"/>
    <w:rsid w:val="001472F0"/>
    <w:rsid w:val="00147F71"/>
    <w:rsid w:val="00150A6E"/>
    <w:rsid w:val="001536D5"/>
    <w:rsid w:val="001623A7"/>
    <w:rsid w:val="0016304B"/>
    <w:rsid w:val="0016468A"/>
    <w:rsid w:val="0018662D"/>
    <w:rsid w:val="00197427"/>
    <w:rsid w:val="001A21B4"/>
    <w:rsid w:val="001A3E36"/>
    <w:rsid w:val="001A5CF5"/>
    <w:rsid w:val="001B149D"/>
    <w:rsid w:val="001B24EC"/>
    <w:rsid w:val="001B39D2"/>
    <w:rsid w:val="001B4BF8"/>
    <w:rsid w:val="001C4326"/>
    <w:rsid w:val="001C48D1"/>
    <w:rsid w:val="001C5880"/>
    <w:rsid w:val="001C665E"/>
    <w:rsid w:val="001D3541"/>
    <w:rsid w:val="001D3E4E"/>
    <w:rsid w:val="001E254A"/>
    <w:rsid w:val="001E7386"/>
    <w:rsid w:val="001F45A7"/>
    <w:rsid w:val="00201A01"/>
    <w:rsid w:val="0020754B"/>
    <w:rsid w:val="002104D3"/>
    <w:rsid w:val="00213A33"/>
    <w:rsid w:val="0021763B"/>
    <w:rsid w:val="0022221E"/>
    <w:rsid w:val="00226503"/>
    <w:rsid w:val="00227EC0"/>
    <w:rsid w:val="002361C2"/>
    <w:rsid w:val="00246DB1"/>
    <w:rsid w:val="002476B5"/>
    <w:rsid w:val="002520CC"/>
    <w:rsid w:val="00253ECF"/>
    <w:rsid w:val="002546A1"/>
    <w:rsid w:val="00256757"/>
    <w:rsid w:val="002628F4"/>
    <w:rsid w:val="00267722"/>
    <w:rsid w:val="00275D08"/>
    <w:rsid w:val="00282C28"/>
    <w:rsid w:val="002858E3"/>
    <w:rsid w:val="00286A2A"/>
    <w:rsid w:val="0029190A"/>
    <w:rsid w:val="00292C5A"/>
    <w:rsid w:val="00295241"/>
    <w:rsid w:val="002A4DFC"/>
    <w:rsid w:val="002B047D"/>
    <w:rsid w:val="002B732B"/>
    <w:rsid w:val="002B76A7"/>
    <w:rsid w:val="002C2219"/>
    <w:rsid w:val="002C2552"/>
    <w:rsid w:val="002C380A"/>
    <w:rsid w:val="002C4E82"/>
    <w:rsid w:val="002D0DF2"/>
    <w:rsid w:val="002D23BD"/>
    <w:rsid w:val="002E0B47"/>
    <w:rsid w:val="002F4685"/>
    <w:rsid w:val="002F5D25"/>
    <w:rsid w:val="002F7213"/>
    <w:rsid w:val="0030382F"/>
    <w:rsid w:val="0030408D"/>
    <w:rsid w:val="003060E4"/>
    <w:rsid w:val="003160E7"/>
    <w:rsid w:val="0031739E"/>
    <w:rsid w:val="003259BE"/>
    <w:rsid w:val="003309CA"/>
    <w:rsid w:val="003325AB"/>
    <w:rsid w:val="003332D1"/>
    <w:rsid w:val="0033412B"/>
    <w:rsid w:val="00341161"/>
    <w:rsid w:val="00343365"/>
    <w:rsid w:val="00343C50"/>
    <w:rsid w:val="003445F4"/>
    <w:rsid w:val="00353501"/>
    <w:rsid w:val="00353734"/>
    <w:rsid w:val="00356B10"/>
    <w:rsid w:val="003606F8"/>
    <w:rsid w:val="003648EF"/>
    <w:rsid w:val="00366821"/>
    <w:rsid w:val="003673E6"/>
    <w:rsid w:val="00377264"/>
    <w:rsid w:val="003779D2"/>
    <w:rsid w:val="00385E38"/>
    <w:rsid w:val="003A26A5"/>
    <w:rsid w:val="003A3761"/>
    <w:rsid w:val="003A512D"/>
    <w:rsid w:val="003A5FEA"/>
    <w:rsid w:val="003B1D10"/>
    <w:rsid w:val="003C76D4"/>
    <w:rsid w:val="003D137D"/>
    <w:rsid w:val="003D2CC5"/>
    <w:rsid w:val="003E04C1"/>
    <w:rsid w:val="003E0887"/>
    <w:rsid w:val="003E74C8"/>
    <w:rsid w:val="003E7C46"/>
    <w:rsid w:val="003F2106"/>
    <w:rsid w:val="003F4293"/>
    <w:rsid w:val="003F52A7"/>
    <w:rsid w:val="003F7013"/>
    <w:rsid w:val="0040240C"/>
    <w:rsid w:val="00413021"/>
    <w:rsid w:val="0042045A"/>
    <w:rsid w:val="00424BDB"/>
    <w:rsid w:val="0042748F"/>
    <w:rsid w:val="004301C6"/>
    <w:rsid w:val="0043478F"/>
    <w:rsid w:val="0043602B"/>
    <w:rsid w:val="00440BE0"/>
    <w:rsid w:val="00442C1C"/>
    <w:rsid w:val="00443071"/>
    <w:rsid w:val="0044584B"/>
    <w:rsid w:val="004460F0"/>
    <w:rsid w:val="00447CB7"/>
    <w:rsid w:val="00455CC9"/>
    <w:rsid w:val="00455ECC"/>
    <w:rsid w:val="00460826"/>
    <w:rsid w:val="00460EA7"/>
    <w:rsid w:val="0046195B"/>
    <w:rsid w:val="00462E2B"/>
    <w:rsid w:val="0046362D"/>
    <w:rsid w:val="0046596D"/>
    <w:rsid w:val="0047289E"/>
    <w:rsid w:val="00480AB4"/>
    <w:rsid w:val="00487C04"/>
    <w:rsid w:val="004907E1"/>
    <w:rsid w:val="004A035B"/>
    <w:rsid w:val="004A2108"/>
    <w:rsid w:val="004A356D"/>
    <w:rsid w:val="004A38D7"/>
    <w:rsid w:val="004A778C"/>
    <w:rsid w:val="004B3221"/>
    <w:rsid w:val="004B48C7"/>
    <w:rsid w:val="004C2E6A"/>
    <w:rsid w:val="004C64B8"/>
    <w:rsid w:val="004D2A2D"/>
    <w:rsid w:val="004D479F"/>
    <w:rsid w:val="004D6689"/>
    <w:rsid w:val="004E1D1D"/>
    <w:rsid w:val="004E7AC8"/>
    <w:rsid w:val="004F0C94"/>
    <w:rsid w:val="004F3111"/>
    <w:rsid w:val="005019AE"/>
    <w:rsid w:val="00503749"/>
    <w:rsid w:val="00503BE1"/>
    <w:rsid w:val="00504CF4"/>
    <w:rsid w:val="0050635B"/>
    <w:rsid w:val="005151C2"/>
    <w:rsid w:val="0053199F"/>
    <w:rsid w:val="00531E12"/>
    <w:rsid w:val="00533B90"/>
    <w:rsid w:val="00537D83"/>
    <w:rsid w:val="005410F8"/>
    <w:rsid w:val="005448EC"/>
    <w:rsid w:val="00545963"/>
    <w:rsid w:val="00550256"/>
    <w:rsid w:val="00553165"/>
    <w:rsid w:val="00553958"/>
    <w:rsid w:val="00556BB7"/>
    <w:rsid w:val="0055763D"/>
    <w:rsid w:val="00561516"/>
    <w:rsid w:val="005621F2"/>
    <w:rsid w:val="005665FD"/>
    <w:rsid w:val="00567B58"/>
    <w:rsid w:val="00571223"/>
    <w:rsid w:val="005763E0"/>
    <w:rsid w:val="00581136"/>
    <w:rsid w:val="0058172B"/>
    <w:rsid w:val="00581EB8"/>
    <w:rsid w:val="005A1D91"/>
    <w:rsid w:val="005A27CA"/>
    <w:rsid w:val="005A43BD"/>
    <w:rsid w:val="005A79E5"/>
    <w:rsid w:val="005C3D9E"/>
    <w:rsid w:val="005D034C"/>
    <w:rsid w:val="005E1DB1"/>
    <w:rsid w:val="005E226E"/>
    <w:rsid w:val="005E2636"/>
    <w:rsid w:val="005F10F5"/>
    <w:rsid w:val="005F77FC"/>
    <w:rsid w:val="006015D7"/>
    <w:rsid w:val="00601B21"/>
    <w:rsid w:val="006041F0"/>
    <w:rsid w:val="00605C6D"/>
    <w:rsid w:val="006120CA"/>
    <w:rsid w:val="00624174"/>
    <w:rsid w:val="00626CF8"/>
    <w:rsid w:val="006314AF"/>
    <w:rsid w:val="00634ED8"/>
    <w:rsid w:val="00636D7D"/>
    <w:rsid w:val="00637408"/>
    <w:rsid w:val="00641CFA"/>
    <w:rsid w:val="00642868"/>
    <w:rsid w:val="00647AFE"/>
    <w:rsid w:val="006512BC"/>
    <w:rsid w:val="00651CC6"/>
    <w:rsid w:val="00653A5A"/>
    <w:rsid w:val="006554AC"/>
    <w:rsid w:val="006575F4"/>
    <w:rsid w:val="006579E6"/>
    <w:rsid w:val="00660682"/>
    <w:rsid w:val="00660F74"/>
    <w:rsid w:val="00663EDC"/>
    <w:rsid w:val="00666807"/>
    <w:rsid w:val="00667E20"/>
    <w:rsid w:val="00671078"/>
    <w:rsid w:val="006758CA"/>
    <w:rsid w:val="0067720E"/>
    <w:rsid w:val="00680A04"/>
    <w:rsid w:val="00686D80"/>
    <w:rsid w:val="00694895"/>
    <w:rsid w:val="00697E2E"/>
    <w:rsid w:val="006A25A2"/>
    <w:rsid w:val="006A3B87"/>
    <w:rsid w:val="006A6F00"/>
    <w:rsid w:val="006B0E73"/>
    <w:rsid w:val="006B1E3D"/>
    <w:rsid w:val="006B4A4D"/>
    <w:rsid w:val="006B5695"/>
    <w:rsid w:val="006B5799"/>
    <w:rsid w:val="006B7B2E"/>
    <w:rsid w:val="006C78EB"/>
    <w:rsid w:val="006D1660"/>
    <w:rsid w:val="006D63E5"/>
    <w:rsid w:val="006E1753"/>
    <w:rsid w:val="006E3911"/>
    <w:rsid w:val="006F1B67"/>
    <w:rsid w:val="006F4D9C"/>
    <w:rsid w:val="0070091D"/>
    <w:rsid w:val="00702854"/>
    <w:rsid w:val="0071741C"/>
    <w:rsid w:val="00725BF1"/>
    <w:rsid w:val="00742B90"/>
    <w:rsid w:val="0074434D"/>
    <w:rsid w:val="007570C4"/>
    <w:rsid w:val="0075798B"/>
    <w:rsid w:val="007605B8"/>
    <w:rsid w:val="00771B1E"/>
    <w:rsid w:val="00773C95"/>
    <w:rsid w:val="0078171E"/>
    <w:rsid w:val="0078658E"/>
    <w:rsid w:val="007920E2"/>
    <w:rsid w:val="0079566E"/>
    <w:rsid w:val="00795B34"/>
    <w:rsid w:val="00796EB2"/>
    <w:rsid w:val="007A031D"/>
    <w:rsid w:val="007A067F"/>
    <w:rsid w:val="007B1770"/>
    <w:rsid w:val="007B4D3E"/>
    <w:rsid w:val="007B590F"/>
    <w:rsid w:val="007B7C70"/>
    <w:rsid w:val="007B7DEB"/>
    <w:rsid w:val="007C0449"/>
    <w:rsid w:val="007D170D"/>
    <w:rsid w:val="007D2151"/>
    <w:rsid w:val="007D3B90"/>
    <w:rsid w:val="007D42CC"/>
    <w:rsid w:val="007D5DE4"/>
    <w:rsid w:val="007D7C3A"/>
    <w:rsid w:val="007E0777"/>
    <w:rsid w:val="007E1341"/>
    <w:rsid w:val="007E1B41"/>
    <w:rsid w:val="007E1EC4"/>
    <w:rsid w:val="007E30B9"/>
    <w:rsid w:val="007E74F1"/>
    <w:rsid w:val="007F0F0C"/>
    <w:rsid w:val="007F1288"/>
    <w:rsid w:val="007F2666"/>
    <w:rsid w:val="007F62A6"/>
    <w:rsid w:val="00800A8A"/>
    <w:rsid w:val="0080155C"/>
    <w:rsid w:val="008052E1"/>
    <w:rsid w:val="00810D65"/>
    <w:rsid w:val="0081791F"/>
    <w:rsid w:val="00822F2C"/>
    <w:rsid w:val="00823DEE"/>
    <w:rsid w:val="008305E8"/>
    <w:rsid w:val="00836165"/>
    <w:rsid w:val="00836EBF"/>
    <w:rsid w:val="0084640C"/>
    <w:rsid w:val="008528A7"/>
    <w:rsid w:val="00856088"/>
    <w:rsid w:val="00860826"/>
    <w:rsid w:val="00860E21"/>
    <w:rsid w:val="00863117"/>
    <w:rsid w:val="0086388B"/>
    <w:rsid w:val="008642E5"/>
    <w:rsid w:val="00864488"/>
    <w:rsid w:val="00870A36"/>
    <w:rsid w:val="00872D93"/>
    <w:rsid w:val="00880470"/>
    <w:rsid w:val="00880D94"/>
    <w:rsid w:val="00886BAC"/>
    <w:rsid w:val="00886F64"/>
    <w:rsid w:val="00891799"/>
    <w:rsid w:val="008924DE"/>
    <w:rsid w:val="008A3755"/>
    <w:rsid w:val="008B19DC"/>
    <w:rsid w:val="008B264F"/>
    <w:rsid w:val="008B2858"/>
    <w:rsid w:val="008B6F83"/>
    <w:rsid w:val="008B7FD8"/>
    <w:rsid w:val="008C1108"/>
    <w:rsid w:val="008C2973"/>
    <w:rsid w:val="008C4F1A"/>
    <w:rsid w:val="008C6324"/>
    <w:rsid w:val="008C64C4"/>
    <w:rsid w:val="008D2CDD"/>
    <w:rsid w:val="008D74D5"/>
    <w:rsid w:val="008E0ED1"/>
    <w:rsid w:val="008E3A07"/>
    <w:rsid w:val="008E537B"/>
    <w:rsid w:val="008F29BE"/>
    <w:rsid w:val="008F2B72"/>
    <w:rsid w:val="008F4AE5"/>
    <w:rsid w:val="008F51EB"/>
    <w:rsid w:val="00900197"/>
    <w:rsid w:val="00901575"/>
    <w:rsid w:val="00902F55"/>
    <w:rsid w:val="0090356F"/>
    <w:rsid w:val="0090582B"/>
    <w:rsid w:val="00905FD3"/>
    <w:rsid w:val="009060C0"/>
    <w:rsid w:val="009114A2"/>
    <w:rsid w:val="009133F5"/>
    <w:rsid w:val="0091756F"/>
    <w:rsid w:val="00920A27"/>
    <w:rsid w:val="00921216"/>
    <w:rsid w:val="009216CC"/>
    <w:rsid w:val="00926083"/>
    <w:rsid w:val="00930D08"/>
    <w:rsid w:val="00931466"/>
    <w:rsid w:val="00932D69"/>
    <w:rsid w:val="00935589"/>
    <w:rsid w:val="00944647"/>
    <w:rsid w:val="009552C6"/>
    <w:rsid w:val="0095565C"/>
    <w:rsid w:val="00964AB6"/>
    <w:rsid w:val="00966F9A"/>
    <w:rsid w:val="00977B8A"/>
    <w:rsid w:val="00982971"/>
    <w:rsid w:val="009845AD"/>
    <w:rsid w:val="00984835"/>
    <w:rsid w:val="0098639B"/>
    <w:rsid w:val="009933EF"/>
    <w:rsid w:val="00995BA0"/>
    <w:rsid w:val="009A418B"/>
    <w:rsid w:val="009A426F"/>
    <w:rsid w:val="009A42D5"/>
    <w:rsid w:val="009A4473"/>
    <w:rsid w:val="009B05C9"/>
    <w:rsid w:val="009B286C"/>
    <w:rsid w:val="009C151C"/>
    <w:rsid w:val="009C440A"/>
    <w:rsid w:val="009D34F3"/>
    <w:rsid w:val="009D5125"/>
    <w:rsid w:val="009D60B8"/>
    <w:rsid w:val="009D7867"/>
    <w:rsid w:val="009D7D4B"/>
    <w:rsid w:val="009E36ED"/>
    <w:rsid w:val="009E3C8C"/>
    <w:rsid w:val="009E6B77"/>
    <w:rsid w:val="009F460A"/>
    <w:rsid w:val="00A01CE7"/>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42BBE"/>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A395F"/>
    <w:rsid w:val="00AB0AE3"/>
    <w:rsid w:val="00AC101C"/>
    <w:rsid w:val="00AC1922"/>
    <w:rsid w:val="00AD4CF1"/>
    <w:rsid w:val="00AD5988"/>
    <w:rsid w:val="00AD6293"/>
    <w:rsid w:val="00AE3A7F"/>
    <w:rsid w:val="00AE42B1"/>
    <w:rsid w:val="00AF1BA8"/>
    <w:rsid w:val="00AF7800"/>
    <w:rsid w:val="00B0096A"/>
    <w:rsid w:val="00B00CF5"/>
    <w:rsid w:val="00B072E0"/>
    <w:rsid w:val="00B1007E"/>
    <w:rsid w:val="00B253F6"/>
    <w:rsid w:val="00B26675"/>
    <w:rsid w:val="00B26F0F"/>
    <w:rsid w:val="00B305DB"/>
    <w:rsid w:val="00B332F8"/>
    <w:rsid w:val="00B3492B"/>
    <w:rsid w:val="00B4646F"/>
    <w:rsid w:val="00B55C7D"/>
    <w:rsid w:val="00B63038"/>
    <w:rsid w:val="00B64BD8"/>
    <w:rsid w:val="00B701D1"/>
    <w:rsid w:val="00B73AF2"/>
    <w:rsid w:val="00B7551A"/>
    <w:rsid w:val="00B773F1"/>
    <w:rsid w:val="00B83361"/>
    <w:rsid w:val="00B86AB1"/>
    <w:rsid w:val="00B93DAA"/>
    <w:rsid w:val="00B963EE"/>
    <w:rsid w:val="00B97F07"/>
    <w:rsid w:val="00BA538A"/>
    <w:rsid w:val="00BA7EBA"/>
    <w:rsid w:val="00BB2A06"/>
    <w:rsid w:val="00BB2CBB"/>
    <w:rsid w:val="00BB4198"/>
    <w:rsid w:val="00BC03EE"/>
    <w:rsid w:val="00BC59F1"/>
    <w:rsid w:val="00BD3063"/>
    <w:rsid w:val="00BD6724"/>
    <w:rsid w:val="00BE52AA"/>
    <w:rsid w:val="00BF3DE1"/>
    <w:rsid w:val="00BF4843"/>
    <w:rsid w:val="00BF5205"/>
    <w:rsid w:val="00C05132"/>
    <w:rsid w:val="00C12508"/>
    <w:rsid w:val="00C2015B"/>
    <w:rsid w:val="00C23728"/>
    <w:rsid w:val="00C3026C"/>
    <w:rsid w:val="00C313A9"/>
    <w:rsid w:val="00C35413"/>
    <w:rsid w:val="00C4104D"/>
    <w:rsid w:val="00C441CF"/>
    <w:rsid w:val="00C45AA2"/>
    <w:rsid w:val="00C4792C"/>
    <w:rsid w:val="00C55BEF"/>
    <w:rsid w:val="00C601AF"/>
    <w:rsid w:val="00C61A63"/>
    <w:rsid w:val="00C66296"/>
    <w:rsid w:val="00C7394D"/>
    <w:rsid w:val="00C75B7A"/>
    <w:rsid w:val="00C77282"/>
    <w:rsid w:val="00C84DE5"/>
    <w:rsid w:val="00C86248"/>
    <w:rsid w:val="00C90B31"/>
    <w:rsid w:val="00C9588A"/>
    <w:rsid w:val="00CA0D6F"/>
    <w:rsid w:val="00CA4C33"/>
    <w:rsid w:val="00CA6F4A"/>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0BBE"/>
    <w:rsid w:val="00D33D62"/>
    <w:rsid w:val="00D34905"/>
    <w:rsid w:val="00D36BD0"/>
    <w:rsid w:val="00D37D80"/>
    <w:rsid w:val="00D4476F"/>
    <w:rsid w:val="00D50573"/>
    <w:rsid w:val="00D54D50"/>
    <w:rsid w:val="00D560B4"/>
    <w:rsid w:val="00D63778"/>
    <w:rsid w:val="00D662F8"/>
    <w:rsid w:val="00D66797"/>
    <w:rsid w:val="00D7074B"/>
    <w:rsid w:val="00D7087C"/>
    <w:rsid w:val="00D70C3C"/>
    <w:rsid w:val="00D71DF7"/>
    <w:rsid w:val="00D72BE5"/>
    <w:rsid w:val="00D81462"/>
    <w:rsid w:val="00D82F26"/>
    <w:rsid w:val="00D863D0"/>
    <w:rsid w:val="00D86B00"/>
    <w:rsid w:val="00D86FB9"/>
    <w:rsid w:val="00D87C87"/>
    <w:rsid w:val="00D90BB4"/>
    <w:rsid w:val="00D90E07"/>
    <w:rsid w:val="00D932C2"/>
    <w:rsid w:val="00DB39CF"/>
    <w:rsid w:val="00DB65DF"/>
    <w:rsid w:val="00DB7256"/>
    <w:rsid w:val="00DC0401"/>
    <w:rsid w:val="00DC20BD"/>
    <w:rsid w:val="00DC30BA"/>
    <w:rsid w:val="00DD0BCD"/>
    <w:rsid w:val="00DD447A"/>
    <w:rsid w:val="00DE3B20"/>
    <w:rsid w:val="00DE6C94"/>
    <w:rsid w:val="00DE6FD7"/>
    <w:rsid w:val="00DF0C71"/>
    <w:rsid w:val="00E03F51"/>
    <w:rsid w:val="00E23271"/>
    <w:rsid w:val="00E24F80"/>
    <w:rsid w:val="00E259F3"/>
    <w:rsid w:val="00E30985"/>
    <w:rsid w:val="00E33238"/>
    <w:rsid w:val="00E376B7"/>
    <w:rsid w:val="00E42F5D"/>
    <w:rsid w:val="00E4486C"/>
    <w:rsid w:val="00E460B6"/>
    <w:rsid w:val="00E50B17"/>
    <w:rsid w:val="00E511D5"/>
    <w:rsid w:val="00E53A9F"/>
    <w:rsid w:val="00E60249"/>
    <w:rsid w:val="00E65269"/>
    <w:rsid w:val="00E76D66"/>
    <w:rsid w:val="00EA796A"/>
    <w:rsid w:val="00EB1856"/>
    <w:rsid w:val="00EC04CA"/>
    <w:rsid w:val="00EC50CE"/>
    <w:rsid w:val="00EC5B34"/>
    <w:rsid w:val="00ED021E"/>
    <w:rsid w:val="00ED323C"/>
    <w:rsid w:val="00EE2D5C"/>
    <w:rsid w:val="00EE4ADE"/>
    <w:rsid w:val="00EE4DE8"/>
    <w:rsid w:val="00EE5CB7"/>
    <w:rsid w:val="00F024FE"/>
    <w:rsid w:val="00F05AD4"/>
    <w:rsid w:val="00F10EB6"/>
    <w:rsid w:val="00F13F07"/>
    <w:rsid w:val="00F140B2"/>
    <w:rsid w:val="00F25970"/>
    <w:rsid w:val="00F311A9"/>
    <w:rsid w:val="00F353B7"/>
    <w:rsid w:val="00F5180D"/>
    <w:rsid w:val="00F609E3"/>
    <w:rsid w:val="00F63781"/>
    <w:rsid w:val="00F67496"/>
    <w:rsid w:val="00F801BA"/>
    <w:rsid w:val="00F9366A"/>
    <w:rsid w:val="00F946C9"/>
    <w:rsid w:val="00F9492B"/>
    <w:rsid w:val="00FA0EA5"/>
    <w:rsid w:val="00FA74EE"/>
    <w:rsid w:val="00FC0447"/>
    <w:rsid w:val="00FC3711"/>
    <w:rsid w:val="00FC46E7"/>
    <w:rsid w:val="00FC5D25"/>
    <w:rsid w:val="00FD0D7E"/>
    <w:rsid w:val="00FD4FFB"/>
    <w:rsid w:val="00FE4ADC"/>
    <w:rsid w:val="00FE6E13"/>
    <w:rsid w:val="00FF15F6"/>
    <w:rsid w:val="00FF527C"/>
    <w:rsid w:val="00FF65CD"/>
    <w:rsid w:val="00FF71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1"/>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character" w:customStyle="1" w:styleId="BulletChar">
    <w:name w:val="Bullet Char"/>
    <w:link w:val="Bullet"/>
    <w:locked/>
    <w:rsid w:val="004F3111"/>
    <w:rPr>
      <w:rFonts w:ascii="Segoe UI" w:hAnsi="Segoe UI"/>
      <w:sz w:val="21"/>
      <w:lang w:eastAsia="en-GB"/>
    </w:rPr>
  </w:style>
  <w:style w:type="character" w:customStyle="1" w:styleId="FigureChar">
    <w:name w:val="Figure Char"/>
    <w:link w:val="Figure"/>
    <w:locked/>
    <w:rsid w:val="004F3111"/>
    <w:rPr>
      <w:rFonts w:ascii="Segoe UI" w:hAnsi="Segoe UI"/>
      <w:b/>
      <w:lang w:eastAsia="en-GB"/>
    </w:rPr>
  </w:style>
  <w:style w:type="paragraph" w:styleId="Caption">
    <w:name w:val="caption"/>
    <w:basedOn w:val="Normal"/>
    <w:next w:val="Normal"/>
    <w:unhideWhenUsed/>
    <w:qFormat/>
    <w:rsid w:val="004F3111"/>
    <w:pPr>
      <w:spacing w:after="200"/>
    </w:pPr>
    <w:rPr>
      <w:i/>
      <w:iCs/>
      <w:color w:val="1F497D" w:themeColor="text2"/>
      <w:sz w:val="18"/>
      <w:szCs w:val="18"/>
    </w:rPr>
  </w:style>
  <w:style w:type="character" w:customStyle="1" w:styleId="TableChar">
    <w:name w:val="Table Char"/>
    <w:link w:val="Table"/>
    <w:locked/>
    <w:rsid w:val="004F3111"/>
    <w:rPr>
      <w:rFonts w:ascii="Segoe UI" w:hAnsi="Segoe UI"/>
      <w:b/>
      <w:lang w:eastAsia="en-GB"/>
    </w:rPr>
  </w:style>
  <w:style w:type="character" w:styleId="UnresolvedMention">
    <w:name w:val="Unresolved Mention"/>
    <w:basedOn w:val="DefaultParagraphFont"/>
    <w:uiPriority w:val="99"/>
    <w:semiHidden/>
    <w:unhideWhenUsed/>
    <w:rsid w:val="004F3111"/>
    <w:rPr>
      <w:color w:val="605E5C"/>
      <w:shd w:val="clear" w:color="auto" w:fill="E1DFDD"/>
    </w:rPr>
  </w:style>
  <w:style w:type="character" w:styleId="CommentReference">
    <w:name w:val="annotation reference"/>
    <w:basedOn w:val="DefaultParagraphFont"/>
    <w:uiPriority w:val="99"/>
    <w:semiHidden/>
    <w:unhideWhenUsed/>
    <w:rsid w:val="00FE4ADC"/>
    <w:rPr>
      <w:sz w:val="16"/>
      <w:szCs w:val="16"/>
    </w:rPr>
  </w:style>
  <w:style w:type="paragraph" w:styleId="CommentText">
    <w:name w:val="annotation text"/>
    <w:basedOn w:val="Normal"/>
    <w:link w:val="CommentTextChar"/>
    <w:uiPriority w:val="99"/>
    <w:semiHidden/>
    <w:unhideWhenUsed/>
    <w:rsid w:val="00FE4ADC"/>
    <w:rPr>
      <w:sz w:val="20"/>
    </w:rPr>
  </w:style>
  <w:style w:type="character" w:customStyle="1" w:styleId="CommentTextChar">
    <w:name w:val="Comment Text Char"/>
    <w:basedOn w:val="DefaultParagraphFont"/>
    <w:link w:val="CommentText"/>
    <w:uiPriority w:val="99"/>
    <w:semiHidden/>
    <w:rsid w:val="00FE4ADC"/>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FE4ADC"/>
    <w:rPr>
      <w:b/>
      <w:bCs/>
    </w:rPr>
  </w:style>
  <w:style w:type="character" w:customStyle="1" w:styleId="CommentSubjectChar">
    <w:name w:val="Comment Subject Char"/>
    <w:basedOn w:val="CommentTextChar"/>
    <w:link w:val="CommentSubject"/>
    <w:uiPriority w:val="99"/>
    <w:semiHidden/>
    <w:rsid w:val="00FE4ADC"/>
    <w:rPr>
      <w:rFonts w:ascii="Segoe UI" w:hAnsi="Segoe UI"/>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image" Target="media/image6.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s://www.health.govt.nz/publication/smokefree-aotearoa-2025-action-plan-auahi-kore-aotearoa-mahere-rautaki-2025"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hyperlink" Target="https://vizhub.healthdata.org/gbd-compar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image" Target="media/image12.png"/><Relationship Id="rId37" Type="http://schemas.openxmlformats.org/officeDocument/2006/relationships/hyperlink" Target="https://www.health.govt.nz/publication/questionnaires-and-content-guide-2021-22-new-zealand-health-survey"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4.xml"/><Relationship Id="rId28" Type="http://schemas.openxmlformats.org/officeDocument/2006/relationships/image" Target="media/image8.png"/><Relationship Id="rId36" Type="http://schemas.openxmlformats.org/officeDocument/2006/relationships/hyperlink" Target="https://www.health.govt.nz/publication/methodology-report-2021-22-new-zealand-health-survey"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6.xm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yperlink" Target="https://minhealthnz.shinyapps.io/nz-health-survey-2021-22-annual-data-explor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2.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4.xml><?xml version="1.0" encoding="utf-8"?>
<ds:datastoreItem xmlns:ds="http://schemas.openxmlformats.org/officeDocument/2006/customXml" ds:itemID="{0920E4DC-08ED-4FF1-8625-A35284D2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19</Pages>
  <Words>4419</Words>
  <Characters>25474</Characters>
  <Application>Microsoft Office Word</Application>
  <DocSecurity>4</DocSecurity>
  <Lines>707</Lines>
  <Paragraphs>332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Smoking Status of Daily Vapers</dc:title>
  <dc:creator>Ministry of Health</dc:creator>
  <cp:lastModifiedBy>Ministry of Health</cp:lastModifiedBy>
  <cp:revision>2</cp:revision>
  <cp:lastPrinted>2015-11-17T05:02:00Z</cp:lastPrinted>
  <dcterms:created xsi:type="dcterms:W3CDTF">2023-05-30T02:59:00Z</dcterms:created>
  <dcterms:modified xsi:type="dcterms:W3CDTF">2023-05-30T02:59:00Z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