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0176" w14:textId="77777777" w:rsidR="0045102B" w:rsidRDefault="0045102B" w:rsidP="0045102B">
      <w:pPr>
        <w:pStyle w:val="BookTitle1"/>
      </w:pPr>
      <w:bookmarkStart w:id="0" w:name="_Hlk147405802"/>
      <w:r>
        <w:rPr>
          <w:noProof/>
        </w:rPr>
        <w:drawing>
          <wp:inline distT="0" distB="0" distL="0" distR="0" wp14:anchorId="67878335" wp14:editId="54C183A9">
            <wp:extent cx="4992199" cy="1136521"/>
            <wp:effectExtent l="0" t="0" r="0" b="6985"/>
            <wp:docPr id="2142035091" name="Picture 2142035091" descr="Logo: Te Kāwanatanga o Aotearoa | New Zea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Te Kāwanatanga o Aotearoa | New Zealand Govern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885" cy="116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cher Book" w:hAnsi="Archer Book"/>
          <w:noProof/>
        </w:rPr>
        <w:drawing>
          <wp:inline distT="0" distB="0" distL="0" distR="0" wp14:anchorId="1EE4CA74" wp14:editId="4A3798BC">
            <wp:extent cx="2651760" cy="1140481"/>
            <wp:effectExtent l="0" t="0" r="0" b="2540"/>
            <wp:docPr id="1137667895" name="Picture 1" descr="Logo: Manatū Hauora Ministry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67895" name="Picture 1" descr="Logo: Manatū Hauora Ministry of Heal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83" cy="115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01A7" w14:textId="174D7446" w:rsidR="0045102B" w:rsidRDefault="0045102B" w:rsidP="0045102B">
      <w:pPr>
        <w:pStyle w:val="BookTitle1"/>
      </w:pPr>
      <w:r>
        <w:t>Summary—</w:t>
      </w:r>
      <w:r w:rsidR="00267740">
        <w:br/>
        <w:t>New Zealand Health Strategy</w:t>
      </w:r>
      <w:r>
        <w:t xml:space="preserve"> 2023</w:t>
      </w:r>
    </w:p>
    <w:p w14:paraId="21225230" w14:textId="267BD3F9" w:rsidR="0045102B" w:rsidRPr="00475E75" w:rsidRDefault="0045102B" w:rsidP="0045102B">
      <w:r>
        <w:t>Adapted in</w:t>
      </w:r>
      <w:r w:rsidRPr="00475E75">
        <w:t xml:space="preserve"> </w:t>
      </w:r>
      <w:r>
        <w:t>2023</w:t>
      </w:r>
      <w:r w:rsidRPr="00475E75">
        <w:t xml:space="preserve"> by Accessible Formats Service, </w:t>
      </w:r>
      <w:r w:rsidR="00FA2174">
        <w:br/>
      </w:r>
      <w:r>
        <w:rPr>
          <w:szCs w:val="36"/>
        </w:rPr>
        <w:t xml:space="preserve">Blind Low Vision NZ, </w:t>
      </w:r>
      <w:r w:rsidRPr="00475E75">
        <w:t>Auckland</w:t>
      </w:r>
    </w:p>
    <w:p w14:paraId="3CB7D234" w14:textId="77777777" w:rsidR="0045102B" w:rsidRPr="009852A2" w:rsidRDefault="0045102B" w:rsidP="0045102B"/>
    <w:p w14:paraId="7307FBC4" w14:textId="77777777" w:rsidR="0045102B" w:rsidRDefault="0045102B" w:rsidP="0045102B">
      <w:pPr>
        <w:pStyle w:val="imagecaption"/>
        <w:rPr>
          <w:lang w:val="mi-NZ"/>
        </w:rPr>
      </w:pPr>
      <w:bookmarkStart w:id="1" w:name="_Hlk133221549"/>
      <w:r>
        <w:rPr>
          <w:b/>
          <w:lang w:val="mi-NZ"/>
        </w:rPr>
        <w:t>TN</w:t>
      </w:r>
      <w:r>
        <w:rPr>
          <w:lang w:val="mi-NZ"/>
        </w:rPr>
        <w:t xml:space="preserve">: There are two logos at the top of the page. On the top is: </w:t>
      </w:r>
      <w:r w:rsidRPr="00546E12">
        <w:rPr>
          <w:lang w:val="mi-NZ"/>
        </w:rPr>
        <w:t>Te Kāwanatanga o Aotearoa New Zealand Government</w:t>
      </w:r>
      <w:r>
        <w:rPr>
          <w:lang w:val="mi-NZ"/>
        </w:rPr>
        <w:t>. Below that is: Manatū Hauora Ministry of Health.</w:t>
      </w:r>
    </w:p>
    <w:bookmarkEnd w:id="1"/>
    <w:p w14:paraId="1452771B" w14:textId="77777777" w:rsidR="0045102B" w:rsidRPr="009852A2" w:rsidRDefault="0045102B" w:rsidP="0045102B">
      <w:pPr>
        <w:rPr>
          <w:b/>
          <w:bCs/>
        </w:rPr>
        <w:sectPr w:rsidR="0045102B" w:rsidRPr="009852A2" w:rsidSect="00AF7D89">
          <w:footerReference w:type="even" r:id="rId9"/>
          <w:footerReference w:type="default" r:id="rId10"/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bookmarkEnd w:id="0"/>
    <w:p w14:paraId="3AB005AD" w14:textId="747FB10F" w:rsidR="0045102B" w:rsidRDefault="0045102B" w:rsidP="0045102B">
      <w:pPr>
        <w:pStyle w:val="Heading1"/>
      </w:pPr>
      <w:r>
        <w:lastRenderedPageBreak/>
        <w:t>Summary—</w:t>
      </w:r>
      <w:r w:rsidR="003B5186">
        <w:t>New Zealand Health</w:t>
      </w:r>
      <w:r>
        <w:t xml:space="preserve"> Strategy 2023</w:t>
      </w:r>
    </w:p>
    <w:p w14:paraId="0DD6808A" w14:textId="77777777" w:rsidR="0045102B" w:rsidRDefault="0045102B" w:rsidP="0045102B">
      <w:pPr>
        <w:pStyle w:val="Heading2"/>
      </w:pPr>
      <w:r>
        <w:t>Purpose</w:t>
      </w:r>
    </w:p>
    <w:p w14:paraId="71D39B3F" w14:textId="77777777" w:rsidR="00ED4624" w:rsidRDefault="00ED4624" w:rsidP="00ED4624">
      <w:r>
        <w:t xml:space="preserve">The New Zealand Health Strategy sets the direction for improving the health and wellbeing of New Zealanders over the next 10 years. </w:t>
      </w:r>
    </w:p>
    <w:p w14:paraId="0562DA97" w14:textId="77777777" w:rsidR="00ED4624" w:rsidRDefault="00ED4624" w:rsidP="00ED4624">
      <w:r>
        <w:t xml:space="preserve">It is part of a suite of strategies published under the Pae Ora (Healthy Futures) Act 2022 and is the main strategy addressing the health of our </w:t>
      </w:r>
      <w:proofErr w:type="gramStart"/>
      <w:r>
        <w:t>population as a whole</w:t>
      </w:r>
      <w:proofErr w:type="gramEnd"/>
      <w:r>
        <w:t xml:space="preserve">. Strategy development was led by </w:t>
      </w:r>
      <w:proofErr w:type="spellStart"/>
      <w:r>
        <w:t>Manatū</w:t>
      </w:r>
      <w:proofErr w:type="spellEnd"/>
      <w:r>
        <w:t xml:space="preserve"> Hauora (Ministry of Health).</w:t>
      </w:r>
    </w:p>
    <w:p w14:paraId="201ECC6A" w14:textId="77777777" w:rsidR="00ED4624" w:rsidRDefault="00ED4624" w:rsidP="00ED4624">
      <w:r>
        <w:t xml:space="preserve">The New Zealand Health Strategy, in partnership with Pae </w:t>
      </w:r>
      <w:proofErr w:type="spellStart"/>
      <w:r>
        <w:t>Tū</w:t>
      </w:r>
      <w:proofErr w:type="spellEnd"/>
      <w:r>
        <w:t xml:space="preserve">: Hauora Māori Strategy which provides a framework to guide health entities (organisations) in upholding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 | the Treaty of Waitangi, set the overarching long-term direction for health. </w:t>
      </w:r>
    </w:p>
    <w:p w14:paraId="116A005E" w14:textId="08AF3114" w:rsidR="0045102B" w:rsidRDefault="00ED4624" w:rsidP="00ED4624">
      <w:r>
        <w:t>The four population strategies (for Pacific health, health of disabled people, women</w:t>
      </w:r>
      <w:r w:rsidR="00A61776">
        <w:t>'</w:t>
      </w:r>
      <w:r>
        <w:t xml:space="preserve">s </w:t>
      </w:r>
      <w:proofErr w:type="gramStart"/>
      <w:r>
        <w:t>health</w:t>
      </w:r>
      <w:proofErr w:type="gramEnd"/>
      <w:r>
        <w:t xml:space="preserve"> and rural health) set a more focused direction for specific populations. Each strategy is founded on a commitment to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Waitangi. Each strategy builds on and reflects the higher-level priorities set in the New Zealand Health Strategy and Pae </w:t>
      </w:r>
      <w:proofErr w:type="spellStart"/>
      <w:r>
        <w:t>Tū</w:t>
      </w:r>
      <w:proofErr w:type="spellEnd"/>
      <w:r>
        <w:t xml:space="preserve">, but from their unique perspectives. Together, the </w:t>
      </w:r>
      <w:r>
        <w:lastRenderedPageBreak/>
        <w:t xml:space="preserve">suite of health strategies </w:t>
      </w:r>
      <w:proofErr w:type="gramStart"/>
      <w:r>
        <w:t>guide</w:t>
      </w:r>
      <w:proofErr w:type="gramEnd"/>
      <w:r>
        <w:t xml:space="preserve"> collective efforts to achieve </w:t>
      </w:r>
      <w:proofErr w:type="spellStart"/>
      <w:r>
        <w:t>pae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(healthy futures)</w:t>
      </w:r>
      <w:r w:rsidR="0045102B">
        <w:t>.</w:t>
      </w:r>
    </w:p>
    <w:p w14:paraId="2A9CE0DB" w14:textId="77777777" w:rsidR="0045102B" w:rsidRDefault="0045102B" w:rsidP="0045102B">
      <w:pPr>
        <w:pStyle w:val="Heading2"/>
      </w:pPr>
      <w:r>
        <w:t>Vision</w:t>
      </w:r>
    </w:p>
    <w:p w14:paraId="6792F6F4" w14:textId="77777777" w:rsidR="001E5852" w:rsidRDefault="001E5852" w:rsidP="001E5852">
      <w:r>
        <w:t xml:space="preserve">Our long-term vision is to achieve </w:t>
      </w:r>
      <w:proofErr w:type="spellStart"/>
      <w:r>
        <w:t>pae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(healthy futures) for all New Zealanders. This is a future in which all people from all communities </w:t>
      </w:r>
      <w:proofErr w:type="gramStart"/>
      <w:r>
        <w:t>are able to</w:t>
      </w:r>
      <w:proofErr w:type="gramEnd"/>
      <w:r>
        <w:t xml:space="preserve"> live long, healthy lives. </w:t>
      </w:r>
    </w:p>
    <w:p w14:paraId="7ED8290E" w14:textId="7A7F5F27" w:rsidR="007D73E3" w:rsidRDefault="001E5852" w:rsidP="001E5852">
      <w:r>
        <w:t xml:space="preserve">Achieving </w:t>
      </w:r>
      <w:proofErr w:type="spellStart"/>
      <w:r>
        <w:t>pae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(healthy futures) means looking at the many factors that influence people</w:t>
      </w:r>
      <w:r w:rsidR="00A61776">
        <w:t>'</w:t>
      </w:r>
      <w:r>
        <w:t>s health, including the role of publicly funded health services. This includes a focus on:</w:t>
      </w:r>
    </w:p>
    <w:p w14:paraId="05C62D37" w14:textId="5239DF16" w:rsidR="003C484C" w:rsidRDefault="00A77C60" w:rsidP="003C484C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A77C60">
        <w:rPr>
          <w:lang w:val="en-NZ"/>
        </w:rPr>
        <w:t>improving people</w:t>
      </w:r>
      <w:r w:rsidR="00A61776">
        <w:rPr>
          <w:lang w:val="en-NZ"/>
        </w:rPr>
        <w:t>'</w:t>
      </w:r>
      <w:r w:rsidRPr="00A77C60">
        <w:rPr>
          <w:lang w:val="en-NZ"/>
        </w:rPr>
        <w:t>s own health and wellbeing</w:t>
      </w:r>
      <w:r w:rsidR="003C484C">
        <w:rPr>
          <w:lang w:val="en-NZ"/>
        </w:rPr>
        <w:t>.</w:t>
      </w:r>
    </w:p>
    <w:p w14:paraId="20D7F7D2" w14:textId="7EC8C9A2" w:rsidR="003C484C" w:rsidRDefault="00A77C60" w:rsidP="003C484C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rPr>
          <w:lang w:val="en-NZ"/>
        </w:rPr>
        <w:t>s</w:t>
      </w:r>
      <w:r w:rsidRPr="00A77C60">
        <w:rPr>
          <w:lang w:val="en-NZ"/>
        </w:rPr>
        <w:t>upporting strong and empowered family networks and recognising the impact of family on health and wellbeing</w:t>
      </w:r>
      <w:r w:rsidR="003C484C">
        <w:rPr>
          <w:lang w:val="en-NZ"/>
        </w:rPr>
        <w:t>.</w:t>
      </w:r>
    </w:p>
    <w:p w14:paraId="0849E685" w14:textId="32C950B7" w:rsidR="003C484C" w:rsidRDefault="00A77C60" w:rsidP="003C484C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rPr>
          <w:lang w:val="en-NZ"/>
        </w:rPr>
        <w:t>t</w:t>
      </w:r>
      <w:r w:rsidRPr="00A77C60">
        <w:rPr>
          <w:lang w:val="en-NZ"/>
        </w:rPr>
        <w:t>he impact of our communities and the places where we live, work and rest on our health and wellbeing</w:t>
      </w:r>
      <w:r w:rsidR="003C484C">
        <w:rPr>
          <w:lang w:val="en-NZ"/>
        </w:rPr>
        <w:t>.</w:t>
      </w:r>
    </w:p>
    <w:p w14:paraId="60EF8C86" w14:textId="16907B13" w:rsidR="00620AAD" w:rsidRDefault="00620AAD" w:rsidP="00620AAD">
      <w:pPr>
        <w:rPr>
          <w:lang w:val="en-NZ"/>
        </w:rPr>
      </w:pPr>
      <w:r w:rsidRPr="00620AAD">
        <w:rPr>
          <w:lang w:val="en-NZ"/>
        </w:rPr>
        <w:t>Achieving our vision will require us to address two major long-term goals</w:t>
      </w:r>
      <w:r>
        <w:rPr>
          <w:lang w:val="en-NZ"/>
        </w:rPr>
        <w:t>:</w:t>
      </w:r>
    </w:p>
    <w:p w14:paraId="413AB49A" w14:textId="26A8F355" w:rsidR="006E4FD2" w:rsidRDefault="006E4FD2" w:rsidP="006E4FD2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6E4FD2">
        <w:rPr>
          <w:lang w:val="en-NZ"/>
        </w:rPr>
        <w:t>to achieve health equity for our diverse communities, and especially for Māori, Pacific, disabled and other groups who have poorer outcomes</w:t>
      </w:r>
      <w:r>
        <w:rPr>
          <w:lang w:val="en-NZ"/>
        </w:rPr>
        <w:t>.</w:t>
      </w:r>
    </w:p>
    <w:p w14:paraId="0F05E016" w14:textId="61601407" w:rsidR="00EE2F74" w:rsidRDefault="00EE2F74" w:rsidP="006E4FD2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rPr>
          <w:lang w:val="en-NZ"/>
        </w:rPr>
        <w:t>t</w:t>
      </w:r>
      <w:r w:rsidRPr="00EE2F74">
        <w:rPr>
          <w:lang w:val="en-NZ"/>
        </w:rPr>
        <w:t>o improve health outcomes for all New Zealanders</w:t>
      </w:r>
      <w:r w:rsidR="00623FF2">
        <w:rPr>
          <w:lang w:val="en-NZ"/>
        </w:rPr>
        <w:t>.</w:t>
      </w:r>
    </w:p>
    <w:p w14:paraId="236E359B" w14:textId="77777777" w:rsidR="0045102B" w:rsidRDefault="0045102B" w:rsidP="0045102B">
      <w:pPr>
        <w:pStyle w:val="Heading2"/>
      </w:pPr>
      <w:r>
        <w:lastRenderedPageBreak/>
        <w:t>Background</w:t>
      </w:r>
    </w:p>
    <w:p w14:paraId="16F4739A" w14:textId="439A6FAB" w:rsidR="000B662B" w:rsidRDefault="000B662B" w:rsidP="000B662B">
      <w:pPr>
        <w:pStyle w:val="Heading3"/>
      </w:pPr>
      <w:r w:rsidRPr="000B662B">
        <w:t xml:space="preserve">The New Zealand Health Strategy has four </w:t>
      </w:r>
      <w:proofErr w:type="gramStart"/>
      <w:r w:rsidRPr="000B662B">
        <w:t>parts</w:t>
      </w:r>
      <w:proofErr w:type="gramEnd"/>
    </w:p>
    <w:p w14:paraId="3B0389C7" w14:textId="0B440610" w:rsidR="000B662B" w:rsidRDefault="000B662B" w:rsidP="000B662B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0B662B">
        <w:rPr>
          <w:b/>
          <w:bCs/>
          <w:lang w:val="en-NZ"/>
        </w:rPr>
        <w:t>Part 1</w:t>
      </w:r>
      <w:r w:rsidRPr="000B662B">
        <w:rPr>
          <w:lang w:val="en-NZ"/>
        </w:rPr>
        <w:t xml:space="preserve"> describes a long-term vision for health and identifies the key challenges and opportunities</w:t>
      </w:r>
      <w:r>
        <w:rPr>
          <w:lang w:val="en-NZ"/>
        </w:rPr>
        <w:t>.</w:t>
      </w:r>
    </w:p>
    <w:p w14:paraId="11C975EE" w14:textId="0F9CF408" w:rsidR="000B662B" w:rsidRDefault="000B662B" w:rsidP="000B662B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0B662B">
        <w:rPr>
          <w:b/>
          <w:bCs/>
          <w:lang w:val="en-NZ"/>
        </w:rPr>
        <w:t>Part 2</w:t>
      </w:r>
      <w:r w:rsidRPr="000B662B">
        <w:rPr>
          <w:lang w:val="en-NZ"/>
        </w:rPr>
        <w:t xml:space="preserve"> provides an assessment of the current state of the health of our population and the health system itself, drawing on engagement carried out to develop this strategy</w:t>
      </w:r>
      <w:r>
        <w:rPr>
          <w:lang w:val="en-NZ"/>
        </w:rPr>
        <w:t>.</w:t>
      </w:r>
    </w:p>
    <w:p w14:paraId="2C0DF0EB" w14:textId="32ADDB9C" w:rsidR="000B662B" w:rsidRDefault="000B662B" w:rsidP="000B662B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rPr>
          <w:b/>
          <w:bCs/>
          <w:lang w:val="en-NZ"/>
        </w:rPr>
        <w:t>P</w:t>
      </w:r>
      <w:r w:rsidRPr="000B662B">
        <w:rPr>
          <w:b/>
          <w:bCs/>
          <w:lang w:val="en-NZ"/>
        </w:rPr>
        <w:t>art 3</w:t>
      </w:r>
      <w:r w:rsidRPr="000B662B">
        <w:rPr>
          <w:lang w:val="en-NZ"/>
        </w:rPr>
        <w:t xml:space="preserve"> identifies the priority areas in which changes are needed to achieve our vision and indicates the types of change required over the next 10 years</w:t>
      </w:r>
      <w:r w:rsidR="009C0D19">
        <w:rPr>
          <w:lang w:val="en-NZ"/>
        </w:rPr>
        <w:t>.</w:t>
      </w:r>
    </w:p>
    <w:p w14:paraId="561BC6E0" w14:textId="69F663BE" w:rsidR="005B39D1" w:rsidRPr="005B39D1" w:rsidRDefault="009C0D19" w:rsidP="005B39D1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9C0D19">
        <w:rPr>
          <w:b/>
          <w:bCs/>
          <w:lang w:val="en-NZ"/>
        </w:rPr>
        <w:t>Part 4</w:t>
      </w:r>
      <w:r>
        <w:rPr>
          <w:lang w:val="en-NZ"/>
        </w:rPr>
        <w:t xml:space="preserve"> </w:t>
      </w:r>
      <w:r w:rsidRPr="009C0D19">
        <w:rPr>
          <w:lang w:val="en-NZ"/>
        </w:rPr>
        <w:t>describes the next steps for how these changes can be delivered, including how the strategic direction will be translated into actions for health entities</w:t>
      </w:r>
      <w:r w:rsidR="00893CFD">
        <w:rPr>
          <w:lang w:val="en-NZ"/>
        </w:rPr>
        <w:t>.</w:t>
      </w:r>
    </w:p>
    <w:p w14:paraId="7DE2D75F" w14:textId="2F8964A3" w:rsidR="0045102B" w:rsidRDefault="0045102B" w:rsidP="0045102B">
      <w:pPr>
        <w:pStyle w:val="Heading2"/>
      </w:pPr>
      <w:r>
        <w:t xml:space="preserve">What people </w:t>
      </w:r>
      <w:r w:rsidR="009F312F">
        <w:t xml:space="preserve">have </w:t>
      </w:r>
      <w:r>
        <w:t xml:space="preserve">told </w:t>
      </w:r>
      <w:proofErr w:type="gramStart"/>
      <w:r>
        <w:t>us</w:t>
      </w:r>
      <w:proofErr w:type="gramEnd"/>
    </w:p>
    <w:p w14:paraId="6467F0CE" w14:textId="2A91A899" w:rsidR="0039044F" w:rsidRDefault="00452303" w:rsidP="002462A8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rPr>
          <w:lang w:val="en-NZ"/>
        </w:rPr>
        <w:t>T</w:t>
      </w:r>
      <w:r w:rsidR="0039044F" w:rsidRPr="0039044F">
        <w:rPr>
          <w:lang w:val="en-NZ"/>
        </w:rPr>
        <w:t xml:space="preserve">he voice of people, </w:t>
      </w:r>
      <w:r w:rsidR="00A61776" w:rsidRPr="0039044F">
        <w:rPr>
          <w:lang w:val="en-NZ"/>
        </w:rPr>
        <w:t>wh</w:t>
      </w:r>
      <w:r w:rsidR="00A61776">
        <w:rPr>
          <w:lang w:val="en-NZ"/>
        </w:rPr>
        <w:t>ā</w:t>
      </w:r>
      <w:r w:rsidR="00A61776" w:rsidRPr="0039044F">
        <w:rPr>
          <w:lang w:val="en-NZ"/>
        </w:rPr>
        <w:t xml:space="preserve">nau </w:t>
      </w:r>
      <w:r w:rsidR="0039044F" w:rsidRPr="0039044F">
        <w:rPr>
          <w:lang w:val="en-NZ"/>
        </w:rPr>
        <w:t xml:space="preserve">and communities is key to changing the </w:t>
      </w:r>
      <w:proofErr w:type="gramStart"/>
      <w:r w:rsidR="0039044F" w:rsidRPr="0039044F">
        <w:rPr>
          <w:lang w:val="en-NZ"/>
        </w:rPr>
        <w:t>system</w:t>
      </w:r>
      <w:proofErr w:type="gramEnd"/>
    </w:p>
    <w:p w14:paraId="41127A43" w14:textId="1A72FA4A" w:rsidR="002462A8" w:rsidRPr="0039044F" w:rsidRDefault="00452303" w:rsidP="002462A8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>W</w:t>
      </w:r>
      <w:r w:rsidR="0039044F" w:rsidRPr="0039044F">
        <w:t xml:space="preserve">e need responses that focus on health and </w:t>
      </w:r>
      <w:proofErr w:type="gramStart"/>
      <w:r w:rsidR="0039044F" w:rsidRPr="0039044F">
        <w:t>wellbeing</w:t>
      </w:r>
      <w:proofErr w:type="gramEnd"/>
    </w:p>
    <w:p w14:paraId="2DEC2479" w14:textId="484A81B5" w:rsidR="002462A8" w:rsidRPr="002462A8" w:rsidRDefault="0039044F" w:rsidP="002462A8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>N</w:t>
      </w:r>
      <w:r w:rsidRPr="0039044F">
        <w:t xml:space="preserve">ew workforce and service models need to be </w:t>
      </w:r>
      <w:proofErr w:type="gramStart"/>
      <w:r w:rsidRPr="0039044F">
        <w:t>prioritised</w:t>
      </w:r>
      <w:proofErr w:type="gramEnd"/>
    </w:p>
    <w:p w14:paraId="5F09CDB6" w14:textId="76DAF642" w:rsidR="002462A8" w:rsidRPr="002462A8" w:rsidRDefault="00164276" w:rsidP="002462A8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>C</w:t>
      </w:r>
      <w:r w:rsidRPr="00164276">
        <w:t xml:space="preserve">hanging mindsets is crucial to changing </w:t>
      </w:r>
      <w:proofErr w:type="gramStart"/>
      <w:r w:rsidRPr="00164276">
        <w:t>outcomes</w:t>
      </w:r>
      <w:proofErr w:type="gramEnd"/>
    </w:p>
    <w:p w14:paraId="7F2FCC9A" w14:textId="4C4F8CA7" w:rsidR="001159B5" w:rsidRPr="00C071C2" w:rsidRDefault="00164276" w:rsidP="0045102B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>B</w:t>
      </w:r>
      <w:r w:rsidRPr="00164276">
        <w:t xml:space="preserve">arriers to services need to be tackled, especially for priority </w:t>
      </w:r>
      <w:proofErr w:type="gramStart"/>
      <w:r w:rsidRPr="00164276">
        <w:t>groups</w:t>
      </w:r>
      <w:proofErr w:type="gramEnd"/>
    </w:p>
    <w:p w14:paraId="0DD6BBDB" w14:textId="1E174E9E" w:rsidR="0045102B" w:rsidRDefault="0045102B" w:rsidP="0045102B">
      <w:pPr>
        <w:pStyle w:val="Heading2"/>
      </w:pPr>
      <w:r>
        <w:lastRenderedPageBreak/>
        <w:t>Priority areas</w:t>
      </w:r>
    </w:p>
    <w:p w14:paraId="01F1868C" w14:textId="4419DE0B" w:rsidR="0045102B" w:rsidRDefault="00C071C2" w:rsidP="0045102B">
      <w:r>
        <w:t>There are six priority areas</w:t>
      </w:r>
      <w:r w:rsidR="00DC015E">
        <w:t>.</w:t>
      </w:r>
    </w:p>
    <w:p w14:paraId="29C34F00" w14:textId="402865C9" w:rsidR="0045102B" w:rsidRDefault="00DC015E" w:rsidP="0045102B">
      <w:pPr>
        <w:pStyle w:val="Heading3"/>
      </w:pPr>
      <w:r w:rsidRPr="00DC015E">
        <w:t xml:space="preserve">Priority 1: </w:t>
      </w:r>
      <w:r w:rsidR="00C071C2" w:rsidRPr="00C071C2">
        <w:t>Voice at the heart of the system</w:t>
      </w:r>
      <w:r w:rsidR="0045102B">
        <w:t>.</w:t>
      </w:r>
    </w:p>
    <w:p w14:paraId="06163E7E" w14:textId="2FEBAB5F" w:rsidR="0093406A" w:rsidRDefault="0093406A" w:rsidP="0093406A">
      <w:r>
        <w:t>People, whānau and communities have greater control and influence over decisions about their health and the design of their health services. This looks like more locally led approaches that strengthen co-design and partnering with people will help us move towards preventive approaches to improve health outcomes for people today, as well as for future generations.</w:t>
      </w:r>
    </w:p>
    <w:p w14:paraId="1E681E4C" w14:textId="1205CB00" w:rsidR="0093406A" w:rsidRDefault="0093406A" w:rsidP="0093406A">
      <w:r>
        <w:t>There are two 10-year ambitions:</w:t>
      </w:r>
    </w:p>
    <w:p w14:paraId="5AA75115" w14:textId="224F4B7C" w:rsidR="00BC2A89" w:rsidRPr="002462A8" w:rsidRDefault="00BC2A89" w:rsidP="00BC2A89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 xml:space="preserve">People, whānau and communities will have greater control and influence over their health and the services they </w:t>
      </w:r>
      <w:proofErr w:type="gramStart"/>
      <w:r>
        <w:t>need</w:t>
      </w:r>
      <w:proofErr w:type="gramEnd"/>
    </w:p>
    <w:p w14:paraId="5FDE6892" w14:textId="45C6956B" w:rsidR="00BC2A89" w:rsidRPr="00C071C2" w:rsidRDefault="00BC2A89" w:rsidP="00BC2A89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 xml:space="preserve">People have the best possible experience of health services and the health </w:t>
      </w:r>
      <w:proofErr w:type="gramStart"/>
      <w:r>
        <w:t>system</w:t>
      </w:r>
      <w:proofErr w:type="gramEnd"/>
    </w:p>
    <w:p w14:paraId="2265ED7D" w14:textId="3BA9B896" w:rsidR="0045102B" w:rsidRDefault="0045102B" w:rsidP="0045102B">
      <w:pPr>
        <w:pStyle w:val="Heading3"/>
      </w:pPr>
      <w:r>
        <w:t xml:space="preserve">Priority 2: </w:t>
      </w:r>
      <w:r w:rsidR="008E5F50" w:rsidRPr="008E5F50">
        <w:t>Flexible, appropriate care</w:t>
      </w:r>
      <w:r>
        <w:t>.</w:t>
      </w:r>
    </w:p>
    <w:p w14:paraId="37F98A65" w14:textId="01D74B52" w:rsidR="00FF7AFC" w:rsidRDefault="00FF7AFC" w:rsidP="00FF7AFC">
      <w:r>
        <w:t>Developing services that adapt to people</w:t>
      </w:r>
      <w:r w:rsidR="00A61776">
        <w:t>'</w:t>
      </w:r>
      <w:r>
        <w:t>s health needs and expectations, are focused on preventing ill health, are delivered closer to our homes and communities and support access for all. This includes a focus on the early years of life, tackling barriers to access and developing flexible, more responsive primary and community health services.</w:t>
      </w:r>
    </w:p>
    <w:p w14:paraId="7B3F23EC" w14:textId="27B1F28D" w:rsidR="00FF7AFC" w:rsidRDefault="00FF7AFC" w:rsidP="00FF7AFC">
      <w:r>
        <w:lastRenderedPageBreak/>
        <w:t>There are four 10-year ambitions:</w:t>
      </w:r>
    </w:p>
    <w:p w14:paraId="19DEFBA1" w14:textId="0DC1765E" w:rsidR="007A4E02" w:rsidRPr="00187141" w:rsidRDefault="007A4E02" w:rsidP="007A4E02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 xml:space="preserve">The health system will make a significant shift in investment towards services that reduce, delay and prevent ill health and prioritise the early years of </w:t>
      </w:r>
      <w:proofErr w:type="gramStart"/>
      <w:r>
        <w:t>life</w:t>
      </w:r>
      <w:proofErr w:type="gramEnd"/>
    </w:p>
    <w:p w14:paraId="12C02391" w14:textId="7FE5C81C" w:rsidR="00187141" w:rsidRPr="00B80ED7" w:rsidRDefault="00187141" w:rsidP="007A4E02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rPr>
          <w:lang w:val="en-NZ"/>
        </w:rPr>
        <w:t>H</w:t>
      </w:r>
      <w:proofErr w:type="spellStart"/>
      <w:r>
        <w:t>ealth</w:t>
      </w:r>
      <w:proofErr w:type="spellEnd"/>
      <w:r>
        <w:t xml:space="preserve"> services will be flexible to people</w:t>
      </w:r>
      <w:r w:rsidR="00A61776">
        <w:t>'</w:t>
      </w:r>
      <w:r>
        <w:t xml:space="preserve">s range of needs and their cultural </w:t>
      </w:r>
      <w:proofErr w:type="gramStart"/>
      <w:r>
        <w:t>expectations</w:t>
      </w:r>
      <w:proofErr w:type="gramEnd"/>
    </w:p>
    <w:p w14:paraId="509E2D3F" w14:textId="666BB677" w:rsidR="00B80ED7" w:rsidRPr="00B80ED7" w:rsidRDefault="00B80ED7" w:rsidP="007A4E02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 xml:space="preserve">People are able to access the care they need, when they need </w:t>
      </w:r>
      <w:proofErr w:type="gramStart"/>
      <w:r>
        <w:t>it</w:t>
      </w:r>
      <w:proofErr w:type="gramEnd"/>
    </w:p>
    <w:p w14:paraId="3B5487A9" w14:textId="379EDCA3" w:rsidR="0045102B" w:rsidRPr="00B80ED7" w:rsidRDefault="00B80ED7" w:rsidP="00FF7AFC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>The health system will value physical and mental health equally.</w:t>
      </w:r>
    </w:p>
    <w:p w14:paraId="34E54187" w14:textId="09CAB959" w:rsidR="0045102B" w:rsidRDefault="0045102B" w:rsidP="0045102B">
      <w:pPr>
        <w:pStyle w:val="Heading3"/>
      </w:pPr>
      <w:r>
        <w:t xml:space="preserve">Priority 3: </w:t>
      </w:r>
      <w:r w:rsidR="009255C0" w:rsidRPr="009255C0">
        <w:t>Valuing our workforce</w:t>
      </w:r>
      <w:r>
        <w:t>.</w:t>
      </w:r>
    </w:p>
    <w:p w14:paraId="0B5EAEF8" w14:textId="7713EF34" w:rsidR="00D956E7" w:rsidRPr="00D956E7" w:rsidRDefault="00D956E7" w:rsidP="009010B3">
      <w:r w:rsidRPr="00D956E7">
        <w:t xml:space="preserve">Recognising our health workforce as our most </w:t>
      </w:r>
      <w:proofErr w:type="gramStart"/>
      <w:r w:rsidRPr="00D956E7">
        <w:t>valuable asset</w:t>
      </w:r>
      <w:proofErr w:type="gramEnd"/>
      <w:r w:rsidRPr="00D956E7">
        <w:t xml:space="preserve"> and supporting the development of a sustainable, diverse, skilled and confident health workforce for the future. This includes a focus on recognising and developing skills and capabilities to meet population health, </w:t>
      </w:r>
      <w:proofErr w:type="gramStart"/>
      <w:r w:rsidRPr="00D956E7">
        <w:t>valuing</w:t>
      </w:r>
      <w:proofErr w:type="gramEnd"/>
      <w:r w:rsidRPr="00D956E7">
        <w:t xml:space="preserve"> and respecting the health workforce, and creating a coherent plan to attract, train, utilise and retain people with the right values, skills and capabilities. </w:t>
      </w:r>
    </w:p>
    <w:p w14:paraId="4A6B20D5" w14:textId="08968B97" w:rsidR="00D956E7" w:rsidRPr="009010B3" w:rsidRDefault="00D956E7" w:rsidP="009010B3">
      <w:r w:rsidRPr="00D956E7">
        <w:t>There are three 10-year ambitions:</w:t>
      </w:r>
    </w:p>
    <w:p w14:paraId="106F50FF" w14:textId="71CB2AE9" w:rsidR="00214DF6" w:rsidRPr="009010B3" w:rsidRDefault="00214DF6" w:rsidP="000B3B71">
      <w:pPr>
        <w:pStyle w:val="ListParagraph"/>
        <w:numPr>
          <w:ilvl w:val="0"/>
          <w:numId w:val="2"/>
        </w:numPr>
        <w:ind w:left="426" w:hanging="426"/>
      </w:pPr>
      <w:r>
        <w:t xml:space="preserve">The </w:t>
      </w:r>
      <w:r w:rsidRPr="00D956E7">
        <w:t>workforce will reflect our diverse communities and have the skills and capabilities required to meet their needs</w:t>
      </w:r>
      <w:r>
        <w:t>.</w:t>
      </w:r>
    </w:p>
    <w:p w14:paraId="0228F9F0" w14:textId="53DA9792" w:rsidR="002D4300" w:rsidRPr="007C3270" w:rsidRDefault="002D4300" w:rsidP="00214DF6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lastRenderedPageBreak/>
        <w:t>T</w:t>
      </w:r>
      <w:r w:rsidRPr="00D956E7">
        <w:t xml:space="preserve">he workforce will feel valued, </w:t>
      </w:r>
      <w:proofErr w:type="gramStart"/>
      <w:r w:rsidRPr="00D956E7">
        <w:t>recognised</w:t>
      </w:r>
      <w:proofErr w:type="gramEnd"/>
      <w:r w:rsidRPr="00D956E7">
        <w:t xml:space="preserve"> and respected and will be supported and motivated to deliver high-quality care</w:t>
      </w:r>
      <w:r>
        <w:t>.</w:t>
      </w:r>
    </w:p>
    <w:p w14:paraId="6A13B0B7" w14:textId="3B7118C5" w:rsidR="00214DF6" w:rsidRPr="001E1045" w:rsidRDefault="007C3270" w:rsidP="00214DF6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rPr>
          <w:lang w:val="en-NZ"/>
        </w:rPr>
        <w:t>F</w:t>
      </w:r>
      <w:r w:rsidRPr="007C3270">
        <w:rPr>
          <w:lang w:val="en-NZ"/>
        </w:rPr>
        <w:t>lexible learning and working environments will give more room for growth and developmen</w:t>
      </w:r>
      <w:r>
        <w:rPr>
          <w:lang w:val="en-NZ"/>
        </w:rPr>
        <w:t>t.</w:t>
      </w:r>
    </w:p>
    <w:p w14:paraId="23314A6D" w14:textId="62843468" w:rsidR="0045102B" w:rsidRDefault="0045102B" w:rsidP="00D956E7">
      <w:pPr>
        <w:pStyle w:val="Heading3"/>
      </w:pPr>
      <w:r>
        <w:t xml:space="preserve">Priority 4: </w:t>
      </w:r>
      <w:r w:rsidR="00AE27B8">
        <w:t>A learning culture</w:t>
      </w:r>
      <w:r w:rsidR="00032811">
        <w:t>.</w:t>
      </w:r>
    </w:p>
    <w:p w14:paraId="4215AEE7" w14:textId="02167DF3" w:rsidR="00AE27B8" w:rsidRDefault="00AE27B8" w:rsidP="00AE27B8">
      <w:r>
        <w:t xml:space="preserve">Creating a culture of continuous learning and quality improvement, supported by research, </w:t>
      </w:r>
      <w:proofErr w:type="gramStart"/>
      <w:r>
        <w:t>evaluation</w:t>
      </w:r>
      <w:proofErr w:type="gramEnd"/>
      <w:r>
        <w:t xml:space="preserve"> and innovation. </w:t>
      </w:r>
    </w:p>
    <w:p w14:paraId="54E3BB51" w14:textId="0B00D2DE" w:rsidR="00AE27B8" w:rsidRDefault="00AE27B8" w:rsidP="00AE27B8">
      <w:r>
        <w:t>There are three 10-year ambitions:</w:t>
      </w:r>
    </w:p>
    <w:p w14:paraId="3BDA0D76" w14:textId="30FDB486" w:rsidR="00722CB2" w:rsidRDefault="00722CB2" w:rsidP="00722CB2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rPr>
          <w:lang w:val="en-NZ"/>
        </w:rPr>
        <w:t>T</w:t>
      </w:r>
      <w:r w:rsidRPr="00722CB2">
        <w:rPr>
          <w:lang w:val="en-NZ"/>
        </w:rPr>
        <w:t xml:space="preserve">he health system will develop standards for high-quality care that support all services to </w:t>
      </w:r>
      <w:proofErr w:type="gramStart"/>
      <w:r w:rsidRPr="00722CB2">
        <w:rPr>
          <w:lang w:val="en-NZ"/>
        </w:rPr>
        <w:t>improve</w:t>
      </w:r>
      <w:proofErr w:type="gramEnd"/>
    </w:p>
    <w:p w14:paraId="4A1DE8B7" w14:textId="2F342B09" w:rsidR="00F642E8" w:rsidRDefault="00F642E8" w:rsidP="00722CB2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F642E8">
        <w:rPr>
          <w:lang w:val="en-NZ"/>
        </w:rPr>
        <w:t xml:space="preserve">New initiatives will help all parts of the system to harness innovation and new technologies and put evidence and research into everyday </w:t>
      </w:r>
      <w:proofErr w:type="gramStart"/>
      <w:r w:rsidRPr="00F642E8">
        <w:rPr>
          <w:lang w:val="en-NZ"/>
        </w:rPr>
        <w:t>practice</w:t>
      </w:r>
      <w:proofErr w:type="gramEnd"/>
    </w:p>
    <w:p w14:paraId="047FAD71" w14:textId="5495DB0A" w:rsidR="0045102B" w:rsidRPr="00F642E8" w:rsidRDefault="00F642E8" w:rsidP="00F642E8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 xml:space="preserve">New national functions will drive continuous improvement and support the development and implementation of new </w:t>
      </w:r>
      <w:proofErr w:type="gramStart"/>
      <w:r>
        <w:t>technologies</w:t>
      </w:r>
      <w:proofErr w:type="gramEnd"/>
    </w:p>
    <w:p w14:paraId="312D7CF4" w14:textId="56D1B3AB" w:rsidR="0045102B" w:rsidRDefault="0045102B" w:rsidP="0045102B">
      <w:pPr>
        <w:pStyle w:val="Heading3"/>
      </w:pPr>
      <w:r>
        <w:t xml:space="preserve">Priority 5: </w:t>
      </w:r>
      <w:r w:rsidR="00FA272B">
        <w:t>A resilient and sustainable</w:t>
      </w:r>
      <w:r w:rsidR="00340FF3" w:rsidRPr="00340FF3">
        <w:t xml:space="preserve"> system</w:t>
      </w:r>
      <w:r>
        <w:t>.</w:t>
      </w:r>
    </w:p>
    <w:p w14:paraId="6512BB90" w14:textId="594E3D4E" w:rsidR="0002636B" w:rsidRDefault="0002636B" w:rsidP="0002636B">
      <w:r>
        <w:t xml:space="preserve">Ensuring our health system is prepared for the future and that we make the best use of resources to manage demand and affordability over the long term. This includes a focus on supporting resilience, improving productivity </w:t>
      </w:r>
      <w:r>
        <w:lastRenderedPageBreak/>
        <w:t xml:space="preserve">and efficiency, ensuring long-term </w:t>
      </w:r>
      <w:proofErr w:type="gramStart"/>
      <w:r>
        <w:t>affordability</w:t>
      </w:r>
      <w:proofErr w:type="gramEnd"/>
      <w:r>
        <w:t xml:space="preserve"> and supporting an ageing population. </w:t>
      </w:r>
    </w:p>
    <w:p w14:paraId="1AB26BEA" w14:textId="77777777" w:rsidR="0002636B" w:rsidRDefault="0002636B" w:rsidP="0002636B">
      <w:r>
        <w:t>There are two 10-year ambitions:</w:t>
      </w:r>
    </w:p>
    <w:p w14:paraId="604CDDCE" w14:textId="10034256" w:rsidR="0002636B" w:rsidRPr="0002636B" w:rsidRDefault="0002636B" w:rsidP="0002636B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t xml:space="preserve">The health system will be better prepared to manage future adverse </w:t>
      </w:r>
      <w:proofErr w:type="gramStart"/>
      <w:r>
        <w:t>events</w:t>
      </w:r>
      <w:proofErr w:type="gramEnd"/>
    </w:p>
    <w:p w14:paraId="29F44103" w14:textId="4C303957" w:rsidR="0002636B" w:rsidRPr="00F642E8" w:rsidRDefault="0002636B" w:rsidP="0002636B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02636B">
        <w:rPr>
          <w:lang w:val="en-NZ"/>
        </w:rPr>
        <w:t xml:space="preserve">The health system will be more productive and efficient, to make the best use of public </w:t>
      </w:r>
      <w:proofErr w:type="gramStart"/>
      <w:r w:rsidRPr="0002636B">
        <w:rPr>
          <w:lang w:val="en-NZ"/>
        </w:rPr>
        <w:t>money</w:t>
      </w:r>
      <w:proofErr w:type="gramEnd"/>
    </w:p>
    <w:p w14:paraId="765F02FE" w14:textId="57CF642E" w:rsidR="00C16CCC" w:rsidRDefault="00C16CCC" w:rsidP="00C16CCC">
      <w:pPr>
        <w:pStyle w:val="Heading3"/>
      </w:pPr>
      <w:r>
        <w:t>Priority 6: Partnerships for health and wellbeing.</w:t>
      </w:r>
    </w:p>
    <w:p w14:paraId="674BFE1B" w14:textId="77777777" w:rsidR="00C16CCC" w:rsidRDefault="00C16CCC" w:rsidP="00C16CCC">
      <w:r>
        <w:t xml:space="preserve">Building cross-sector and cross government relationships to drive collaborative actions on health and wellbeing. This includes a focus on working across government, working with communities, and working across sectors. </w:t>
      </w:r>
    </w:p>
    <w:p w14:paraId="2B741A16" w14:textId="764A1C31" w:rsidR="00C16CCC" w:rsidRDefault="00C16CCC" w:rsidP="00C16CCC">
      <w:r>
        <w:t>There are two 10-year ambitions:</w:t>
      </w:r>
    </w:p>
    <w:p w14:paraId="45AC66A7" w14:textId="6B29923B" w:rsidR="001046E8" w:rsidRPr="001046E8" w:rsidRDefault="001046E8" w:rsidP="001046E8">
      <w:pPr>
        <w:pStyle w:val="ListParagraph"/>
        <w:numPr>
          <w:ilvl w:val="0"/>
          <w:numId w:val="1"/>
        </w:numPr>
        <w:ind w:left="360"/>
        <w:rPr>
          <w:lang w:val="en-NZ"/>
        </w:rPr>
      </w:pPr>
      <w:r w:rsidRPr="0002636B">
        <w:rPr>
          <w:lang w:val="en-NZ"/>
        </w:rPr>
        <w:t xml:space="preserve">The </w:t>
      </w:r>
      <w:r>
        <w:t xml:space="preserve">health system will lead and influence across government to improve health and wellbeing </w:t>
      </w:r>
      <w:proofErr w:type="gramStart"/>
      <w:r>
        <w:t>outcomes</w:t>
      </w:r>
      <w:proofErr w:type="gramEnd"/>
    </w:p>
    <w:p w14:paraId="2E459163" w14:textId="6DBB8318" w:rsidR="001046E8" w:rsidRDefault="001046E8" w:rsidP="001046E8">
      <w:pPr>
        <w:pStyle w:val="ListParagraph"/>
        <w:numPr>
          <w:ilvl w:val="0"/>
          <w:numId w:val="1"/>
        </w:numPr>
        <w:ind w:left="360"/>
        <w:rPr>
          <w:lang w:val="en-NZ"/>
        </w:rPr>
      </w:pPr>
      <w:r>
        <w:rPr>
          <w:lang w:val="en-NZ"/>
        </w:rPr>
        <w:t>H</w:t>
      </w:r>
      <w:r w:rsidRPr="001046E8">
        <w:rPr>
          <w:lang w:val="en-NZ"/>
        </w:rPr>
        <w:t>ealth entities will partner with other sectors to support shared approaches to improving health and wellbeing</w:t>
      </w:r>
      <w:r w:rsidR="00C97038">
        <w:rPr>
          <w:lang w:val="en-NZ"/>
        </w:rPr>
        <w:t>.</w:t>
      </w:r>
    </w:p>
    <w:p w14:paraId="37811117" w14:textId="5FD344C5" w:rsidR="0045102B" w:rsidRDefault="00340FF3" w:rsidP="00C16CCC">
      <w:r>
        <w:t xml:space="preserve">The full version of the strategy can be found here: </w:t>
      </w:r>
      <w:hyperlink r:id="rId12" w:history="1">
        <w:r w:rsidR="002E3C24" w:rsidRPr="002E3C24">
          <w:rPr>
            <w:rStyle w:val="Hyperlink"/>
          </w:rPr>
          <w:t>New Zealand Health Strategy | Ministry of Health NZ</w:t>
        </w:r>
      </w:hyperlink>
      <w:r w:rsidR="002E3C24">
        <w:t xml:space="preserve"> </w:t>
      </w:r>
      <w:r>
        <w:t>(</w:t>
      </w:r>
      <w:r w:rsidR="002E3C24" w:rsidRPr="002E3C24">
        <w:rPr>
          <w:rStyle w:val="Hyperlink"/>
        </w:rPr>
        <w:t>www.health.govt.nz/publication/new-zealand-health-strategy</w:t>
      </w:r>
      <w:r w:rsidR="00D10AB7">
        <w:t>)</w:t>
      </w:r>
    </w:p>
    <w:p w14:paraId="4F823932" w14:textId="7F7CC895" w:rsidR="00F97467" w:rsidRPr="008A6810" w:rsidRDefault="0045102B" w:rsidP="0045102B">
      <w:pPr>
        <w:rPr>
          <w:b/>
          <w:bCs/>
        </w:rPr>
      </w:pPr>
      <w:r>
        <w:rPr>
          <w:b/>
          <w:bCs/>
        </w:rPr>
        <w:t>End of Summary—</w:t>
      </w:r>
      <w:r w:rsidR="00CC1DCC">
        <w:rPr>
          <w:b/>
          <w:bCs/>
        </w:rPr>
        <w:t>New Zealand Health</w:t>
      </w:r>
      <w:r>
        <w:rPr>
          <w:b/>
          <w:bCs/>
        </w:rPr>
        <w:t xml:space="preserve"> Strategy 2023</w:t>
      </w:r>
    </w:p>
    <w:sectPr w:rsidR="00F97467" w:rsidRPr="008A6810" w:rsidSect="00AF1240">
      <w:footerReference w:type="default" r:id="rId13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E3B8" w14:textId="77777777" w:rsidR="005979D3" w:rsidRDefault="005979D3">
      <w:pPr>
        <w:spacing w:after="0" w:line="240" w:lineRule="auto"/>
      </w:pPr>
      <w:r>
        <w:separator/>
      </w:r>
    </w:p>
    <w:p w14:paraId="5177F0B1" w14:textId="77777777" w:rsidR="005979D3" w:rsidRDefault="005979D3"/>
  </w:endnote>
  <w:endnote w:type="continuationSeparator" w:id="0">
    <w:p w14:paraId="1C9B45A7" w14:textId="77777777" w:rsidR="005979D3" w:rsidRDefault="005979D3">
      <w:pPr>
        <w:spacing w:after="0" w:line="240" w:lineRule="auto"/>
      </w:pPr>
      <w:r>
        <w:continuationSeparator/>
      </w:r>
    </w:p>
    <w:p w14:paraId="5199381F" w14:textId="77777777" w:rsidR="005979D3" w:rsidRDefault="00597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7B4F" w14:textId="77777777" w:rsidR="00F97467" w:rsidRDefault="00F97467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0D3161CA" w14:textId="77777777" w:rsidR="00F97467" w:rsidRDefault="00F97467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DAF3" w14:textId="77777777" w:rsidR="00F97467" w:rsidRDefault="00F97467" w:rsidP="00D0147F">
    <w:pPr>
      <w:pStyle w:val="Footer"/>
      <w:framePr w:wrap="around"/>
    </w:pPr>
  </w:p>
  <w:p w14:paraId="44774F61" w14:textId="77777777" w:rsidR="00F97467" w:rsidRDefault="00F97467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E153" w14:textId="77777777" w:rsidR="00F97467" w:rsidRDefault="00F97467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B171DBF" w14:textId="77777777" w:rsidR="005979D3" w:rsidRDefault="00597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1B5B" w14:textId="77777777" w:rsidR="005979D3" w:rsidRDefault="005979D3">
      <w:pPr>
        <w:spacing w:after="0" w:line="240" w:lineRule="auto"/>
      </w:pPr>
      <w:r>
        <w:separator/>
      </w:r>
    </w:p>
    <w:p w14:paraId="71709EA9" w14:textId="77777777" w:rsidR="005979D3" w:rsidRDefault="005979D3"/>
  </w:footnote>
  <w:footnote w:type="continuationSeparator" w:id="0">
    <w:p w14:paraId="4B794EDF" w14:textId="77777777" w:rsidR="005979D3" w:rsidRDefault="005979D3">
      <w:pPr>
        <w:spacing w:after="0" w:line="240" w:lineRule="auto"/>
      </w:pPr>
      <w:r>
        <w:continuationSeparator/>
      </w:r>
    </w:p>
    <w:p w14:paraId="766F3FD1" w14:textId="77777777" w:rsidR="005979D3" w:rsidRDefault="00597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96F5" w14:textId="77777777" w:rsidR="00F97467" w:rsidRDefault="00F97467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EDD6B" wp14:editId="2A913826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B40E8" w14:textId="77777777" w:rsidR="00F97467" w:rsidRPr="00320DFF" w:rsidRDefault="00F97467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EDD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NEwIAACs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" strokeweight="1.25pt">
              <v:textbox inset="1.5mm,,1.5mm">
                <w:txbxContent>
                  <w:p w14:paraId="51EB40E8" w14:textId="77777777" w:rsidR="00F97467" w:rsidRPr="00320DFF" w:rsidRDefault="00F97467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7EAE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9A44ED1"/>
    <w:multiLevelType w:val="hybridMultilevel"/>
    <w:tmpl w:val="E02806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68469">
    <w:abstractNumId w:val="0"/>
  </w:num>
  <w:num w:numId="2" w16cid:durableId="162650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2B"/>
    <w:rsid w:val="000105AA"/>
    <w:rsid w:val="0002636B"/>
    <w:rsid w:val="00032811"/>
    <w:rsid w:val="0007190A"/>
    <w:rsid w:val="000A66EB"/>
    <w:rsid w:val="000B3B71"/>
    <w:rsid w:val="000B662B"/>
    <w:rsid w:val="001046E8"/>
    <w:rsid w:val="0011088F"/>
    <w:rsid w:val="001159B5"/>
    <w:rsid w:val="00164276"/>
    <w:rsid w:val="00187141"/>
    <w:rsid w:val="001B2C73"/>
    <w:rsid w:val="001E1045"/>
    <w:rsid w:val="001E5852"/>
    <w:rsid w:val="001E7C0B"/>
    <w:rsid w:val="001F5CE7"/>
    <w:rsid w:val="00214DF6"/>
    <w:rsid w:val="002168CC"/>
    <w:rsid w:val="0021729B"/>
    <w:rsid w:val="002462A8"/>
    <w:rsid w:val="00267740"/>
    <w:rsid w:val="00297AAF"/>
    <w:rsid w:val="002D4300"/>
    <w:rsid w:val="002E3C24"/>
    <w:rsid w:val="00340FF3"/>
    <w:rsid w:val="00363E1F"/>
    <w:rsid w:val="00366220"/>
    <w:rsid w:val="0039044F"/>
    <w:rsid w:val="003B5186"/>
    <w:rsid w:val="003C484C"/>
    <w:rsid w:val="003C6C08"/>
    <w:rsid w:val="0045102B"/>
    <w:rsid w:val="00452303"/>
    <w:rsid w:val="004F12FA"/>
    <w:rsid w:val="005979D3"/>
    <w:rsid w:val="00597A5F"/>
    <w:rsid w:val="005B39D1"/>
    <w:rsid w:val="00620AAD"/>
    <w:rsid w:val="00623FF2"/>
    <w:rsid w:val="0064367A"/>
    <w:rsid w:val="006B7890"/>
    <w:rsid w:val="006E4FD2"/>
    <w:rsid w:val="00704DA6"/>
    <w:rsid w:val="00722CB2"/>
    <w:rsid w:val="007768C5"/>
    <w:rsid w:val="007A4E02"/>
    <w:rsid w:val="007C3270"/>
    <w:rsid w:val="007D73E3"/>
    <w:rsid w:val="008131B8"/>
    <w:rsid w:val="008139A6"/>
    <w:rsid w:val="00835B64"/>
    <w:rsid w:val="00893CFD"/>
    <w:rsid w:val="008A6810"/>
    <w:rsid w:val="008E5F50"/>
    <w:rsid w:val="009010B3"/>
    <w:rsid w:val="009047E7"/>
    <w:rsid w:val="00907DBC"/>
    <w:rsid w:val="009255C0"/>
    <w:rsid w:val="0093406A"/>
    <w:rsid w:val="009364D5"/>
    <w:rsid w:val="009A7472"/>
    <w:rsid w:val="009B014F"/>
    <w:rsid w:val="009C0D19"/>
    <w:rsid w:val="009C1622"/>
    <w:rsid w:val="009E5B95"/>
    <w:rsid w:val="009F312F"/>
    <w:rsid w:val="00A61776"/>
    <w:rsid w:val="00A77C60"/>
    <w:rsid w:val="00AE27B8"/>
    <w:rsid w:val="00B80ED7"/>
    <w:rsid w:val="00B85B4A"/>
    <w:rsid w:val="00BC2A89"/>
    <w:rsid w:val="00BD3E69"/>
    <w:rsid w:val="00C071C2"/>
    <w:rsid w:val="00C16CCC"/>
    <w:rsid w:val="00C503FE"/>
    <w:rsid w:val="00C97038"/>
    <w:rsid w:val="00CC1DCC"/>
    <w:rsid w:val="00D10AB7"/>
    <w:rsid w:val="00D16A95"/>
    <w:rsid w:val="00D956E7"/>
    <w:rsid w:val="00D979E6"/>
    <w:rsid w:val="00DC015E"/>
    <w:rsid w:val="00DE1D2C"/>
    <w:rsid w:val="00DE34A2"/>
    <w:rsid w:val="00E01014"/>
    <w:rsid w:val="00E237B9"/>
    <w:rsid w:val="00E25868"/>
    <w:rsid w:val="00E27D5C"/>
    <w:rsid w:val="00E57E9A"/>
    <w:rsid w:val="00EC414B"/>
    <w:rsid w:val="00ED4624"/>
    <w:rsid w:val="00EE2F74"/>
    <w:rsid w:val="00EF76D7"/>
    <w:rsid w:val="00F07425"/>
    <w:rsid w:val="00F642E8"/>
    <w:rsid w:val="00F97467"/>
    <w:rsid w:val="00FA2174"/>
    <w:rsid w:val="00FA272B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CECA"/>
  <w15:chartTrackingRefBased/>
  <w15:docId w15:val="{F8C8638D-FB06-45E2-BB63-F7CC5FC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CC"/>
    <w:pPr>
      <w:spacing w:after="120" w:line="288" w:lineRule="auto"/>
    </w:pPr>
    <w:rPr>
      <w:rFonts w:eastAsia="Times New Roman" w:cs="Times New Roman"/>
      <w:kern w:val="0"/>
      <w:sz w:val="36"/>
      <w:szCs w:val="24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5102B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45102B"/>
    <w:pPr>
      <w:keepNext/>
      <w:spacing w:before="24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102B"/>
    <w:pPr>
      <w:keepNext/>
      <w:tabs>
        <w:tab w:val="left" w:pos="0"/>
      </w:tabs>
      <w:spacing w:before="240"/>
      <w:outlineLvl w:val="2"/>
    </w:pPr>
    <w:rPr>
      <w:rFonts w:cs="Arial"/>
      <w:b/>
      <w:bCs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02B"/>
    <w:rPr>
      <w:rFonts w:eastAsia="Times New Roman" w:cs="Arial"/>
      <w:b/>
      <w:bCs/>
      <w:kern w:val="32"/>
      <w:sz w:val="60"/>
      <w:szCs w:val="32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45102B"/>
    <w:rPr>
      <w:rFonts w:eastAsia="Times New Roman" w:cs="Arial"/>
      <w:b/>
      <w:bCs/>
      <w:iCs/>
      <w:kern w:val="0"/>
      <w:sz w:val="52"/>
      <w:szCs w:val="28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5102B"/>
    <w:rPr>
      <w:rFonts w:eastAsia="Times New Roman" w:cs="Arial"/>
      <w:b/>
      <w:bCs/>
      <w:kern w:val="0"/>
      <w:sz w:val="44"/>
      <w:szCs w:val="26"/>
      <w:lang w:val="en-AU"/>
      <w14:ligatures w14:val="none"/>
    </w:rPr>
  </w:style>
  <w:style w:type="paragraph" w:styleId="Header">
    <w:name w:val="header"/>
    <w:basedOn w:val="Normal"/>
    <w:link w:val="HeaderChar"/>
    <w:rsid w:val="004510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102B"/>
    <w:rPr>
      <w:rFonts w:eastAsia="Times New Roman" w:cs="Times New Roman"/>
      <w:kern w:val="0"/>
      <w:sz w:val="36"/>
      <w:szCs w:val="24"/>
      <w:lang w:val="en-AU"/>
      <w14:ligatures w14:val="none"/>
    </w:rPr>
  </w:style>
  <w:style w:type="paragraph" w:customStyle="1" w:styleId="BookTitle1">
    <w:name w:val="Book Title1"/>
    <w:basedOn w:val="Normal"/>
    <w:next w:val="Normal"/>
    <w:rsid w:val="0045102B"/>
    <w:rPr>
      <w:b/>
      <w:sz w:val="96"/>
    </w:rPr>
  </w:style>
  <w:style w:type="paragraph" w:styleId="Footer">
    <w:name w:val="footer"/>
    <w:basedOn w:val="Normal"/>
    <w:link w:val="FooterChar"/>
    <w:autoRedefine/>
    <w:rsid w:val="0045102B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45102B"/>
    <w:rPr>
      <w:rFonts w:eastAsia="Times New Roman" w:cs="Times New Roman"/>
      <w:kern w:val="0"/>
      <w:sz w:val="36"/>
      <w:szCs w:val="24"/>
      <w:lang w:val="en-AU"/>
      <w14:ligatures w14:val="none"/>
    </w:rPr>
  </w:style>
  <w:style w:type="character" w:styleId="Emphasis">
    <w:name w:val="Emphasis"/>
    <w:qFormat/>
    <w:rsid w:val="0045102B"/>
    <w:rPr>
      <w:b/>
      <w:iCs/>
      <w:sz w:val="36"/>
    </w:rPr>
  </w:style>
  <w:style w:type="paragraph" w:customStyle="1" w:styleId="imagecaption">
    <w:name w:val="imagecaption"/>
    <w:basedOn w:val="Normal"/>
    <w:link w:val="imagecaptionChar"/>
    <w:qFormat/>
    <w:rsid w:val="0045102B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character" w:customStyle="1" w:styleId="imagecaptionChar">
    <w:name w:val="imagecaption Char"/>
    <w:link w:val="imagecaption"/>
    <w:locked/>
    <w:rsid w:val="0045102B"/>
    <w:rPr>
      <w:rFonts w:eastAsia="Times New Roman" w:cs="Times New Roman"/>
      <w:kern w:val="0"/>
      <w:sz w:val="36"/>
      <w:szCs w:val="24"/>
      <w:lang w:val="en-AU"/>
      <w14:ligatures w14:val="none"/>
    </w:rPr>
  </w:style>
  <w:style w:type="character" w:styleId="Hyperlink">
    <w:name w:val="Hyperlink"/>
    <w:basedOn w:val="DefaultParagraphFont"/>
    <w:unhideWhenUsed/>
    <w:rsid w:val="004510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776"/>
    <w:pPr>
      <w:ind w:left="720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5C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1776"/>
    <w:pPr>
      <w:spacing w:after="0" w:line="240" w:lineRule="auto"/>
    </w:pPr>
    <w:rPr>
      <w:rFonts w:eastAsia="Times New Roman" w:cs="Times New Roman"/>
      <w:kern w:val="0"/>
      <w:sz w:val="36"/>
      <w:szCs w:val="24"/>
      <w:lang w:val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1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776"/>
    <w:rPr>
      <w:rFonts w:eastAsia="Times New Roman" w:cs="Times New Roman"/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776"/>
    <w:rPr>
      <w:rFonts w:eastAsia="Times New Roman" w:cs="Times New Roman"/>
      <w:b/>
      <w:bCs/>
      <w:kern w:val="0"/>
      <w:sz w:val="2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ealth.govt.nz/publication/new-zealand-health-strate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1334</Words>
  <Characters>6262</Characters>
  <Application>Microsoft Office Word</Application>
  <DocSecurity>0</DocSecurity>
  <Lines>208</Lines>
  <Paragraphs>106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Martin-Holm</dc:creator>
  <cp:keywords/>
  <dc:description/>
  <cp:lastModifiedBy>Joy Martin-Holm</cp:lastModifiedBy>
  <cp:revision>95</cp:revision>
  <dcterms:created xsi:type="dcterms:W3CDTF">2023-11-27T01:33:00Z</dcterms:created>
  <dcterms:modified xsi:type="dcterms:W3CDTF">2023-12-05T23:14:00Z</dcterms:modified>
</cp:coreProperties>
</file>