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12EA9" w14:textId="2EF98FEC" w:rsidR="00C05132" w:rsidRDefault="001F67DF" w:rsidP="008E0ED1">
      <w:pPr>
        <w:rPr>
          <w:noProof/>
          <w:lang w:eastAsia="en-NZ"/>
        </w:rPr>
      </w:pPr>
      <w:r>
        <w:rPr>
          <w:noProof/>
          <w:lang w:eastAsia="en-NZ"/>
        </w:rPr>
        <w:drawing>
          <wp:anchor distT="0" distB="0" distL="114300" distR="114300" simplePos="0" relativeHeight="251659264" behindDoc="0" locked="0" layoutInCell="1" allowOverlap="1" wp14:anchorId="46D98852" wp14:editId="62DE0A23">
            <wp:simplePos x="0" y="0"/>
            <wp:positionH relativeFrom="page">
              <wp:posOffset>-7114</wp:posOffset>
            </wp:positionH>
            <wp:positionV relativeFrom="page">
              <wp:posOffset>-21007</wp:posOffset>
            </wp:positionV>
            <wp:extent cx="7566991" cy="10717337"/>
            <wp:effectExtent l="0" t="0" r="0" b="8255"/>
            <wp:wrapNone/>
            <wp:docPr id="5" name="Picture 5" descr="A blue and white pattern on a blu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white pattern on a blue background&#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6991" cy="10717337"/>
                    </a:xfrm>
                    <a:prstGeom prst="rect">
                      <a:avLst/>
                    </a:prstGeom>
                  </pic:spPr>
                </pic:pic>
              </a:graphicData>
            </a:graphic>
            <wp14:sizeRelH relativeFrom="margin">
              <wp14:pctWidth>0</wp14:pctWidth>
            </wp14:sizeRelH>
            <wp14:sizeRelV relativeFrom="margin">
              <wp14:pctHeight>0</wp14:pctHeight>
            </wp14:sizeRelV>
          </wp:anchor>
        </w:drawing>
      </w:r>
    </w:p>
    <w:p w14:paraId="2297CDA8" w14:textId="77777777" w:rsidR="00926083" w:rsidRDefault="00926083" w:rsidP="00A06BE4">
      <w:pPr>
        <w:sectPr w:rsidR="00926083" w:rsidSect="00A06BE4">
          <w:pgSz w:w="11907" w:h="16834" w:code="9"/>
          <w:pgMar w:top="567" w:right="567" w:bottom="567" w:left="567" w:header="284" w:footer="284" w:gutter="0"/>
          <w:cols w:space="720"/>
        </w:sectPr>
      </w:pPr>
    </w:p>
    <w:p w14:paraId="34B96BB7" w14:textId="77777777" w:rsidR="00C05132" w:rsidRDefault="00C05132" w:rsidP="00C05132"/>
    <w:p w14:paraId="661C6BF2" w14:textId="44E2EFA9" w:rsidR="00D953A0" w:rsidRDefault="00D953A0" w:rsidP="00D953A0">
      <w:pPr>
        <w:pStyle w:val="Title"/>
        <w:ind w:right="3118"/>
      </w:pPr>
      <w:r>
        <w:t xml:space="preserve">Assisted Dying Service –  </w:t>
      </w:r>
    </w:p>
    <w:p w14:paraId="11455161" w14:textId="51110B52" w:rsidR="00C86248" w:rsidRPr="00926083" w:rsidRDefault="00D953A0" w:rsidP="00D953A0">
      <w:pPr>
        <w:pStyle w:val="Title"/>
        <w:ind w:right="3118"/>
      </w:pPr>
      <w:proofErr w:type="spellStart"/>
      <w:r>
        <w:t>Ngā</w:t>
      </w:r>
      <w:proofErr w:type="spellEnd"/>
      <w:r>
        <w:t xml:space="preserve"> </w:t>
      </w:r>
      <w:proofErr w:type="spellStart"/>
      <w:r>
        <w:t>Ratonga</w:t>
      </w:r>
      <w:proofErr w:type="spellEnd"/>
      <w:r>
        <w:t xml:space="preserve"> Mate </w:t>
      </w:r>
      <w:proofErr w:type="spellStart"/>
      <w:r>
        <w:t>Whakaahuru</w:t>
      </w:r>
      <w:proofErr w:type="spellEnd"/>
    </w:p>
    <w:p w14:paraId="2B4FAC6A" w14:textId="5FD1245B" w:rsidR="00C05132" w:rsidRDefault="00D953A0" w:rsidP="00D953A0">
      <w:pPr>
        <w:pStyle w:val="Subhead"/>
      </w:pPr>
      <w:r>
        <w:t>Registrar (assisted dying) Annual Report to the Minister of Health –June 2023</w:t>
      </w:r>
    </w:p>
    <w:p w14:paraId="5C1CCC9F" w14:textId="77777777" w:rsidR="00C05132" w:rsidRDefault="00C05132" w:rsidP="00A06BE4"/>
    <w:p w14:paraId="57E2CB79" w14:textId="77777777" w:rsidR="00142954" w:rsidRPr="00142954" w:rsidRDefault="00142954" w:rsidP="00142954">
      <w:pPr>
        <w:sectPr w:rsidR="00142954" w:rsidRPr="00142954" w:rsidSect="000C3D9B">
          <w:headerReference w:type="even" r:id="rId12"/>
          <w:headerReference w:type="default" r:id="rId13"/>
          <w:footerReference w:type="default" r:id="rId14"/>
          <w:headerReference w:type="first" r:id="rId15"/>
          <w:pgSz w:w="11907" w:h="16834" w:code="9"/>
          <w:pgMar w:top="5670" w:right="1134" w:bottom="1134" w:left="1134" w:header="567" w:footer="851" w:gutter="0"/>
          <w:pgNumType w:start="1"/>
          <w:cols w:space="720"/>
          <w:docGrid w:linePitch="286"/>
        </w:sectPr>
      </w:pPr>
    </w:p>
    <w:p w14:paraId="358CE3BA" w14:textId="7106B78E" w:rsidR="00A80363" w:rsidRPr="00C05132" w:rsidRDefault="00A80363" w:rsidP="00D953A0">
      <w:pPr>
        <w:pStyle w:val="Imprint"/>
        <w:spacing w:before="1200"/>
        <w:rPr>
          <w:rFonts w:cs="Segoe UI"/>
        </w:rPr>
      </w:pPr>
      <w:r w:rsidRPr="00C05132">
        <w:rPr>
          <w:rFonts w:cs="Segoe UI"/>
        </w:rPr>
        <w:lastRenderedPageBreak/>
        <w:t xml:space="preserve">Citation: </w:t>
      </w:r>
      <w:r w:rsidR="00442C1C" w:rsidRPr="00C05132">
        <w:rPr>
          <w:rFonts w:cs="Segoe UI"/>
        </w:rPr>
        <w:t xml:space="preserve">Ministry of Health. </w:t>
      </w:r>
      <w:r w:rsidR="00D953A0">
        <w:rPr>
          <w:rFonts w:cs="Segoe UI"/>
        </w:rPr>
        <w:t>2023.</w:t>
      </w:r>
      <w:r w:rsidR="00442C1C" w:rsidRPr="00C05132">
        <w:rPr>
          <w:rFonts w:cs="Segoe UI"/>
        </w:rPr>
        <w:t xml:space="preserve"> </w:t>
      </w:r>
      <w:r w:rsidR="00D953A0" w:rsidRPr="00D953A0">
        <w:rPr>
          <w:rFonts w:cs="Segoe UI"/>
          <w:i/>
        </w:rPr>
        <w:t xml:space="preserve">Assisted Dying Service –  </w:t>
      </w:r>
      <w:proofErr w:type="spellStart"/>
      <w:r w:rsidR="00D953A0" w:rsidRPr="00D953A0">
        <w:rPr>
          <w:rFonts w:cs="Segoe UI"/>
          <w:i/>
        </w:rPr>
        <w:t>Ngā</w:t>
      </w:r>
      <w:proofErr w:type="spellEnd"/>
      <w:r w:rsidR="00D953A0" w:rsidRPr="00D953A0">
        <w:rPr>
          <w:rFonts w:cs="Segoe UI"/>
          <w:i/>
        </w:rPr>
        <w:t xml:space="preserve"> </w:t>
      </w:r>
      <w:proofErr w:type="spellStart"/>
      <w:r w:rsidR="00D953A0" w:rsidRPr="00D953A0">
        <w:rPr>
          <w:rFonts w:cs="Segoe UI"/>
          <w:i/>
        </w:rPr>
        <w:t>Ratonga</w:t>
      </w:r>
      <w:proofErr w:type="spellEnd"/>
      <w:r w:rsidR="00D953A0" w:rsidRPr="00D953A0">
        <w:rPr>
          <w:rFonts w:cs="Segoe UI"/>
          <w:i/>
        </w:rPr>
        <w:t xml:space="preserve"> Mate </w:t>
      </w:r>
      <w:proofErr w:type="spellStart"/>
      <w:r w:rsidR="00D953A0" w:rsidRPr="00D953A0">
        <w:rPr>
          <w:rFonts w:cs="Segoe UI"/>
          <w:i/>
        </w:rPr>
        <w:t>Whakaahuru</w:t>
      </w:r>
      <w:proofErr w:type="spellEnd"/>
      <w:r w:rsidR="00D953A0">
        <w:rPr>
          <w:rFonts w:cs="Segoe UI"/>
          <w:i/>
        </w:rPr>
        <w:t xml:space="preserve">. </w:t>
      </w:r>
      <w:r w:rsidR="00D953A0" w:rsidRPr="00D953A0">
        <w:rPr>
          <w:rFonts w:cs="Segoe UI"/>
          <w:i/>
        </w:rPr>
        <w:t>Registrar (assisted dying) Annual Report to the Minister of Healt</w:t>
      </w:r>
      <w:r w:rsidR="000E6CF1">
        <w:rPr>
          <w:rFonts w:cs="Segoe UI"/>
          <w:i/>
        </w:rPr>
        <w:t>h</w:t>
      </w:r>
      <w:r w:rsidR="00442C1C" w:rsidRPr="00C05132">
        <w:rPr>
          <w:rFonts w:cs="Segoe UI"/>
        </w:rPr>
        <w:t>. Wellington: Ministry of Health.</w:t>
      </w:r>
    </w:p>
    <w:p w14:paraId="7909192E" w14:textId="592ACF3A" w:rsidR="00C86248" w:rsidRDefault="00C86248">
      <w:pPr>
        <w:pStyle w:val="Imprint"/>
      </w:pPr>
      <w:r>
        <w:t xml:space="preserve">Published in </w:t>
      </w:r>
      <w:r w:rsidR="00D953A0">
        <w:t xml:space="preserve">June 2023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6D17E5E8" w14:textId="06DB3ADA" w:rsidR="00082CD6" w:rsidRPr="009C0F2D" w:rsidRDefault="00D863D0" w:rsidP="00082CD6">
      <w:pPr>
        <w:pStyle w:val="Imprint"/>
      </w:pPr>
      <w:r w:rsidRPr="0079783D">
        <w:t>ISBN</w:t>
      </w:r>
      <w:r w:rsidR="00442C1C" w:rsidRPr="0079783D">
        <w:t xml:space="preserve"> </w:t>
      </w:r>
      <w:r w:rsidR="0079783D" w:rsidRPr="0079783D">
        <w:t>978-1-991075-35-2</w:t>
      </w:r>
      <w:r w:rsidR="009A42D5" w:rsidRPr="0079783D">
        <w:t xml:space="preserve"> (print)</w:t>
      </w:r>
      <w:r w:rsidR="009A42D5" w:rsidRPr="0079783D">
        <w:br/>
        <w:t xml:space="preserve">ISBN </w:t>
      </w:r>
      <w:r w:rsidR="00A20062" w:rsidRPr="00A20062">
        <w:t>978-1-991075-36-9</w:t>
      </w:r>
      <w:r w:rsidR="009A42D5" w:rsidRPr="0079783D">
        <w:t xml:space="preserve"> </w:t>
      </w:r>
      <w:r w:rsidRPr="0079783D">
        <w:t>(</w:t>
      </w:r>
      <w:r w:rsidR="00442C1C" w:rsidRPr="0079783D">
        <w:t>online</w:t>
      </w:r>
      <w:r w:rsidRPr="0079783D">
        <w:t>)</w:t>
      </w:r>
      <w:r w:rsidR="00082CD6" w:rsidRPr="0079783D">
        <w:br/>
        <w:t xml:space="preserve">HP </w:t>
      </w:r>
      <w:r w:rsidR="00940E43" w:rsidRPr="00940E43">
        <w:t>8796</w:t>
      </w:r>
    </w:p>
    <w:p w14:paraId="48DBDA36" w14:textId="77777777" w:rsidR="00C86248" w:rsidRDefault="008C64C4" w:rsidP="00A63DFF">
      <w:r>
        <w:rPr>
          <w:noProof/>
          <w:lang w:eastAsia="en-NZ"/>
        </w:rPr>
        <w:drawing>
          <wp:inline distT="0" distB="0" distL="0" distR="0" wp14:anchorId="6EF4539D" wp14:editId="5081D35F">
            <wp:extent cx="1216825" cy="576270"/>
            <wp:effectExtent l="0" t="0" r="254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logo"/>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216825" cy="576270"/>
                    </a:xfrm>
                    <a:prstGeom prst="rect">
                      <a:avLst/>
                    </a:prstGeom>
                    <a:noFill/>
                    <a:ln>
                      <a:noFill/>
                    </a:ln>
                  </pic:spPr>
                </pic:pic>
              </a:graphicData>
            </a:graphic>
          </wp:inline>
        </w:drawing>
      </w:r>
    </w:p>
    <w:p w14:paraId="354F16DF" w14:textId="77777777" w:rsidR="00A63DFF" w:rsidRDefault="00A63DFF" w:rsidP="00A63DFF">
      <w:pPr>
        <w:pStyle w:val="Imprint"/>
        <w:spacing w:before="240" w:after="480"/>
      </w:pPr>
      <w:r>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A63DFF" w:rsidRPr="00A63DFF" w14:paraId="3FC6B2D2" w14:textId="77777777" w:rsidTr="00A63DFF">
        <w:trPr>
          <w:cantSplit/>
        </w:trPr>
        <w:tc>
          <w:tcPr>
            <w:tcW w:w="1526" w:type="dxa"/>
          </w:tcPr>
          <w:p w14:paraId="362D26E7" w14:textId="77777777" w:rsidR="00A63DFF" w:rsidRPr="00A63DFF" w:rsidRDefault="00A63DFF" w:rsidP="00A63DFF">
            <w:pPr>
              <w:rPr>
                <w:rFonts w:cs="Segoe UI"/>
                <w:sz w:val="15"/>
                <w:szCs w:val="15"/>
              </w:rPr>
            </w:pPr>
            <w:r w:rsidRPr="00A63DFF">
              <w:rPr>
                <w:rFonts w:cs="Segoe UI"/>
                <w:b/>
                <w:noProof/>
                <w:sz w:val="15"/>
                <w:szCs w:val="15"/>
                <w:lang w:eastAsia="en-NZ"/>
              </w:rPr>
              <w:drawing>
                <wp:inline distT="0" distB="0" distL="0" distR="0" wp14:anchorId="4BFD7476" wp14:editId="5569ABBB">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7D3A471A"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w:t>
            </w:r>
            <w:proofErr w:type="spellStart"/>
            <w:r w:rsidRPr="00A63DFF">
              <w:rPr>
                <w:rFonts w:cs="Segoe UI"/>
                <w:sz w:val="15"/>
                <w:szCs w:val="15"/>
              </w:rPr>
              <w:t>ie</w:t>
            </w:r>
            <w:proofErr w:type="spellEnd"/>
            <w:r w:rsidRPr="00A63DFF">
              <w:rPr>
                <w:rFonts w:cs="Segoe UI"/>
                <w:sz w:val="15"/>
                <w:szCs w:val="15"/>
              </w:rPr>
              <w:t xml:space="preserve">, copy and redistribute the material in any medium or format; adapt </w:t>
            </w:r>
            <w:proofErr w:type="spellStart"/>
            <w:r w:rsidRPr="00A63DFF">
              <w:rPr>
                <w:rFonts w:cs="Segoe UI"/>
                <w:sz w:val="15"/>
                <w:szCs w:val="15"/>
              </w:rPr>
              <w:t>ie</w:t>
            </w:r>
            <w:proofErr w:type="spellEnd"/>
            <w:r w:rsidRPr="00A63DFF">
              <w:rPr>
                <w:rFonts w:cs="Segoe UI"/>
                <w:sz w:val="15"/>
                <w:szCs w:val="15"/>
              </w:rPr>
              <w:t xml:space="preserve">, remix, transform and build upon the material. </w:t>
            </w:r>
            <w:r w:rsidRPr="00A63DFF">
              <w:rPr>
                <w:rFonts w:cs="Segoe UI"/>
                <w:bCs/>
                <w:sz w:val="15"/>
                <w:szCs w:val="15"/>
              </w:rPr>
              <w:t>You must give appropriate credit, provide a link to the licence and indicate if changes were made.</w:t>
            </w:r>
          </w:p>
        </w:tc>
      </w:tr>
    </w:tbl>
    <w:p w14:paraId="44C6FE3A" w14:textId="77777777" w:rsidR="007E74F1" w:rsidRPr="001F45A7" w:rsidRDefault="007E74F1" w:rsidP="00A63DFF"/>
    <w:p w14:paraId="2113CC0B" w14:textId="77777777" w:rsidR="00C86248" w:rsidRDefault="00C86248">
      <w:pPr>
        <w:jc w:val="center"/>
        <w:sectPr w:rsidR="00C86248" w:rsidSect="000C3D9B">
          <w:headerReference w:type="even" r:id="rId18"/>
          <w:headerReference w:type="default" r:id="rId19"/>
          <w:footerReference w:type="even" r:id="rId20"/>
          <w:footerReference w:type="default" r:id="rId21"/>
          <w:headerReference w:type="first" r:id="rId22"/>
          <w:pgSz w:w="11907" w:h="16834" w:code="9"/>
          <w:pgMar w:top="1701" w:right="2268" w:bottom="1134" w:left="2268" w:header="0" w:footer="0" w:gutter="0"/>
          <w:cols w:space="720"/>
          <w:vAlign w:val="bottom"/>
          <w:docGrid w:linePitch="286"/>
        </w:sectPr>
      </w:pPr>
    </w:p>
    <w:p w14:paraId="0F8774BA" w14:textId="77777777" w:rsidR="00032C0A" w:rsidRDefault="008E3A07" w:rsidP="00A2057C">
      <w:pPr>
        <w:pStyle w:val="Heading1"/>
        <w:spacing w:before="0"/>
      </w:pPr>
      <w:bookmarkStart w:id="1" w:name="_Toc138428941"/>
      <w:bookmarkStart w:id="2" w:name="_Toc405792991"/>
      <w:bookmarkStart w:id="3" w:name="_Toc405793224"/>
      <w:r>
        <w:lastRenderedPageBreak/>
        <w:t>Foreword</w:t>
      </w:r>
      <w:bookmarkEnd w:id="1"/>
    </w:p>
    <w:p w14:paraId="325FEEAA" w14:textId="77777777" w:rsidR="00D953A0" w:rsidRPr="00D953A0" w:rsidRDefault="00D953A0" w:rsidP="00D953A0">
      <w:pPr>
        <w:rPr>
          <w:spacing w:val="-5"/>
        </w:rPr>
      </w:pPr>
      <w:proofErr w:type="spellStart"/>
      <w:r w:rsidRPr="00D953A0">
        <w:rPr>
          <w:spacing w:val="-5"/>
        </w:rPr>
        <w:t>Tēnā</w:t>
      </w:r>
      <w:proofErr w:type="spellEnd"/>
      <w:r w:rsidRPr="00D953A0">
        <w:rPr>
          <w:spacing w:val="-5"/>
        </w:rPr>
        <w:t xml:space="preserve"> koutou,</w:t>
      </w:r>
    </w:p>
    <w:p w14:paraId="2553B8E4" w14:textId="77777777" w:rsidR="00D953A0" w:rsidRPr="00D953A0" w:rsidRDefault="00D953A0" w:rsidP="00D953A0">
      <w:pPr>
        <w:rPr>
          <w:spacing w:val="-5"/>
        </w:rPr>
      </w:pPr>
    </w:p>
    <w:p w14:paraId="17E8C119" w14:textId="77777777" w:rsidR="00D953A0" w:rsidRPr="00D953A0" w:rsidRDefault="00D953A0" w:rsidP="00D953A0">
      <w:pPr>
        <w:rPr>
          <w:spacing w:val="-5"/>
        </w:rPr>
      </w:pPr>
      <w:r w:rsidRPr="00D953A0">
        <w:rPr>
          <w:spacing w:val="-5"/>
        </w:rPr>
        <w:t xml:space="preserve">I am pleased to share the first full year report for the Assisted Dying Service. This report covers the period from 1 April 2022 to 31 March 2023. It outlines key elements of the service and provides a summary of service activity for the reporting period. For more detailed information about the establishment of the service I encourage you to read my previous report. </w:t>
      </w:r>
    </w:p>
    <w:p w14:paraId="57448D62" w14:textId="77777777" w:rsidR="00D953A0" w:rsidRPr="00D953A0" w:rsidRDefault="00D953A0" w:rsidP="00D953A0">
      <w:pPr>
        <w:rPr>
          <w:spacing w:val="-5"/>
        </w:rPr>
      </w:pPr>
    </w:p>
    <w:p w14:paraId="7BF0D65E" w14:textId="3DD62F90" w:rsidR="00D953A0" w:rsidRPr="00D953A0" w:rsidRDefault="00D953A0" w:rsidP="00D953A0">
      <w:pPr>
        <w:rPr>
          <w:spacing w:val="-5"/>
        </w:rPr>
      </w:pPr>
      <w:r w:rsidRPr="00D953A0">
        <w:rPr>
          <w:spacing w:val="-5"/>
        </w:rPr>
        <w:t xml:space="preserve">This year has seen the assisted dying service continue to mature. Building on the work undertaken as part of implementation, there has been a strong focus on providing a safe, quality and trusted service. I am encouraged by the positive feedback from patients and </w:t>
      </w:r>
      <w:proofErr w:type="spellStart"/>
      <w:r w:rsidRPr="00D953A0">
        <w:rPr>
          <w:spacing w:val="-5"/>
        </w:rPr>
        <w:t>whānau</w:t>
      </w:r>
      <w:proofErr w:type="spellEnd"/>
      <w:r w:rsidRPr="00D953A0">
        <w:rPr>
          <w:spacing w:val="-5"/>
        </w:rPr>
        <w:t>, health professionals, and other stakeholders involved in the service so far. This feedback has enabled continuous quality improvement and optimisation of service provision. I look forward to seeing the service progress over the next year.</w:t>
      </w:r>
    </w:p>
    <w:p w14:paraId="615CD852" w14:textId="77777777" w:rsidR="00D953A0" w:rsidRPr="00D953A0" w:rsidRDefault="00D953A0" w:rsidP="00D953A0">
      <w:pPr>
        <w:rPr>
          <w:spacing w:val="-5"/>
        </w:rPr>
      </w:pPr>
    </w:p>
    <w:p w14:paraId="41E3AB83" w14:textId="77777777" w:rsidR="00D953A0" w:rsidRPr="00D953A0" w:rsidRDefault="00D953A0" w:rsidP="00D953A0">
      <w:pPr>
        <w:rPr>
          <w:spacing w:val="-5"/>
        </w:rPr>
      </w:pPr>
      <w:r w:rsidRPr="00D953A0">
        <w:rPr>
          <w:spacing w:val="-5"/>
        </w:rPr>
        <w:t xml:space="preserve">I’d like to acknowledge the patients and </w:t>
      </w:r>
      <w:proofErr w:type="spellStart"/>
      <w:r w:rsidRPr="00D953A0">
        <w:rPr>
          <w:spacing w:val="-5"/>
        </w:rPr>
        <w:t>whānau</w:t>
      </w:r>
      <w:proofErr w:type="spellEnd"/>
      <w:r w:rsidRPr="00D953A0">
        <w:rPr>
          <w:spacing w:val="-5"/>
        </w:rPr>
        <w:t xml:space="preserve"> who have chosen to engage with the service. I continue to see and hear positive stories about how the service has allowed people at the end of their life to have control and dignity over their death. </w:t>
      </w:r>
    </w:p>
    <w:p w14:paraId="5637A5BE" w14:textId="77777777" w:rsidR="00D953A0" w:rsidRPr="00D953A0" w:rsidRDefault="00D953A0" w:rsidP="00D953A0">
      <w:pPr>
        <w:rPr>
          <w:spacing w:val="-5"/>
        </w:rPr>
      </w:pPr>
    </w:p>
    <w:p w14:paraId="2FDE4C1B" w14:textId="77777777" w:rsidR="00D953A0" w:rsidRPr="00D953A0" w:rsidRDefault="00D953A0" w:rsidP="00D953A0">
      <w:pPr>
        <w:rPr>
          <w:spacing w:val="-5"/>
        </w:rPr>
      </w:pPr>
      <w:r w:rsidRPr="00D953A0">
        <w:rPr>
          <w:spacing w:val="-5"/>
        </w:rPr>
        <w:t xml:space="preserve">I want to thank the practitioners involved in providing the service for their passion, empathy and hard work. Taking part in a new health service can be a complex challenge and their experience and high-quality work has been heartening. </w:t>
      </w:r>
    </w:p>
    <w:p w14:paraId="7E1A78BA" w14:textId="77777777" w:rsidR="00D953A0" w:rsidRPr="00D953A0" w:rsidRDefault="00D953A0" w:rsidP="00D953A0">
      <w:pPr>
        <w:rPr>
          <w:spacing w:val="-5"/>
        </w:rPr>
      </w:pPr>
    </w:p>
    <w:p w14:paraId="58967E5D" w14:textId="77777777" w:rsidR="00D953A0" w:rsidRPr="00D953A0" w:rsidRDefault="00D953A0" w:rsidP="00D953A0">
      <w:pPr>
        <w:rPr>
          <w:spacing w:val="-5"/>
        </w:rPr>
      </w:pPr>
      <w:r w:rsidRPr="00D953A0">
        <w:rPr>
          <w:spacing w:val="-5"/>
        </w:rPr>
        <w:t xml:space="preserve">On 6 March 2023, the operational aspects of the service were transferred to </w:t>
      </w:r>
      <w:proofErr w:type="spellStart"/>
      <w:r w:rsidRPr="00D953A0">
        <w:rPr>
          <w:spacing w:val="-5"/>
        </w:rPr>
        <w:t>Te</w:t>
      </w:r>
      <w:proofErr w:type="spellEnd"/>
      <w:r w:rsidRPr="00D953A0">
        <w:rPr>
          <w:spacing w:val="-5"/>
        </w:rPr>
        <w:t xml:space="preserve"> </w:t>
      </w:r>
      <w:proofErr w:type="spellStart"/>
      <w:r w:rsidRPr="00D953A0">
        <w:rPr>
          <w:spacing w:val="-5"/>
        </w:rPr>
        <w:t>Whatu</w:t>
      </w:r>
      <w:proofErr w:type="spellEnd"/>
      <w:r w:rsidRPr="00D953A0">
        <w:rPr>
          <w:spacing w:val="-5"/>
        </w:rPr>
        <w:t xml:space="preserve"> Ora. This provides an exciting opportunity for our agencies to collaborate and improve the service for New Zealanders. I look forward to continuing my work with the Assisted Dying Secretariat at Manatū Hauora and our renewed focus on monitoring and regulation.</w:t>
      </w:r>
    </w:p>
    <w:p w14:paraId="207AAD4C" w14:textId="77777777" w:rsidR="00D953A0" w:rsidRPr="00D953A0" w:rsidRDefault="00D953A0" w:rsidP="00D953A0">
      <w:pPr>
        <w:rPr>
          <w:spacing w:val="-5"/>
        </w:rPr>
      </w:pPr>
    </w:p>
    <w:p w14:paraId="1D570B96" w14:textId="77777777" w:rsidR="00D953A0" w:rsidRPr="00D953A0" w:rsidRDefault="00D953A0" w:rsidP="00D953A0">
      <w:pPr>
        <w:rPr>
          <w:spacing w:val="-5"/>
        </w:rPr>
      </w:pPr>
      <w:proofErr w:type="spellStart"/>
      <w:r w:rsidRPr="00D953A0">
        <w:rPr>
          <w:spacing w:val="-5"/>
        </w:rPr>
        <w:t>Ngā</w:t>
      </w:r>
      <w:proofErr w:type="spellEnd"/>
      <w:r w:rsidRPr="00D953A0">
        <w:rPr>
          <w:spacing w:val="-5"/>
        </w:rPr>
        <w:t xml:space="preserve"> mihi </w:t>
      </w:r>
      <w:proofErr w:type="spellStart"/>
      <w:r w:rsidRPr="00D953A0">
        <w:rPr>
          <w:spacing w:val="-5"/>
        </w:rPr>
        <w:t>nui</w:t>
      </w:r>
      <w:proofErr w:type="spellEnd"/>
    </w:p>
    <w:p w14:paraId="2F643E34" w14:textId="77777777" w:rsidR="00D953A0" w:rsidRPr="00D953A0" w:rsidRDefault="00D953A0" w:rsidP="00D953A0">
      <w:pPr>
        <w:rPr>
          <w:spacing w:val="-5"/>
        </w:rPr>
      </w:pPr>
    </w:p>
    <w:p w14:paraId="33B31A06" w14:textId="77777777" w:rsidR="00D953A0" w:rsidRPr="00D953A0" w:rsidRDefault="00D953A0" w:rsidP="00D953A0">
      <w:pPr>
        <w:rPr>
          <w:b/>
          <w:bCs/>
          <w:spacing w:val="-5"/>
        </w:rPr>
      </w:pPr>
      <w:r w:rsidRPr="00D953A0">
        <w:rPr>
          <w:b/>
          <w:bCs/>
          <w:spacing w:val="-5"/>
        </w:rPr>
        <w:t>Dr Kristin Good</w:t>
      </w:r>
    </w:p>
    <w:p w14:paraId="3C70FAF9" w14:textId="78FA1671" w:rsidR="00D662F8" w:rsidRPr="00D953A0" w:rsidRDefault="00D953A0" w:rsidP="00D953A0">
      <w:pPr>
        <w:rPr>
          <w:b/>
          <w:bCs/>
        </w:rPr>
      </w:pPr>
      <w:r w:rsidRPr="00D953A0">
        <w:rPr>
          <w:b/>
          <w:bCs/>
          <w:spacing w:val="-5"/>
        </w:rPr>
        <w:t>Registrar (assisted dying)</w:t>
      </w:r>
    </w:p>
    <w:p w14:paraId="5558ECEF" w14:textId="77777777" w:rsidR="00571223" w:rsidRDefault="00571223" w:rsidP="0046362D">
      <w:pPr>
        <w:sectPr w:rsidR="00571223" w:rsidSect="001D3E4E">
          <w:headerReference w:type="even" r:id="rId23"/>
          <w:headerReference w:type="default" r:id="rId24"/>
          <w:footerReference w:type="even" r:id="rId25"/>
          <w:footerReference w:type="default" r:id="rId26"/>
          <w:headerReference w:type="first" r:id="rId27"/>
          <w:pgSz w:w="11907" w:h="16840" w:code="9"/>
          <w:pgMar w:top="1418" w:right="1701" w:bottom="1134" w:left="1843" w:header="284" w:footer="425" w:gutter="284"/>
          <w:pgNumType w:fmt="lowerRoman"/>
          <w:cols w:space="720"/>
        </w:sectPr>
      </w:pPr>
    </w:p>
    <w:p w14:paraId="4F867BCB" w14:textId="77777777" w:rsidR="00032C0A" w:rsidRDefault="00032C0A" w:rsidP="0046362D"/>
    <w:p w14:paraId="648D4F84" w14:textId="77777777" w:rsidR="00C86248" w:rsidRDefault="00C86248" w:rsidP="009E489C">
      <w:pPr>
        <w:pStyle w:val="IntroHead"/>
      </w:pPr>
      <w:r>
        <w:t>Contents</w:t>
      </w:r>
      <w:bookmarkEnd w:id="2"/>
      <w:bookmarkEnd w:id="3"/>
    </w:p>
    <w:p w14:paraId="3983110F" w14:textId="00415586" w:rsidR="00940E43" w:rsidRDefault="00940E43">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138428941" w:history="1">
        <w:r w:rsidRPr="0059226D">
          <w:rPr>
            <w:rStyle w:val="Hyperlink"/>
            <w:noProof/>
          </w:rPr>
          <w:t>Foreword</w:t>
        </w:r>
        <w:r>
          <w:rPr>
            <w:noProof/>
            <w:webHidden/>
          </w:rPr>
          <w:tab/>
        </w:r>
        <w:r>
          <w:rPr>
            <w:noProof/>
            <w:webHidden/>
          </w:rPr>
          <w:fldChar w:fldCharType="begin"/>
        </w:r>
        <w:r>
          <w:rPr>
            <w:noProof/>
            <w:webHidden/>
          </w:rPr>
          <w:instrText xml:space="preserve"> PAGEREF _Toc138428941 \h </w:instrText>
        </w:r>
        <w:r>
          <w:rPr>
            <w:noProof/>
            <w:webHidden/>
          </w:rPr>
        </w:r>
        <w:r>
          <w:rPr>
            <w:noProof/>
            <w:webHidden/>
          </w:rPr>
          <w:fldChar w:fldCharType="separate"/>
        </w:r>
        <w:r w:rsidR="00A345F8">
          <w:rPr>
            <w:noProof/>
            <w:webHidden/>
          </w:rPr>
          <w:t>iii</w:t>
        </w:r>
        <w:r>
          <w:rPr>
            <w:noProof/>
            <w:webHidden/>
          </w:rPr>
          <w:fldChar w:fldCharType="end"/>
        </w:r>
      </w:hyperlink>
    </w:p>
    <w:p w14:paraId="743230EE" w14:textId="08102CC2" w:rsidR="00940E43" w:rsidRDefault="00161918">
      <w:pPr>
        <w:pStyle w:val="TOC1"/>
        <w:rPr>
          <w:rFonts w:asciiTheme="minorHAnsi" w:eastAsiaTheme="minorEastAsia" w:hAnsiTheme="minorHAnsi" w:cstheme="minorBidi"/>
          <w:noProof/>
          <w:sz w:val="22"/>
          <w:szCs w:val="22"/>
          <w:lang w:eastAsia="en-NZ"/>
        </w:rPr>
      </w:pPr>
      <w:hyperlink w:anchor="_Toc138428942" w:history="1">
        <w:r w:rsidR="00940E43" w:rsidRPr="0059226D">
          <w:rPr>
            <w:rStyle w:val="Hyperlink"/>
            <w:noProof/>
          </w:rPr>
          <w:t>Introduction</w:t>
        </w:r>
        <w:r w:rsidR="00940E43">
          <w:rPr>
            <w:noProof/>
            <w:webHidden/>
          </w:rPr>
          <w:tab/>
        </w:r>
        <w:r w:rsidR="00940E43">
          <w:rPr>
            <w:noProof/>
            <w:webHidden/>
          </w:rPr>
          <w:fldChar w:fldCharType="begin"/>
        </w:r>
        <w:r w:rsidR="00940E43">
          <w:rPr>
            <w:noProof/>
            <w:webHidden/>
          </w:rPr>
          <w:instrText xml:space="preserve"> PAGEREF _Toc138428942 \h </w:instrText>
        </w:r>
        <w:r w:rsidR="00940E43">
          <w:rPr>
            <w:noProof/>
            <w:webHidden/>
          </w:rPr>
        </w:r>
        <w:r w:rsidR="00940E43">
          <w:rPr>
            <w:noProof/>
            <w:webHidden/>
          </w:rPr>
          <w:fldChar w:fldCharType="separate"/>
        </w:r>
        <w:r w:rsidR="00A345F8">
          <w:rPr>
            <w:noProof/>
            <w:webHidden/>
          </w:rPr>
          <w:t>1</w:t>
        </w:r>
        <w:r w:rsidR="00940E43">
          <w:rPr>
            <w:noProof/>
            <w:webHidden/>
          </w:rPr>
          <w:fldChar w:fldCharType="end"/>
        </w:r>
      </w:hyperlink>
    </w:p>
    <w:p w14:paraId="448C1B6A" w14:textId="4329DD93" w:rsidR="00940E43" w:rsidRDefault="00161918">
      <w:pPr>
        <w:pStyle w:val="TOC2"/>
        <w:rPr>
          <w:rFonts w:asciiTheme="minorHAnsi" w:eastAsiaTheme="minorEastAsia" w:hAnsiTheme="minorHAnsi" w:cstheme="minorBidi"/>
          <w:noProof/>
          <w:szCs w:val="22"/>
          <w:lang w:eastAsia="en-NZ"/>
        </w:rPr>
      </w:pPr>
      <w:hyperlink w:anchor="_Toc138428943" w:history="1">
        <w:r w:rsidR="00940E43" w:rsidRPr="0059226D">
          <w:rPr>
            <w:rStyle w:val="Hyperlink"/>
            <w:noProof/>
          </w:rPr>
          <w:t>About this report</w:t>
        </w:r>
        <w:r w:rsidR="00940E43">
          <w:rPr>
            <w:noProof/>
            <w:webHidden/>
          </w:rPr>
          <w:tab/>
        </w:r>
        <w:r w:rsidR="00940E43">
          <w:rPr>
            <w:noProof/>
            <w:webHidden/>
          </w:rPr>
          <w:fldChar w:fldCharType="begin"/>
        </w:r>
        <w:r w:rsidR="00940E43">
          <w:rPr>
            <w:noProof/>
            <w:webHidden/>
          </w:rPr>
          <w:instrText xml:space="preserve"> PAGEREF _Toc138428943 \h </w:instrText>
        </w:r>
        <w:r w:rsidR="00940E43">
          <w:rPr>
            <w:noProof/>
            <w:webHidden/>
          </w:rPr>
        </w:r>
        <w:r w:rsidR="00940E43">
          <w:rPr>
            <w:noProof/>
            <w:webHidden/>
          </w:rPr>
          <w:fldChar w:fldCharType="separate"/>
        </w:r>
        <w:r w:rsidR="00A345F8">
          <w:rPr>
            <w:noProof/>
            <w:webHidden/>
          </w:rPr>
          <w:t>1</w:t>
        </w:r>
        <w:r w:rsidR="00940E43">
          <w:rPr>
            <w:noProof/>
            <w:webHidden/>
          </w:rPr>
          <w:fldChar w:fldCharType="end"/>
        </w:r>
      </w:hyperlink>
    </w:p>
    <w:p w14:paraId="4E047C36" w14:textId="2BE755EC" w:rsidR="00940E43" w:rsidRDefault="00161918">
      <w:pPr>
        <w:pStyle w:val="TOC2"/>
        <w:rPr>
          <w:rFonts w:asciiTheme="minorHAnsi" w:eastAsiaTheme="minorEastAsia" w:hAnsiTheme="minorHAnsi" w:cstheme="minorBidi"/>
          <w:noProof/>
          <w:szCs w:val="22"/>
          <w:lang w:eastAsia="en-NZ"/>
        </w:rPr>
      </w:pPr>
      <w:hyperlink w:anchor="_Toc138428944" w:history="1">
        <w:r w:rsidR="00940E43" w:rsidRPr="0059226D">
          <w:rPr>
            <w:rStyle w:val="Hyperlink"/>
            <w:noProof/>
          </w:rPr>
          <w:t>Role of the Registrar (assisted dying)</w:t>
        </w:r>
        <w:r w:rsidR="00940E43">
          <w:rPr>
            <w:noProof/>
            <w:webHidden/>
          </w:rPr>
          <w:tab/>
        </w:r>
        <w:r w:rsidR="00940E43">
          <w:rPr>
            <w:noProof/>
            <w:webHidden/>
          </w:rPr>
          <w:fldChar w:fldCharType="begin"/>
        </w:r>
        <w:r w:rsidR="00940E43">
          <w:rPr>
            <w:noProof/>
            <w:webHidden/>
          </w:rPr>
          <w:instrText xml:space="preserve"> PAGEREF _Toc138428944 \h </w:instrText>
        </w:r>
        <w:r w:rsidR="00940E43">
          <w:rPr>
            <w:noProof/>
            <w:webHidden/>
          </w:rPr>
        </w:r>
        <w:r w:rsidR="00940E43">
          <w:rPr>
            <w:noProof/>
            <w:webHidden/>
          </w:rPr>
          <w:fldChar w:fldCharType="separate"/>
        </w:r>
        <w:r w:rsidR="00A345F8">
          <w:rPr>
            <w:noProof/>
            <w:webHidden/>
          </w:rPr>
          <w:t>1</w:t>
        </w:r>
        <w:r w:rsidR="00940E43">
          <w:rPr>
            <w:noProof/>
            <w:webHidden/>
          </w:rPr>
          <w:fldChar w:fldCharType="end"/>
        </w:r>
      </w:hyperlink>
    </w:p>
    <w:p w14:paraId="1D1E0121" w14:textId="4C1A8BCA" w:rsidR="00940E43" w:rsidRDefault="00161918">
      <w:pPr>
        <w:pStyle w:val="TOC1"/>
        <w:rPr>
          <w:rFonts w:asciiTheme="minorHAnsi" w:eastAsiaTheme="minorEastAsia" w:hAnsiTheme="minorHAnsi" w:cstheme="minorBidi"/>
          <w:noProof/>
          <w:sz w:val="22"/>
          <w:szCs w:val="22"/>
          <w:lang w:eastAsia="en-NZ"/>
        </w:rPr>
      </w:pPr>
      <w:hyperlink w:anchor="_Toc138428945" w:history="1">
        <w:r w:rsidR="00940E43" w:rsidRPr="0059226D">
          <w:rPr>
            <w:rStyle w:val="Hyperlink"/>
            <w:noProof/>
          </w:rPr>
          <w:t>The assisted dying service in New Zealand Aotearoa</w:t>
        </w:r>
        <w:r w:rsidR="00940E43">
          <w:rPr>
            <w:noProof/>
            <w:webHidden/>
          </w:rPr>
          <w:tab/>
        </w:r>
        <w:r w:rsidR="00940E43">
          <w:rPr>
            <w:noProof/>
            <w:webHidden/>
          </w:rPr>
          <w:fldChar w:fldCharType="begin"/>
        </w:r>
        <w:r w:rsidR="00940E43">
          <w:rPr>
            <w:noProof/>
            <w:webHidden/>
          </w:rPr>
          <w:instrText xml:space="preserve"> PAGEREF _Toc138428945 \h </w:instrText>
        </w:r>
        <w:r w:rsidR="00940E43">
          <w:rPr>
            <w:noProof/>
            <w:webHidden/>
          </w:rPr>
        </w:r>
        <w:r w:rsidR="00940E43">
          <w:rPr>
            <w:noProof/>
            <w:webHidden/>
          </w:rPr>
          <w:fldChar w:fldCharType="separate"/>
        </w:r>
        <w:r w:rsidR="00A345F8">
          <w:rPr>
            <w:noProof/>
            <w:webHidden/>
          </w:rPr>
          <w:t>2</w:t>
        </w:r>
        <w:r w:rsidR="00940E43">
          <w:rPr>
            <w:noProof/>
            <w:webHidden/>
          </w:rPr>
          <w:fldChar w:fldCharType="end"/>
        </w:r>
      </w:hyperlink>
    </w:p>
    <w:p w14:paraId="231E1CD7" w14:textId="6D6B526A" w:rsidR="00940E43" w:rsidRDefault="00161918">
      <w:pPr>
        <w:pStyle w:val="TOC2"/>
        <w:rPr>
          <w:rFonts w:asciiTheme="minorHAnsi" w:eastAsiaTheme="minorEastAsia" w:hAnsiTheme="minorHAnsi" w:cstheme="minorBidi"/>
          <w:noProof/>
          <w:szCs w:val="22"/>
          <w:lang w:eastAsia="en-NZ"/>
        </w:rPr>
      </w:pPr>
      <w:hyperlink w:anchor="_Toc138428946" w:history="1">
        <w:r w:rsidR="00940E43" w:rsidRPr="0059226D">
          <w:rPr>
            <w:rStyle w:val="Hyperlink"/>
            <w:noProof/>
          </w:rPr>
          <w:t>Mate whakaahuru</w:t>
        </w:r>
        <w:r w:rsidR="00940E43">
          <w:rPr>
            <w:noProof/>
            <w:webHidden/>
          </w:rPr>
          <w:tab/>
        </w:r>
        <w:r w:rsidR="00940E43">
          <w:rPr>
            <w:noProof/>
            <w:webHidden/>
          </w:rPr>
          <w:fldChar w:fldCharType="begin"/>
        </w:r>
        <w:r w:rsidR="00940E43">
          <w:rPr>
            <w:noProof/>
            <w:webHidden/>
          </w:rPr>
          <w:instrText xml:space="preserve"> PAGEREF _Toc138428946 \h </w:instrText>
        </w:r>
        <w:r w:rsidR="00940E43">
          <w:rPr>
            <w:noProof/>
            <w:webHidden/>
          </w:rPr>
        </w:r>
        <w:r w:rsidR="00940E43">
          <w:rPr>
            <w:noProof/>
            <w:webHidden/>
          </w:rPr>
          <w:fldChar w:fldCharType="separate"/>
        </w:r>
        <w:r w:rsidR="00A345F8">
          <w:rPr>
            <w:noProof/>
            <w:webHidden/>
          </w:rPr>
          <w:t>2</w:t>
        </w:r>
        <w:r w:rsidR="00940E43">
          <w:rPr>
            <w:noProof/>
            <w:webHidden/>
          </w:rPr>
          <w:fldChar w:fldCharType="end"/>
        </w:r>
      </w:hyperlink>
    </w:p>
    <w:p w14:paraId="55453361" w14:textId="0D0601A6" w:rsidR="00940E43" w:rsidRDefault="00161918">
      <w:pPr>
        <w:pStyle w:val="TOC2"/>
        <w:rPr>
          <w:rFonts w:asciiTheme="minorHAnsi" w:eastAsiaTheme="minorEastAsia" w:hAnsiTheme="minorHAnsi" w:cstheme="minorBidi"/>
          <w:noProof/>
          <w:szCs w:val="22"/>
          <w:lang w:eastAsia="en-NZ"/>
        </w:rPr>
      </w:pPr>
      <w:hyperlink w:anchor="_Toc138428947" w:history="1">
        <w:r w:rsidR="00940E43" w:rsidRPr="0059226D">
          <w:rPr>
            <w:rStyle w:val="Hyperlink"/>
            <w:noProof/>
          </w:rPr>
          <w:t>The End of Life Choice Act 2019</w:t>
        </w:r>
        <w:r w:rsidR="00940E43">
          <w:rPr>
            <w:noProof/>
            <w:webHidden/>
          </w:rPr>
          <w:tab/>
        </w:r>
        <w:r w:rsidR="00940E43">
          <w:rPr>
            <w:noProof/>
            <w:webHidden/>
          </w:rPr>
          <w:fldChar w:fldCharType="begin"/>
        </w:r>
        <w:r w:rsidR="00940E43">
          <w:rPr>
            <w:noProof/>
            <w:webHidden/>
          </w:rPr>
          <w:instrText xml:space="preserve"> PAGEREF _Toc138428947 \h </w:instrText>
        </w:r>
        <w:r w:rsidR="00940E43">
          <w:rPr>
            <w:noProof/>
            <w:webHidden/>
          </w:rPr>
        </w:r>
        <w:r w:rsidR="00940E43">
          <w:rPr>
            <w:noProof/>
            <w:webHidden/>
          </w:rPr>
          <w:fldChar w:fldCharType="separate"/>
        </w:r>
        <w:r w:rsidR="00A345F8">
          <w:rPr>
            <w:noProof/>
            <w:webHidden/>
          </w:rPr>
          <w:t>2</w:t>
        </w:r>
        <w:r w:rsidR="00940E43">
          <w:rPr>
            <w:noProof/>
            <w:webHidden/>
          </w:rPr>
          <w:fldChar w:fldCharType="end"/>
        </w:r>
      </w:hyperlink>
    </w:p>
    <w:p w14:paraId="5AD0F0D2" w14:textId="74394D43" w:rsidR="00940E43" w:rsidRDefault="00161918">
      <w:pPr>
        <w:pStyle w:val="TOC2"/>
        <w:rPr>
          <w:rFonts w:asciiTheme="minorHAnsi" w:eastAsiaTheme="minorEastAsia" w:hAnsiTheme="minorHAnsi" w:cstheme="minorBidi"/>
          <w:noProof/>
          <w:szCs w:val="22"/>
          <w:lang w:eastAsia="en-NZ"/>
        </w:rPr>
      </w:pPr>
      <w:hyperlink w:anchor="_Toc138428948" w:history="1">
        <w:r w:rsidR="00940E43" w:rsidRPr="0059226D">
          <w:rPr>
            <w:rStyle w:val="Hyperlink"/>
            <w:noProof/>
          </w:rPr>
          <w:t>Standard of Care and Clinical Guideline</w:t>
        </w:r>
        <w:r w:rsidR="00940E43">
          <w:rPr>
            <w:noProof/>
            <w:webHidden/>
          </w:rPr>
          <w:tab/>
        </w:r>
        <w:r w:rsidR="00940E43">
          <w:rPr>
            <w:noProof/>
            <w:webHidden/>
          </w:rPr>
          <w:fldChar w:fldCharType="begin"/>
        </w:r>
        <w:r w:rsidR="00940E43">
          <w:rPr>
            <w:noProof/>
            <w:webHidden/>
          </w:rPr>
          <w:instrText xml:space="preserve"> PAGEREF _Toc138428948 \h </w:instrText>
        </w:r>
        <w:r w:rsidR="00940E43">
          <w:rPr>
            <w:noProof/>
            <w:webHidden/>
          </w:rPr>
        </w:r>
        <w:r w:rsidR="00940E43">
          <w:rPr>
            <w:noProof/>
            <w:webHidden/>
          </w:rPr>
          <w:fldChar w:fldCharType="separate"/>
        </w:r>
        <w:r w:rsidR="00A345F8">
          <w:rPr>
            <w:noProof/>
            <w:webHidden/>
          </w:rPr>
          <w:t>2</w:t>
        </w:r>
        <w:r w:rsidR="00940E43">
          <w:rPr>
            <w:noProof/>
            <w:webHidden/>
          </w:rPr>
          <w:fldChar w:fldCharType="end"/>
        </w:r>
      </w:hyperlink>
    </w:p>
    <w:p w14:paraId="1CB3874D" w14:textId="609ED422" w:rsidR="00940E43" w:rsidRDefault="00161918">
      <w:pPr>
        <w:pStyle w:val="TOC2"/>
        <w:rPr>
          <w:rFonts w:asciiTheme="minorHAnsi" w:eastAsiaTheme="minorEastAsia" w:hAnsiTheme="minorHAnsi" w:cstheme="minorBidi"/>
          <w:noProof/>
          <w:szCs w:val="22"/>
          <w:lang w:eastAsia="en-NZ"/>
        </w:rPr>
      </w:pPr>
      <w:hyperlink w:anchor="_Toc138428949" w:history="1">
        <w:r w:rsidR="00940E43" w:rsidRPr="0059226D">
          <w:rPr>
            <w:rStyle w:val="Hyperlink"/>
            <w:noProof/>
          </w:rPr>
          <w:t>Supply of medications</w:t>
        </w:r>
        <w:r w:rsidR="00940E43">
          <w:rPr>
            <w:noProof/>
            <w:webHidden/>
          </w:rPr>
          <w:tab/>
        </w:r>
        <w:r w:rsidR="00940E43">
          <w:rPr>
            <w:noProof/>
            <w:webHidden/>
          </w:rPr>
          <w:fldChar w:fldCharType="begin"/>
        </w:r>
        <w:r w:rsidR="00940E43">
          <w:rPr>
            <w:noProof/>
            <w:webHidden/>
          </w:rPr>
          <w:instrText xml:space="preserve"> PAGEREF _Toc138428949 \h </w:instrText>
        </w:r>
        <w:r w:rsidR="00940E43">
          <w:rPr>
            <w:noProof/>
            <w:webHidden/>
          </w:rPr>
        </w:r>
        <w:r w:rsidR="00940E43">
          <w:rPr>
            <w:noProof/>
            <w:webHidden/>
          </w:rPr>
          <w:fldChar w:fldCharType="separate"/>
        </w:r>
        <w:r w:rsidR="00A345F8">
          <w:rPr>
            <w:noProof/>
            <w:webHidden/>
          </w:rPr>
          <w:t>3</w:t>
        </w:r>
        <w:r w:rsidR="00940E43">
          <w:rPr>
            <w:noProof/>
            <w:webHidden/>
          </w:rPr>
          <w:fldChar w:fldCharType="end"/>
        </w:r>
      </w:hyperlink>
    </w:p>
    <w:p w14:paraId="2E5A54BD" w14:textId="69E7F77E" w:rsidR="00940E43" w:rsidRDefault="00161918">
      <w:pPr>
        <w:pStyle w:val="TOC2"/>
        <w:rPr>
          <w:rFonts w:asciiTheme="minorHAnsi" w:eastAsiaTheme="minorEastAsia" w:hAnsiTheme="minorHAnsi" w:cstheme="minorBidi"/>
          <w:noProof/>
          <w:szCs w:val="22"/>
          <w:lang w:eastAsia="en-NZ"/>
        </w:rPr>
      </w:pPr>
      <w:hyperlink w:anchor="_Toc138428950" w:history="1">
        <w:r w:rsidR="00940E43" w:rsidRPr="0059226D">
          <w:rPr>
            <w:rStyle w:val="Hyperlink"/>
            <w:noProof/>
          </w:rPr>
          <w:t>The Support and Consultation for End of Life in New Zealand Group, the End of Life Review Committee and Te Apārangi: Māori Partnership Alliance</w:t>
        </w:r>
        <w:r w:rsidR="00940E43">
          <w:rPr>
            <w:noProof/>
            <w:webHidden/>
          </w:rPr>
          <w:tab/>
        </w:r>
        <w:r w:rsidR="00940E43">
          <w:rPr>
            <w:noProof/>
            <w:webHidden/>
          </w:rPr>
          <w:fldChar w:fldCharType="begin"/>
        </w:r>
        <w:r w:rsidR="00940E43">
          <w:rPr>
            <w:noProof/>
            <w:webHidden/>
          </w:rPr>
          <w:instrText xml:space="preserve"> PAGEREF _Toc138428950 \h </w:instrText>
        </w:r>
        <w:r w:rsidR="00940E43">
          <w:rPr>
            <w:noProof/>
            <w:webHidden/>
          </w:rPr>
        </w:r>
        <w:r w:rsidR="00940E43">
          <w:rPr>
            <w:noProof/>
            <w:webHidden/>
          </w:rPr>
          <w:fldChar w:fldCharType="separate"/>
        </w:r>
        <w:r w:rsidR="00A345F8">
          <w:rPr>
            <w:noProof/>
            <w:webHidden/>
          </w:rPr>
          <w:t>3</w:t>
        </w:r>
        <w:r w:rsidR="00940E43">
          <w:rPr>
            <w:noProof/>
            <w:webHidden/>
          </w:rPr>
          <w:fldChar w:fldCharType="end"/>
        </w:r>
      </w:hyperlink>
    </w:p>
    <w:p w14:paraId="5A71A03D" w14:textId="5DAF8DC8" w:rsidR="00940E43" w:rsidRDefault="00161918">
      <w:pPr>
        <w:pStyle w:val="TOC2"/>
        <w:rPr>
          <w:rFonts w:asciiTheme="minorHAnsi" w:eastAsiaTheme="minorEastAsia" w:hAnsiTheme="minorHAnsi" w:cstheme="minorBidi"/>
          <w:noProof/>
          <w:szCs w:val="22"/>
          <w:lang w:eastAsia="en-NZ"/>
        </w:rPr>
      </w:pPr>
      <w:hyperlink w:anchor="_Toc138428951" w:history="1">
        <w:r w:rsidR="00940E43" w:rsidRPr="0059226D">
          <w:rPr>
            <w:rStyle w:val="Hyperlink"/>
            <w:noProof/>
          </w:rPr>
          <w:t>The Regulatory Services Māori Caucus</w:t>
        </w:r>
        <w:r w:rsidR="00940E43">
          <w:rPr>
            <w:noProof/>
            <w:webHidden/>
          </w:rPr>
          <w:tab/>
        </w:r>
        <w:r w:rsidR="00940E43">
          <w:rPr>
            <w:noProof/>
            <w:webHidden/>
          </w:rPr>
          <w:fldChar w:fldCharType="begin"/>
        </w:r>
        <w:r w:rsidR="00940E43">
          <w:rPr>
            <w:noProof/>
            <w:webHidden/>
          </w:rPr>
          <w:instrText xml:space="preserve"> PAGEREF _Toc138428951 \h </w:instrText>
        </w:r>
        <w:r w:rsidR="00940E43">
          <w:rPr>
            <w:noProof/>
            <w:webHidden/>
          </w:rPr>
        </w:r>
        <w:r w:rsidR="00940E43">
          <w:rPr>
            <w:noProof/>
            <w:webHidden/>
          </w:rPr>
          <w:fldChar w:fldCharType="separate"/>
        </w:r>
        <w:r w:rsidR="00A345F8">
          <w:rPr>
            <w:noProof/>
            <w:webHidden/>
          </w:rPr>
          <w:t>4</w:t>
        </w:r>
        <w:r w:rsidR="00940E43">
          <w:rPr>
            <w:noProof/>
            <w:webHidden/>
          </w:rPr>
          <w:fldChar w:fldCharType="end"/>
        </w:r>
      </w:hyperlink>
    </w:p>
    <w:p w14:paraId="541D2C3C" w14:textId="3518E9A9" w:rsidR="00940E43" w:rsidRDefault="00161918">
      <w:pPr>
        <w:pStyle w:val="TOC2"/>
        <w:rPr>
          <w:rFonts w:asciiTheme="minorHAnsi" w:eastAsiaTheme="minorEastAsia" w:hAnsiTheme="minorHAnsi" w:cstheme="minorBidi"/>
          <w:noProof/>
          <w:szCs w:val="22"/>
          <w:lang w:eastAsia="en-NZ"/>
        </w:rPr>
      </w:pPr>
      <w:hyperlink w:anchor="_Toc138428952" w:history="1">
        <w:r w:rsidR="00940E43" w:rsidRPr="0059226D">
          <w:rPr>
            <w:rStyle w:val="Hyperlink"/>
            <w:noProof/>
          </w:rPr>
          <w:t>The Assisted Dying Secretariat</w:t>
        </w:r>
        <w:r w:rsidR="00940E43">
          <w:rPr>
            <w:noProof/>
            <w:webHidden/>
          </w:rPr>
          <w:tab/>
        </w:r>
        <w:r w:rsidR="00940E43">
          <w:rPr>
            <w:noProof/>
            <w:webHidden/>
          </w:rPr>
          <w:fldChar w:fldCharType="begin"/>
        </w:r>
        <w:r w:rsidR="00940E43">
          <w:rPr>
            <w:noProof/>
            <w:webHidden/>
          </w:rPr>
          <w:instrText xml:space="preserve"> PAGEREF _Toc138428952 \h </w:instrText>
        </w:r>
        <w:r w:rsidR="00940E43">
          <w:rPr>
            <w:noProof/>
            <w:webHidden/>
          </w:rPr>
        </w:r>
        <w:r w:rsidR="00940E43">
          <w:rPr>
            <w:noProof/>
            <w:webHidden/>
          </w:rPr>
          <w:fldChar w:fldCharType="separate"/>
        </w:r>
        <w:r w:rsidR="00A345F8">
          <w:rPr>
            <w:noProof/>
            <w:webHidden/>
          </w:rPr>
          <w:t>4</w:t>
        </w:r>
        <w:r w:rsidR="00940E43">
          <w:rPr>
            <w:noProof/>
            <w:webHidden/>
          </w:rPr>
          <w:fldChar w:fldCharType="end"/>
        </w:r>
      </w:hyperlink>
    </w:p>
    <w:p w14:paraId="7E36DF19" w14:textId="0E921555" w:rsidR="00940E43" w:rsidRDefault="00161918">
      <w:pPr>
        <w:pStyle w:val="TOC2"/>
        <w:rPr>
          <w:rFonts w:asciiTheme="minorHAnsi" w:eastAsiaTheme="minorEastAsia" w:hAnsiTheme="minorHAnsi" w:cstheme="minorBidi"/>
          <w:noProof/>
          <w:szCs w:val="22"/>
          <w:lang w:eastAsia="en-NZ"/>
        </w:rPr>
      </w:pPr>
      <w:hyperlink w:anchor="_Toc138428953" w:history="1">
        <w:r w:rsidR="00940E43" w:rsidRPr="0059226D">
          <w:rPr>
            <w:rStyle w:val="Hyperlink"/>
            <w:noProof/>
          </w:rPr>
          <w:t>Functions transfer</w:t>
        </w:r>
        <w:r w:rsidR="00940E43">
          <w:rPr>
            <w:noProof/>
            <w:webHidden/>
          </w:rPr>
          <w:tab/>
        </w:r>
        <w:r w:rsidR="00940E43">
          <w:rPr>
            <w:noProof/>
            <w:webHidden/>
          </w:rPr>
          <w:fldChar w:fldCharType="begin"/>
        </w:r>
        <w:r w:rsidR="00940E43">
          <w:rPr>
            <w:noProof/>
            <w:webHidden/>
          </w:rPr>
          <w:instrText xml:space="preserve"> PAGEREF _Toc138428953 \h </w:instrText>
        </w:r>
        <w:r w:rsidR="00940E43">
          <w:rPr>
            <w:noProof/>
            <w:webHidden/>
          </w:rPr>
        </w:r>
        <w:r w:rsidR="00940E43">
          <w:rPr>
            <w:noProof/>
            <w:webHidden/>
          </w:rPr>
          <w:fldChar w:fldCharType="separate"/>
        </w:r>
        <w:r w:rsidR="00A345F8">
          <w:rPr>
            <w:noProof/>
            <w:webHidden/>
          </w:rPr>
          <w:t>4</w:t>
        </w:r>
        <w:r w:rsidR="00940E43">
          <w:rPr>
            <w:noProof/>
            <w:webHidden/>
          </w:rPr>
          <w:fldChar w:fldCharType="end"/>
        </w:r>
      </w:hyperlink>
    </w:p>
    <w:p w14:paraId="1A19B21A" w14:textId="32563D43" w:rsidR="00940E43" w:rsidRDefault="00161918">
      <w:pPr>
        <w:pStyle w:val="TOC1"/>
        <w:rPr>
          <w:rFonts w:asciiTheme="minorHAnsi" w:eastAsiaTheme="minorEastAsia" w:hAnsiTheme="minorHAnsi" w:cstheme="minorBidi"/>
          <w:noProof/>
          <w:sz w:val="22"/>
          <w:szCs w:val="22"/>
          <w:lang w:eastAsia="en-NZ"/>
        </w:rPr>
      </w:pPr>
      <w:hyperlink w:anchor="_Toc138428954" w:history="1">
        <w:r w:rsidR="00940E43" w:rsidRPr="0059226D">
          <w:rPr>
            <w:rStyle w:val="Hyperlink"/>
            <w:noProof/>
          </w:rPr>
          <w:t>Reporting and Service Activity</w:t>
        </w:r>
        <w:r w:rsidR="00940E43">
          <w:rPr>
            <w:noProof/>
            <w:webHidden/>
          </w:rPr>
          <w:tab/>
        </w:r>
        <w:r w:rsidR="00940E43">
          <w:rPr>
            <w:noProof/>
            <w:webHidden/>
          </w:rPr>
          <w:fldChar w:fldCharType="begin"/>
        </w:r>
        <w:r w:rsidR="00940E43">
          <w:rPr>
            <w:noProof/>
            <w:webHidden/>
          </w:rPr>
          <w:instrText xml:space="preserve"> PAGEREF _Toc138428954 \h </w:instrText>
        </w:r>
        <w:r w:rsidR="00940E43">
          <w:rPr>
            <w:noProof/>
            <w:webHidden/>
          </w:rPr>
        </w:r>
        <w:r w:rsidR="00940E43">
          <w:rPr>
            <w:noProof/>
            <w:webHidden/>
          </w:rPr>
          <w:fldChar w:fldCharType="separate"/>
        </w:r>
        <w:r w:rsidR="00A345F8">
          <w:rPr>
            <w:noProof/>
            <w:webHidden/>
          </w:rPr>
          <w:t>6</w:t>
        </w:r>
        <w:r w:rsidR="00940E43">
          <w:rPr>
            <w:noProof/>
            <w:webHidden/>
          </w:rPr>
          <w:fldChar w:fldCharType="end"/>
        </w:r>
      </w:hyperlink>
    </w:p>
    <w:p w14:paraId="66D25833" w14:textId="0A3B0390" w:rsidR="00940E43" w:rsidRDefault="00161918">
      <w:pPr>
        <w:pStyle w:val="TOC2"/>
        <w:rPr>
          <w:rFonts w:asciiTheme="minorHAnsi" w:eastAsiaTheme="minorEastAsia" w:hAnsiTheme="minorHAnsi" w:cstheme="minorBidi"/>
          <w:noProof/>
          <w:szCs w:val="22"/>
          <w:lang w:eastAsia="en-NZ"/>
        </w:rPr>
      </w:pPr>
      <w:hyperlink w:anchor="_Toc138428955" w:history="1">
        <w:r w:rsidR="00940E43" w:rsidRPr="0059226D">
          <w:rPr>
            <w:rStyle w:val="Hyperlink"/>
            <w:noProof/>
          </w:rPr>
          <w:t>Reporting</w:t>
        </w:r>
        <w:r w:rsidR="00940E43">
          <w:rPr>
            <w:noProof/>
            <w:webHidden/>
          </w:rPr>
          <w:tab/>
        </w:r>
        <w:r w:rsidR="00940E43">
          <w:rPr>
            <w:noProof/>
            <w:webHidden/>
          </w:rPr>
          <w:fldChar w:fldCharType="begin"/>
        </w:r>
        <w:r w:rsidR="00940E43">
          <w:rPr>
            <w:noProof/>
            <w:webHidden/>
          </w:rPr>
          <w:instrText xml:space="preserve"> PAGEREF _Toc138428955 \h </w:instrText>
        </w:r>
        <w:r w:rsidR="00940E43">
          <w:rPr>
            <w:noProof/>
            <w:webHidden/>
          </w:rPr>
        </w:r>
        <w:r w:rsidR="00940E43">
          <w:rPr>
            <w:noProof/>
            <w:webHidden/>
          </w:rPr>
          <w:fldChar w:fldCharType="separate"/>
        </w:r>
        <w:r w:rsidR="00A345F8">
          <w:rPr>
            <w:noProof/>
            <w:webHidden/>
          </w:rPr>
          <w:t>6</w:t>
        </w:r>
        <w:r w:rsidR="00940E43">
          <w:rPr>
            <w:noProof/>
            <w:webHidden/>
          </w:rPr>
          <w:fldChar w:fldCharType="end"/>
        </w:r>
      </w:hyperlink>
    </w:p>
    <w:p w14:paraId="2E8E84AE" w14:textId="623F8DDE" w:rsidR="00940E43" w:rsidRDefault="00161918">
      <w:pPr>
        <w:pStyle w:val="TOC2"/>
        <w:rPr>
          <w:rFonts w:asciiTheme="minorHAnsi" w:eastAsiaTheme="minorEastAsia" w:hAnsiTheme="minorHAnsi" w:cstheme="minorBidi"/>
          <w:noProof/>
          <w:szCs w:val="22"/>
          <w:lang w:eastAsia="en-NZ"/>
        </w:rPr>
      </w:pPr>
      <w:hyperlink w:anchor="_Toc138428956" w:history="1">
        <w:r w:rsidR="00940E43" w:rsidRPr="0059226D">
          <w:rPr>
            <w:rStyle w:val="Hyperlink"/>
            <w:noProof/>
          </w:rPr>
          <w:t>Overview of assisted dying applications</w:t>
        </w:r>
        <w:r w:rsidR="00940E43">
          <w:rPr>
            <w:noProof/>
            <w:webHidden/>
          </w:rPr>
          <w:tab/>
        </w:r>
        <w:r w:rsidR="00940E43">
          <w:rPr>
            <w:noProof/>
            <w:webHidden/>
          </w:rPr>
          <w:fldChar w:fldCharType="begin"/>
        </w:r>
        <w:r w:rsidR="00940E43">
          <w:rPr>
            <w:noProof/>
            <w:webHidden/>
          </w:rPr>
          <w:instrText xml:space="preserve"> PAGEREF _Toc138428956 \h </w:instrText>
        </w:r>
        <w:r w:rsidR="00940E43">
          <w:rPr>
            <w:noProof/>
            <w:webHidden/>
          </w:rPr>
        </w:r>
        <w:r w:rsidR="00940E43">
          <w:rPr>
            <w:noProof/>
            <w:webHidden/>
          </w:rPr>
          <w:fldChar w:fldCharType="separate"/>
        </w:r>
        <w:r w:rsidR="00A345F8">
          <w:rPr>
            <w:noProof/>
            <w:webHidden/>
          </w:rPr>
          <w:t>6</w:t>
        </w:r>
        <w:r w:rsidR="00940E43">
          <w:rPr>
            <w:noProof/>
            <w:webHidden/>
          </w:rPr>
          <w:fldChar w:fldCharType="end"/>
        </w:r>
      </w:hyperlink>
    </w:p>
    <w:p w14:paraId="2C84CD1F" w14:textId="150E2B30" w:rsidR="00940E43" w:rsidRDefault="00161918">
      <w:pPr>
        <w:pStyle w:val="TOC2"/>
        <w:rPr>
          <w:rFonts w:asciiTheme="minorHAnsi" w:eastAsiaTheme="minorEastAsia" w:hAnsiTheme="minorHAnsi" w:cstheme="minorBidi"/>
          <w:noProof/>
          <w:szCs w:val="22"/>
          <w:lang w:eastAsia="en-NZ"/>
        </w:rPr>
      </w:pPr>
      <w:hyperlink w:anchor="_Toc138428957" w:history="1">
        <w:r w:rsidR="00940E43" w:rsidRPr="0059226D">
          <w:rPr>
            <w:rStyle w:val="Hyperlink"/>
            <w:noProof/>
          </w:rPr>
          <w:t>Assisted deaths</w:t>
        </w:r>
        <w:r w:rsidR="00940E43">
          <w:rPr>
            <w:noProof/>
            <w:webHidden/>
          </w:rPr>
          <w:tab/>
        </w:r>
        <w:r w:rsidR="00940E43">
          <w:rPr>
            <w:noProof/>
            <w:webHidden/>
          </w:rPr>
          <w:fldChar w:fldCharType="begin"/>
        </w:r>
        <w:r w:rsidR="00940E43">
          <w:rPr>
            <w:noProof/>
            <w:webHidden/>
          </w:rPr>
          <w:instrText xml:space="preserve"> PAGEREF _Toc138428957 \h </w:instrText>
        </w:r>
        <w:r w:rsidR="00940E43">
          <w:rPr>
            <w:noProof/>
            <w:webHidden/>
          </w:rPr>
        </w:r>
        <w:r w:rsidR="00940E43">
          <w:rPr>
            <w:noProof/>
            <w:webHidden/>
          </w:rPr>
          <w:fldChar w:fldCharType="separate"/>
        </w:r>
        <w:r w:rsidR="00A345F8">
          <w:rPr>
            <w:noProof/>
            <w:webHidden/>
          </w:rPr>
          <w:t>9</w:t>
        </w:r>
        <w:r w:rsidR="00940E43">
          <w:rPr>
            <w:noProof/>
            <w:webHidden/>
          </w:rPr>
          <w:fldChar w:fldCharType="end"/>
        </w:r>
      </w:hyperlink>
    </w:p>
    <w:p w14:paraId="7DBDE3CB" w14:textId="7B62142C" w:rsidR="00940E43" w:rsidRDefault="00161918">
      <w:pPr>
        <w:pStyle w:val="TOC1"/>
        <w:rPr>
          <w:rFonts w:asciiTheme="minorHAnsi" w:eastAsiaTheme="minorEastAsia" w:hAnsiTheme="minorHAnsi" w:cstheme="minorBidi"/>
          <w:noProof/>
          <w:sz w:val="22"/>
          <w:szCs w:val="22"/>
          <w:lang w:eastAsia="en-NZ"/>
        </w:rPr>
      </w:pPr>
      <w:hyperlink w:anchor="_Toc138428958" w:history="1">
        <w:r w:rsidR="00940E43" w:rsidRPr="0059226D">
          <w:rPr>
            <w:rStyle w:val="Hyperlink"/>
            <w:noProof/>
          </w:rPr>
          <w:t>Assisted dying workforce</w:t>
        </w:r>
        <w:r w:rsidR="00940E43">
          <w:rPr>
            <w:noProof/>
            <w:webHidden/>
          </w:rPr>
          <w:tab/>
        </w:r>
        <w:r w:rsidR="00940E43">
          <w:rPr>
            <w:noProof/>
            <w:webHidden/>
          </w:rPr>
          <w:fldChar w:fldCharType="begin"/>
        </w:r>
        <w:r w:rsidR="00940E43">
          <w:rPr>
            <w:noProof/>
            <w:webHidden/>
          </w:rPr>
          <w:instrText xml:space="preserve"> PAGEREF _Toc138428958 \h </w:instrText>
        </w:r>
        <w:r w:rsidR="00940E43">
          <w:rPr>
            <w:noProof/>
            <w:webHidden/>
          </w:rPr>
        </w:r>
        <w:r w:rsidR="00940E43">
          <w:rPr>
            <w:noProof/>
            <w:webHidden/>
          </w:rPr>
          <w:fldChar w:fldCharType="separate"/>
        </w:r>
        <w:r w:rsidR="00A345F8">
          <w:rPr>
            <w:noProof/>
            <w:webHidden/>
          </w:rPr>
          <w:t>13</w:t>
        </w:r>
        <w:r w:rsidR="00940E43">
          <w:rPr>
            <w:noProof/>
            <w:webHidden/>
          </w:rPr>
          <w:fldChar w:fldCharType="end"/>
        </w:r>
      </w:hyperlink>
    </w:p>
    <w:p w14:paraId="78D8D229" w14:textId="0D967A0D" w:rsidR="00940E43" w:rsidRDefault="00161918">
      <w:pPr>
        <w:pStyle w:val="TOC2"/>
        <w:rPr>
          <w:rFonts w:asciiTheme="minorHAnsi" w:eastAsiaTheme="minorEastAsia" w:hAnsiTheme="minorHAnsi" w:cstheme="minorBidi"/>
          <w:noProof/>
          <w:szCs w:val="22"/>
          <w:lang w:eastAsia="en-NZ"/>
        </w:rPr>
      </w:pPr>
      <w:hyperlink w:anchor="_Toc138428959" w:history="1">
        <w:r w:rsidR="00940E43" w:rsidRPr="0059226D">
          <w:rPr>
            <w:rStyle w:val="Hyperlink"/>
            <w:noProof/>
          </w:rPr>
          <w:t>SCENZ Group practitioner lists</w:t>
        </w:r>
        <w:r w:rsidR="00940E43">
          <w:rPr>
            <w:noProof/>
            <w:webHidden/>
          </w:rPr>
          <w:tab/>
        </w:r>
        <w:r w:rsidR="00940E43">
          <w:rPr>
            <w:noProof/>
            <w:webHidden/>
          </w:rPr>
          <w:fldChar w:fldCharType="begin"/>
        </w:r>
        <w:r w:rsidR="00940E43">
          <w:rPr>
            <w:noProof/>
            <w:webHidden/>
          </w:rPr>
          <w:instrText xml:space="preserve"> PAGEREF _Toc138428959 \h </w:instrText>
        </w:r>
        <w:r w:rsidR="00940E43">
          <w:rPr>
            <w:noProof/>
            <w:webHidden/>
          </w:rPr>
        </w:r>
        <w:r w:rsidR="00940E43">
          <w:rPr>
            <w:noProof/>
            <w:webHidden/>
          </w:rPr>
          <w:fldChar w:fldCharType="separate"/>
        </w:r>
        <w:r w:rsidR="00A345F8">
          <w:rPr>
            <w:noProof/>
            <w:webHidden/>
          </w:rPr>
          <w:t>13</w:t>
        </w:r>
        <w:r w:rsidR="00940E43">
          <w:rPr>
            <w:noProof/>
            <w:webHidden/>
          </w:rPr>
          <w:fldChar w:fldCharType="end"/>
        </w:r>
      </w:hyperlink>
    </w:p>
    <w:p w14:paraId="310372FF" w14:textId="66620144" w:rsidR="00940E43" w:rsidRDefault="00161918">
      <w:pPr>
        <w:pStyle w:val="TOC2"/>
        <w:rPr>
          <w:rFonts w:asciiTheme="minorHAnsi" w:eastAsiaTheme="minorEastAsia" w:hAnsiTheme="minorHAnsi" w:cstheme="minorBidi"/>
          <w:noProof/>
          <w:szCs w:val="22"/>
          <w:lang w:eastAsia="en-NZ"/>
        </w:rPr>
      </w:pPr>
      <w:hyperlink w:anchor="_Toc138428960" w:history="1">
        <w:r w:rsidR="00940E43" w:rsidRPr="0059226D">
          <w:rPr>
            <w:rStyle w:val="Hyperlink"/>
            <w:noProof/>
          </w:rPr>
          <w:t>Workforce training</w:t>
        </w:r>
        <w:r w:rsidR="00940E43">
          <w:rPr>
            <w:noProof/>
            <w:webHidden/>
          </w:rPr>
          <w:tab/>
        </w:r>
        <w:r w:rsidR="00940E43">
          <w:rPr>
            <w:noProof/>
            <w:webHidden/>
          </w:rPr>
          <w:fldChar w:fldCharType="begin"/>
        </w:r>
        <w:r w:rsidR="00940E43">
          <w:rPr>
            <w:noProof/>
            <w:webHidden/>
          </w:rPr>
          <w:instrText xml:space="preserve"> PAGEREF _Toc138428960 \h </w:instrText>
        </w:r>
        <w:r w:rsidR="00940E43">
          <w:rPr>
            <w:noProof/>
            <w:webHidden/>
          </w:rPr>
        </w:r>
        <w:r w:rsidR="00940E43">
          <w:rPr>
            <w:noProof/>
            <w:webHidden/>
          </w:rPr>
          <w:fldChar w:fldCharType="separate"/>
        </w:r>
        <w:r w:rsidR="00A345F8">
          <w:rPr>
            <w:noProof/>
            <w:webHidden/>
          </w:rPr>
          <w:t>14</w:t>
        </w:r>
        <w:r w:rsidR="00940E43">
          <w:rPr>
            <w:noProof/>
            <w:webHidden/>
          </w:rPr>
          <w:fldChar w:fldCharType="end"/>
        </w:r>
      </w:hyperlink>
    </w:p>
    <w:p w14:paraId="6C5F5D1A" w14:textId="5C1640DF" w:rsidR="00940E43" w:rsidRDefault="00161918">
      <w:pPr>
        <w:pStyle w:val="TOC2"/>
        <w:rPr>
          <w:rFonts w:asciiTheme="minorHAnsi" w:eastAsiaTheme="minorEastAsia" w:hAnsiTheme="minorHAnsi" w:cstheme="minorBidi"/>
          <w:noProof/>
          <w:szCs w:val="22"/>
          <w:lang w:eastAsia="en-NZ"/>
        </w:rPr>
      </w:pPr>
      <w:hyperlink w:anchor="_Toc138428961" w:history="1">
        <w:r w:rsidR="00940E43" w:rsidRPr="0059226D">
          <w:rPr>
            <w:rStyle w:val="Hyperlink"/>
            <w:noProof/>
          </w:rPr>
          <w:t>Supporting practitioners</w:t>
        </w:r>
        <w:r w:rsidR="00940E43">
          <w:rPr>
            <w:noProof/>
            <w:webHidden/>
          </w:rPr>
          <w:tab/>
        </w:r>
        <w:r w:rsidR="00940E43">
          <w:rPr>
            <w:noProof/>
            <w:webHidden/>
          </w:rPr>
          <w:fldChar w:fldCharType="begin"/>
        </w:r>
        <w:r w:rsidR="00940E43">
          <w:rPr>
            <w:noProof/>
            <w:webHidden/>
          </w:rPr>
          <w:instrText xml:space="preserve"> PAGEREF _Toc138428961 \h </w:instrText>
        </w:r>
        <w:r w:rsidR="00940E43">
          <w:rPr>
            <w:noProof/>
            <w:webHidden/>
          </w:rPr>
        </w:r>
        <w:r w:rsidR="00940E43">
          <w:rPr>
            <w:noProof/>
            <w:webHidden/>
          </w:rPr>
          <w:fldChar w:fldCharType="separate"/>
        </w:r>
        <w:r w:rsidR="00A345F8">
          <w:rPr>
            <w:noProof/>
            <w:webHidden/>
          </w:rPr>
          <w:t>14</w:t>
        </w:r>
        <w:r w:rsidR="00940E43">
          <w:rPr>
            <w:noProof/>
            <w:webHidden/>
          </w:rPr>
          <w:fldChar w:fldCharType="end"/>
        </w:r>
      </w:hyperlink>
    </w:p>
    <w:p w14:paraId="21839EB1" w14:textId="566752DD" w:rsidR="00940E43" w:rsidRDefault="00161918">
      <w:pPr>
        <w:pStyle w:val="TOC2"/>
        <w:rPr>
          <w:rFonts w:asciiTheme="minorHAnsi" w:eastAsiaTheme="minorEastAsia" w:hAnsiTheme="minorHAnsi" w:cstheme="minorBidi"/>
          <w:noProof/>
          <w:szCs w:val="22"/>
          <w:lang w:eastAsia="en-NZ"/>
        </w:rPr>
      </w:pPr>
      <w:hyperlink w:anchor="_Toc138428962" w:history="1">
        <w:r w:rsidR="00940E43" w:rsidRPr="0059226D">
          <w:rPr>
            <w:rStyle w:val="Hyperlink"/>
            <w:noProof/>
          </w:rPr>
          <w:t>Receiving feedback, queries, and complaints</w:t>
        </w:r>
        <w:r w:rsidR="00940E43">
          <w:rPr>
            <w:noProof/>
            <w:webHidden/>
          </w:rPr>
          <w:tab/>
        </w:r>
        <w:r w:rsidR="00940E43">
          <w:rPr>
            <w:noProof/>
            <w:webHidden/>
          </w:rPr>
          <w:fldChar w:fldCharType="begin"/>
        </w:r>
        <w:r w:rsidR="00940E43">
          <w:rPr>
            <w:noProof/>
            <w:webHidden/>
          </w:rPr>
          <w:instrText xml:space="preserve"> PAGEREF _Toc138428962 \h </w:instrText>
        </w:r>
        <w:r w:rsidR="00940E43">
          <w:rPr>
            <w:noProof/>
            <w:webHidden/>
          </w:rPr>
        </w:r>
        <w:r w:rsidR="00940E43">
          <w:rPr>
            <w:noProof/>
            <w:webHidden/>
          </w:rPr>
          <w:fldChar w:fldCharType="separate"/>
        </w:r>
        <w:r w:rsidR="00A345F8">
          <w:rPr>
            <w:noProof/>
            <w:webHidden/>
          </w:rPr>
          <w:t>16</w:t>
        </w:r>
        <w:r w:rsidR="00940E43">
          <w:rPr>
            <w:noProof/>
            <w:webHidden/>
          </w:rPr>
          <w:fldChar w:fldCharType="end"/>
        </w:r>
      </w:hyperlink>
    </w:p>
    <w:p w14:paraId="516BA3AC" w14:textId="1A9FD2E7" w:rsidR="00940E43" w:rsidRDefault="00161918">
      <w:pPr>
        <w:pStyle w:val="TOC2"/>
        <w:rPr>
          <w:rFonts w:asciiTheme="minorHAnsi" w:eastAsiaTheme="minorEastAsia" w:hAnsiTheme="minorHAnsi" w:cstheme="minorBidi"/>
          <w:noProof/>
          <w:szCs w:val="22"/>
          <w:lang w:eastAsia="en-NZ"/>
        </w:rPr>
      </w:pPr>
      <w:hyperlink w:anchor="_Toc138428963" w:history="1">
        <w:r w:rsidR="00940E43" w:rsidRPr="0059226D">
          <w:rPr>
            <w:rStyle w:val="Hyperlink"/>
            <w:noProof/>
          </w:rPr>
          <w:t>Complaints process and responsibilities</w:t>
        </w:r>
        <w:r w:rsidR="00940E43">
          <w:rPr>
            <w:noProof/>
            <w:webHidden/>
          </w:rPr>
          <w:tab/>
        </w:r>
        <w:r w:rsidR="00940E43">
          <w:rPr>
            <w:noProof/>
            <w:webHidden/>
          </w:rPr>
          <w:fldChar w:fldCharType="begin"/>
        </w:r>
        <w:r w:rsidR="00940E43">
          <w:rPr>
            <w:noProof/>
            <w:webHidden/>
          </w:rPr>
          <w:instrText xml:space="preserve"> PAGEREF _Toc138428963 \h </w:instrText>
        </w:r>
        <w:r w:rsidR="00940E43">
          <w:rPr>
            <w:noProof/>
            <w:webHidden/>
          </w:rPr>
        </w:r>
        <w:r w:rsidR="00940E43">
          <w:rPr>
            <w:noProof/>
            <w:webHidden/>
          </w:rPr>
          <w:fldChar w:fldCharType="separate"/>
        </w:r>
        <w:r w:rsidR="00A345F8">
          <w:rPr>
            <w:noProof/>
            <w:webHidden/>
          </w:rPr>
          <w:t>16</w:t>
        </w:r>
        <w:r w:rsidR="00940E43">
          <w:rPr>
            <w:noProof/>
            <w:webHidden/>
          </w:rPr>
          <w:fldChar w:fldCharType="end"/>
        </w:r>
      </w:hyperlink>
    </w:p>
    <w:p w14:paraId="2972E03E" w14:textId="16C6AD1F" w:rsidR="00940E43" w:rsidRDefault="00161918">
      <w:pPr>
        <w:pStyle w:val="TOC2"/>
        <w:rPr>
          <w:rFonts w:asciiTheme="minorHAnsi" w:eastAsiaTheme="minorEastAsia" w:hAnsiTheme="minorHAnsi" w:cstheme="minorBidi"/>
          <w:noProof/>
          <w:szCs w:val="22"/>
          <w:lang w:eastAsia="en-NZ"/>
        </w:rPr>
      </w:pPr>
      <w:hyperlink w:anchor="_Toc138428964" w:history="1">
        <w:r w:rsidR="00940E43" w:rsidRPr="0059226D">
          <w:rPr>
            <w:rStyle w:val="Hyperlink"/>
            <w:noProof/>
          </w:rPr>
          <w:t>Complaints</w:t>
        </w:r>
        <w:r w:rsidR="00940E43">
          <w:rPr>
            <w:noProof/>
            <w:webHidden/>
          </w:rPr>
          <w:tab/>
        </w:r>
        <w:r w:rsidR="00940E43">
          <w:rPr>
            <w:noProof/>
            <w:webHidden/>
          </w:rPr>
          <w:fldChar w:fldCharType="begin"/>
        </w:r>
        <w:r w:rsidR="00940E43">
          <w:rPr>
            <w:noProof/>
            <w:webHidden/>
          </w:rPr>
          <w:instrText xml:space="preserve"> PAGEREF _Toc138428964 \h </w:instrText>
        </w:r>
        <w:r w:rsidR="00940E43">
          <w:rPr>
            <w:noProof/>
            <w:webHidden/>
          </w:rPr>
        </w:r>
        <w:r w:rsidR="00940E43">
          <w:rPr>
            <w:noProof/>
            <w:webHidden/>
          </w:rPr>
          <w:fldChar w:fldCharType="separate"/>
        </w:r>
        <w:r w:rsidR="00A345F8">
          <w:rPr>
            <w:noProof/>
            <w:webHidden/>
          </w:rPr>
          <w:t>17</w:t>
        </w:r>
        <w:r w:rsidR="00940E43">
          <w:rPr>
            <w:noProof/>
            <w:webHidden/>
          </w:rPr>
          <w:fldChar w:fldCharType="end"/>
        </w:r>
      </w:hyperlink>
    </w:p>
    <w:p w14:paraId="37116D6F" w14:textId="292E1AF4" w:rsidR="00940E43" w:rsidRDefault="00161918">
      <w:pPr>
        <w:pStyle w:val="TOC2"/>
        <w:rPr>
          <w:rFonts w:asciiTheme="minorHAnsi" w:eastAsiaTheme="minorEastAsia" w:hAnsiTheme="minorHAnsi" w:cstheme="minorBidi"/>
          <w:noProof/>
          <w:szCs w:val="22"/>
          <w:lang w:eastAsia="en-NZ"/>
        </w:rPr>
      </w:pPr>
      <w:hyperlink w:anchor="_Toc138428965" w:history="1">
        <w:r w:rsidR="00940E43" w:rsidRPr="0059226D">
          <w:rPr>
            <w:rStyle w:val="Hyperlink"/>
            <w:noProof/>
          </w:rPr>
          <w:t>Feedback</w:t>
        </w:r>
        <w:r w:rsidR="00940E43">
          <w:rPr>
            <w:noProof/>
            <w:webHidden/>
          </w:rPr>
          <w:tab/>
        </w:r>
        <w:r w:rsidR="00940E43">
          <w:rPr>
            <w:noProof/>
            <w:webHidden/>
          </w:rPr>
          <w:fldChar w:fldCharType="begin"/>
        </w:r>
        <w:r w:rsidR="00940E43">
          <w:rPr>
            <w:noProof/>
            <w:webHidden/>
          </w:rPr>
          <w:instrText xml:space="preserve"> PAGEREF _Toc138428965 \h </w:instrText>
        </w:r>
        <w:r w:rsidR="00940E43">
          <w:rPr>
            <w:noProof/>
            <w:webHidden/>
          </w:rPr>
        </w:r>
        <w:r w:rsidR="00940E43">
          <w:rPr>
            <w:noProof/>
            <w:webHidden/>
          </w:rPr>
          <w:fldChar w:fldCharType="separate"/>
        </w:r>
        <w:r w:rsidR="00A345F8">
          <w:rPr>
            <w:noProof/>
            <w:webHidden/>
          </w:rPr>
          <w:t>19</w:t>
        </w:r>
        <w:r w:rsidR="00940E43">
          <w:rPr>
            <w:noProof/>
            <w:webHidden/>
          </w:rPr>
          <w:fldChar w:fldCharType="end"/>
        </w:r>
      </w:hyperlink>
    </w:p>
    <w:p w14:paraId="32A01D08" w14:textId="11BDFFB3" w:rsidR="00940E43" w:rsidRDefault="00161918">
      <w:pPr>
        <w:pStyle w:val="TOC2"/>
        <w:rPr>
          <w:rFonts w:asciiTheme="minorHAnsi" w:eastAsiaTheme="minorEastAsia" w:hAnsiTheme="minorHAnsi" w:cstheme="minorBidi"/>
          <w:noProof/>
          <w:szCs w:val="22"/>
          <w:lang w:eastAsia="en-NZ"/>
        </w:rPr>
      </w:pPr>
      <w:hyperlink w:anchor="_Toc138428966" w:history="1">
        <w:r w:rsidR="00940E43" w:rsidRPr="0059226D">
          <w:rPr>
            <w:rStyle w:val="Hyperlink"/>
            <w:noProof/>
          </w:rPr>
          <w:t>Summary of queries and Official Information requests</w:t>
        </w:r>
        <w:r w:rsidR="00940E43">
          <w:rPr>
            <w:noProof/>
            <w:webHidden/>
          </w:rPr>
          <w:tab/>
        </w:r>
        <w:r w:rsidR="00940E43">
          <w:rPr>
            <w:noProof/>
            <w:webHidden/>
          </w:rPr>
          <w:fldChar w:fldCharType="begin"/>
        </w:r>
        <w:r w:rsidR="00940E43">
          <w:rPr>
            <w:noProof/>
            <w:webHidden/>
          </w:rPr>
          <w:instrText xml:space="preserve"> PAGEREF _Toc138428966 \h </w:instrText>
        </w:r>
        <w:r w:rsidR="00940E43">
          <w:rPr>
            <w:noProof/>
            <w:webHidden/>
          </w:rPr>
        </w:r>
        <w:r w:rsidR="00940E43">
          <w:rPr>
            <w:noProof/>
            <w:webHidden/>
          </w:rPr>
          <w:fldChar w:fldCharType="separate"/>
        </w:r>
        <w:r w:rsidR="00A345F8">
          <w:rPr>
            <w:noProof/>
            <w:webHidden/>
          </w:rPr>
          <w:t>20</w:t>
        </w:r>
        <w:r w:rsidR="00940E43">
          <w:rPr>
            <w:noProof/>
            <w:webHidden/>
          </w:rPr>
          <w:fldChar w:fldCharType="end"/>
        </w:r>
      </w:hyperlink>
    </w:p>
    <w:p w14:paraId="4386905A" w14:textId="4E764181" w:rsidR="00940E43" w:rsidRDefault="00161918">
      <w:pPr>
        <w:pStyle w:val="TOC2"/>
        <w:rPr>
          <w:rFonts w:asciiTheme="minorHAnsi" w:eastAsiaTheme="minorEastAsia" w:hAnsiTheme="minorHAnsi" w:cstheme="minorBidi"/>
          <w:noProof/>
          <w:szCs w:val="22"/>
          <w:lang w:eastAsia="en-NZ"/>
        </w:rPr>
      </w:pPr>
      <w:hyperlink w:anchor="_Toc138428967" w:history="1">
        <w:r w:rsidR="00940E43" w:rsidRPr="0059226D">
          <w:rPr>
            <w:rStyle w:val="Hyperlink"/>
            <w:noProof/>
          </w:rPr>
          <w:t>Concluding Remarks</w:t>
        </w:r>
        <w:r w:rsidR="00940E43">
          <w:rPr>
            <w:noProof/>
            <w:webHidden/>
          </w:rPr>
          <w:tab/>
        </w:r>
        <w:r w:rsidR="00940E43">
          <w:rPr>
            <w:noProof/>
            <w:webHidden/>
          </w:rPr>
          <w:fldChar w:fldCharType="begin"/>
        </w:r>
        <w:r w:rsidR="00940E43">
          <w:rPr>
            <w:noProof/>
            <w:webHidden/>
          </w:rPr>
          <w:instrText xml:space="preserve"> PAGEREF _Toc138428967 \h </w:instrText>
        </w:r>
        <w:r w:rsidR="00940E43">
          <w:rPr>
            <w:noProof/>
            <w:webHidden/>
          </w:rPr>
        </w:r>
        <w:r w:rsidR="00940E43">
          <w:rPr>
            <w:noProof/>
            <w:webHidden/>
          </w:rPr>
          <w:fldChar w:fldCharType="separate"/>
        </w:r>
        <w:r w:rsidR="00A345F8">
          <w:rPr>
            <w:noProof/>
            <w:webHidden/>
          </w:rPr>
          <w:t>20</w:t>
        </w:r>
        <w:r w:rsidR="00940E43">
          <w:rPr>
            <w:noProof/>
            <w:webHidden/>
          </w:rPr>
          <w:fldChar w:fldCharType="end"/>
        </w:r>
      </w:hyperlink>
    </w:p>
    <w:p w14:paraId="133A9219" w14:textId="1C5C9B5F" w:rsidR="00C86248" w:rsidRDefault="00940E43">
      <w:r>
        <w:rPr>
          <w:rFonts w:ascii="Segoe UI Semibold" w:hAnsi="Segoe UI Semibold"/>
          <w:b/>
          <w:sz w:val="24"/>
        </w:rPr>
        <w:fldChar w:fldCharType="end"/>
      </w:r>
    </w:p>
    <w:p w14:paraId="05CC63FD" w14:textId="3E3F9337" w:rsidR="003A5FEA" w:rsidRDefault="003A5FEA" w:rsidP="003A5FEA"/>
    <w:p w14:paraId="27FF6DF6" w14:textId="77777777" w:rsidR="004961AE" w:rsidRDefault="004961AE" w:rsidP="003A5FEA"/>
    <w:p w14:paraId="0D248541" w14:textId="77777777" w:rsidR="002B76A7" w:rsidRDefault="002B76A7" w:rsidP="002B76A7">
      <w:pPr>
        <w:pStyle w:val="TOC1"/>
        <w:keepNext/>
      </w:pPr>
      <w:r>
        <w:lastRenderedPageBreak/>
        <w:t>List of Tables</w:t>
      </w:r>
    </w:p>
    <w:p w14:paraId="2C32877A" w14:textId="579AA70B" w:rsidR="00940E43" w:rsidRDefault="00940E43">
      <w:pPr>
        <w:pStyle w:val="TOC3"/>
        <w:rPr>
          <w:rFonts w:asciiTheme="minorHAnsi" w:eastAsiaTheme="minorEastAsia" w:hAnsiTheme="minorHAnsi" w:cstheme="minorBidi"/>
          <w:noProof/>
          <w:sz w:val="22"/>
          <w:szCs w:val="22"/>
          <w:lang w:eastAsia="en-NZ"/>
        </w:rPr>
      </w:pPr>
      <w:r>
        <w:rPr>
          <w:sz w:val="20"/>
        </w:rPr>
        <w:fldChar w:fldCharType="begin"/>
      </w:r>
      <w:r>
        <w:rPr>
          <w:sz w:val="20"/>
        </w:rPr>
        <w:instrText xml:space="preserve"> TOC \h \z \t "Table,3" </w:instrText>
      </w:r>
      <w:r>
        <w:rPr>
          <w:sz w:val="20"/>
        </w:rPr>
        <w:fldChar w:fldCharType="separate"/>
      </w:r>
      <w:hyperlink w:anchor="_Toc138428968" w:history="1">
        <w:r w:rsidRPr="00FD7AA8">
          <w:rPr>
            <w:rStyle w:val="Hyperlink"/>
            <w:noProof/>
          </w:rPr>
          <w:t xml:space="preserve">Table 1: </w:t>
        </w:r>
        <w:r w:rsidRPr="00FD7AA8">
          <w:rPr>
            <w:rStyle w:val="Hyperlink"/>
            <w:noProof/>
            <w:lang w:eastAsia="en-NZ"/>
          </w:rPr>
          <w:t xml:space="preserve">Demographic summary of </w:t>
        </w:r>
        <w:r w:rsidRPr="00FD7AA8">
          <w:rPr>
            <w:rStyle w:val="Hyperlink"/>
            <w:bCs/>
            <w:noProof/>
            <w:lang w:eastAsia="en-NZ"/>
          </w:rPr>
          <w:t xml:space="preserve">new </w:t>
        </w:r>
        <w:r w:rsidRPr="00FD7AA8">
          <w:rPr>
            <w:rStyle w:val="Hyperlink"/>
            <w:noProof/>
            <w:lang w:eastAsia="en-NZ"/>
          </w:rPr>
          <w:t>applications</w:t>
        </w:r>
        <w:r>
          <w:rPr>
            <w:noProof/>
            <w:webHidden/>
          </w:rPr>
          <w:tab/>
        </w:r>
        <w:r>
          <w:rPr>
            <w:noProof/>
            <w:webHidden/>
          </w:rPr>
          <w:fldChar w:fldCharType="begin"/>
        </w:r>
        <w:r>
          <w:rPr>
            <w:noProof/>
            <w:webHidden/>
          </w:rPr>
          <w:instrText xml:space="preserve"> PAGEREF _Toc138428968 \h </w:instrText>
        </w:r>
        <w:r>
          <w:rPr>
            <w:noProof/>
            <w:webHidden/>
          </w:rPr>
        </w:r>
        <w:r>
          <w:rPr>
            <w:noProof/>
            <w:webHidden/>
          </w:rPr>
          <w:fldChar w:fldCharType="separate"/>
        </w:r>
        <w:r w:rsidR="00A345F8">
          <w:rPr>
            <w:noProof/>
            <w:webHidden/>
          </w:rPr>
          <w:t>8</w:t>
        </w:r>
        <w:r>
          <w:rPr>
            <w:noProof/>
            <w:webHidden/>
          </w:rPr>
          <w:fldChar w:fldCharType="end"/>
        </w:r>
      </w:hyperlink>
    </w:p>
    <w:p w14:paraId="29841449" w14:textId="25482250" w:rsidR="00940E43" w:rsidRDefault="00161918">
      <w:pPr>
        <w:pStyle w:val="TOC3"/>
        <w:rPr>
          <w:rFonts w:asciiTheme="minorHAnsi" w:eastAsiaTheme="minorEastAsia" w:hAnsiTheme="minorHAnsi" w:cstheme="minorBidi"/>
          <w:noProof/>
          <w:sz w:val="22"/>
          <w:szCs w:val="22"/>
          <w:lang w:eastAsia="en-NZ"/>
        </w:rPr>
      </w:pPr>
      <w:hyperlink w:anchor="_Toc138428969" w:history="1">
        <w:r w:rsidR="00940E43" w:rsidRPr="00FD7AA8">
          <w:rPr>
            <w:rStyle w:val="Hyperlink"/>
            <w:noProof/>
          </w:rPr>
          <w:t xml:space="preserve">Table 2: </w:t>
        </w:r>
        <w:r w:rsidR="00940E43" w:rsidRPr="00FD7AA8">
          <w:rPr>
            <w:rStyle w:val="Hyperlink"/>
            <w:rFonts w:cs="Segoe UI"/>
            <w:noProof/>
            <w:lang w:eastAsia="en-NZ"/>
          </w:rPr>
          <w:t>Assessment outcomes</w:t>
        </w:r>
        <w:r w:rsidR="00940E43">
          <w:rPr>
            <w:noProof/>
            <w:webHidden/>
          </w:rPr>
          <w:tab/>
        </w:r>
        <w:r w:rsidR="00940E43">
          <w:rPr>
            <w:noProof/>
            <w:webHidden/>
          </w:rPr>
          <w:fldChar w:fldCharType="begin"/>
        </w:r>
        <w:r w:rsidR="00940E43">
          <w:rPr>
            <w:noProof/>
            <w:webHidden/>
          </w:rPr>
          <w:instrText xml:space="preserve"> PAGEREF _Toc138428969 \h </w:instrText>
        </w:r>
        <w:r w:rsidR="00940E43">
          <w:rPr>
            <w:noProof/>
            <w:webHidden/>
          </w:rPr>
        </w:r>
        <w:r w:rsidR="00940E43">
          <w:rPr>
            <w:noProof/>
            <w:webHidden/>
          </w:rPr>
          <w:fldChar w:fldCharType="separate"/>
        </w:r>
        <w:r w:rsidR="00A345F8">
          <w:rPr>
            <w:noProof/>
            <w:webHidden/>
          </w:rPr>
          <w:t>11</w:t>
        </w:r>
        <w:r w:rsidR="00940E43">
          <w:rPr>
            <w:noProof/>
            <w:webHidden/>
          </w:rPr>
          <w:fldChar w:fldCharType="end"/>
        </w:r>
      </w:hyperlink>
    </w:p>
    <w:p w14:paraId="4B0AFA81" w14:textId="0451C6A6" w:rsidR="00940E43" w:rsidRDefault="00161918">
      <w:pPr>
        <w:pStyle w:val="TOC3"/>
        <w:rPr>
          <w:rFonts w:asciiTheme="minorHAnsi" w:eastAsiaTheme="minorEastAsia" w:hAnsiTheme="minorHAnsi" w:cstheme="minorBidi"/>
          <w:noProof/>
          <w:sz w:val="22"/>
          <w:szCs w:val="22"/>
          <w:lang w:eastAsia="en-NZ"/>
        </w:rPr>
      </w:pPr>
      <w:hyperlink w:anchor="_Toc138428970" w:history="1">
        <w:r w:rsidR="00940E43" w:rsidRPr="00FD7AA8">
          <w:rPr>
            <w:rStyle w:val="Hyperlink"/>
            <w:noProof/>
          </w:rPr>
          <w:t xml:space="preserve">Table 3: </w:t>
        </w:r>
        <w:r w:rsidR="00940E43" w:rsidRPr="00FD7AA8">
          <w:rPr>
            <w:rStyle w:val="Hyperlink"/>
            <w:rFonts w:cs="Segoe UI"/>
            <w:noProof/>
            <w:lang w:eastAsia="en-NZ"/>
          </w:rPr>
          <w:t>Ineligible decisions</w:t>
        </w:r>
        <w:r w:rsidR="00940E43">
          <w:rPr>
            <w:noProof/>
            <w:webHidden/>
          </w:rPr>
          <w:tab/>
        </w:r>
        <w:r w:rsidR="00940E43">
          <w:rPr>
            <w:noProof/>
            <w:webHidden/>
          </w:rPr>
          <w:fldChar w:fldCharType="begin"/>
        </w:r>
        <w:r w:rsidR="00940E43">
          <w:rPr>
            <w:noProof/>
            <w:webHidden/>
          </w:rPr>
          <w:instrText xml:space="preserve"> PAGEREF _Toc138428970 \h </w:instrText>
        </w:r>
        <w:r w:rsidR="00940E43">
          <w:rPr>
            <w:noProof/>
            <w:webHidden/>
          </w:rPr>
        </w:r>
        <w:r w:rsidR="00940E43">
          <w:rPr>
            <w:noProof/>
            <w:webHidden/>
          </w:rPr>
          <w:fldChar w:fldCharType="separate"/>
        </w:r>
        <w:r w:rsidR="00A345F8">
          <w:rPr>
            <w:noProof/>
            <w:webHidden/>
          </w:rPr>
          <w:t>11</w:t>
        </w:r>
        <w:r w:rsidR="00940E43">
          <w:rPr>
            <w:noProof/>
            <w:webHidden/>
          </w:rPr>
          <w:fldChar w:fldCharType="end"/>
        </w:r>
      </w:hyperlink>
    </w:p>
    <w:p w14:paraId="7F38F35D" w14:textId="0B7E0AE1" w:rsidR="00940E43" w:rsidRDefault="00161918">
      <w:pPr>
        <w:pStyle w:val="TOC3"/>
        <w:rPr>
          <w:rFonts w:asciiTheme="minorHAnsi" w:eastAsiaTheme="minorEastAsia" w:hAnsiTheme="minorHAnsi" w:cstheme="minorBidi"/>
          <w:noProof/>
          <w:sz w:val="22"/>
          <w:szCs w:val="22"/>
          <w:lang w:eastAsia="en-NZ"/>
        </w:rPr>
      </w:pPr>
      <w:hyperlink w:anchor="_Toc138428971" w:history="1">
        <w:r w:rsidR="00940E43" w:rsidRPr="00FD7AA8">
          <w:rPr>
            <w:rStyle w:val="Hyperlink"/>
            <w:noProof/>
          </w:rPr>
          <w:t>Table 4: Assessment outcomes</w:t>
        </w:r>
        <w:r w:rsidR="00940E43">
          <w:rPr>
            <w:noProof/>
            <w:webHidden/>
          </w:rPr>
          <w:tab/>
        </w:r>
        <w:r w:rsidR="00940E43">
          <w:rPr>
            <w:noProof/>
            <w:webHidden/>
          </w:rPr>
          <w:fldChar w:fldCharType="begin"/>
        </w:r>
        <w:r w:rsidR="00940E43">
          <w:rPr>
            <w:noProof/>
            <w:webHidden/>
          </w:rPr>
          <w:instrText xml:space="preserve"> PAGEREF _Toc138428971 \h </w:instrText>
        </w:r>
        <w:r w:rsidR="00940E43">
          <w:rPr>
            <w:noProof/>
            <w:webHidden/>
          </w:rPr>
        </w:r>
        <w:r w:rsidR="00940E43">
          <w:rPr>
            <w:noProof/>
            <w:webHidden/>
          </w:rPr>
          <w:fldChar w:fldCharType="separate"/>
        </w:r>
        <w:r w:rsidR="00A345F8">
          <w:rPr>
            <w:noProof/>
            <w:webHidden/>
          </w:rPr>
          <w:t>12</w:t>
        </w:r>
        <w:r w:rsidR="00940E43">
          <w:rPr>
            <w:noProof/>
            <w:webHidden/>
          </w:rPr>
          <w:fldChar w:fldCharType="end"/>
        </w:r>
      </w:hyperlink>
    </w:p>
    <w:p w14:paraId="46DD2215" w14:textId="6A36F11D" w:rsidR="00940E43" w:rsidRDefault="00161918">
      <w:pPr>
        <w:pStyle w:val="TOC3"/>
        <w:rPr>
          <w:rFonts w:asciiTheme="minorHAnsi" w:eastAsiaTheme="minorEastAsia" w:hAnsiTheme="minorHAnsi" w:cstheme="minorBidi"/>
          <w:noProof/>
          <w:sz w:val="22"/>
          <w:szCs w:val="22"/>
          <w:lang w:eastAsia="en-NZ"/>
        </w:rPr>
      </w:pPr>
      <w:hyperlink w:anchor="_Toc138428972" w:history="1">
        <w:r w:rsidR="00940E43" w:rsidRPr="00FD7AA8">
          <w:rPr>
            <w:rStyle w:val="Hyperlink"/>
            <w:noProof/>
          </w:rPr>
          <w:t>Table 5: Count of practitioners by role and region as of 31 March 2023</w:t>
        </w:r>
        <w:r w:rsidR="00940E43">
          <w:rPr>
            <w:noProof/>
            <w:webHidden/>
          </w:rPr>
          <w:tab/>
        </w:r>
        <w:r w:rsidR="00940E43">
          <w:rPr>
            <w:noProof/>
            <w:webHidden/>
          </w:rPr>
          <w:fldChar w:fldCharType="begin"/>
        </w:r>
        <w:r w:rsidR="00940E43">
          <w:rPr>
            <w:noProof/>
            <w:webHidden/>
          </w:rPr>
          <w:instrText xml:space="preserve"> PAGEREF _Toc138428972 \h </w:instrText>
        </w:r>
        <w:r w:rsidR="00940E43">
          <w:rPr>
            <w:noProof/>
            <w:webHidden/>
          </w:rPr>
        </w:r>
        <w:r w:rsidR="00940E43">
          <w:rPr>
            <w:noProof/>
            <w:webHidden/>
          </w:rPr>
          <w:fldChar w:fldCharType="separate"/>
        </w:r>
        <w:r w:rsidR="00A345F8">
          <w:rPr>
            <w:noProof/>
            <w:webHidden/>
          </w:rPr>
          <w:t>14</w:t>
        </w:r>
        <w:r w:rsidR="00940E43">
          <w:rPr>
            <w:noProof/>
            <w:webHidden/>
          </w:rPr>
          <w:fldChar w:fldCharType="end"/>
        </w:r>
      </w:hyperlink>
    </w:p>
    <w:p w14:paraId="2C715DAA" w14:textId="445A7A94" w:rsidR="00940E43" w:rsidRDefault="00161918">
      <w:pPr>
        <w:pStyle w:val="TOC3"/>
        <w:rPr>
          <w:rFonts w:asciiTheme="minorHAnsi" w:eastAsiaTheme="minorEastAsia" w:hAnsiTheme="minorHAnsi" w:cstheme="minorBidi"/>
          <w:noProof/>
          <w:sz w:val="22"/>
          <w:szCs w:val="22"/>
          <w:lang w:eastAsia="en-NZ"/>
        </w:rPr>
      </w:pPr>
      <w:hyperlink w:anchor="_Toc138428973" w:history="1">
        <w:r w:rsidR="00940E43" w:rsidRPr="00FD7AA8">
          <w:rPr>
            <w:rStyle w:val="Hyperlink"/>
            <w:noProof/>
          </w:rPr>
          <w:t>Table 6: Number of people accessing the wider health workforce training</w:t>
        </w:r>
        <w:r w:rsidR="00940E43">
          <w:rPr>
            <w:noProof/>
            <w:webHidden/>
          </w:rPr>
          <w:tab/>
        </w:r>
        <w:r w:rsidR="00940E43">
          <w:rPr>
            <w:noProof/>
            <w:webHidden/>
          </w:rPr>
          <w:fldChar w:fldCharType="begin"/>
        </w:r>
        <w:r w:rsidR="00940E43">
          <w:rPr>
            <w:noProof/>
            <w:webHidden/>
          </w:rPr>
          <w:instrText xml:space="preserve"> PAGEREF _Toc138428973 \h </w:instrText>
        </w:r>
        <w:r w:rsidR="00940E43">
          <w:rPr>
            <w:noProof/>
            <w:webHidden/>
          </w:rPr>
        </w:r>
        <w:r w:rsidR="00940E43">
          <w:rPr>
            <w:noProof/>
            <w:webHidden/>
          </w:rPr>
          <w:fldChar w:fldCharType="separate"/>
        </w:r>
        <w:r w:rsidR="00A345F8">
          <w:rPr>
            <w:noProof/>
            <w:webHidden/>
          </w:rPr>
          <w:t>14</w:t>
        </w:r>
        <w:r w:rsidR="00940E43">
          <w:rPr>
            <w:noProof/>
            <w:webHidden/>
          </w:rPr>
          <w:fldChar w:fldCharType="end"/>
        </w:r>
      </w:hyperlink>
    </w:p>
    <w:p w14:paraId="14231B07" w14:textId="269625E6" w:rsidR="00940E43" w:rsidRDefault="00161918">
      <w:pPr>
        <w:pStyle w:val="TOC3"/>
        <w:rPr>
          <w:rFonts w:asciiTheme="minorHAnsi" w:eastAsiaTheme="minorEastAsia" w:hAnsiTheme="minorHAnsi" w:cstheme="minorBidi"/>
          <w:noProof/>
          <w:sz w:val="22"/>
          <w:szCs w:val="22"/>
          <w:lang w:eastAsia="en-NZ"/>
        </w:rPr>
      </w:pPr>
      <w:hyperlink w:anchor="_Toc138428974" w:history="1">
        <w:r w:rsidR="00940E43" w:rsidRPr="00FD7AA8">
          <w:rPr>
            <w:rStyle w:val="Hyperlink"/>
            <w:noProof/>
          </w:rPr>
          <w:t xml:space="preserve">Table 7: </w:t>
        </w:r>
        <w:r w:rsidR="00940E43" w:rsidRPr="00FD7AA8">
          <w:rPr>
            <w:rStyle w:val="Hyperlink"/>
            <w:rFonts w:cs="Segoe UI"/>
            <w:bCs/>
            <w:noProof/>
          </w:rPr>
          <w:t>Summary of complaints received by the Registrar (Assisted Dying) and the Secretariat at Manatū Hauora directly</w:t>
        </w:r>
        <w:r w:rsidR="00940E43">
          <w:rPr>
            <w:noProof/>
            <w:webHidden/>
          </w:rPr>
          <w:tab/>
        </w:r>
        <w:r w:rsidR="00940E43">
          <w:rPr>
            <w:noProof/>
            <w:webHidden/>
          </w:rPr>
          <w:fldChar w:fldCharType="begin"/>
        </w:r>
        <w:r w:rsidR="00940E43">
          <w:rPr>
            <w:noProof/>
            <w:webHidden/>
          </w:rPr>
          <w:instrText xml:space="preserve"> PAGEREF _Toc138428974 \h </w:instrText>
        </w:r>
        <w:r w:rsidR="00940E43">
          <w:rPr>
            <w:noProof/>
            <w:webHidden/>
          </w:rPr>
        </w:r>
        <w:r w:rsidR="00940E43">
          <w:rPr>
            <w:noProof/>
            <w:webHidden/>
          </w:rPr>
          <w:fldChar w:fldCharType="separate"/>
        </w:r>
        <w:r w:rsidR="00A345F8">
          <w:rPr>
            <w:noProof/>
            <w:webHidden/>
          </w:rPr>
          <w:t>17</w:t>
        </w:r>
        <w:r w:rsidR="00940E43">
          <w:rPr>
            <w:noProof/>
            <w:webHidden/>
          </w:rPr>
          <w:fldChar w:fldCharType="end"/>
        </w:r>
      </w:hyperlink>
    </w:p>
    <w:p w14:paraId="21D08DF9" w14:textId="3C2E2BEC" w:rsidR="00940E43" w:rsidRDefault="00161918">
      <w:pPr>
        <w:pStyle w:val="TOC3"/>
        <w:rPr>
          <w:rFonts w:asciiTheme="minorHAnsi" w:eastAsiaTheme="minorEastAsia" w:hAnsiTheme="minorHAnsi" w:cstheme="minorBidi"/>
          <w:noProof/>
          <w:sz w:val="22"/>
          <w:szCs w:val="22"/>
          <w:lang w:eastAsia="en-NZ"/>
        </w:rPr>
      </w:pPr>
      <w:hyperlink w:anchor="_Toc138428975" w:history="1">
        <w:r w:rsidR="00940E43" w:rsidRPr="00FD7AA8">
          <w:rPr>
            <w:rStyle w:val="Hyperlink"/>
            <w:noProof/>
          </w:rPr>
          <w:t xml:space="preserve">Table 8: </w:t>
        </w:r>
        <w:r w:rsidR="00940E43" w:rsidRPr="00FD7AA8">
          <w:rPr>
            <w:rStyle w:val="Hyperlink"/>
            <w:rFonts w:cs="Segoe UI"/>
            <w:bCs/>
            <w:noProof/>
          </w:rPr>
          <w:t>Summary of complaints received by the Medical Council directly</w:t>
        </w:r>
        <w:r w:rsidR="00940E43">
          <w:rPr>
            <w:noProof/>
            <w:webHidden/>
          </w:rPr>
          <w:tab/>
        </w:r>
        <w:r w:rsidR="00940E43">
          <w:rPr>
            <w:noProof/>
            <w:webHidden/>
          </w:rPr>
          <w:fldChar w:fldCharType="begin"/>
        </w:r>
        <w:r w:rsidR="00940E43">
          <w:rPr>
            <w:noProof/>
            <w:webHidden/>
          </w:rPr>
          <w:instrText xml:space="preserve"> PAGEREF _Toc138428975 \h </w:instrText>
        </w:r>
        <w:r w:rsidR="00940E43">
          <w:rPr>
            <w:noProof/>
            <w:webHidden/>
          </w:rPr>
        </w:r>
        <w:r w:rsidR="00940E43">
          <w:rPr>
            <w:noProof/>
            <w:webHidden/>
          </w:rPr>
          <w:fldChar w:fldCharType="separate"/>
        </w:r>
        <w:r w:rsidR="00A345F8">
          <w:rPr>
            <w:noProof/>
            <w:webHidden/>
          </w:rPr>
          <w:t>18</w:t>
        </w:r>
        <w:r w:rsidR="00940E43">
          <w:rPr>
            <w:noProof/>
            <w:webHidden/>
          </w:rPr>
          <w:fldChar w:fldCharType="end"/>
        </w:r>
      </w:hyperlink>
    </w:p>
    <w:p w14:paraId="58E3464C" w14:textId="0F81CF0F" w:rsidR="00940E43" w:rsidRDefault="00161918">
      <w:pPr>
        <w:pStyle w:val="TOC3"/>
        <w:rPr>
          <w:rFonts w:asciiTheme="minorHAnsi" w:eastAsiaTheme="minorEastAsia" w:hAnsiTheme="minorHAnsi" w:cstheme="minorBidi"/>
          <w:noProof/>
          <w:sz w:val="22"/>
          <w:szCs w:val="22"/>
          <w:lang w:eastAsia="en-NZ"/>
        </w:rPr>
      </w:pPr>
      <w:hyperlink w:anchor="_Toc138428976" w:history="1">
        <w:r w:rsidR="00940E43" w:rsidRPr="00FD7AA8">
          <w:rPr>
            <w:rStyle w:val="Hyperlink"/>
            <w:noProof/>
          </w:rPr>
          <w:t xml:space="preserve">Table 9: </w:t>
        </w:r>
        <w:r w:rsidR="00940E43" w:rsidRPr="00FD7AA8">
          <w:rPr>
            <w:rStyle w:val="Hyperlink"/>
            <w:rFonts w:cs="Segoe UI"/>
            <w:bCs/>
            <w:noProof/>
          </w:rPr>
          <w:t>Summary of complaints being considered by the HDC including those referred by the Registrar or sent from the Medical Council</w:t>
        </w:r>
        <w:r w:rsidR="00940E43">
          <w:rPr>
            <w:noProof/>
            <w:webHidden/>
          </w:rPr>
          <w:tab/>
        </w:r>
        <w:r w:rsidR="00940E43">
          <w:rPr>
            <w:noProof/>
            <w:webHidden/>
          </w:rPr>
          <w:fldChar w:fldCharType="begin"/>
        </w:r>
        <w:r w:rsidR="00940E43">
          <w:rPr>
            <w:noProof/>
            <w:webHidden/>
          </w:rPr>
          <w:instrText xml:space="preserve"> PAGEREF _Toc138428976 \h </w:instrText>
        </w:r>
        <w:r w:rsidR="00940E43">
          <w:rPr>
            <w:noProof/>
            <w:webHidden/>
          </w:rPr>
        </w:r>
        <w:r w:rsidR="00940E43">
          <w:rPr>
            <w:noProof/>
            <w:webHidden/>
          </w:rPr>
          <w:fldChar w:fldCharType="separate"/>
        </w:r>
        <w:r w:rsidR="00A345F8">
          <w:rPr>
            <w:noProof/>
            <w:webHidden/>
          </w:rPr>
          <w:t>18</w:t>
        </w:r>
        <w:r w:rsidR="00940E43">
          <w:rPr>
            <w:noProof/>
            <w:webHidden/>
          </w:rPr>
          <w:fldChar w:fldCharType="end"/>
        </w:r>
      </w:hyperlink>
    </w:p>
    <w:p w14:paraId="220CBE55" w14:textId="1D2BB10C" w:rsidR="00940E43" w:rsidRDefault="00161918">
      <w:pPr>
        <w:pStyle w:val="TOC3"/>
        <w:rPr>
          <w:rFonts w:asciiTheme="minorHAnsi" w:eastAsiaTheme="minorEastAsia" w:hAnsiTheme="minorHAnsi" w:cstheme="minorBidi"/>
          <w:noProof/>
          <w:sz w:val="22"/>
          <w:szCs w:val="22"/>
          <w:lang w:eastAsia="en-NZ"/>
        </w:rPr>
      </w:pPr>
      <w:hyperlink w:anchor="_Toc138428977" w:history="1">
        <w:r w:rsidR="00940E43" w:rsidRPr="00FD7AA8">
          <w:rPr>
            <w:rStyle w:val="Hyperlink"/>
            <w:noProof/>
          </w:rPr>
          <w:t>Table 10: Queries and requests related to Assisted Dying</w:t>
        </w:r>
        <w:r w:rsidR="00940E43">
          <w:rPr>
            <w:noProof/>
            <w:webHidden/>
          </w:rPr>
          <w:tab/>
        </w:r>
        <w:r w:rsidR="00940E43">
          <w:rPr>
            <w:noProof/>
            <w:webHidden/>
          </w:rPr>
          <w:fldChar w:fldCharType="begin"/>
        </w:r>
        <w:r w:rsidR="00940E43">
          <w:rPr>
            <w:noProof/>
            <w:webHidden/>
          </w:rPr>
          <w:instrText xml:space="preserve"> PAGEREF _Toc138428977 \h </w:instrText>
        </w:r>
        <w:r w:rsidR="00940E43">
          <w:rPr>
            <w:noProof/>
            <w:webHidden/>
          </w:rPr>
        </w:r>
        <w:r w:rsidR="00940E43">
          <w:rPr>
            <w:noProof/>
            <w:webHidden/>
          </w:rPr>
          <w:fldChar w:fldCharType="separate"/>
        </w:r>
        <w:r w:rsidR="00A345F8">
          <w:rPr>
            <w:noProof/>
            <w:webHidden/>
          </w:rPr>
          <w:t>20</w:t>
        </w:r>
        <w:r w:rsidR="00940E43">
          <w:rPr>
            <w:noProof/>
            <w:webHidden/>
          </w:rPr>
          <w:fldChar w:fldCharType="end"/>
        </w:r>
      </w:hyperlink>
    </w:p>
    <w:p w14:paraId="4A6797B1" w14:textId="5DEE8BDC" w:rsidR="002B76A7" w:rsidRDefault="00940E43" w:rsidP="003A5FEA">
      <w:r>
        <w:rPr>
          <w:sz w:val="20"/>
        </w:rPr>
        <w:fldChar w:fldCharType="end"/>
      </w:r>
    </w:p>
    <w:p w14:paraId="03333094" w14:textId="77777777" w:rsidR="001D3E4E" w:rsidRDefault="001D3E4E" w:rsidP="003A5FEA">
      <w:pPr>
        <w:sectPr w:rsidR="001D3E4E" w:rsidSect="0078658E">
          <w:headerReference w:type="even" r:id="rId28"/>
          <w:headerReference w:type="default" r:id="rId29"/>
          <w:footerReference w:type="even" r:id="rId30"/>
          <w:footerReference w:type="default" r:id="rId31"/>
          <w:headerReference w:type="first" r:id="rId32"/>
          <w:pgSz w:w="11907" w:h="16840" w:code="9"/>
          <w:pgMar w:top="1418" w:right="1701" w:bottom="1134" w:left="1843" w:header="284" w:footer="425" w:gutter="284"/>
          <w:pgNumType w:fmt="lowerRoman"/>
          <w:cols w:space="720"/>
        </w:sectPr>
      </w:pPr>
    </w:p>
    <w:p w14:paraId="0A056DB8" w14:textId="7D509501" w:rsidR="009A42D5" w:rsidRDefault="00D953A0" w:rsidP="002C303B">
      <w:pPr>
        <w:pStyle w:val="Heading1"/>
        <w:spacing w:before="0"/>
      </w:pPr>
      <w:bookmarkStart w:id="4" w:name="_Toc138428942"/>
      <w:r w:rsidRPr="00D953A0">
        <w:lastRenderedPageBreak/>
        <w:t>Introduction</w:t>
      </w:r>
      <w:bookmarkEnd w:id="4"/>
    </w:p>
    <w:p w14:paraId="4C136730" w14:textId="77777777" w:rsidR="009E489C" w:rsidRPr="009E489C" w:rsidRDefault="009E489C" w:rsidP="009E489C">
      <w:pPr>
        <w:pStyle w:val="Heading2"/>
      </w:pPr>
      <w:bookmarkStart w:id="5" w:name="_Toc103606315"/>
      <w:bookmarkStart w:id="6" w:name="_Toc104460663"/>
      <w:bookmarkStart w:id="7" w:name="_Toc106611862"/>
      <w:bookmarkStart w:id="8" w:name="_Toc138428943"/>
      <w:r w:rsidRPr="009E489C">
        <w:t>About this report</w:t>
      </w:r>
      <w:bookmarkEnd w:id="5"/>
      <w:bookmarkEnd w:id="6"/>
      <w:bookmarkEnd w:id="7"/>
      <w:bookmarkEnd w:id="8"/>
      <w:r w:rsidRPr="009E489C">
        <w:t xml:space="preserve"> </w:t>
      </w:r>
    </w:p>
    <w:p w14:paraId="54CF165E" w14:textId="77777777" w:rsidR="009E489C" w:rsidRDefault="009E489C" w:rsidP="009E489C">
      <w:r>
        <w:t xml:space="preserve">Manatū Hauora - the Ministry of Health (the Ministry) is </w:t>
      </w:r>
      <w:r w:rsidRPr="00944ACD">
        <w:t>responsible for administering the End of Life Choice Act 2019 (the Act)</w:t>
      </w:r>
      <w:r>
        <w:t xml:space="preserve">. </w:t>
      </w:r>
    </w:p>
    <w:p w14:paraId="2799E705" w14:textId="77777777" w:rsidR="009E489C" w:rsidRDefault="009E489C" w:rsidP="009E489C"/>
    <w:p w14:paraId="5640809C" w14:textId="77777777" w:rsidR="009E489C" w:rsidRDefault="009E489C" w:rsidP="009E489C">
      <w:r>
        <w:t>T</w:t>
      </w:r>
      <w:r w:rsidRPr="001E7528">
        <w:t xml:space="preserve">he Registrar (assisted dying) </w:t>
      </w:r>
      <w:r>
        <w:t xml:space="preserve">is required </w:t>
      </w:r>
      <w:r w:rsidRPr="001E7528">
        <w:t xml:space="preserve">to report </w:t>
      </w:r>
      <w:r>
        <w:t xml:space="preserve">on the assisted dying service, as required by section 27(7) of the Act. </w:t>
      </w:r>
    </w:p>
    <w:p w14:paraId="0392B9B1" w14:textId="77777777" w:rsidR="009E489C" w:rsidRDefault="009E489C" w:rsidP="009E489C"/>
    <w:p w14:paraId="2EEA66B0" w14:textId="77777777" w:rsidR="009E489C" w:rsidRPr="001E7528" w:rsidRDefault="009E489C" w:rsidP="009E489C">
      <w:r>
        <w:t xml:space="preserve">Reporting is due </w:t>
      </w:r>
      <w:r w:rsidRPr="001E7528">
        <w:t>to the Minister of Health by the end of 30 June each year</w:t>
      </w:r>
      <w:r>
        <w:t>, and covers</w:t>
      </w:r>
      <w:r w:rsidRPr="001E7528">
        <w:t xml:space="preserve">: </w:t>
      </w:r>
    </w:p>
    <w:p w14:paraId="717227EE" w14:textId="15D7C70E" w:rsidR="009E489C" w:rsidRPr="009E489C" w:rsidRDefault="009E489C" w:rsidP="009E489C">
      <w:pPr>
        <w:pStyle w:val="Bullet"/>
      </w:pPr>
      <w:r w:rsidRPr="009E489C">
        <w:t>the total number of deaths occurring under</w:t>
      </w:r>
      <w:r w:rsidR="00A23971">
        <w:t xml:space="preserve"> </w:t>
      </w:r>
      <w:r w:rsidR="00D553DC" w:rsidRPr="009E489C">
        <w:t>the</w:t>
      </w:r>
      <w:r w:rsidRPr="009E489C">
        <w:t xml:space="preserve"> Act</w:t>
      </w:r>
    </w:p>
    <w:p w14:paraId="4372C5EE" w14:textId="77777777" w:rsidR="009E489C" w:rsidRPr="009E489C" w:rsidRDefault="009E489C" w:rsidP="009E489C">
      <w:pPr>
        <w:pStyle w:val="Bullet"/>
      </w:pPr>
      <w:r w:rsidRPr="009E489C">
        <w:t>the number of deaths occurring through each of the methods of administration of medication</w:t>
      </w:r>
    </w:p>
    <w:p w14:paraId="252007AA" w14:textId="77777777" w:rsidR="009E489C" w:rsidRPr="009E489C" w:rsidRDefault="009E489C" w:rsidP="009E489C">
      <w:pPr>
        <w:pStyle w:val="Bullet"/>
      </w:pPr>
      <w:r w:rsidRPr="009E489C">
        <w:t>the number of complaints received about breaches of this Act and how those complaints were dealt with</w:t>
      </w:r>
    </w:p>
    <w:p w14:paraId="58D2D42E" w14:textId="77777777" w:rsidR="009E489C" w:rsidRPr="009E489C" w:rsidRDefault="009E489C" w:rsidP="009E489C">
      <w:pPr>
        <w:pStyle w:val="Bullet"/>
      </w:pPr>
      <w:r w:rsidRPr="009E489C">
        <w:t>any other matter relating to the operation of the Act that the Registrar thinks appropriate.</w:t>
      </w:r>
    </w:p>
    <w:p w14:paraId="2B22D73B" w14:textId="77777777" w:rsidR="009E489C" w:rsidRPr="001E7528" w:rsidRDefault="009E489C" w:rsidP="009E489C">
      <w:pPr>
        <w:rPr>
          <w:rFonts w:cs="Segoe UI"/>
        </w:rPr>
      </w:pPr>
    </w:p>
    <w:p w14:paraId="72A7C933" w14:textId="77777777" w:rsidR="009E489C" w:rsidRDefault="009E489C" w:rsidP="009E489C">
      <w:r w:rsidRPr="001E7528">
        <w:t>Th</w:t>
      </w:r>
      <w:r>
        <w:t>is</w:t>
      </w:r>
      <w:r w:rsidRPr="001E7528">
        <w:t xml:space="preserve"> report covers the period</w:t>
      </w:r>
      <w:r>
        <w:t xml:space="preserve"> from</w:t>
      </w:r>
      <w:r w:rsidRPr="001E7528">
        <w:t xml:space="preserve"> </w:t>
      </w:r>
      <w:r>
        <w:t>1 April 2022 to</w:t>
      </w:r>
      <w:r w:rsidRPr="001E7528">
        <w:t xml:space="preserve"> 31 March</w:t>
      </w:r>
      <w:r>
        <w:t xml:space="preserve"> 2023 and is</w:t>
      </w:r>
      <w:r w:rsidRPr="00B9588C">
        <w:t xml:space="preserve"> the first </w:t>
      </w:r>
      <w:r>
        <w:t xml:space="preserve">full year report </w:t>
      </w:r>
      <w:r w:rsidRPr="00B9588C">
        <w:t xml:space="preserve">published since the </w:t>
      </w:r>
      <w:r>
        <w:t>Act</w:t>
      </w:r>
      <w:r w:rsidRPr="00B9588C">
        <w:t xml:space="preserve"> came into force on 7 November 2021.</w:t>
      </w:r>
      <w:r w:rsidRPr="00B9588C" w:rsidDel="00C66060">
        <w:t xml:space="preserve"> </w:t>
      </w:r>
    </w:p>
    <w:p w14:paraId="29DE9068" w14:textId="77777777" w:rsidR="009E489C" w:rsidRDefault="009E489C" w:rsidP="009E489C"/>
    <w:p w14:paraId="5A56A864" w14:textId="77777777" w:rsidR="009E489C" w:rsidRDefault="009E489C" w:rsidP="009E489C">
      <w:pPr>
        <w:jc w:val="both"/>
      </w:pPr>
      <w:r>
        <w:t xml:space="preserve">A copy of the last report is available on </w:t>
      </w:r>
      <w:hyperlink r:id="rId33" w:history="1">
        <w:r>
          <w:rPr>
            <w:rStyle w:val="Hyperlink"/>
          </w:rPr>
          <w:t>the Ministry’s</w:t>
        </w:r>
        <w:r w:rsidRPr="00375EB2">
          <w:rPr>
            <w:rStyle w:val="Hyperlink"/>
          </w:rPr>
          <w:t xml:space="preserve"> website. </w:t>
        </w:r>
      </w:hyperlink>
    </w:p>
    <w:p w14:paraId="4986F086" w14:textId="77777777" w:rsidR="009E489C" w:rsidRPr="00906E32" w:rsidRDefault="009E489C" w:rsidP="009E489C">
      <w:pPr>
        <w:pStyle w:val="Heading2"/>
      </w:pPr>
      <w:bookmarkStart w:id="9" w:name="_Toc103606316"/>
      <w:bookmarkStart w:id="10" w:name="_Toc104460664"/>
      <w:bookmarkStart w:id="11" w:name="_Toc106611863"/>
      <w:bookmarkStart w:id="12" w:name="_Toc138428944"/>
      <w:r w:rsidRPr="00DD1B3A">
        <w:t>Role of the Registrar (assisted dying)</w:t>
      </w:r>
      <w:bookmarkEnd w:id="9"/>
      <w:bookmarkEnd w:id="10"/>
      <w:bookmarkEnd w:id="11"/>
      <w:bookmarkEnd w:id="12"/>
    </w:p>
    <w:p w14:paraId="58C6299B" w14:textId="77777777" w:rsidR="009E489C" w:rsidRPr="001E7528" w:rsidRDefault="009E489C" w:rsidP="009E489C">
      <w:pPr>
        <w:rPr>
          <w:rFonts w:cs="Segoe UI"/>
        </w:rPr>
      </w:pPr>
      <w:r w:rsidRPr="001E7528">
        <w:rPr>
          <w:rFonts w:cs="Segoe UI"/>
        </w:rPr>
        <w:t xml:space="preserve">The Registrar is a statutory role under the Act, </w:t>
      </w:r>
      <w:r>
        <w:rPr>
          <w:rFonts w:cs="Segoe UI"/>
        </w:rPr>
        <w:t xml:space="preserve">who is </w:t>
      </w:r>
      <w:r w:rsidRPr="001E7528">
        <w:rPr>
          <w:rFonts w:cs="Segoe UI"/>
        </w:rPr>
        <w:t xml:space="preserve">appointed by the Director-General of Health. </w:t>
      </w:r>
      <w:r>
        <w:rPr>
          <w:rFonts w:cs="Segoe UI"/>
        </w:rPr>
        <w:t>The</w:t>
      </w:r>
      <w:r w:rsidRPr="001E7528">
        <w:rPr>
          <w:rFonts w:cs="Segoe UI"/>
        </w:rPr>
        <w:t xml:space="preserve"> Registrar’s responsibilities include: </w:t>
      </w:r>
    </w:p>
    <w:p w14:paraId="453712D9" w14:textId="77777777" w:rsidR="009E489C" w:rsidRPr="00D107CC" w:rsidRDefault="009E489C" w:rsidP="009E489C">
      <w:pPr>
        <w:pStyle w:val="Bullet"/>
      </w:pPr>
      <w:r w:rsidRPr="00D107CC">
        <w:t>reviewing the assisted dying forms completed by practitioners, to ensure compliance with the Act prior to the prescription being released</w:t>
      </w:r>
    </w:p>
    <w:p w14:paraId="6CDAEC1E" w14:textId="77777777" w:rsidR="009E489C" w:rsidRPr="00D107CC" w:rsidRDefault="009E489C" w:rsidP="009E489C">
      <w:pPr>
        <w:pStyle w:val="Bullet"/>
      </w:pPr>
      <w:r>
        <w:t xml:space="preserve">establishing and </w:t>
      </w:r>
      <w:r w:rsidRPr="00D107CC">
        <w:t xml:space="preserve">maintaining a register of approved forms for the assisted dying process, including consulting the Privacy Commissioner as </w:t>
      </w:r>
      <w:r>
        <w:t xml:space="preserve">required under the Act </w:t>
      </w:r>
      <w:r w:rsidRPr="00D107CC">
        <w:t xml:space="preserve"> </w:t>
      </w:r>
    </w:p>
    <w:p w14:paraId="25A11A36" w14:textId="77777777" w:rsidR="009E489C" w:rsidRPr="00D107CC" w:rsidRDefault="009E489C" w:rsidP="009E489C">
      <w:pPr>
        <w:pStyle w:val="Bullet"/>
      </w:pPr>
      <w:r w:rsidRPr="00D107CC">
        <w:t xml:space="preserve">receiving and managing complaints, including referring them to the Health and Disability Commissioner, New Zealand Police, and/or other appropriate authorities </w:t>
      </w:r>
    </w:p>
    <w:p w14:paraId="30773EE4" w14:textId="77777777" w:rsidR="009E489C" w:rsidRDefault="009E489C" w:rsidP="009E489C">
      <w:pPr>
        <w:pStyle w:val="Bullet"/>
      </w:pPr>
      <w:r>
        <w:t xml:space="preserve">taking any action as directed by the End of Life </w:t>
      </w:r>
      <w:r w:rsidRPr="00D107CC">
        <w:t xml:space="preserve">Review Committee. </w:t>
      </w:r>
    </w:p>
    <w:p w14:paraId="27CE47F6" w14:textId="77777777" w:rsidR="009A42D5" w:rsidRDefault="009A42D5" w:rsidP="00571223">
      <w:pPr>
        <w:rPr>
          <w:rFonts w:eastAsia="Arial Unicode MS"/>
        </w:rPr>
      </w:pPr>
    </w:p>
    <w:p w14:paraId="7A9F1392" w14:textId="77777777" w:rsidR="009E489C" w:rsidRPr="009E489C" w:rsidRDefault="009E489C" w:rsidP="009E489C">
      <w:pPr>
        <w:pStyle w:val="Heading1"/>
      </w:pPr>
      <w:bookmarkStart w:id="13" w:name="_bookmark4"/>
      <w:bookmarkStart w:id="14" w:name="_bookmark70"/>
      <w:bookmarkStart w:id="15" w:name="_Toc103606317"/>
      <w:bookmarkStart w:id="16" w:name="_Toc104460665"/>
      <w:bookmarkStart w:id="17" w:name="_Toc106611864"/>
      <w:bookmarkStart w:id="18" w:name="_Toc138428945"/>
      <w:bookmarkEnd w:id="13"/>
      <w:bookmarkEnd w:id="14"/>
      <w:r w:rsidRPr="009E489C">
        <w:lastRenderedPageBreak/>
        <w:t>The assisted dying service in New Zealand Aotearoa</w:t>
      </w:r>
      <w:bookmarkEnd w:id="15"/>
      <w:bookmarkEnd w:id="16"/>
      <w:bookmarkEnd w:id="17"/>
      <w:bookmarkEnd w:id="18"/>
    </w:p>
    <w:p w14:paraId="43BECF36" w14:textId="77777777" w:rsidR="009E489C" w:rsidRPr="00DD1B3A" w:rsidRDefault="009E489C" w:rsidP="009E489C">
      <w:pPr>
        <w:pStyle w:val="Heading2"/>
      </w:pPr>
      <w:bookmarkStart w:id="19" w:name="_Toc104460666"/>
      <w:bookmarkStart w:id="20" w:name="_Toc106611865"/>
      <w:bookmarkStart w:id="21" w:name="_Toc138428946"/>
      <w:r w:rsidRPr="00DD1B3A">
        <w:t xml:space="preserve">Mate </w:t>
      </w:r>
      <w:proofErr w:type="spellStart"/>
      <w:r w:rsidRPr="00DD1B3A">
        <w:t>whakaahuru</w:t>
      </w:r>
      <w:bookmarkEnd w:id="19"/>
      <w:bookmarkEnd w:id="20"/>
      <w:bookmarkEnd w:id="21"/>
      <w:proofErr w:type="spellEnd"/>
    </w:p>
    <w:p w14:paraId="0A20182C" w14:textId="77777777" w:rsidR="009E489C" w:rsidRDefault="009E489C" w:rsidP="009E489C">
      <w:r>
        <w:t xml:space="preserve">Manatū Hauora </w:t>
      </w:r>
      <w:r w:rsidRPr="001444EB">
        <w:t xml:space="preserve">is using mate </w:t>
      </w:r>
      <w:proofErr w:type="spellStart"/>
      <w:r w:rsidRPr="001444EB">
        <w:t>whakaahuru</w:t>
      </w:r>
      <w:proofErr w:type="spellEnd"/>
      <w:r w:rsidRPr="001444EB">
        <w:t xml:space="preserve"> as the </w:t>
      </w:r>
      <w:proofErr w:type="spellStart"/>
      <w:r w:rsidRPr="001444EB">
        <w:t>te</w:t>
      </w:r>
      <w:proofErr w:type="spellEnd"/>
      <w:r w:rsidRPr="001444EB">
        <w:t xml:space="preserve"> </w:t>
      </w:r>
      <w:proofErr w:type="spellStart"/>
      <w:r w:rsidRPr="001444EB">
        <w:t>reo</w:t>
      </w:r>
      <w:proofErr w:type="spellEnd"/>
      <w:r w:rsidRPr="001444EB">
        <w:t xml:space="preserve"> Māori translation for assisted dying. This means </w:t>
      </w:r>
      <w:r>
        <w:t>‘</w:t>
      </w:r>
      <w:r w:rsidRPr="001444EB">
        <w:t>to die in a warm and comforting manner</w:t>
      </w:r>
      <w:r>
        <w:t>’</w:t>
      </w:r>
      <w:r w:rsidRPr="001444EB">
        <w:t xml:space="preserve">. </w:t>
      </w:r>
    </w:p>
    <w:p w14:paraId="0C4C0363" w14:textId="77777777" w:rsidR="009E489C" w:rsidRPr="001444EB" w:rsidRDefault="009E489C" w:rsidP="009E489C"/>
    <w:p w14:paraId="5B2AB7AB" w14:textId="77777777" w:rsidR="009E489C" w:rsidRPr="001444EB" w:rsidRDefault="009E489C" w:rsidP="009E489C">
      <w:r>
        <w:t xml:space="preserve">These </w:t>
      </w:r>
      <w:proofErr w:type="spellStart"/>
      <w:r>
        <w:t>kupu</w:t>
      </w:r>
      <w:proofErr w:type="spellEnd"/>
      <w:r>
        <w:t xml:space="preserve"> were used by Māori media and proficient </w:t>
      </w:r>
      <w:proofErr w:type="spellStart"/>
      <w:r>
        <w:t>te</w:t>
      </w:r>
      <w:proofErr w:type="spellEnd"/>
      <w:r>
        <w:t xml:space="preserve"> </w:t>
      </w:r>
      <w:proofErr w:type="spellStart"/>
      <w:r>
        <w:t>reo</w:t>
      </w:r>
      <w:proofErr w:type="spellEnd"/>
      <w:r>
        <w:t xml:space="preserve"> speakers prior to the Act coming into force. Manatū Hauora consulted with </w:t>
      </w:r>
      <w:proofErr w:type="spellStart"/>
      <w:r>
        <w:t>Te</w:t>
      </w:r>
      <w:proofErr w:type="spellEnd"/>
      <w:r>
        <w:t xml:space="preserve"> </w:t>
      </w:r>
      <w:proofErr w:type="spellStart"/>
      <w:r>
        <w:t>Apārangi</w:t>
      </w:r>
      <w:proofErr w:type="spellEnd"/>
      <w:r>
        <w:t xml:space="preserve">: Māori Partnership Alliance and the Support and Consultation for End of Life in New Zealand (SCENZ) Group before this translation was adopted. </w:t>
      </w:r>
    </w:p>
    <w:p w14:paraId="10D4F8A3" w14:textId="77777777" w:rsidR="009E489C" w:rsidRPr="00DD1B3A" w:rsidRDefault="009E489C" w:rsidP="009E489C">
      <w:pPr>
        <w:pStyle w:val="Heading2"/>
      </w:pPr>
      <w:bookmarkStart w:id="22" w:name="_Toc103606318"/>
      <w:bookmarkStart w:id="23" w:name="_Toc104460667"/>
      <w:bookmarkStart w:id="24" w:name="_Toc106611866"/>
      <w:bookmarkStart w:id="25" w:name="_Toc138428947"/>
      <w:bookmarkStart w:id="26" w:name="_Toc103085565"/>
      <w:r w:rsidRPr="00DD1B3A">
        <w:t>The End of Life Choice Act 2019</w:t>
      </w:r>
      <w:bookmarkEnd w:id="22"/>
      <w:bookmarkEnd w:id="23"/>
      <w:bookmarkEnd w:id="24"/>
      <w:bookmarkEnd w:id="25"/>
    </w:p>
    <w:p w14:paraId="55532CB3" w14:textId="77777777" w:rsidR="009E489C" w:rsidRPr="001E7528" w:rsidRDefault="009E489C" w:rsidP="009E489C">
      <w:r w:rsidRPr="001E7528">
        <w:rPr>
          <w:rFonts w:eastAsia="MS Gothic"/>
          <w:bCs/>
          <w:szCs w:val="21"/>
        </w:rPr>
        <w:t xml:space="preserve">The </w:t>
      </w:r>
      <w:r>
        <w:rPr>
          <w:rFonts w:eastAsia="MS Gothic"/>
          <w:bCs/>
          <w:szCs w:val="21"/>
        </w:rPr>
        <w:t>Act</w:t>
      </w:r>
      <w:r w:rsidRPr="001E7528">
        <w:rPr>
          <w:szCs w:val="21"/>
        </w:rPr>
        <w:t xml:space="preserve"> </w:t>
      </w:r>
      <w:r>
        <w:t>came into force on 7 November 2021. It</w:t>
      </w:r>
      <w:r w:rsidRPr="001E7528">
        <w:t xml:space="preserve"> </w:t>
      </w:r>
      <w:r>
        <w:t>gives</w:t>
      </w:r>
      <w:r w:rsidRPr="001E7528">
        <w:t xml:space="preserve"> </w:t>
      </w:r>
      <w:r w:rsidRPr="001E7528">
        <w:rPr>
          <w:lang w:eastAsia="en-NZ"/>
        </w:rPr>
        <w:t xml:space="preserve">a person with a terminal illness </w:t>
      </w:r>
      <w:r w:rsidRPr="001E7528">
        <w:t>the option to</w:t>
      </w:r>
      <w:r w:rsidRPr="001E7528">
        <w:rPr>
          <w:lang w:eastAsia="en-NZ"/>
        </w:rPr>
        <w:t xml:space="preserve"> request medication to end their life.</w:t>
      </w:r>
      <w:r w:rsidRPr="001E7528">
        <w:t xml:space="preserve"> The Act outlines the legal framework for assisted dying, including eligibility criteria and some key safeguards. </w:t>
      </w:r>
    </w:p>
    <w:p w14:paraId="72E6C4A9" w14:textId="77777777" w:rsidR="009E489C" w:rsidRDefault="009E489C" w:rsidP="009E489C"/>
    <w:p w14:paraId="1A138E58" w14:textId="77777777" w:rsidR="009E489C" w:rsidRPr="001E7528" w:rsidRDefault="009E489C" w:rsidP="009E489C">
      <w:r w:rsidRPr="001E7528">
        <w:t xml:space="preserve">To be eligible for </w:t>
      </w:r>
      <w:r>
        <w:t>an assisted death,</w:t>
      </w:r>
      <w:r w:rsidRPr="001E7528">
        <w:t xml:space="preserve"> a person must be: </w:t>
      </w:r>
    </w:p>
    <w:p w14:paraId="7B487EB0" w14:textId="77777777" w:rsidR="009E489C" w:rsidRPr="001E7528" w:rsidRDefault="009E489C" w:rsidP="009E489C">
      <w:pPr>
        <w:pStyle w:val="Bullet"/>
        <w:rPr>
          <w:rFonts w:cs="Segoe UI"/>
        </w:rPr>
      </w:pPr>
      <w:r w:rsidRPr="2B75C2E1">
        <w:rPr>
          <w:rFonts w:cs="Segoe UI"/>
        </w:rPr>
        <w:t>aged 18 years or over</w:t>
      </w:r>
    </w:p>
    <w:p w14:paraId="27311309" w14:textId="77777777" w:rsidR="009E489C" w:rsidRPr="001E7528" w:rsidRDefault="009E489C" w:rsidP="009E489C">
      <w:pPr>
        <w:pStyle w:val="Bullet"/>
        <w:rPr>
          <w:rFonts w:cs="Segoe UI"/>
        </w:rPr>
      </w:pPr>
      <w:r w:rsidRPr="2B75C2E1">
        <w:rPr>
          <w:rFonts w:cs="Segoe UI"/>
        </w:rPr>
        <w:t>a citizen or permanent resident of New Zealand</w:t>
      </w:r>
    </w:p>
    <w:p w14:paraId="20B405BB" w14:textId="77777777" w:rsidR="009E489C" w:rsidRPr="001E7528" w:rsidRDefault="009E489C" w:rsidP="009E489C">
      <w:pPr>
        <w:pStyle w:val="Bullet"/>
        <w:rPr>
          <w:rFonts w:cs="Segoe UI"/>
        </w:rPr>
      </w:pPr>
      <w:r w:rsidRPr="2B75C2E1">
        <w:rPr>
          <w:rFonts w:cs="Segoe UI"/>
        </w:rPr>
        <w:t>suffering from a terminal illness that is likely to end their life within six months</w:t>
      </w:r>
    </w:p>
    <w:p w14:paraId="354C9905" w14:textId="77777777" w:rsidR="009E489C" w:rsidRPr="001E7528" w:rsidRDefault="009E489C" w:rsidP="009E489C">
      <w:pPr>
        <w:pStyle w:val="Bullet"/>
        <w:rPr>
          <w:rFonts w:cs="Segoe UI"/>
        </w:rPr>
      </w:pPr>
      <w:r w:rsidRPr="2B75C2E1">
        <w:rPr>
          <w:rFonts w:cs="Segoe UI"/>
        </w:rPr>
        <w:t>in an advanced state of irreversible decline in physical capability</w:t>
      </w:r>
    </w:p>
    <w:p w14:paraId="56973699" w14:textId="77777777" w:rsidR="009E489C" w:rsidRPr="001E7528" w:rsidRDefault="009E489C" w:rsidP="009E489C">
      <w:pPr>
        <w:pStyle w:val="Bullet"/>
        <w:rPr>
          <w:rFonts w:cs="Segoe UI"/>
        </w:rPr>
      </w:pPr>
      <w:r w:rsidRPr="2B75C2E1">
        <w:rPr>
          <w:rFonts w:cs="Segoe UI"/>
        </w:rPr>
        <w:t>experiencing unbearable suffering that cannot be relieved in a manner that the person considers tolerable</w:t>
      </w:r>
    </w:p>
    <w:p w14:paraId="02166700" w14:textId="77777777" w:rsidR="009E489C" w:rsidRPr="001E7528" w:rsidRDefault="009E489C" w:rsidP="009E489C">
      <w:pPr>
        <w:pStyle w:val="Bullet"/>
        <w:rPr>
          <w:rFonts w:cs="Segoe UI"/>
        </w:rPr>
      </w:pPr>
      <w:r w:rsidRPr="2B75C2E1">
        <w:rPr>
          <w:rFonts w:cs="Segoe UI"/>
        </w:rPr>
        <w:t>competent to make an informed decision about assisted dying.</w:t>
      </w:r>
    </w:p>
    <w:p w14:paraId="307A0F31" w14:textId="77777777" w:rsidR="009E489C" w:rsidRDefault="009E489C" w:rsidP="009E489C">
      <w:pPr>
        <w:rPr>
          <w:lang w:eastAsia="en-NZ"/>
        </w:rPr>
      </w:pPr>
    </w:p>
    <w:p w14:paraId="55A59A60" w14:textId="77777777" w:rsidR="009E489C" w:rsidRDefault="009E489C" w:rsidP="009E489C">
      <w:pPr>
        <w:rPr>
          <w:rFonts w:cs="Segoe UI"/>
          <w:lang w:eastAsia="en-NZ"/>
        </w:rPr>
      </w:pPr>
      <w:r w:rsidRPr="001E7528">
        <w:rPr>
          <w:rFonts w:cs="Segoe UI"/>
          <w:lang w:eastAsia="en-NZ"/>
        </w:rPr>
        <w:t>The decision to have an assisted death must be made by the person with a terminal illness</w:t>
      </w:r>
      <w:r>
        <w:rPr>
          <w:rFonts w:cs="Segoe UI"/>
          <w:lang w:eastAsia="en-NZ"/>
        </w:rPr>
        <w:t>. A</w:t>
      </w:r>
      <w:r w:rsidRPr="001E7528">
        <w:rPr>
          <w:rFonts w:cs="Segoe UI"/>
          <w:lang w:eastAsia="en-NZ"/>
        </w:rPr>
        <w:t xml:space="preserve"> health practitioner is not </w:t>
      </w:r>
      <w:r>
        <w:rPr>
          <w:rFonts w:cs="Segoe UI"/>
          <w:lang w:eastAsia="en-NZ"/>
        </w:rPr>
        <w:t>permitted</w:t>
      </w:r>
      <w:r w:rsidRPr="001E7528">
        <w:rPr>
          <w:rFonts w:cs="Segoe UI"/>
          <w:lang w:eastAsia="en-NZ"/>
        </w:rPr>
        <w:t xml:space="preserve"> to raise this option with them unprompted. </w:t>
      </w:r>
    </w:p>
    <w:p w14:paraId="4D2041F8" w14:textId="77777777" w:rsidR="009E489C" w:rsidRDefault="009E489C" w:rsidP="009E489C">
      <w:pPr>
        <w:rPr>
          <w:rFonts w:cs="Segoe UI"/>
          <w:lang w:eastAsia="en-NZ"/>
        </w:rPr>
      </w:pPr>
    </w:p>
    <w:p w14:paraId="698FB2EA" w14:textId="77777777" w:rsidR="009E489C" w:rsidRPr="008C23A7" w:rsidRDefault="009E489C" w:rsidP="009E489C">
      <w:pPr>
        <w:rPr>
          <w:rFonts w:cs="Segoe UI"/>
          <w:lang w:eastAsia="en-NZ"/>
        </w:rPr>
      </w:pPr>
      <w:r>
        <w:rPr>
          <w:rFonts w:cs="Segoe UI"/>
          <w:lang w:eastAsia="en-NZ"/>
        </w:rPr>
        <w:t xml:space="preserve">The Act is available on the </w:t>
      </w:r>
      <w:hyperlink r:id="rId34" w:history="1">
        <w:r w:rsidRPr="00B03E74">
          <w:rPr>
            <w:rStyle w:val="Hyperlink"/>
            <w:rFonts w:cs="Segoe UI"/>
            <w:lang w:eastAsia="en-NZ"/>
          </w:rPr>
          <w:t>New Zealand Legislation website</w:t>
        </w:r>
      </w:hyperlink>
      <w:r>
        <w:rPr>
          <w:rFonts w:cs="Segoe UI"/>
          <w:lang w:eastAsia="en-NZ"/>
        </w:rPr>
        <w:t xml:space="preserve">. </w:t>
      </w:r>
      <w:bookmarkStart w:id="27" w:name="_Toc103606319"/>
      <w:bookmarkStart w:id="28" w:name="_Toc104460668"/>
      <w:bookmarkStart w:id="29" w:name="_Toc106611867"/>
    </w:p>
    <w:p w14:paraId="48CFA375" w14:textId="77777777" w:rsidR="009E489C" w:rsidRPr="00DD1B3A" w:rsidRDefault="009E489C" w:rsidP="009E489C">
      <w:pPr>
        <w:pStyle w:val="Heading2"/>
      </w:pPr>
      <w:bookmarkStart w:id="30" w:name="_Toc103606321"/>
      <w:bookmarkStart w:id="31" w:name="_Toc104460671"/>
      <w:bookmarkStart w:id="32" w:name="_Toc106611868"/>
      <w:bookmarkStart w:id="33" w:name="_Toc138428948"/>
      <w:bookmarkEnd w:id="26"/>
      <w:bookmarkEnd w:id="27"/>
      <w:bookmarkEnd w:id="28"/>
      <w:bookmarkEnd w:id="29"/>
      <w:r w:rsidRPr="00DD1B3A">
        <w:t>Standard of Care and Clinical Guideline</w:t>
      </w:r>
      <w:bookmarkEnd w:id="30"/>
      <w:bookmarkEnd w:id="31"/>
      <w:bookmarkEnd w:id="32"/>
      <w:bookmarkEnd w:id="33"/>
    </w:p>
    <w:p w14:paraId="60BEA149" w14:textId="77777777" w:rsidR="009E489C" w:rsidRDefault="009E489C" w:rsidP="009E489C">
      <w:r w:rsidRPr="537D20A4">
        <w:rPr>
          <w:rFonts w:cs="Segoe UI"/>
        </w:rPr>
        <w:t>The assisted dying service</w:t>
      </w:r>
      <w:r>
        <w:rPr>
          <w:rFonts w:cs="Segoe UI"/>
        </w:rPr>
        <w:t xml:space="preserve"> operates</w:t>
      </w:r>
      <w:r w:rsidRPr="537D20A4">
        <w:rPr>
          <w:rFonts w:cs="Segoe UI"/>
        </w:rPr>
        <w:t xml:space="preserve"> within the context of the wider health and disability system. Professional standards and frameworks, such as the Code of Health and Disability Services Consumers' Rights, continue to apply to assisted dying services and should be followed to ensure quality service provision to people and their </w:t>
      </w:r>
      <w:proofErr w:type="spellStart"/>
      <w:r w:rsidRPr="537D20A4">
        <w:rPr>
          <w:rFonts w:cs="Segoe UI"/>
        </w:rPr>
        <w:t>whānau</w:t>
      </w:r>
      <w:proofErr w:type="spellEnd"/>
      <w:r w:rsidRPr="537D20A4">
        <w:rPr>
          <w:rFonts w:cs="Segoe UI"/>
        </w:rPr>
        <w:t xml:space="preserve">.  </w:t>
      </w:r>
    </w:p>
    <w:p w14:paraId="0C3E48EF" w14:textId="77777777" w:rsidR="009E489C" w:rsidRPr="001E7528" w:rsidRDefault="009E489C" w:rsidP="009E489C">
      <w:pPr>
        <w:rPr>
          <w:rFonts w:cs="Segoe UI"/>
        </w:rPr>
      </w:pPr>
    </w:p>
    <w:p w14:paraId="4C80C361" w14:textId="77777777" w:rsidR="009E489C" w:rsidRPr="001E7528" w:rsidRDefault="009E489C" w:rsidP="009E489C">
      <w:pPr>
        <w:rPr>
          <w:rFonts w:cs="Segoe UI"/>
        </w:rPr>
      </w:pPr>
      <w:r w:rsidRPr="537D20A4">
        <w:rPr>
          <w:rFonts w:cs="Segoe UI"/>
        </w:rPr>
        <w:t xml:space="preserve">Specific guidance for the assisted dying service is provided by </w:t>
      </w:r>
      <w:hyperlink r:id="rId35">
        <w:r w:rsidRPr="537D20A4">
          <w:rPr>
            <w:rFonts w:cs="Segoe UI"/>
          </w:rPr>
          <w:t xml:space="preserve">the </w:t>
        </w:r>
        <w:r w:rsidRPr="537D20A4">
          <w:rPr>
            <w:rFonts w:cs="Segoe UI"/>
            <w:i/>
            <w:iCs/>
          </w:rPr>
          <w:t>Standard of Care</w:t>
        </w:r>
        <w:r w:rsidRPr="537D20A4">
          <w:rPr>
            <w:rFonts w:cs="Segoe UI"/>
          </w:rPr>
          <w:t xml:space="preserve">, and the </w:t>
        </w:r>
        <w:r w:rsidRPr="537D20A4">
          <w:rPr>
            <w:rFonts w:cs="Segoe UI"/>
            <w:i/>
            <w:iCs/>
          </w:rPr>
          <w:t>Clinical Guideline</w:t>
        </w:r>
        <w:r w:rsidRPr="537D20A4">
          <w:rPr>
            <w:rFonts w:cs="Segoe UI"/>
          </w:rPr>
          <w:t xml:space="preserve"> for administering assisted dying medication in New Zealand Aotearoa</w:t>
        </w:r>
      </w:hyperlink>
      <w:r w:rsidRPr="537D20A4">
        <w:rPr>
          <w:rFonts w:cs="Segoe UI"/>
        </w:rPr>
        <w:t xml:space="preserve">. These frameworks support consistent, safe and quality services and incorporate </w:t>
      </w:r>
      <w:proofErr w:type="spellStart"/>
      <w:r w:rsidRPr="537D20A4">
        <w:rPr>
          <w:rFonts w:cs="Segoe UI"/>
        </w:rPr>
        <w:t>Te</w:t>
      </w:r>
      <w:proofErr w:type="spellEnd"/>
      <w:r w:rsidRPr="537D20A4">
        <w:rPr>
          <w:rFonts w:cs="Segoe UI"/>
        </w:rPr>
        <w:t xml:space="preserve"> </w:t>
      </w:r>
      <w:proofErr w:type="spellStart"/>
      <w:r w:rsidRPr="537D20A4">
        <w:rPr>
          <w:rFonts w:cs="Segoe UI"/>
        </w:rPr>
        <w:t>Tiriti</w:t>
      </w:r>
      <w:proofErr w:type="spellEnd"/>
      <w:r w:rsidRPr="537D20A4">
        <w:rPr>
          <w:rFonts w:cs="Segoe UI"/>
        </w:rPr>
        <w:t xml:space="preserve"> o Waitangi principles. </w:t>
      </w:r>
    </w:p>
    <w:p w14:paraId="02D42FD1" w14:textId="77777777" w:rsidR="009E489C" w:rsidRPr="001E7528" w:rsidRDefault="009E489C" w:rsidP="009E489C">
      <w:pPr>
        <w:rPr>
          <w:rFonts w:cs="Segoe UI"/>
        </w:rPr>
      </w:pPr>
    </w:p>
    <w:p w14:paraId="213B14A8" w14:textId="77777777" w:rsidR="009E489C" w:rsidRDefault="009E489C" w:rsidP="009E489C">
      <w:pPr>
        <w:spacing w:line="259" w:lineRule="auto"/>
        <w:rPr>
          <w:rFonts w:cs="Segoe UI"/>
        </w:rPr>
      </w:pPr>
      <w:r w:rsidRPr="6CCD0188">
        <w:rPr>
          <w:rFonts w:cs="Segoe UI"/>
        </w:rPr>
        <w:t xml:space="preserve">Both the </w:t>
      </w:r>
      <w:r w:rsidRPr="6CCD0188">
        <w:rPr>
          <w:rFonts w:cs="Segoe UI"/>
          <w:i/>
          <w:iCs/>
        </w:rPr>
        <w:t>Standard of Care</w:t>
      </w:r>
      <w:r w:rsidRPr="6CCD0188">
        <w:rPr>
          <w:rFonts w:cs="Segoe UI"/>
        </w:rPr>
        <w:t xml:space="preserve"> and the </w:t>
      </w:r>
      <w:r w:rsidRPr="6CCD0188">
        <w:rPr>
          <w:rFonts w:cs="Segoe UI"/>
          <w:i/>
          <w:iCs/>
        </w:rPr>
        <w:t>Clinical Guideline</w:t>
      </w:r>
      <w:r w:rsidRPr="6CCD0188">
        <w:rPr>
          <w:rFonts w:cs="Segoe UI"/>
        </w:rPr>
        <w:t xml:space="preserve"> are intended to be read alongside </w:t>
      </w:r>
      <w:hyperlink r:id="rId36">
        <w:proofErr w:type="spellStart"/>
        <w:r w:rsidRPr="6CCD0188">
          <w:rPr>
            <w:rStyle w:val="Hyperlink"/>
            <w:rFonts w:cs="Segoe UI"/>
            <w:i/>
            <w:iCs/>
          </w:rPr>
          <w:t>Ngā</w:t>
        </w:r>
        <w:proofErr w:type="spellEnd"/>
        <w:r w:rsidRPr="6CCD0188">
          <w:rPr>
            <w:rStyle w:val="Hyperlink"/>
            <w:rFonts w:cs="Segoe UI"/>
            <w:i/>
            <w:iCs/>
          </w:rPr>
          <w:t xml:space="preserve"> </w:t>
        </w:r>
        <w:proofErr w:type="spellStart"/>
        <w:r w:rsidRPr="6CCD0188">
          <w:rPr>
            <w:rStyle w:val="Hyperlink"/>
            <w:rFonts w:cs="Segoe UI"/>
            <w:i/>
            <w:iCs/>
          </w:rPr>
          <w:t>Paerewa</w:t>
        </w:r>
        <w:proofErr w:type="spellEnd"/>
        <w:r w:rsidRPr="6CCD0188">
          <w:rPr>
            <w:rStyle w:val="Hyperlink"/>
            <w:rFonts w:cs="Segoe UI"/>
            <w:i/>
            <w:iCs/>
          </w:rPr>
          <w:t>: Health and Disability Services Standard NZS 8134:2021</w:t>
        </w:r>
      </w:hyperlink>
      <w:r w:rsidRPr="6CCD0188">
        <w:rPr>
          <w:rFonts w:cs="Segoe UI"/>
        </w:rPr>
        <w:t xml:space="preserve">. </w:t>
      </w:r>
      <w:proofErr w:type="spellStart"/>
      <w:r w:rsidRPr="6CCD0188">
        <w:rPr>
          <w:rFonts w:cs="Segoe UI"/>
          <w:i/>
          <w:iCs/>
        </w:rPr>
        <w:t>Ngā</w:t>
      </w:r>
      <w:proofErr w:type="spellEnd"/>
      <w:r w:rsidRPr="6CCD0188">
        <w:rPr>
          <w:rFonts w:cs="Segoe UI"/>
          <w:i/>
          <w:iCs/>
        </w:rPr>
        <w:t xml:space="preserve"> </w:t>
      </w:r>
      <w:proofErr w:type="spellStart"/>
      <w:r w:rsidRPr="6CCD0188">
        <w:rPr>
          <w:rFonts w:cs="Segoe UI"/>
          <w:i/>
          <w:iCs/>
        </w:rPr>
        <w:t>Paerewa</w:t>
      </w:r>
      <w:proofErr w:type="spellEnd"/>
      <w:r w:rsidRPr="6CCD0188">
        <w:rPr>
          <w:rFonts w:cs="Segoe UI"/>
        </w:rPr>
        <w:t>, which was developed with the health sector, sets out the minimum requirements for care and support within services specified in the Health and Disability Services (Safety) Act 2001.</w:t>
      </w:r>
    </w:p>
    <w:p w14:paraId="72943F8E" w14:textId="77777777" w:rsidR="009E489C" w:rsidRDefault="009E489C" w:rsidP="009E489C">
      <w:pPr>
        <w:pStyle w:val="Heading2"/>
      </w:pPr>
      <w:bookmarkStart w:id="34" w:name="_Toc138428949"/>
      <w:r>
        <w:t>Supply of medications</w:t>
      </w:r>
      <w:bookmarkEnd w:id="34"/>
    </w:p>
    <w:p w14:paraId="3C572937" w14:textId="77777777" w:rsidR="009E489C" w:rsidRPr="001E7528" w:rsidRDefault="009E489C" w:rsidP="009E489C">
      <w:r>
        <w:t xml:space="preserve">Two hospital pharmacies are responsible for dispensing the prescriptions for the assisted dying medication. This centralised approach supports consistency, safety, and access. The medication kits are delivered securely, directly to practitioners across the country in a timely manner. The pharmacies are also responsible for medication reconciliation and disposal. </w:t>
      </w:r>
    </w:p>
    <w:p w14:paraId="76D4FBEB" w14:textId="77777777" w:rsidR="009E489C" w:rsidRPr="001E7528" w:rsidRDefault="009E489C" w:rsidP="009E489C"/>
    <w:p w14:paraId="63D15783" w14:textId="77777777" w:rsidR="009E489C" w:rsidRPr="00EF1A9A" w:rsidRDefault="009E489C" w:rsidP="009E489C">
      <w:pPr>
        <w:rPr>
          <w:rFonts w:cs="Segoe UI"/>
        </w:rPr>
      </w:pPr>
      <w:r>
        <w:t xml:space="preserve">As a result of the transfer of some functions to </w:t>
      </w:r>
      <w:proofErr w:type="spellStart"/>
      <w:r>
        <w:t>Te</w:t>
      </w:r>
      <w:proofErr w:type="spellEnd"/>
      <w:r>
        <w:t xml:space="preserve"> </w:t>
      </w:r>
      <w:proofErr w:type="spellStart"/>
      <w:r>
        <w:t>Whatu</w:t>
      </w:r>
      <w:proofErr w:type="spellEnd"/>
      <w:r>
        <w:t xml:space="preserve"> Ora, as part of the reforms of the health and disability system, </w:t>
      </w:r>
      <w:proofErr w:type="spellStart"/>
      <w:r>
        <w:t>Te</w:t>
      </w:r>
      <w:proofErr w:type="spellEnd"/>
      <w:r>
        <w:t xml:space="preserve"> </w:t>
      </w:r>
      <w:proofErr w:type="spellStart"/>
      <w:r>
        <w:t>Whatu</w:t>
      </w:r>
      <w:proofErr w:type="spellEnd"/>
      <w:r>
        <w:t xml:space="preserve"> Ora has the continued relationship with these pharmacies.</w:t>
      </w:r>
    </w:p>
    <w:p w14:paraId="71172137" w14:textId="77777777" w:rsidR="009E489C" w:rsidRPr="00E236F4" w:rsidRDefault="009E489C" w:rsidP="009E489C">
      <w:pPr>
        <w:pStyle w:val="Heading2"/>
      </w:pPr>
      <w:bookmarkStart w:id="35" w:name="_Toc138428950"/>
      <w:r>
        <w:t>The Support and Consultation for End of Life in New Zealand Group, t</w:t>
      </w:r>
      <w:r w:rsidRPr="00E236F4">
        <w:t>he End of Life Review Committee</w:t>
      </w:r>
      <w:r>
        <w:t xml:space="preserve"> and </w:t>
      </w:r>
      <w:proofErr w:type="spellStart"/>
      <w:r w:rsidRPr="00E236F4">
        <w:t>Te</w:t>
      </w:r>
      <w:proofErr w:type="spellEnd"/>
      <w:r w:rsidRPr="00E236F4">
        <w:t xml:space="preserve"> </w:t>
      </w:r>
      <w:proofErr w:type="spellStart"/>
      <w:r w:rsidRPr="00E236F4">
        <w:t>Apārangi</w:t>
      </w:r>
      <w:proofErr w:type="spellEnd"/>
      <w:r w:rsidRPr="00E236F4">
        <w:t>: Māori Partnership Alliance</w:t>
      </w:r>
      <w:bookmarkEnd w:id="35"/>
    </w:p>
    <w:p w14:paraId="1F623903" w14:textId="77777777" w:rsidR="009E489C" w:rsidRDefault="009E489C" w:rsidP="009E489C">
      <w:r w:rsidRPr="00C920BF">
        <w:t xml:space="preserve">The Support and Consultation for End of Life in New Zealand </w:t>
      </w:r>
      <w:r>
        <w:t xml:space="preserve">(SCENZ) </w:t>
      </w:r>
      <w:r w:rsidRPr="00C920BF">
        <w:t xml:space="preserve">Group, the End of Life Review Committee and </w:t>
      </w:r>
      <w:proofErr w:type="spellStart"/>
      <w:r w:rsidRPr="00C920BF">
        <w:t>Te</w:t>
      </w:r>
      <w:proofErr w:type="spellEnd"/>
      <w:r w:rsidRPr="00C920BF">
        <w:t xml:space="preserve"> </w:t>
      </w:r>
      <w:proofErr w:type="spellStart"/>
      <w:r w:rsidRPr="00C920BF">
        <w:t>Apārangi</w:t>
      </w:r>
      <w:proofErr w:type="spellEnd"/>
      <w:r w:rsidRPr="00C920BF">
        <w:t>: Māori Partnership Alliance</w:t>
      </w:r>
      <w:r>
        <w:t xml:space="preserve"> continue to be critical groups supporting the assisted dying service. </w:t>
      </w:r>
    </w:p>
    <w:p w14:paraId="1631EFA6" w14:textId="77777777" w:rsidR="009E489C" w:rsidRDefault="009E489C" w:rsidP="009E489C"/>
    <w:p w14:paraId="14C378B1" w14:textId="77777777" w:rsidR="009E489C" w:rsidRDefault="009E489C" w:rsidP="009E489C">
      <w:pPr>
        <w:rPr>
          <w:lang w:eastAsia="en-NZ"/>
        </w:rPr>
      </w:pPr>
      <w:r>
        <w:t xml:space="preserve">The SCENZ group and </w:t>
      </w:r>
      <w:proofErr w:type="spellStart"/>
      <w:r w:rsidRPr="61D104B1">
        <w:rPr>
          <w:lang w:eastAsia="en-NZ"/>
        </w:rPr>
        <w:t>Te</w:t>
      </w:r>
      <w:proofErr w:type="spellEnd"/>
      <w:r w:rsidRPr="61D104B1">
        <w:rPr>
          <w:lang w:eastAsia="en-NZ"/>
        </w:rPr>
        <w:t xml:space="preserve"> </w:t>
      </w:r>
      <w:proofErr w:type="spellStart"/>
      <w:r w:rsidRPr="61D104B1">
        <w:rPr>
          <w:lang w:eastAsia="en-NZ"/>
        </w:rPr>
        <w:t>Apārangi</w:t>
      </w:r>
      <w:proofErr w:type="spellEnd"/>
      <w:r w:rsidRPr="61D104B1">
        <w:rPr>
          <w:lang w:eastAsia="en-NZ"/>
        </w:rPr>
        <w:t xml:space="preserve"> continue</w:t>
      </w:r>
      <w:r>
        <w:rPr>
          <w:lang w:eastAsia="en-NZ"/>
        </w:rPr>
        <w:t>d</w:t>
      </w:r>
      <w:r w:rsidRPr="61D104B1">
        <w:rPr>
          <w:lang w:eastAsia="en-NZ"/>
        </w:rPr>
        <w:t xml:space="preserve"> to provide </w:t>
      </w:r>
      <w:r>
        <w:rPr>
          <w:lang w:eastAsia="en-NZ"/>
        </w:rPr>
        <w:t>advice</w:t>
      </w:r>
      <w:r w:rsidRPr="61D104B1">
        <w:rPr>
          <w:lang w:eastAsia="en-NZ"/>
        </w:rPr>
        <w:t xml:space="preserve"> and expertise</w:t>
      </w:r>
      <w:r>
        <w:rPr>
          <w:lang w:eastAsia="en-NZ"/>
        </w:rPr>
        <w:t xml:space="preserve"> as</w:t>
      </w:r>
      <w:r w:rsidRPr="61D104B1">
        <w:rPr>
          <w:lang w:eastAsia="en-NZ"/>
        </w:rPr>
        <w:t xml:space="preserve"> the assisted dying service </w:t>
      </w:r>
      <w:r>
        <w:rPr>
          <w:lang w:eastAsia="en-NZ"/>
        </w:rPr>
        <w:t>began maturing over the last year</w:t>
      </w:r>
      <w:r w:rsidRPr="61D104B1">
        <w:rPr>
          <w:lang w:eastAsia="en-NZ"/>
        </w:rPr>
        <w:t xml:space="preserve">. </w:t>
      </w:r>
      <w:proofErr w:type="spellStart"/>
      <w:r w:rsidRPr="61D104B1">
        <w:rPr>
          <w:lang w:eastAsia="en-NZ"/>
        </w:rPr>
        <w:t>Te</w:t>
      </w:r>
      <w:proofErr w:type="spellEnd"/>
      <w:r w:rsidRPr="61D104B1">
        <w:rPr>
          <w:lang w:eastAsia="en-NZ"/>
        </w:rPr>
        <w:t xml:space="preserve"> </w:t>
      </w:r>
      <w:proofErr w:type="spellStart"/>
      <w:r w:rsidRPr="61D104B1">
        <w:rPr>
          <w:lang w:eastAsia="en-NZ"/>
        </w:rPr>
        <w:t>Apārangi</w:t>
      </w:r>
      <w:proofErr w:type="spellEnd"/>
      <w:r>
        <w:rPr>
          <w:lang w:eastAsia="en-NZ"/>
        </w:rPr>
        <w:t xml:space="preserve"> will</w:t>
      </w:r>
      <w:r w:rsidRPr="61D104B1">
        <w:rPr>
          <w:lang w:eastAsia="en-NZ"/>
        </w:rPr>
        <w:t xml:space="preserve"> shift </w:t>
      </w:r>
      <w:r>
        <w:rPr>
          <w:lang w:eastAsia="en-NZ"/>
        </w:rPr>
        <w:t xml:space="preserve">its focus </w:t>
      </w:r>
      <w:r w:rsidRPr="61D104B1">
        <w:rPr>
          <w:lang w:eastAsia="en-NZ"/>
        </w:rPr>
        <w:t xml:space="preserve">towards providing governance and strategic oversight to support the Secretariat’s role of monitoring and </w:t>
      </w:r>
      <w:r>
        <w:rPr>
          <w:lang w:eastAsia="en-NZ"/>
        </w:rPr>
        <w:t>regulating the service.</w:t>
      </w:r>
    </w:p>
    <w:p w14:paraId="29F9D96C" w14:textId="77777777" w:rsidR="009E489C" w:rsidRDefault="009E489C" w:rsidP="009E489C">
      <w:pPr>
        <w:rPr>
          <w:lang w:eastAsia="en-NZ"/>
        </w:rPr>
      </w:pPr>
    </w:p>
    <w:p w14:paraId="7116C3C5" w14:textId="77777777" w:rsidR="009E489C" w:rsidRDefault="009E489C" w:rsidP="009E489C">
      <w:r w:rsidRPr="00347D15">
        <w:rPr>
          <w:rFonts w:cs="Segoe UI"/>
          <w:szCs w:val="21"/>
        </w:rPr>
        <w:t xml:space="preserve">More information about </w:t>
      </w:r>
      <w:r>
        <w:rPr>
          <w:rFonts w:cs="Segoe UI"/>
          <w:szCs w:val="21"/>
        </w:rPr>
        <w:t xml:space="preserve">the </w:t>
      </w:r>
      <w:hyperlink r:id="rId37" w:history="1">
        <w:r w:rsidRPr="00151836">
          <w:rPr>
            <w:rStyle w:val="Hyperlink"/>
            <w:rFonts w:cs="Segoe UI"/>
            <w:szCs w:val="21"/>
          </w:rPr>
          <w:t>SCENZ group</w:t>
        </w:r>
      </w:hyperlink>
      <w:r>
        <w:rPr>
          <w:rFonts w:cs="Segoe UI"/>
          <w:szCs w:val="21"/>
        </w:rPr>
        <w:t xml:space="preserve"> and the </w:t>
      </w:r>
      <w:hyperlink r:id="rId38" w:history="1">
        <w:r w:rsidRPr="00B97494">
          <w:rPr>
            <w:rStyle w:val="Hyperlink"/>
          </w:rPr>
          <w:t>End of Life Review Committee</w:t>
        </w:r>
      </w:hyperlink>
      <w:r>
        <w:t xml:space="preserve"> can be found on the Ministry’s website and in the previous Registrar’s report. Further information about </w:t>
      </w:r>
      <w:proofErr w:type="spellStart"/>
      <w:r>
        <w:t>Te</w:t>
      </w:r>
      <w:proofErr w:type="spellEnd"/>
      <w:r>
        <w:t xml:space="preserve"> </w:t>
      </w:r>
      <w:proofErr w:type="spellStart"/>
      <w:r>
        <w:t>Apārangi</w:t>
      </w:r>
      <w:proofErr w:type="spellEnd"/>
      <w:r>
        <w:t xml:space="preserve"> can also be </w:t>
      </w:r>
      <w:hyperlink r:id="rId39" w:history="1">
        <w:r w:rsidRPr="00F07705">
          <w:rPr>
            <w:rStyle w:val="Hyperlink"/>
          </w:rPr>
          <w:t>found on the Ministry’s website</w:t>
        </w:r>
      </w:hyperlink>
      <w:r>
        <w:t xml:space="preserve">. </w:t>
      </w:r>
    </w:p>
    <w:p w14:paraId="11615DF9" w14:textId="77777777" w:rsidR="009E489C" w:rsidRDefault="009E489C" w:rsidP="009E489C"/>
    <w:p w14:paraId="5F5EC13E" w14:textId="77777777" w:rsidR="009E489C" w:rsidRDefault="009E489C" w:rsidP="009E489C">
      <w:pPr>
        <w:pStyle w:val="Heading2"/>
      </w:pPr>
      <w:bookmarkStart w:id="36" w:name="_Toc138428951"/>
      <w:r>
        <w:lastRenderedPageBreak/>
        <w:t xml:space="preserve">The </w:t>
      </w:r>
      <w:r w:rsidRPr="005128A2">
        <w:t>Regulatory Services Māori Caucus</w:t>
      </w:r>
      <w:bookmarkEnd w:id="36"/>
    </w:p>
    <w:p w14:paraId="512852AC" w14:textId="77777777" w:rsidR="009E489C" w:rsidRDefault="009E489C" w:rsidP="009E489C">
      <w:r>
        <w:t xml:space="preserve">The Māori Caucus was established in late 2022 and is supported by the Assisted Dying Secretariat. The caucus was established at the request of Māori members of </w:t>
      </w:r>
      <w:proofErr w:type="spellStart"/>
      <w:r>
        <w:t>Te</w:t>
      </w:r>
      <w:proofErr w:type="spellEnd"/>
      <w:r>
        <w:t xml:space="preserve"> </w:t>
      </w:r>
      <w:proofErr w:type="spellStart"/>
      <w:r>
        <w:t>Apārangi</w:t>
      </w:r>
      <w:proofErr w:type="spellEnd"/>
      <w:r>
        <w:t xml:space="preserve"> and SCENZ. This provides a forum for Māori members of Regulatory Services committees to collaborate on topics of common interest, to promote </w:t>
      </w:r>
      <w:proofErr w:type="spellStart"/>
      <w:r>
        <w:t>Te</w:t>
      </w:r>
      <w:proofErr w:type="spellEnd"/>
      <w:r>
        <w:t xml:space="preserve"> </w:t>
      </w:r>
      <w:proofErr w:type="spellStart"/>
      <w:r>
        <w:t>Tiriti</w:t>
      </w:r>
      <w:proofErr w:type="spellEnd"/>
      <w:r>
        <w:t xml:space="preserve"> and equity lenses to the Regulatory Services work and to support the Regulatory Services directorate’s responsibilities under section 7 of the </w:t>
      </w:r>
      <w:proofErr w:type="spellStart"/>
      <w:r>
        <w:t>Pae</w:t>
      </w:r>
      <w:proofErr w:type="spellEnd"/>
      <w:r>
        <w:t xml:space="preserve"> Ora (Healthy Futures) Act 2022. </w:t>
      </w:r>
    </w:p>
    <w:p w14:paraId="12F86096" w14:textId="77777777" w:rsidR="009E489C" w:rsidRDefault="009E489C" w:rsidP="009E489C"/>
    <w:p w14:paraId="5D9E14A3" w14:textId="77777777" w:rsidR="009E489C" w:rsidRPr="00347D15" w:rsidRDefault="009E489C" w:rsidP="009E489C">
      <w:pPr>
        <w:rPr>
          <w:rFonts w:cs="Segoe UI"/>
        </w:rPr>
      </w:pPr>
      <w:r w:rsidRPr="2D5C31BE">
        <w:rPr>
          <w:rFonts w:cs="Segoe UI"/>
        </w:rPr>
        <w:t>The Caucus membership is drawn from the statutory and other committees supporting the Regulatory Services workplan</w:t>
      </w:r>
      <w:r>
        <w:rPr>
          <w:rFonts w:cs="Segoe UI"/>
        </w:rPr>
        <w:t>,</w:t>
      </w:r>
      <w:r w:rsidRPr="2D5C31BE">
        <w:rPr>
          <w:rFonts w:cs="Segoe UI"/>
        </w:rPr>
        <w:t xml:space="preserve"> </w:t>
      </w:r>
      <w:r>
        <w:rPr>
          <w:rFonts w:cs="Segoe UI"/>
        </w:rPr>
        <w:t>s</w:t>
      </w:r>
      <w:r w:rsidRPr="2D5C31BE">
        <w:rPr>
          <w:rFonts w:cs="Segoe UI"/>
        </w:rPr>
        <w:t xml:space="preserve">pecifically, the Support and Consultation for End of Life Choice in New Zealand (SCENZ), the End of Life Review Committee (Review Committee), and </w:t>
      </w:r>
      <w:proofErr w:type="spellStart"/>
      <w:r w:rsidRPr="2D5C31BE">
        <w:rPr>
          <w:rFonts w:cs="Segoe UI"/>
        </w:rPr>
        <w:t>Te</w:t>
      </w:r>
      <w:proofErr w:type="spellEnd"/>
      <w:r w:rsidRPr="2D5C31BE">
        <w:rPr>
          <w:rFonts w:cs="Segoe UI"/>
        </w:rPr>
        <w:t xml:space="preserve"> </w:t>
      </w:r>
      <w:proofErr w:type="spellStart"/>
      <w:r w:rsidRPr="2D5C31BE">
        <w:rPr>
          <w:rFonts w:cs="Segoe UI"/>
        </w:rPr>
        <w:t>Apārangi</w:t>
      </w:r>
      <w:proofErr w:type="spellEnd"/>
      <w:r w:rsidRPr="2D5C31BE">
        <w:rPr>
          <w:rFonts w:cs="Segoe UI"/>
        </w:rPr>
        <w:t xml:space="preserve">. </w:t>
      </w:r>
    </w:p>
    <w:p w14:paraId="148A8942" w14:textId="77777777" w:rsidR="009E489C" w:rsidRPr="008D05CD" w:rsidRDefault="009E489C" w:rsidP="009E489C">
      <w:pPr>
        <w:rPr>
          <w:szCs w:val="21"/>
        </w:rPr>
      </w:pPr>
    </w:p>
    <w:p w14:paraId="21C06CDD" w14:textId="77777777" w:rsidR="009E489C" w:rsidRPr="00AB6027" w:rsidRDefault="009E489C" w:rsidP="009E489C">
      <w:pPr>
        <w:rPr>
          <w:rFonts w:cs="Segoe UI"/>
          <w:lang w:eastAsia="en-US"/>
        </w:rPr>
      </w:pPr>
      <w:r>
        <w:rPr>
          <w:rFonts w:cs="Segoe UI"/>
          <w:lang w:eastAsia="en-US"/>
        </w:rPr>
        <w:t xml:space="preserve">The Caucus meets on a regular basis. </w:t>
      </w:r>
    </w:p>
    <w:p w14:paraId="6E1D237D" w14:textId="77777777" w:rsidR="009E489C" w:rsidRPr="00E236F4" w:rsidRDefault="009E489C" w:rsidP="009E489C">
      <w:pPr>
        <w:pStyle w:val="Heading2"/>
      </w:pPr>
      <w:bookmarkStart w:id="37" w:name="_Toc103085566"/>
      <w:bookmarkStart w:id="38" w:name="_Toc103606323"/>
      <w:bookmarkStart w:id="39" w:name="_Toc104460673"/>
      <w:bookmarkStart w:id="40" w:name="_Toc106611870"/>
      <w:bookmarkStart w:id="41" w:name="_Toc138428952"/>
      <w:r w:rsidRPr="00E236F4">
        <w:t xml:space="preserve">The </w:t>
      </w:r>
      <w:bookmarkEnd w:id="37"/>
      <w:r w:rsidRPr="00E236F4">
        <w:t>Assisted Dying Secretariat</w:t>
      </w:r>
      <w:bookmarkEnd w:id="38"/>
      <w:bookmarkEnd w:id="39"/>
      <w:bookmarkEnd w:id="40"/>
      <w:bookmarkEnd w:id="41"/>
    </w:p>
    <w:p w14:paraId="6EE75E01" w14:textId="77777777" w:rsidR="009E489C" w:rsidRPr="00347D15" w:rsidRDefault="009E489C" w:rsidP="009E489C">
      <w:pPr>
        <w:rPr>
          <w:lang w:eastAsia="en-NZ"/>
        </w:rPr>
      </w:pPr>
      <w:r w:rsidRPr="73739957">
        <w:rPr>
          <w:lang w:eastAsia="en-NZ"/>
        </w:rPr>
        <w:t>The Assisted Dying Secretariat</w:t>
      </w:r>
      <w:r>
        <w:rPr>
          <w:lang w:eastAsia="en-NZ"/>
        </w:rPr>
        <w:t xml:space="preserve"> (the Secretariat)</w:t>
      </w:r>
      <w:r w:rsidRPr="73739957">
        <w:rPr>
          <w:lang w:eastAsia="en-NZ"/>
        </w:rPr>
        <w:t xml:space="preserve"> is part of the Regulatory Assurance team at Manatū Hauora. The Secretariat has a regulatory and monitoring function to ensure compliance with</w:t>
      </w:r>
      <w:r>
        <w:rPr>
          <w:lang w:eastAsia="en-NZ"/>
        </w:rPr>
        <w:t xml:space="preserve"> the</w:t>
      </w:r>
      <w:r w:rsidRPr="73739957">
        <w:rPr>
          <w:lang w:eastAsia="en-NZ"/>
        </w:rPr>
        <w:t xml:space="preserve"> Act. The Registrar (assisted dying) sits within the Secretariat. </w:t>
      </w:r>
    </w:p>
    <w:p w14:paraId="3D0E4646" w14:textId="77777777" w:rsidR="009E489C" w:rsidRPr="00DD1B3A" w:rsidRDefault="009E489C" w:rsidP="009E489C">
      <w:pPr>
        <w:pStyle w:val="Heading3"/>
      </w:pPr>
      <w:bookmarkStart w:id="42" w:name="_Toc103606324"/>
      <w:bookmarkStart w:id="43" w:name="_Toc104460674"/>
      <w:r w:rsidRPr="00DD1B3A">
        <w:t>Implementing</w:t>
      </w:r>
      <w:r>
        <w:t xml:space="preserve"> </w:t>
      </w:r>
      <w:r w:rsidRPr="00DD1B3A">
        <w:t>the Act</w:t>
      </w:r>
    </w:p>
    <w:p w14:paraId="67AAB349" w14:textId="77777777" w:rsidR="009E489C" w:rsidRDefault="009E489C" w:rsidP="009E489C">
      <w:r>
        <w:t xml:space="preserve">Following the 2020 referendum, Manatū Hauora was responsible for implementing the Act and establishing an assisted dying service in Aotearoa New Zealand. The Ministry remains the responsible agency for administering this legislation. </w:t>
      </w:r>
    </w:p>
    <w:p w14:paraId="1AACD8C7" w14:textId="77777777" w:rsidR="009E489C" w:rsidRPr="000F45DE" w:rsidRDefault="009E489C" w:rsidP="009E489C"/>
    <w:p w14:paraId="74051B4A" w14:textId="0A95C024" w:rsidR="009E489C" w:rsidRDefault="009E489C" w:rsidP="009E489C">
      <w:r w:rsidRPr="00212CDA">
        <w:t xml:space="preserve">The principles of </w:t>
      </w:r>
      <w:proofErr w:type="spellStart"/>
      <w:r w:rsidRPr="00212CDA">
        <w:t>Te</w:t>
      </w:r>
      <w:proofErr w:type="spellEnd"/>
      <w:r w:rsidRPr="00212CDA">
        <w:t xml:space="preserve"> </w:t>
      </w:r>
      <w:proofErr w:type="spellStart"/>
      <w:r w:rsidRPr="00212CDA">
        <w:t>Tiriti</w:t>
      </w:r>
      <w:proofErr w:type="spellEnd"/>
      <w:r w:rsidRPr="00212CDA">
        <w:t xml:space="preserve"> o Waitangi, as understood by the Ministry in </w:t>
      </w:r>
      <w:r w:rsidR="00915855">
        <w:t xml:space="preserve">the </w:t>
      </w:r>
      <w:hyperlink r:id="rId40" w:history="1">
        <w:proofErr w:type="spellStart"/>
        <w:r w:rsidRPr="009E489C">
          <w:rPr>
            <w:rStyle w:val="Hyperlink"/>
            <w:bCs/>
          </w:rPr>
          <w:t>Wh</w:t>
        </w:r>
        <w:r w:rsidRPr="0090183B">
          <w:rPr>
            <w:rStyle w:val="Hyperlink"/>
          </w:rPr>
          <w:t>akama</w:t>
        </w:r>
        <w:r w:rsidRPr="0090183B">
          <w:rPr>
            <w:rStyle w:val="Hyperlink"/>
            <w:rFonts w:cs="Segoe UI"/>
            <w:szCs w:val="21"/>
          </w:rPr>
          <w:t>ua</w:t>
        </w:r>
        <w:proofErr w:type="spellEnd"/>
        <w:r w:rsidRPr="0090183B">
          <w:rPr>
            <w:rStyle w:val="Hyperlink"/>
            <w:rFonts w:cs="Segoe UI"/>
            <w:szCs w:val="21"/>
          </w:rPr>
          <w:t>: Māori Health Action Plan</w:t>
        </w:r>
      </w:hyperlink>
      <w:r>
        <w:rPr>
          <w:rStyle w:val="Hyperlink"/>
          <w:rFonts w:cs="Segoe UI"/>
          <w:szCs w:val="21"/>
        </w:rPr>
        <w:t xml:space="preserve"> </w:t>
      </w:r>
      <w:r w:rsidRPr="00090143">
        <w:t>were co</w:t>
      </w:r>
      <w:r w:rsidRPr="00212CDA">
        <w:t xml:space="preserve">nsidered and incorporated as part of the planning and deliverables during </w:t>
      </w:r>
      <w:r w:rsidR="0022591C" w:rsidRPr="00090143">
        <w:t>the implementation of the Act</w:t>
      </w:r>
      <w:r w:rsidRPr="00212CDA">
        <w:t>. This included focused engagement with health and disability organisations</w:t>
      </w:r>
      <w:r>
        <w:t xml:space="preserve"> led by Māori</w:t>
      </w:r>
      <w:r w:rsidRPr="00212CDA">
        <w:t xml:space="preserve">, ensuring </w:t>
      </w:r>
      <w:proofErr w:type="spellStart"/>
      <w:r w:rsidRPr="00212CDA">
        <w:t>Te</w:t>
      </w:r>
      <w:proofErr w:type="spellEnd"/>
      <w:r w:rsidRPr="00212CDA">
        <w:t xml:space="preserve"> </w:t>
      </w:r>
      <w:proofErr w:type="spellStart"/>
      <w:r w:rsidRPr="00212CDA">
        <w:t>Tiriti</w:t>
      </w:r>
      <w:proofErr w:type="spellEnd"/>
      <w:r w:rsidRPr="00212CDA">
        <w:t xml:space="preserve"> o Waitangi commitments were reflected in all aspects of the service</w:t>
      </w:r>
      <w:r>
        <w:t>,</w:t>
      </w:r>
      <w:r w:rsidRPr="00212CDA">
        <w:t xml:space="preserve"> and including Māori in formal partnerships and governance roles. </w:t>
      </w:r>
    </w:p>
    <w:p w14:paraId="02F4CD4A" w14:textId="77777777" w:rsidR="009E489C" w:rsidRDefault="009E489C" w:rsidP="009E489C">
      <w:pPr>
        <w:rPr>
          <w:lang w:eastAsia="en-NZ"/>
        </w:rPr>
      </w:pPr>
    </w:p>
    <w:p w14:paraId="0474367A" w14:textId="77777777" w:rsidR="009E489C" w:rsidRDefault="009E489C" w:rsidP="009E489C">
      <w:pPr>
        <w:rPr>
          <w:lang w:eastAsia="en-NZ"/>
        </w:rPr>
      </w:pPr>
      <w:r>
        <w:rPr>
          <w:lang w:eastAsia="en-NZ"/>
        </w:rPr>
        <w:t xml:space="preserve">For more detailed information about the establishment of the service, please refer to the previous report available </w:t>
      </w:r>
      <w:hyperlink r:id="rId41" w:history="1">
        <w:r w:rsidRPr="00BB5628">
          <w:rPr>
            <w:rStyle w:val="Hyperlink"/>
            <w:lang w:eastAsia="en-NZ"/>
          </w:rPr>
          <w:t>here</w:t>
        </w:r>
      </w:hyperlink>
      <w:r>
        <w:rPr>
          <w:lang w:eastAsia="en-NZ"/>
        </w:rPr>
        <w:t xml:space="preserve">. </w:t>
      </w:r>
    </w:p>
    <w:p w14:paraId="795A8856" w14:textId="77777777" w:rsidR="009E489C" w:rsidRPr="00DD1B3A" w:rsidRDefault="009E489C" w:rsidP="009E489C">
      <w:pPr>
        <w:pStyle w:val="Heading2"/>
      </w:pPr>
      <w:bookmarkStart w:id="44" w:name="_Toc138428953"/>
      <w:r>
        <w:t>Functions transfer</w:t>
      </w:r>
      <w:bookmarkEnd w:id="44"/>
      <w:r>
        <w:t xml:space="preserve"> </w:t>
      </w:r>
    </w:p>
    <w:p w14:paraId="212D4DE9" w14:textId="77777777" w:rsidR="009E489C" w:rsidRDefault="009E489C" w:rsidP="009E489C">
      <w:r>
        <w:t xml:space="preserve">Some functions of the Regulatory Assurance team within the Ministry transferred from Manatū Hauora to </w:t>
      </w:r>
      <w:proofErr w:type="spellStart"/>
      <w:r>
        <w:t>Te</w:t>
      </w:r>
      <w:proofErr w:type="spellEnd"/>
      <w:r>
        <w:t xml:space="preserve"> </w:t>
      </w:r>
      <w:proofErr w:type="spellStart"/>
      <w:r>
        <w:t>Whatu</w:t>
      </w:r>
      <w:proofErr w:type="spellEnd"/>
      <w:r>
        <w:t xml:space="preserve"> Ora on 6 March 2023</w:t>
      </w:r>
      <w:r w:rsidRPr="00C300A2">
        <w:t xml:space="preserve"> </w:t>
      </w:r>
      <w:r>
        <w:t xml:space="preserve">as part of the wider reforms to the health and disability system of New Zealand.  </w:t>
      </w:r>
    </w:p>
    <w:p w14:paraId="6212A5F4" w14:textId="77777777" w:rsidR="009E489C" w:rsidRDefault="009E489C" w:rsidP="009E489C"/>
    <w:p w14:paraId="00757855" w14:textId="2DF8C8AC" w:rsidR="009E489C" w:rsidRDefault="009E489C" w:rsidP="009E489C">
      <w:r>
        <w:lastRenderedPageBreak/>
        <w:t xml:space="preserve">This means most of the clinical and operational functions that previously sat within the Assisted Dying Secretariat at Manatū Hauora are now the responsibility of </w:t>
      </w:r>
      <w:proofErr w:type="spellStart"/>
      <w:r>
        <w:t>Te</w:t>
      </w:r>
      <w:proofErr w:type="spellEnd"/>
      <w:r>
        <w:t xml:space="preserve"> </w:t>
      </w:r>
      <w:proofErr w:type="spellStart"/>
      <w:r>
        <w:t>Whatu</w:t>
      </w:r>
      <w:proofErr w:type="spellEnd"/>
      <w:r>
        <w:t xml:space="preserve"> Ora. This has allowed the Ministry to re-focus on regulation of the Act, and reviewing and monitoring the assisted dying service independently from service provision. </w:t>
      </w:r>
    </w:p>
    <w:p w14:paraId="3595FD91" w14:textId="77777777" w:rsidR="009E489C" w:rsidRDefault="009E489C" w:rsidP="009E489C"/>
    <w:p w14:paraId="562D6F5A" w14:textId="77777777" w:rsidR="009E489C" w:rsidRPr="002401E4" w:rsidRDefault="009E489C" w:rsidP="009E489C">
      <w:pPr>
        <w:rPr>
          <w:highlight w:val="yellow"/>
        </w:rPr>
      </w:pPr>
      <w:r>
        <w:t>The functions officially transferred on 6 March 2023. Both agencies continue to work closely to ensure services are safe, accessible and equitable.</w:t>
      </w:r>
    </w:p>
    <w:bookmarkEnd w:id="42"/>
    <w:bookmarkEnd w:id="43"/>
    <w:p w14:paraId="666E2C64" w14:textId="77777777" w:rsidR="009E489C" w:rsidRDefault="009E489C" w:rsidP="009E489C">
      <w:pPr>
        <w:pStyle w:val="Heading3"/>
        <w:rPr>
          <w:rFonts w:cs="Segoe UI"/>
          <w:lang w:eastAsia="en-NZ"/>
        </w:rPr>
      </w:pPr>
      <w:r>
        <w:rPr>
          <w:rFonts w:cs="Segoe UI"/>
          <w:lang w:eastAsia="en-NZ"/>
        </w:rPr>
        <w:t>A renewed focus on monitoring and regulation</w:t>
      </w:r>
    </w:p>
    <w:p w14:paraId="2BA9E221" w14:textId="77777777" w:rsidR="009E489C" w:rsidRDefault="009E489C" w:rsidP="009E489C">
      <w:r>
        <w:t xml:space="preserve">With its renewed focus on monitoring and regulation, the Assisted Dying Secretariat, as part of Manatū Hauora, is maintaining existing regulatory functions and creating new monitoring processes. This aligns with the Ministry’s core role as chief steward of the health system. </w:t>
      </w:r>
    </w:p>
    <w:p w14:paraId="2F54D1BF" w14:textId="77777777" w:rsidR="009E489C" w:rsidRDefault="009E489C" w:rsidP="009E489C"/>
    <w:p w14:paraId="63FF6A58" w14:textId="77777777" w:rsidR="009E489C" w:rsidRDefault="009E489C" w:rsidP="009E489C">
      <w:r>
        <w:t xml:space="preserve">Feedback about the service and data insights will continue to drive improvements to the way we monitor and regulate the service. We will also work closely with </w:t>
      </w:r>
      <w:proofErr w:type="spellStart"/>
      <w:r>
        <w:t>Te</w:t>
      </w:r>
      <w:proofErr w:type="spellEnd"/>
      <w:r>
        <w:t xml:space="preserve"> </w:t>
      </w:r>
      <w:proofErr w:type="spellStart"/>
      <w:r>
        <w:t>Whatu</w:t>
      </w:r>
      <w:proofErr w:type="spellEnd"/>
      <w:r>
        <w:t xml:space="preserve"> Ora, when needed, for any operational improvements that might be signalled from the feedback and data. </w:t>
      </w:r>
    </w:p>
    <w:p w14:paraId="589FA9A1" w14:textId="77777777" w:rsidR="009E489C" w:rsidRPr="00355A81" w:rsidRDefault="009E489C" w:rsidP="009E489C"/>
    <w:p w14:paraId="0357270D" w14:textId="77777777" w:rsidR="009E489C" w:rsidRDefault="009E489C" w:rsidP="009E489C">
      <w:pPr>
        <w:sectPr w:rsidR="009E489C" w:rsidSect="003309CA">
          <w:headerReference w:type="even" r:id="rId42"/>
          <w:headerReference w:type="default" r:id="rId43"/>
          <w:footerReference w:type="even" r:id="rId44"/>
          <w:footerReference w:type="default" r:id="rId45"/>
          <w:headerReference w:type="first" r:id="rId46"/>
          <w:pgSz w:w="11907" w:h="16834" w:code="9"/>
          <w:pgMar w:top="1418" w:right="1701" w:bottom="1134" w:left="1843" w:header="284" w:footer="425" w:gutter="284"/>
          <w:pgNumType w:start="1"/>
          <w:cols w:space="720"/>
        </w:sectPr>
      </w:pPr>
      <w:r w:rsidRPr="00355A81">
        <w:t xml:space="preserve">The Ministry </w:t>
      </w:r>
      <w:r>
        <w:t>is</w:t>
      </w:r>
      <w:r w:rsidRPr="00355A81">
        <w:t xml:space="preserve"> also responsible for conducting a legislative review within three years of the Act coming into force and making recommendations to the Minister of Health of any appropriate amendments. </w:t>
      </w:r>
      <w:r>
        <w:t>The review will begin over the next year. T</w:t>
      </w:r>
      <w:r w:rsidRPr="00355A81">
        <w:t xml:space="preserve">he Act will </w:t>
      </w:r>
      <w:r>
        <w:t xml:space="preserve">then </w:t>
      </w:r>
      <w:r w:rsidRPr="00355A81">
        <w:t>be reviewed at least every five years.</w:t>
      </w:r>
    </w:p>
    <w:p w14:paraId="3C8276CE" w14:textId="77777777" w:rsidR="009E489C" w:rsidRPr="00B60FC1" w:rsidRDefault="009E489C" w:rsidP="009E489C">
      <w:pPr>
        <w:pStyle w:val="Heading1"/>
        <w:spacing w:before="0"/>
      </w:pPr>
      <w:bookmarkStart w:id="45" w:name="_Toc103085568"/>
      <w:bookmarkStart w:id="46" w:name="_Toc103606330"/>
      <w:bookmarkStart w:id="47" w:name="_Toc104460680"/>
      <w:bookmarkStart w:id="48" w:name="_Toc106611875"/>
      <w:bookmarkStart w:id="49" w:name="_Toc138428954"/>
      <w:r>
        <w:lastRenderedPageBreak/>
        <w:t>Reporting and S</w:t>
      </w:r>
      <w:r w:rsidRPr="00B60FC1">
        <w:t>ervice Activity</w:t>
      </w:r>
      <w:bookmarkEnd w:id="45"/>
      <w:bookmarkEnd w:id="46"/>
      <w:bookmarkEnd w:id="47"/>
      <w:bookmarkEnd w:id="48"/>
      <w:bookmarkEnd w:id="49"/>
    </w:p>
    <w:p w14:paraId="74149CF7" w14:textId="77777777" w:rsidR="009E489C" w:rsidRPr="00974CB3" w:rsidRDefault="009E489C" w:rsidP="009E489C">
      <w:r w:rsidRPr="00623705">
        <w:t>The Ministry</w:t>
      </w:r>
      <w:r>
        <w:t xml:space="preserve">, through </w:t>
      </w:r>
      <w:proofErr w:type="spellStart"/>
      <w:r>
        <w:t>Te</w:t>
      </w:r>
      <w:proofErr w:type="spellEnd"/>
      <w:r>
        <w:t xml:space="preserve"> </w:t>
      </w:r>
      <w:proofErr w:type="spellStart"/>
      <w:r>
        <w:t>Whatu</w:t>
      </w:r>
      <w:proofErr w:type="spellEnd"/>
      <w:r>
        <w:t xml:space="preserve"> Ora, </w:t>
      </w:r>
      <w:r w:rsidRPr="00623705">
        <w:t xml:space="preserve">collects data about the assisted dying service as part of its role in overseeing and monitoring the service. </w:t>
      </w:r>
      <w:r>
        <w:t>Collecting this information</w:t>
      </w:r>
      <w:r w:rsidRPr="00862736">
        <w:t xml:space="preserve"> helps us understand both who is accessing the service and how it is being provided. Data also gives information on how the process is experienced by people, their </w:t>
      </w:r>
      <w:proofErr w:type="spellStart"/>
      <w:r w:rsidRPr="00862736">
        <w:t>whānau</w:t>
      </w:r>
      <w:proofErr w:type="spellEnd"/>
      <w:r w:rsidRPr="00862736">
        <w:t>, and practitioners who provide the service. </w:t>
      </w:r>
      <w:r>
        <w:t xml:space="preserve">This drives continuous improvement of the service and results in better outcomes for those accessing the service. </w:t>
      </w:r>
    </w:p>
    <w:p w14:paraId="55D6B1A8" w14:textId="77777777" w:rsidR="009E489C" w:rsidRPr="00862736" w:rsidRDefault="009E489C" w:rsidP="009E489C"/>
    <w:p w14:paraId="286A52AC" w14:textId="77777777" w:rsidR="009E489C" w:rsidRDefault="009E489C" w:rsidP="009E489C">
      <w:r w:rsidRPr="00623705">
        <w:t xml:space="preserve">This data is drawn from the application forms for assisted dying, which are held centrally by the Secretariat. </w:t>
      </w:r>
    </w:p>
    <w:p w14:paraId="11F265C2" w14:textId="77777777" w:rsidR="009E489C" w:rsidRPr="0003349C" w:rsidRDefault="009E489C" w:rsidP="009E489C">
      <w:pPr>
        <w:pStyle w:val="Heading2"/>
      </w:pPr>
      <w:bookmarkStart w:id="50" w:name="_Toc138428955"/>
      <w:r w:rsidRPr="0003349C">
        <w:t>Reporting</w:t>
      </w:r>
      <w:bookmarkEnd w:id="50"/>
      <w:r w:rsidRPr="0003349C">
        <w:t xml:space="preserve"> </w:t>
      </w:r>
    </w:p>
    <w:p w14:paraId="1B366BB7" w14:textId="77777777" w:rsidR="009E489C" w:rsidRPr="0003349C" w:rsidRDefault="009E489C" w:rsidP="009E489C">
      <w:r>
        <w:t xml:space="preserve">Manatū Hauora recognises the interest in the performance of the service by media, the public and academics and has routinely published quarterly updates which provide a snapshot of service activity for the period it relates to. A report summarising the first year of service (7 November 2021 – 6 November 2022) is also available on the Ministry website </w:t>
      </w:r>
      <w:hyperlink r:id="rId47">
        <w:r w:rsidRPr="6CCD0188">
          <w:rPr>
            <w:rStyle w:val="Hyperlink"/>
          </w:rPr>
          <w:t>here</w:t>
        </w:r>
      </w:hyperlink>
      <w:r>
        <w:t xml:space="preserve">. Service activity reporting is now the responsibility of </w:t>
      </w:r>
      <w:proofErr w:type="spellStart"/>
      <w:r>
        <w:t>Te</w:t>
      </w:r>
      <w:proofErr w:type="spellEnd"/>
      <w:r>
        <w:t xml:space="preserve"> </w:t>
      </w:r>
      <w:proofErr w:type="spellStart"/>
      <w:r>
        <w:t>Whatu</w:t>
      </w:r>
      <w:proofErr w:type="spellEnd"/>
      <w:r>
        <w:t xml:space="preserve"> Ora. </w:t>
      </w:r>
    </w:p>
    <w:p w14:paraId="11CF13B7" w14:textId="77777777" w:rsidR="009E489C" w:rsidRPr="0003349C" w:rsidRDefault="009E489C" w:rsidP="009E489C"/>
    <w:p w14:paraId="50340ADA" w14:textId="77777777" w:rsidR="009E489C" w:rsidRDefault="009E489C" w:rsidP="009E489C">
      <w:r>
        <w:t xml:space="preserve">The level of detail that can currently be reported is limited, due to the need to protect confidentiality of individuals using the service when there are a low number of cases to date. The Ministry and </w:t>
      </w:r>
      <w:proofErr w:type="spellStart"/>
      <w:r>
        <w:t>Te</w:t>
      </w:r>
      <w:proofErr w:type="spellEnd"/>
      <w:r>
        <w:t xml:space="preserve"> </w:t>
      </w:r>
      <w:proofErr w:type="spellStart"/>
      <w:r>
        <w:t>Whatu</w:t>
      </w:r>
      <w:proofErr w:type="spellEnd"/>
      <w:r>
        <w:t xml:space="preserve"> Ora will consider expanding reporting as numbers increase over time. </w:t>
      </w:r>
      <w:bookmarkStart w:id="51" w:name="_Toc103085569"/>
      <w:bookmarkStart w:id="52" w:name="_Toc103606331"/>
      <w:bookmarkStart w:id="53" w:name="_Toc104460681"/>
      <w:bookmarkStart w:id="54" w:name="_Toc106611876"/>
    </w:p>
    <w:p w14:paraId="77912FF3" w14:textId="77777777" w:rsidR="009E489C" w:rsidRPr="00785031" w:rsidRDefault="009E489C" w:rsidP="009E489C">
      <w:pPr>
        <w:pStyle w:val="Heading2"/>
      </w:pPr>
      <w:bookmarkStart w:id="55" w:name="_Toc138428956"/>
      <w:r w:rsidRPr="00785031">
        <w:t>Overview of assisted dying applications</w:t>
      </w:r>
      <w:bookmarkEnd w:id="51"/>
      <w:bookmarkEnd w:id="52"/>
      <w:bookmarkEnd w:id="53"/>
      <w:bookmarkEnd w:id="54"/>
      <w:bookmarkEnd w:id="55"/>
    </w:p>
    <w:p w14:paraId="70101100" w14:textId="3F9ACC8A" w:rsidR="009E489C" w:rsidRPr="00135F43" w:rsidRDefault="009E489C" w:rsidP="009E489C">
      <w:r>
        <w:t xml:space="preserve">The data provided below reflects a summary of individuals’ interactions with the Assisted Dying Service, from 1 April 2022 to 31 March 2023. Accordingly, medical assessments and outcomes may refer to applications initiated in the Registrar’s prior report. Between 1 April 2022 and 31 March 2023, there were 807 new formal applications for assisted dying. The current report also contains information for 45 applications which were ongoing at the end of the last Registrar report. </w:t>
      </w:r>
    </w:p>
    <w:p w14:paraId="33692EC7" w14:textId="77777777" w:rsidR="009E489C" w:rsidRPr="00D23BF4" w:rsidRDefault="009E489C" w:rsidP="009E489C">
      <w:pPr>
        <w:rPr>
          <w:szCs w:val="21"/>
        </w:rPr>
      </w:pPr>
    </w:p>
    <w:p w14:paraId="653452D8" w14:textId="77777777" w:rsidR="009E489C" w:rsidRPr="00135F43" w:rsidRDefault="009E489C" w:rsidP="009E489C">
      <w:pPr>
        <w:rPr>
          <w:szCs w:val="21"/>
        </w:rPr>
      </w:pPr>
      <w:r w:rsidRPr="00753CCF">
        <w:rPr>
          <w:szCs w:val="21"/>
        </w:rPr>
        <w:t>As of 31 March 2023, 111 people were still in the process of ass</w:t>
      </w:r>
      <w:r w:rsidRPr="00D50B7E">
        <w:rPr>
          <w:szCs w:val="21"/>
        </w:rPr>
        <w:t>essment or in preparation for assisted dying, and 328 people had had an assisted death. The remaining applications had not progressed to an assisted death due to:</w:t>
      </w:r>
    </w:p>
    <w:p w14:paraId="235B1E68" w14:textId="77777777" w:rsidR="009E489C" w:rsidRPr="00052142" w:rsidRDefault="009E489C" w:rsidP="00785031">
      <w:pPr>
        <w:pStyle w:val="Bullet"/>
      </w:pPr>
      <w:r w:rsidRPr="00052142">
        <w:t xml:space="preserve">The application being found to not comply with the </w:t>
      </w:r>
      <w:r>
        <w:t>A</w:t>
      </w:r>
      <w:r w:rsidRPr="00052142">
        <w:t>ct</w:t>
      </w:r>
    </w:p>
    <w:p w14:paraId="79AA51DF" w14:textId="77777777" w:rsidR="009E489C" w:rsidRDefault="009E489C" w:rsidP="00785031">
      <w:pPr>
        <w:pStyle w:val="Bullet"/>
      </w:pPr>
      <w:r w:rsidRPr="00052142">
        <w:t>The applicant withdrawing their application</w:t>
      </w:r>
    </w:p>
    <w:p w14:paraId="1613CCE7" w14:textId="77777777" w:rsidR="009E489C" w:rsidRPr="00104FF5" w:rsidRDefault="009E489C" w:rsidP="00785031">
      <w:pPr>
        <w:pStyle w:val="Bullet"/>
      </w:pPr>
      <w:r w:rsidRPr="00104FF5">
        <w:lastRenderedPageBreak/>
        <w:t>The applicant being found ineligible or not competent to give consent at or following assessment</w:t>
      </w:r>
    </w:p>
    <w:p w14:paraId="10A87B2F" w14:textId="77777777" w:rsidR="009E489C" w:rsidRPr="00104FF5" w:rsidRDefault="009E489C" w:rsidP="00785031">
      <w:pPr>
        <w:pStyle w:val="Bullet"/>
      </w:pPr>
      <w:r w:rsidRPr="00104FF5">
        <w:t>The applicant dying as a result of underlying conditions.</w:t>
      </w:r>
    </w:p>
    <w:p w14:paraId="2A8A7592" w14:textId="77777777" w:rsidR="009E489C" w:rsidRPr="00785031" w:rsidRDefault="009E489C" w:rsidP="00785031">
      <w:pPr>
        <w:rPr>
          <w:lang w:eastAsia="en-NZ"/>
        </w:rPr>
      </w:pPr>
    </w:p>
    <w:p w14:paraId="1CCD1E0F" w14:textId="77777777" w:rsidR="009E489C" w:rsidRPr="003159E6" w:rsidRDefault="009E489C" w:rsidP="009E489C">
      <w:r>
        <w:t xml:space="preserve">The assisted dying service is person-centred, and the time taken from application through to assisted death varies based on the applicant’s personal situation. People requesting assisted dying are nearing the end of their life, which means they may feel a sense of urgency about moving through the process quickly.  </w:t>
      </w:r>
    </w:p>
    <w:p w14:paraId="0406EBE3" w14:textId="77777777" w:rsidR="009E489C" w:rsidRPr="003159E6" w:rsidRDefault="009E489C" w:rsidP="009E489C"/>
    <w:p w14:paraId="18940D0E" w14:textId="77777777" w:rsidR="009E489C" w:rsidRDefault="009E489C" w:rsidP="009E489C">
      <w:r>
        <w:t xml:space="preserve">Assisted dying is not an acute or urgent service, and the Secretariat aims to set realistic expectations with people, that the process from initial application through to determination of eligibility may take up to six weeks. The Act stipulates the processes and steps that need to be followed to ensure a safe and quality service. For those found eligible following assessment, the average time between initial formal application and eligibility approval is 18 days. </w:t>
      </w:r>
    </w:p>
    <w:p w14:paraId="02C57E4C" w14:textId="77777777" w:rsidR="009E489C" w:rsidRDefault="009E489C" w:rsidP="009E489C"/>
    <w:p w14:paraId="6D8AE387" w14:textId="77777777" w:rsidR="009E489C" w:rsidRDefault="009E489C" w:rsidP="009E489C">
      <w:r w:rsidRPr="006119E4">
        <w:t>While individual circumstances specific to each case can impact the length of time between application and determination of eligibility, the number of people dying during the assessment process is reflective of how close to the end of life some applicants are, as opposed to there being significant delays in accessing services.</w:t>
      </w:r>
    </w:p>
    <w:p w14:paraId="04479B8C" w14:textId="77777777" w:rsidR="009E489C" w:rsidRPr="003159E6" w:rsidRDefault="009E489C" w:rsidP="009E489C">
      <w:pPr>
        <w:pStyle w:val="Heading3"/>
      </w:pPr>
      <w:bookmarkStart w:id="56" w:name="_Toc103085570"/>
      <w:bookmarkStart w:id="57" w:name="_Toc103606332"/>
      <w:bookmarkStart w:id="58" w:name="_Toc104460682"/>
      <w:bookmarkStart w:id="59" w:name="_Toc106611877"/>
      <w:r w:rsidRPr="003159E6">
        <w:t>Demographics of applicants</w:t>
      </w:r>
      <w:bookmarkEnd w:id="56"/>
      <w:bookmarkEnd w:id="57"/>
      <w:bookmarkEnd w:id="58"/>
      <w:bookmarkEnd w:id="59"/>
    </w:p>
    <w:p w14:paraId="4A270AD2" w14:textId="77777777" w:rsidR="009E489C" w:rsidRPr="003159E6" w:rsidRDefault="009E489C" w:rsidP="009E489C">
      <w:pPr>
        <w:rPr>
          <w:shd w:val="clear" w:color="auto" w:fill="FFFFFF"/>
        </w:rPr>
      </w:pPr>
      <w:r w:rsidRPr="003159E6">
        <w:rPr>
          <w:shd w:val="clear" w:color="auto" w:fill="FFFFFF"/>
        </w:rPr>
        <w:t xml:space="preserve">The Ministry is collecting information about the demographics of applicants, including gender and ethnicity data, which is collected based on health sector standards and protocols. </w:t>
      </w:r>
    </w:p>
    <w:p w14:paraId="56D706A2" w14:textId="77777777" w:rsidR="009E489C" w:rsidRPr="003159E6" w:rsidRDefault="009E489C" w:rsidP="009E489C">
      <w:pPr>
        <w:rPr>
          <w:szCs w:val="21"/>
          <w:shd w:val="clear" w:color="auto" w:fill="FFFFFF"/>
        </w:rPr>
      </w:pPr>
    </w:p>
    <w:p w14:paraId="122667B8" w14:textId="77777777" w:rsidR="009E489C" w:rsidRPr="003159E6" w:rsidRDefault="009E489C" w:rsidP="009E489C">
      <w:pPr>
        <w:rPr>
          <w:szCs w:val="21"/>
          <w:shd w:val="clear" w:color="auto" w:fill="FFFFFF"/>
        </w:rPr>
      </w:pPr>
      <w:r w:rsidRPr="003159E6">
        <w:rPr>
          <w:szCs w:val="21"/>
          <w:shd w:val="clear" w:color="auto" w:fill="FFFFFF"/>
        </w:rPr>
        <w:t xml:space="preserve">The assisted dying service is relatively new, and numbers are small. </w:t>
      </w:r>
      <w:r>
        <w:t xml:space="preserve">The Ministry and </w:t>
      </w:r>
      <w:proofErr w:type="spellStart"/>
      <w:r>
        <w:t>Te</w:t>
      </w:r>
      <w:proofErr w:type="spellEnd"/>
      <w:r>
        <w:t xml:space="preserve"> </w:t>
      </w:r>
      <w:proofErr w:type="spellStart"/>
      <w:r>
        <w:t>Whatu</w:t>
      </w:r>
      <w:proofErr w:type="spellEnd"/>
      <w:r>
        <w:t xml:space="preserve"> Ora will consider expanding reporting </w:t>
      </w:r>
      <w:r w:rsidRPr="00917033">
        <w:t>as</w:t>
      </w:r>
      <w:r>
        <w:t xml:space="preserve"> more data is collected. </w:t>
      </w:r>
    </w:p>
    <w:p w14:paraId="6665C2C7" w14:textId="77777777" w:rsidR="009E489C" w:rsidRPr="003159E6" w:rsidRDefault="009E489C" w:rsidP="009E489C">
      <w:pPr>
        <w:rPr>
          <w:szCs w:val="21"/>
          <w:lang w:eastAsia="en-NZ"/>
        </w:rPr>
      </w:pPr>
    </w:p>
    <w:p w14:paraId="68EE2A53" w14:textId="77777777" w:rsidR="009E489C" w:rsidRPr="003159E6" w:rsidRDefault="009E489C" w:rsidP="009E489C">
      <w:pPr>
        <w:rPr>
          <w:szCs w:val="21"/>
          <w:lang w:eastAsia="en-NZ"/>
        </w:rPr>
      </w:pPr>
      <w:r w:rsidRPr="003159E6">
        <w:rPr>
          <w:szCs w:val="21"/>
          <w:lang w:eastAsia="en-NZ"/>
        </w:rPr>
        <w:t>Of the 807 new applications received over the year:</w:t>
      </w:r>
    </w:p>
    <w:p w14:paraId="13DAB0C9" w14:textId="77777777" w:rsidR="009E489C" w:rsidRPr="003159E6" w:rsidRDefault="009E489C" w:rsidP="00785031">
      <w:pPr>
        <w:pStyle w:val="Bullet"/>
        <w:rPr>
          <w:lang w:eastAsia="en-NZ"/>
        </w:rPr>
      </w:pPr>
      <w:r w:rsidRPr="003159E6">
        <w:rPr>
          <w:lang w:eastAsia="en-NZ"/>
        </w:rPr>
        <w:t>81% were NZ European/</w:t>
      </w:r>
      <w:proofErr w:type="spellStart"/>
      <w:r w:rsidRPr="003159E6">
        <w:rPr>
          <w:lang w:eastAsia="en-NZ"/>
        </w:rPr>
        <w:t>Pākehā</w:t>
      </w:r>
      <w:proofErr w:type="spellEnd"/>
    </w:p>
    <w:p w14:paraId="47BCC172" w14:textId="77777777" w:rsidR="009E489C" w:rsidRPr="003159E6" w:rsidRDefault="009E489C" w:rsidP="00785031">
      <w:pPr>
        <w:pStyle w:val="Bullet"/>
        <w:rPr>
          <w:lang w:eastAsia="en-NZ"/>
        </w:rPr>
      </w:pPr>
      <w:r w:rsidRPr="003159E6">
        <w:rPr>
          <w:lang w:eastAsia="en-NZ"/>
        </w:rPr>
        <w:t>5% were Māori</w:t>
      </w:r>
    </w:p>
    <w:p w14:paraId="2F56159F" w14:textId="77777777" w:rsidR="009E489C" w:rsidRPr="003159E6" w:rsidRDefault="009E489C" w:rsidP="00785031">
      <w:pPr>
        <w:pStyle w:val="Bullet"/>
        <w:rPr>
          <w:lang w:eastAsia="en-NZ"/>
        </w:rPr>
      </w:pPr>
      <w:r w:rsidRPr="003159E6">
        <w:rPr>
          <w:lang w:eastAsia="en-NZ"/>
        </w:rPr>
        <w:t xml:space="preserve">52% were </w:t>
      </w:r>
      <w:r>
        <w:rPr>
          <w:lang w:eastAsia="en-NZ"/>
        </w:rPr>
        <w:t>f</w:t>
      </w:r>
      <w:r w:rsidRPr="003159E6">
        <w:rPr>
          <w:lang w:eastAsia="en-NZ"/>
        </w:rPr>
        <w:t>emale/</w:t>
      </w:r>
      <w:proofErr w:type="spellStart"/>
      <w:r>
        <w:rPr>
          <w:lang w:eastAsia="en-NZ"/>
        </w:rPr>
        <w:t>w</w:t>
      </w:r>
      <w:r w:rsidRPr="003159E6">
        <w:rPr>
          <w:lang w:eastAsia="en-NZ"/>
        </w:rPr>
        <w:t>āhine</w:t>
      </w:r>
      <w:proofErr w:type="spellEnd"/>
    </w:p>
    <w:p w14:paraId="14883B1F" w14:textId="77777777" w:rsidR="009E489C" w:rsidRPr="003159E6" w:rsidRDefault="009E489C" w:rsidP="00785031">
      <w:pPr>
        <w:pStyle w:val="Bullet"/>
        <w:rPr>
          <w:lang w:eastAsia="en-NZ"/>
        </w:rPr>
      </w:pPr>
      <w:r w:rsidRPr="003159E6">
        <w:rPr>
          <w:lang w:eastAsia="en-NZ"/>
        </w:rPr>
        <w:t>77% were 65 years or older</w:t>
      </w:r>
    </w:p>
    <w:p w14:paraId="4950DD3E" w14:textId="77777777" w:rsidR="009E489C" w:rsidRPr="003159E6" w:rsidRDefault="009E489C" w:rsidP="00785031">
      <w:pPr>
        <w:pStyle w:val="Bullet"/>
        <w:rPr>
          <w:lang w:eastAsia="en-NZ"/>
        </w:rPr>
      </w:pPr>
      <w:r w:rsidRPr="003159E6">
        <w:rPr>
          <w:lang w:eastAsia="en-NZ"/>
        </w:rPr>
        <w:t>76% were receiving palliative care at the time of the application</w:t>
      </w:r>
    </w:p>
    <w:p w14:paraId="3E446A37" w14:textId="77777777" w:rsidR="009E489C" w:rsidRPr="003159E6" w:rsidRDefault="009E489C" w:rsidP="00785031">
      <w:pPr>
        <w:pStyle w:val="Bullet"/>
        <w:rPr>
          <w:lang w:eastAsia="en-NZ"/>
        </w:rPr>
      </w:pPr>
      <w:r w:rsidRPr="003159E6">
        <w:rPr>
          <w:lang w:eastAsia="en-NZ"/>
        </w:rPr>
        <w:t xml:space="preserve">68% had a diagnosis of cancer. </w:t>
      </w:r>
    </w:p>
    <w:p w14:paraId="61AB9FE3" w14:textId="77777777" w:rsidR="009E489C" w:rsidRPr="003159E6" w:rsidRDefault="009E489C" w:rsidP="009E489C">
      <w:pPr>
        <w:rPr>
          <w:lang w:eastAsia="en-NZ"/>
        </w:rPr>
      </w:pPr>
    </w:p>
    <w:p w14:paraId="1021B47D" w14:textId="77777777" w:rsidR="009E489C" w:rsidRPr="003159E6" w:rsidRDefault="009E489C" w:rsidP="009E489C">
      <w:pPr>
        <w:rPr>
          <w:lang w:eastAsia="en-NZ"/>
        </w:rPr>
      </w:pPr>
      <w:r w:rsidRPr="6E087651">
        <w:rPr>
          <w:lang w:eastAsia="en-NZ"/>
        </w:rPr>
        <w:t>As part of the assisted dying process, the Attending Medical Practitioner (AMP) must ensure the person understands their other options for end-of-life-care. The Ministry notes that in some situations a person’s request for assisted dying has led to them exploring other options</w:t>
      </w:r>
      <w:r>
        <w:rPr>
          <w:lang w:eastAsia="en-NZ"/>
        </w:rPr>
        <w:t>. This may include</w:t>
      </w:r>
      <w:r w:rsidRPr="6E087651">
        <w:rPr>
          <w:lang w:eastAsia="en-NZ"/>
        </w:rPr>
        <w:t xml:space="preserve"> optimising palliative care or accessing additional social or wraparound supports, and this has</w:t>
      </w:r>
      <w:r>
        <w:rPr>
          <w:lang w:eastAsia="en-NZ"/>
        </w:rPr>
        <w:t xml:space="preserve"> resulted in</w:t>
      </w:r>
      <w:r w:rsidRPr="6E087651">
        <w:rPr>
          <w:lang w:eastAsia="en-NZ"/>
        </w:rPr>
        <w:t xml:space="preserve"> them rescinding their application for assisted dying.</w:t>
      </w:r>
    </w:p>
    <w:p w14:paraId="7815DDE6" w14:textId="77777777" w:rsidR="009E489C" w:rsidRPr="003159E6" w:rsidRDefault="009E489C" w:rsidP="009E489C">
      <w:pPr>
        <w:rPr>
          <w:lang w:eastAsia="en-NZ"/>
        </w:rPr>
      </w:pPr>
    </w:p>
    <w:p w14:paraId="79EEAD1F" w14:textId="6BBFEA77" w:rsidR="009E489C" w:rsidRDefault="009E489C" w:rsidP="009E489C">
      <w:pPr>
        <w:rPr>
          <w:sz w:val="20"/>
          <w:lang w:eastAsia="en-NZ"/>
        </w:rPr>
      </w:pPr>
      <w:r w:rsidRPr="2D5C31BE">
        <w:rPr>
          <w:lang w:eastAsia="en-NZ"/>
        </w:rPr>
        <w:t xml:space="preserve">Additionally, the clinical advisors liaise with other health services, such as the person’s general practitioner, to help co-ordinate their care or support. This has led some </w:t>
      </w:r>
      <w:r w:rsidRPr="2D5C31BE">
        <w:rPr>
          <w:lang w:eastAsia="en-NZ"/>
        </w:rPr>
        <w:lastRenderedPageBreak/>
        <w:t>people to then choose to withdraw their application for assisted dying as they felt this option was no longer needed.</w:t>
      </w:r>
      <w:r w:rsidRPr="2D5C31BE">
        <w:rPr>
          <w:sz w:val="20"/>
          <w:lang w:eastAsia="en-NZ"/>
        </w:rPr>
        <w:t xml:space="preserve"> </w:t>
      </w:r>
    </w:p>
    <w:p w14:paraId="3C92C886" w14:textId="77777777" w:rsidR="00BF3FA6" w:rsidRDefault="00BF3FA6" w:rsidP="009E489C">
      <w:pPr>
        <w:rPr>
          <w:sz w:val="20"/>
          <w:lang w:eastAsia="en-NZ"/>
        </w:rPr>
      </w:pPr>
    </w:p>
    <w:p w14:paraId="0E040A80" w14:textId="77190221" w:rsidR="009E489C" w:rsidRDefault="00BF3FA6" w:rsidP="00BF3FA6">
      <w:pPr>
        <w:pStyle w:val="Table"/>
        <w:rPr>
          <w:lang w:eastAsia="en-NZ"/>
        </w:rPr>
      </w:pPr>
      <w:bookmarkStart w:id="60" w:name="_Toc138428968"/>
      <w:r>
        <w:t xml:space="preserve">Table </w:t>
      </w:r>
      <w:r w:rsidR="00161918">
        <w:fldChar w:fldCharType="begin"/>
      </w:r>
      <w:r w:rsidR="00161918">
        <w:instrText xml:space="preserve"> SEQ Table \* ARABIC </w:instrText>
      </w:r>
      <w:r w:rsidR="00161918">
        <w:fldChar w:fldCharType="separate"/>
      </w:r>
      <w:r w:rsidR="00A345F8">
        <w:rPr>
          <w:noProof/>
        </w:rPr>
        <w:t>1</w:t>
      </w:r>
      <w:r w:rsidR="00161918">
        <w:rPr>
          <w:noProof/>
        </w:rPr>
        <w:fldChar w:fldCharType="end"/>
      </w:r>
      <w:r>
        <w:t xml:space="preserve">: </w:t>
      </w:r>
      <w:r w:rsidR="009E489C" w:rsidRPr="000D0C9E">
        <w:rPr>
          <w:lang w:eastAsia="en-NZ"/>
        </w:rPr>
        <w:t xml:space="preserve">Demographic summary of </w:t>
      </w:r>
      <w:r w:rsidR="009E489C" w:rsidRPr="000D0C9E">
        <w:rPr>
          <w:bCs/>
          <w:lang w:eastAsia="en-NZ"/>
        </w:rPr>
        <w:t xml:space="preserve">new </w:t>
      </w:r>
      <w:r w:rsidR="009E489C" w:rsidRPr="000D0C9E">
        <w:rPr>
          <w:lang w:eastAsia="en-NZ"/>
        </w:rPr>
        <w:t>applications</w:t>
      </w:r>
      <w:bookmarkEnd w:id="60"/>
      <w:r w:rsidR="009E489C" w:rsidRPr="000D0C9E">
        <w:rPr>
          <w:lang w:eastAsia="en-NZ"/>
        </w:rPr>
        <w:t xml:space="preserve"> </w:t>
      </w:r>
    </w:p>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2405"/>
        <w:gridCol w:w="2693"/>
        <w:gridCol w:w="1560"/>
        <w:gridCol w:w="1411"/>
      </w:tblGrid>
      <w:tr w:rsidR="00785031" w14:paraId="51035C5F" w14:textId="77777777" w:rsidTr="00BF3FA6">
        <w:tc>
          <w:tcPr>
            <w:tcW w:w="5098" w:type="dxa"/>
            <w:gridSpan w:val="2"/>
            <w:tcBorders>
              <w:top w:val="nil"/>
              <w:bottom w:val="nil"/>
            </w:tcBorders>
            <w:shd w:val="clear" w:color="auto" w:fill="D9D9D9" w:themeFill="background1" w:themeFillShade="D9"/>
          </w:tcPr>
          <w:p w14:paraId="2FA5CAE8" w14:textId="77777777" w:rsidR="00785031" w:rsidRPr="00BF3FA6" w:rsidRDefault="00785031" w:rsidP="00785031">
            <w:pPr>
              <w:pStyle w:val="TableText"/>
              <w:rPr>
                <w:b/>
                <w:bCs/>
                <w:lang w:eastAsia="en-NZ"/>
              </w:rPr>
            </w:pPr>
            <w:r w:rsidRPr="00BF3FA6">
              <w:rPr>
                <w:b/>
                <w:bCs/>
                <w:lang w:eastAsia="en-NZ"/>
              </w:rPr>
              <w:t>Demographic summary: New Applications (N= 807)</w:t>
            </w:r>
          </w:p>
          <w:p w14:paraId="3039C23C" w14:textId="0665F7F5" w:rsidR="00785031" w:rsidRPr="00BF3FA6" w:rsidRDefault="00785031" w:rsidP="00785031">
            <w:pPr>
              <w:pStyle w:val="TableText"/>
              <w:rPr>
                <w:b/>
                <w:bCs/>
                <w:lang w:eastAsia="en-NZ"/>
              </w:rPr>
            </w:pPr>
            <w:r w:rsidRPr="00BF3FA6">
              <w:rPr>
                <w:b/>
                <w:bCs/>
                <w:lang w:eastAsia="en-NZ"/>
              </w:rPr>
              <w:t>1 April 2022 – 31 March 2023</w:t>
            </w:r>
          </w:p>
        </w:tc>
        <w:tc>
          <w:tcPr>
            <w:tcW w:w="1560" w:type="dxa"/>
            <w:tcBorders>
              <w:top w:val="nil"/>
              <w:bottom w:val="nil"/>
            </w:tcBorders>
            <w:shd w:val="clear" w:color="auto" w:fill="D9D9D9" w:themeFill="background1" w:themeFillShade="D9"/>
          </w:tcPr>
          <w:p w14:paraId="32DD33D1" w14:textId="337F1E9A" w:rsidR="00785031" w:rsidRPr="00BF3FA6" w:rsidRDefault="00785031" w:rsidP="00785031">
            <w:pPr>
              <w:pStyle w:val="TableText"/>
              <w:rPr>
                <w:b/>
                <w:bCs/>
                <w:lang w:eastAsia="en-NZ"/>
              </w:rPr>
            </w:pPr>
            <w:r w:rsidRPr="00BF3FA6">
              <w:rPr>
                <w:b/>
                <w:bCs/>
              </w:rPr>
              <w:t>Number of people</w:t>
            </w:r>
            <w:r w:rsidRPr="00BF3FA6">
              <w:rPr>
                <w:b/>
                <w:bCs/>
                <w:vertAlign w:val="superscript"/>
              </w:rPr>
              <w:t>3</w:t>
            </w:r>
          </w:p>
        </w:tc>
        <w:tc>
          <w:tcPr>
            <w:tcW w:w="1411" w:type="dxa"/>
            <w:tcBorders>
              <w:top w:val="nil"/>
              <w:bottom w:val="nil"/>
            </w:tcBorders>
            <w:shd w:val="clear" w:color="auto" w:fill="D9D9D9" w:themeFill="background1" w:themeFillShade="D9"/>
          </w:tcPr>
          <w:p w14:paraId="6B199F5B" w14:textId="2EC5B644" w:rsidR="00785031" w:rsidRPr="00BF3FA6" w:rsidRDefault="00785031" w:rsidP="00785031">
            <w:pPr>
              <w:pStyle w:val="TableText"/>
              <w:rPr>
                <w:b/>
                <w:bCs/>
                <w:lang w:eastAsia="en-NZ"/>
              </w:rPr>
            </w:pPr>
            <w:r w:rsidRPr="00BF3FA6">
              <w:rPr>
                <w:b/>
                <w:bCs/>
              </w:rPr>
              <w:t>% of applications</w:t>
            </w:r>
          </w:p>
        </w:tc>
      </w:tr>
      <w:tr w:rsidR="00BF3FA6" w14:paraId="130B2CC1" w14:textId="77777777" w:rsidTr="00BF3FA6">
        <w:tc>
          <w:tcPr>
            <w:tcW w:w="2405" w:type="dxa"/>
            <w:vMerge w:val="restart"/>
            <w:tcBorders>
              <w:top w:val="nil"/>
            </w:tcBorders>
          </w:tcPr>
          <w:p w14:paraId="08FB7B29" w14:textId="55FBA551" w:rsidR="00BF3FA6" w:rsidRDefault="00BF3FA6" w:rsidP="00785031">
            <w:pPr>
              <w:pStyle w:val="TableText"/>
              <w:rPr>
                <w:lang w:eastAsia="en-NZ"/>
              </w:rPr>
            </w:pPr>
            <w:r w:rsidRPr="00785031">
              <w:rPr>
                <w:lang w:eastAsia="en-NZ"/>
              </w:rPr>
              <w:t>Ethnic group</w:t>
            </w:r>
            <w:r w:rsidRPr="00BF3FA6">
              <w:rPr>
                <w:vertAlign w:val="superscript"/>
                <w:lang w:eastAsia="en-NZ"/>
              </w:rPr>
              <w:t>1</w:t>
            </w:r>
          </w:p>
        </w:tc>
        <w:tc>
          <w:tcPr>
            <w:tcW w:w="2693" w:type="dxa"/>
            <w:tcBorders>
              <w:top w:val="nil"/>
            </w:tcBorders>
          </w:tcPr>
          <w:p w14:paraId="32B094C9" w14:textId="351F1B94" w:rsidR="00BF3FA6" w:rsidRDefault="00BF3FA6" w:rsidP="00785031">
            <w:pPr>
              <w:pStyle w:val="TableText"/>
              <w:rPr>
                <w:lang w:eastAsia="en-NZ"/>
              </w:rPr>
            </w:pPr>
            <w:r w:rsidRPr="00574339">
              <w:t>Māori</w:t>
            </w:r>
          </w:p>
        </w:tc>
        <w:tc>
          <w:tcPr>
            <w:tcW w:w="1560" w:type="dxa"/>
            <w:tcBorders>
              <w:top w:val="nil"/>
            </w:tcBorders>
          </w:tcPr>
          <w:p w14:paraId="3B48A209" w14:textId="0571CA9F" w:rsidR="00BF3FA6" w:rsidRDefault="00BF3FA6" w:rsidP="00785031">
            <w:pPr>
              <w:pStyle w:val="TableText"/>
              <w:rPr>
                <w:lang w:eastAsia="en-NZ"/>
              </w:rPr>
            </w:pPr>
            <w:r w:rsidRPr="00574339">
              <w:t>40</w:t>
            </w:r>
          </w:p>
        </w:tc>
        <w:tc>
          <w:tcPr>
            <w:tcW w:w="1411" w:type="dxa"/>
            <w:tcBorders>
              <w:top w:val="nil"/>
            </w:tcBorders>
          </w:tcPr>
          <w:p w14:paraId="6C7D03E4" w14:textId="7976DEAB" w:rsidR="00BF3FA6" w:rsidRDefault="00BF3FA6" w:rsidP="00785031">
            <w:pPr>
              <w:pStyle w:val="TableText"/>
              <w:rPr>
                <w:lang w:eastAsia="en-NZ"/>
              </w:rPr>
            </w:pPr>
            <w:r w:rsidRPr="00574339">
              <w:t>4.96</w:t>
            </w:r>
          </w:p>
        </w:tc>
      </w:tr>
      <w:tr w:rsidR="00BF3FA6" w14:paraId="61E49459" w14:textId="77777777" w:rsidTr="00BF3FA6">
        <w:tc>
          <w:tcPr>
            <w:tcW w:w="2405" w:type="dxa"/>
            <w:vMerge/>
          </w:tcPr>
          <w:p w14:paraId="2EC0A362" w14:textId="77777777" w:rsidR="00BF3FA6" w:rsidRDefault="00BF3FA6" w:rsidP="00785031">
            <w:pPr>
              <w:pStyle w:val="TableText"/>
              <w:rPr>
                <w:lang w:eastAsia="en-NZ"/>
              </w:rPr>
            </w:pPr>
          </w:p>
        </w:tc>
        <w:tc>
          <w:tcPr>
            <w:tcW w:w="2693" w:type="dxa"/>
          </w:tcPr>
          <w:p w14:paraId="2F48B414" w14:textId="60494D11" w:rsidR="00BF3FA6" w:rsidRDefault="00BF3FA6" w:rsidP="00785031">
            <w:pPr>
              <w:pStyle w:val="TableText"/>
              <w:rPr>
                <w:lang w:eastAsia="en-NZ"/>
              </w:rPr>
            </w:pPr>
            <w:r w:rsidRPr="00574339">
              <w:t>Pacifica</w:t>
            </w:r>
          </w:p>
        </w:tc>
        <w:tc>
          <w:tcPr>
            <w:tcW w:w="1560" w:type="dxa"/>
          </w:tcPr>
          <w:p w14:paraId="13313610" w14:textId="771E6442" w:rsidR="00BF3FA6" w:rsidRDefault="00BF3FA6" w:rsidP="00785031">
            <w:pPr>
              <w:pStyle w:val="TableText"/>
              <w:rPr>
                <w:lang w:eastAsia="en-NZ"/>
              </w:rPr>
            </w:pPr>
            <w:r w:rsidRPr="00574339">
              <w:t>5</w:t>
            </w:r>
          </w:p>
        </w:tc>
        <w:tc>
          <w:tcPr>
            <w:tcW w:w="1411" w:type="dxa"/>
          </w:tcPr>
          <w:p w14:paraId="61F3D2A3" w14:textId="63F92512" w:rsidR="00BF3FA6" w:rsidRDefault="00BF3FA6" w:rsidP="00785031">
            <w:pPr>
              <w:pStyle w:val="TableText"/>
              <w:rPr>
                <w:lang w:eastAsia="en-NZ"/>
              </w:rPr>
            </w:pPr>
            <w:r w:rsidRPr="00574339">
              <w:t>0.62</w:t>
            </w:r>
          </w:p>
        </w:tc>
      </w:tr>
      <w:tr w:rsidR="00BF3FA6" w14:paraId="6F9406D9" w14:textId="77777777" w:rsidTr="00BF3FA6">
        <w:tc>
          <w:tcPr>
            <w:tcW w:w="2405" w:type="dxa"/>
            <w:vMerge/>
          </w:tcPr>
          <w:p w14:paraId="191C1212" w14:textId="77777777" w:rsidR="00BF3FA6" w:rsidRDefault="00BF3FA6" w:rsidP="00785031">
            <w:pPr>
              <w:pStyle w:val="TableText"/>
              <w:rPr>
                <w:lang w:eastAsia="en-NZ"/>
              </w:rPr>
            </w:pPr>
          </w:p>
        </w:tc>
        <w:tc>
          <w:tcPr>
            <w:tcW w:w="2693" w:type="dxa"/>
          </w:tcPr>
          <w:p w14:paraId="64EDFA0E" w14:textId="68100F5C" w:rsidR="00BF3FA6" w:rsidRDefault="00BF3FA6" w:rsidP="00785031">
            <w:pPr>
              <w:pStyle w:val="TableText"/>
              <w:rPr>
                <w:lang w:eastAsia="en-NZ"/>
              </w:rPr>
            </w:pPr>
            <w:r w:rsidRPr="00574339">
              <w:t>NZ European/</w:t>
            </w:r>
            <w:proofErr w:type="spellStart"/>
            <w:r w:rsidRPr="00574339">
              <w:t>Pākehā</w:t>
            </w:r>
            <w:proofErr w:type="spellEnd"/>
          </w:p>
        </w:tc>
        <w:tc>
          <w:tcPr>
            <w:tcW w:w="1560" w:type="dxa"/>
          </w:tcPr>
          <w:p w14:paraId="189EC9CC" w14:textId="4B2A24DF" w:rsidR="00BF3FA6" w:rsidRDefault="00BF3FA6" w:rsidP="00785031">
            <w:pPr>
              <w:pStyle w:val="TableText"/>
              <w:rPr>
                <w:lang w:eastAsia="en-NZ"/>
              </w:rPr>
            </w:pPr>
            <w:r w:rsidRPr="00574339">
              <w:t>654</w:t>
            </w:r>
          </w:p>
        </w:tc>
        <w:tc>
          <w:tcPr>
            <w:tcW w:w="1411" w:type="dxa"/>
          </w:tcPr>
          <w:p w14:paraId="1EB0615E" w14:textId="2AD560CB" w:rsidR="00BF3FA6" w:rsidRDefault="00BF3FA6" w:rsidP="00785031">
            <w:pPr>
              <w:pStyle w:val="TableText"/>
              <w:rPr>
                <w:lang w:eastAsia="en-NZ"/>
              </w:rPr>
            </w:pPr>
            <w:r w:rsidRPr="00574339">
              <w:t>81.04</w:t>
            </w:r>
          </w:p>
        </w:tc>
      </w:tr>
      <w:tr w:rsidR="00BF3FA6" w14:paraId="5B82B00D" w14:textId="77777777" w:rsidTr="00BF3FA6">
        <w:tc>
          <w:tcPr>
            <w:tcW w:w="2405" w:type="dxa"/>
            <w:vMerge/>
          </w:tcPr>
          <w:p w14:paraId="1CD79969" w14:textId="77777777" w:rsidR="00BF3FA6" w:rsidRDefault="00BF3FA6" w:rsidP="00785031">
            <w:pPr>
              <w:pStyle w:val="TableText"/>
              <w:rPr>
                <w:lang w:eastAsia="en-NZ"/>
              </w:rPr>
            </w:pPr>
          </w:p>
        </w:tc>
        <w:tc>
          <w:tcPr>
            <w:tcW w:w="2693" w:type="dxa"/>
          </w:tcPr>
          <w:p w14:paraId="16251E40" w14:textId="56EF2728" w:rsidR="00BF3FA6" w:rsidRDefault="00BF3FA6" w:rsidP="00785031">
            <w:pPr>
              <w:pStyle w:val="TableText"/>
              <w:rPr>
                <w:lang w:eastAsia="en-NZ"/>
              </w:rPr>
            </w:pPr>
            <w:r w:rsidRPr="00574339">
              <w:t>Asian</w:t>
            </w:r>
          </w:p>
        </w:tc>
        <w:tc>
          <w:tcPr>
            <w:tcW w:w="1560" w:type="dxa"/>
          </w:tcPr>
          <w:p w14:paraId="29062D35" w14:textId="2FBE1A73" w:rsidR="00BF3FA6" w:rsidRDefault="00BF3FA6" w:rsidP="00785031">
            <w:pPr>
              <w:pStyle w:val="TableText"/>
              <w:rPr>
                <w:lang w:eastAsia="en-NZ"/>
              </w:rPr>
            </w:pPr>
            <w:r w:rsidRPr="00574339">
              <w:t>15</w:t>
            </w:r>
          </w:p>
        </w:tc>
        <w:tc>
          <w:tcPr>
            <w:tcW w:w="1411" w:type="dxa"/>
          </w:tcPr>
          <w:p w14:paraId="6D010751" w14:textId="2B097D5A" w:rsidR="00BF3FA6" w:rsidRDefault="00BF3FA6" w:rsidP="00785031">
            <w:pPr>
              <w:pStyle w:val="TableText"/>
              <w:rPr>
                <w:lang w:eastAsia="en-NZ"/>
              </w:rPr>
            </w:pPr>
            <w:r w:rsidRPr="00574339">
              <w:t>1.86</w:t>
            </w:r>
          </w:p>
        </w:tc>
      </w:tr>
      <w:tr w:rsidR="00BF3FA6" w14:paraId="0CDC8205" w14:textId="77777777" w:rsidTr="00BF3FA6">
        <w:tc>
          <w:tcPr>
            <w:tcW w:w="2405" w:type="dxa"/>
            <w:vMerge/>
          </w:tcPr>
          <w:p w14:paraId="3FA8C5DA" w14:textId="77777777" w:rsidR="00BF3FA6" w:rsidRDefault="00BF3FA6" w:rsidP="00785031">
            <w:pPr>
              <w:pStyle w:val="TableText"/>
              <w:rPr>
                <w:lang w:eastAsia="en-NZ"/>
              </w:rPr>
            </w:pPr>
          </w:p>
        </w:tc>
        <w:tc>
          <w:tcPr>
            <w:tcW w:w="2693" w:type="dxa"/>
          </w:tcPr>
          <w:p w14:paraId="48BB21F3" w14:textId="261ABBCA" w:rsidR="00BF3FA6" w:rsidRDefault="00BF3FA6" w:rsidP="00785031">
            <w:pPr>
              <w:pStyle w:val="TableText"/>
              <w:rPr>
                <w:lang w:eastAsia="en-NZ"/>
              </w:rPr>
            </w:pPr>
            <w:r w:rsidRPr="00574339">
              <w:t>Other</w:t>
            </w:r>
          </w:p>
        </w:tc>
        <w:tc>
          <w:tcPr>
            <w:tcW w:w="1560" w:type="dxa"/>
          </w:tcPr>
          <w:p w14:paraId="4E123461" w14:textId="6AA302E8" w:rsidR="00BF3FA6" w:rsidRDefault="00BF3FA6" w:rsidP="00785031">
            <w:pPr>
              <w:pStyle w:val="TableText"/>
              <w:rPr>
                <w:lang w:eastAsia="en-NZ"/>
              </w:rPr>
            </w:pPr>
            <w:r w:rsidRPr="00574339">
              <w:t>109</w:t>
            </w:r>
          </w:p>
        </w:tc>
        <w:tc>
          <w:tcPr>
            <w:tcW w:w="1411" w:type="dxa"/>
          </w:tcPr>
          <w:p w14:paraId="2B70438F" w14:textId="0AB365E9" w:rsidR="00BF3FA6" w:rsidRDefault="00BF3FA6" w:rsidP="00785031">
            <w:pPr>
              <w:pStyle w:val="TableText"/>
              <w:rPr>
                <w:lang w:eastAsia="en-NZ"/>
              </w:rPr>
            </w:pPr>
            <w:r w:rsidRPr="00574339">
              <w:t>13.51</w:t>
            </w:r>
          </w:p>
        </w:tc>
      </w:tr>
      <w:tr w:rsidR="00BF3FA6" w14:paraId="6B916A3C" w14:textId="77777777" w:rsidTr="00BF3FA6">
        <w:tc>
          <w:tcPr>
            <w:tcW w:w="2405" w:type="dxa"/>
            <w:vMerge w:val="restart"/>
          </w:tcPr>
          <w:p w14:paraId="0274AEB8" w14:textId="0A6AC828" w:rsidR="00BF3FA6" w:rsidRDefault="00BF3FA6" w:rsidP="002C303B">
            <w:pPr>
              <w:pStyle w:val="TableText"/>
              <w:rPr>
                <w:lang w:eastAsia="en-NZ"/>
              </w:rPr>
            </w:pPr>
            <w:r w:rsidRPr="002C303B">
              <w:rPr>
                <w:lang w:eastAsia="en-NZ"/>
              </w:rPr>
              <w:t>Sex</w:t>
            </w:r>
          </w:p>
        </w:tc>
        <w:tc>
          <w:tcPr>
            <w:tcW w:w="2693" w:type="dxa"/>
          </w:tcPr>
          <w:p w14:paraId="515F8576" w14:textId="02338AA3" w:rsidR="00BF3FA6" w:rsidRDefault="00BF3FA6" w:rsidP="002C303B">
            <w:pPr>
              <w:pStyle w:val="TableText"/>
              <w:rPr>
                <w:lang w:eastAsia="en-NZ"/>
              </w:rPr>
            </w:pPr>
            <w:r w:rsidRPr="00F97B00">
              <w:t>Female/</w:t>
            </w:r>
            <w:proofErr w:type="spellStart"/>
            <w:r w:rsidRPr="00F97B00">
              <w:t>wāhine</w:t>
            </w:r>
            <w:proofErr w:type="spellEnd"/>
          </w:p>
        </w:tc>
        <w:tc>
          <w:tcPr>
            <w:tcW w:w="1560" w:type="dxa"/>
          </w:tcPr>
          <w:p w14:paraId="588FD7AF" w14:textId="0E5A4A7D" w:rsidR="00BF3FA6" w:rsidRDefault="00BF3FA6" w:rsidP="002C303B">
            <w:pPr>
              <w:pStyle w:val="TableText"/>
              <w:rPr>
                <w:lang w:eastAsia="en-NZ"/>
              </w:rPr>
            </w:pPr>
            <w:r w:rsidRPr="00F97B00">
              <w:t>420</w:t>
            </w:r>
          </w:p>
        </w:tc>
        <w:tc>
          <w:tcPr>
            <w:tcW w:w="1411" w:type="dxa"/>
          </w:tcPr>
          <w:p w14:paraId="215240EC" w14:textId="38E84487" w:rsidR="00BF3FA6" w:rsidRDefault="00BF3FA6" w:rsidP="002C303B">
            <w:pPr>
              <w:pStyle w:val="TableText"/>
              <w:rPr>
                <w:lang w:eastAsia="en-NZ"/>
              </w:rPr>
            </w:pPr>
            <w:r w:rsidRPr="00F97B00">
              <w:t>52.04</w:t>
            </w:r>
          </w:p>
        </w:tc>
      </w:tr>
      <w:tr w:rsidR="00BF3FA6" w14:paraId="08A716C0" w14:textId="77777777" w:rsidTr="00BF3FA6">
        <w:tc>
          <w:tcPr>
            <w:tcW w:w="2405" w:type="dxa"/>
            <w:vMerge/>
          </w:tcPr>
          <w:p w14:paraId="44A56B18" w14:textId="77777777" w:rsidR="00BF3FA6" w:rsidRDefault="00BF3FA6" w:rsidP="002C303B">
            <w:pPr>
              <w:pStyle w:val="TableText"/>
              <w:rPr>
                <w:lang w:eastAsia="en-NZ"/>
              </w:rPr>
            </w:pPr>
          </w:p>
        </w:tc>
        <w:tc>
          <w:tcPr>
            <w:tcW w:w="2693" w:type="dxa"/>
          </w:tcPr>
          <w:p w14:paraId="190A55C2" w14:textId="4199B27B" w:rsidR="00BF3FA6" w:rsidRDefault="00BF3FA6" w:rsidP="002C303B">
            <w:pPr>
              <w:pStyle w:val="TableText"/>
              <w:rPr>
                <w:lang w:eastAsia="en-NZ"/>
              </w:rPr>
            </w:pPr>
            <w:r w:rsidRPr="00F97B00">
              <w:t>Male/</w:t>
            </w:r>
            <w:proofErr w:type="spellStart"/>
            <w:r w:rsidRPr="00F97B00">
              <w:t>tāne</w:t>
            </w:r>
            <w:proofErr w:type="spellEnd"/>
          </w:p>
        </w:tc>
        <w:tc>
          <w:tcPr>
            <w:tcW w:w="1560" w:type="dxa"/>
          </w:tcPr>
          <w:p w14:paraId="3C88A561" w14:textId="4060DE71" w:rsidR="00BF3FA6" w:rsidRDefault="00BF3FA6" w:rsidP="002C303B">
            <w:pPr>
              <w:pStyle w:val="TableText"/>
              <w:rPr>
                <w:lang w:eastAsia="en-NZ"/>
              </w:rPr>
            </w:pPr>
            <w:r w:rsidRPr="00F97B00">
              <w:t>387</w:t>
            </w:r>
          </w:p>
        </w:tc>
        <w:tc>
          <w:tcPr>
            <w:tcW w:w="1411" w:type="dxa"/>
          </w:tcPr>
          <w:p w14:paraId="613D5307" w14:textId="5F427302" w:rsidR="00BF3FA6" w:rsidRDefault="00BF3FA6" w:rsidP="002C303B">
            <w:pPr>
              <w:pStyle w:val="TableText"/>
              <w:rPr>
                <w:lang w:eastAsia="en-NZ"/>
              </w:rPr>
            </w:pPr>
            <w:r w:rsidRPr="00F97B00">
              <w:t>47.96</w:t>
            </w:r>
          </w:p>
        </w:tc>
      </w:tr>
      <w:tr w:rsidR="00BF3FA6" w14:paraId="08AAE4F5" w14:textId="77777777" w:rsidTr="00BF3FA6">
        <w:tc>
          <w:tcPr>
            <w:tcW w:w="2405" w:type="dxa"/>
            <w:vMerge/>
          </w:tcPr>
          <w:p w14:paraId="6261FC09" w14:textId="77777777" w:rsidR="00BF3FA6" w:rsidRDefault="00BF3FA6" w:rsidP="002C303B">
            <w:pPr>
              <w:pStyle w:val="TableText"/>
              <w:rPr>
                <w:lang w:eastAsia="en-NZ"/>
              </w:rPr>
            </w:pPr>
          </w:p>
        </w:tc>
        <w:tc>
          <w:tcPr>
            <w:tcW w:w="2693" w:type="dxa"/>
          </w:tcPr>
          <w:p w14:paraId="640ECA1F" w14:textId="76C59377" w:rsidR="00BF3FA6" w:rsidRDefault="00BF3FA6" w:rsidP="002C303B">
            <w:pPr>
              <w:pStyle w:val="TableText"/>
              <w:rPr>
                <w:lang w:eastAsia="en-NZ"/>
              </w:rPr>
            </w:pPr>
            <w:r w:rsidRPr="00D9067E">
              <w:t>Gender diverse</w:t>
            </w:r>
          </w:p>
        </w:tc>
        <w:tc>
          <w:tcPr>
            <w:tcW w:w="1560" w:type="dxa"/>
          </w:tcPr>
          <w:p w14:paraId="266CF3D6" w14:textId="14B73FE2" w:rsidR="00BF3FA6" w:rsidRDefault="00BF3FA6" w:rsidP="002C303B">
            <w:pPr>
              <w:pStyle w:val="TableText"/>
              <w:rPr>
                <w:lang w:eastAsia="en-NZ"/>
              </w:rPr>
            </w:pPr>
            <w:r w:rsidRPr="00D9067E">
              <w:t>0</w:t>
            </w:r>
          </w:p>
        </w:tc>
        <w:tc>
          <w:tcPr>
            <w:tcW w:w="1411" w:type="dxa"/>
          </w:tcPr>
          <w:p w14:paraId="3CD313C9" w14:textId="551A7A1F" w:rsidR="00BF3FA6" w:rsidRDefault="00BF3FA6" w:rsidP="002C303B">
            <w:pPr>
              <w:pStyle w:val="TableText"/>
              <w:rPr>
                <w:lang w:eastAsia="en-NZ"/>
              </w:rPr>
            </w:pPr>
            <w:r w:rsidRPr="00D9067E">
              <w:t>0</w:t>
            </w:r>
          </w:p>
        </w:tc>
      </w:tr>
      <w:tr w:rsidR="00BF3FA6" w14:paraId="1EA48951" w14:textId="77777777" w:rsidTr="00BF3FA6">
        <w:tc>
          <w:tcPr>
            <w:tcW w:w="2405" w:type="dxa"/>
            <w:vMerge w:val="restart"/>
          </w:tcPr>
          <w:p w14:paraId="1F1E43CD" w14:textId="350BC025" w:rsidR="00BF3FA6" w:rsidRDefault="00BF3FA6" w:rsidP="002C303B">
            <w:pPr>
              <w:pStyle w:val="TableText"/>
              <w:rPr>
                <w:lang w:eastAsia="en-NZ"/>
              </w:rPr>
            </w:pPr>
            <w:r w:rsidRPr="002C303B">
              <w:rPr>
                <w:lang w:eastAsia="en-NZ"/>
              </w:rPr>
              <w:t>Age group</w:t>
            </w:r>
          </w:p>
        </w:tc>
        <w:tc>
          <w:tcPr>
            <w:tcW w:w="2693" w:type="dxa"/>
          </w:tcPr>
          <w:p w14:paraId="671BDD2C" w14:textId="5FBBAB09" w:rsidR="00BF3FA6" w:rsidRDefault="00BF3FA6" w:rsidP="002C303B">
            <w:pPr>
              <w:pStyle w:val="TableText"/>
              <w:rPr>
                <w:lang w:eastAsia="en-NZ"/>
              </w:rPr>
            </w:pPr>
            <w:r w:rsidRPr="00644B5A">
              <w:t>18-44 years</w:t>
            </w:r>
          </w:p>
        </w:tc>
        <w:tc>
          <w:tcPr>
            <w:tcW w:w="1560" w:type="dxa"/>
          </w:tcPr>
          <w:p w14:paraId="3300C8B0" w14:textId="3D9D6F8E" w:rsidR="00BF3FA6" w:rsidRDefault="00BF3FA6" w:rsidP="002C303B">
            <w:pPr>
              <w:pStyle w:val="TableText"/>
              <w:rPr>
                <w:lang w:eastAsia="en-NZ"/>
              </w:rPr>
            </w:pPr>
            <w:r w:rsidRPr="00644B5A">
              <w:t>8</w:t>
            </w:r>
          </w:p>
        </w:tc>
        <w:tc>
          <w:tcPr>
            <w:tcW w:w="1411" w:type="dxa"/>
          </w:tcPr>
          <w:p w14:paraId="401FCA66" w14:textId="5BCD7B04" w:rsidR="00BF3FA6" w:rsidRDefault="00BF3FA6" w:rsidP="002C303B">
            <w:pPr>
              <w:pStyle w:val="TableText"/>
              <w:rPr>
                <w:lang w:eastAsia="en-NZ"/>
              </w:rPr>
            </w:pPr>
            <w:r w:rsidRPr="00644B5A">
              <w:t>0.99</w:t>
            </w:r>
          </w:p>
        </w:tc>
      </w:tr>
      <w:tr w:rsidR="00BF3FA6" w14:paraId="357A94A4" w14:textId="77777777" w:rsidTr="00BF3FA6">
        <w:tc>
          <w:tcPr>
            <w:tcW w:w="2405" w:type="dxa"/>
            <w:vMerge/>
          </w:tcPr>
          <w:p w14:paraId="2934AF3C" w14:textId="77777777" w:rsidR="00BF3FA6" w:rsidRDefault="00BF3FA6" w:rsidP="002C303B">
            <w:pPr>
              <w:pStyle w:val="TableText"/>
              <w:rPr>
                <w:lang w:eastAsia="en-NZ"/>
              </w:rPr>
            </w:pPr>
          </w:p>
        </w:tc>
        <w:tc>
          <w:tcPr>
            <w:tcW w:w="2693" w:type="dxa"/>
          </w:tcPr>
          <w:p w14:paraId="65335D39" w14:textId="74F53FE3" w:rsidR="00BF3FA6" w:rsidRDefault="00BF3FA6" w:rsidP="002C303B">
            <w:pPr>
              <w:pStyle w:val="TableText"/>
              <w:rPr>
                <w:lang w:eastAsia="en-NZ"/>
              </w:rPr>
            </w:pPr>
            <w:r w:rsidRPr="00644B5A">
              <w:t>45-64 years</w:t>
            </w:r>
          </w:p>
        </w:tc>
        <w:tc>
          <w:tcPr>
            <w:tcW w:w="1560" w:type="dxa"/>
          </w:tcPr>
          <w:p w14:paraId="7E8C3808" w14:textId="7FA0D5D5" w:rsidR="00BF3FA6" w:rsidRDefault="00BF3FA6" w:rsidP="002C303B">
            <w:pPr>
              <w:pStyle w:val="TableText"/>
              <w:rPr>
                <w:lang w:eastAsia="en-NZ"/>
              </w:rPr>
            </w:pPr>
            <w:r w:rsidRPr="00644B5A">
              <w:t>179</w:t>
            </w:r>
          </w:p>
        </w:tc>
        <w:tc>
          <w:tcPr>
            <w:tcW w:w="1411" w:type="dxa"/>
          </w:tcPr>
          <w:p w14:paraId="644E936C" w14:textId="58383BA5" w:rsidR="00BF3FA6" w:rsidRDefault="00BF3FA6" w:rsidP="002C303B">
            <w:pPr>
              <w:pStyle w:val="TableText"/>
              <w:rPr>
                <w:lang w:eastAsia="en-NZ"/>
              </w:rPr>
            </w:pPr>
            <w:r w:rsidRPr="00644B5A">
              <w:t>22.18</w:t>
            </w:r>
          </w:p>
        </w:tc>
      </w:tr>
      <w:tr w:rsidR="00BF3FA6" w14:paraId="4CDD34F0" w14:textId="77777777" w:rsidTr="00BF3FA6">
        <w:tc>
          <w:tcPr>
            <w:tcW w:w="2405" w:type="dxa"/>
            <w:vMerge/>
          </w:tcPr>
          <w:p w14:paraId="3AA51B77" w14:textId="77777777" w:rsidR="00BF3FA6" w:rsidRDefault="00BF3FA6" w:rsidP="002C303B">
            <w:pPr>
              <w:pStyle w:val="TableText"/>
              <w:rPr>
                <w:lang w:eastAsia="en-NZ"/>
              </w:rPr>
            </w:pPr>
          </w:p>
        </w:tc>
        <w:tc>
          <w:tcPr>
            <w:tcW w:w="2693" w:type="dxa"/>
          </w:tcPr>
          <w:p w14:paraId="6B1B6D6F" w14:textId="00551F1C" w:rsidR="00BF3FA6" w:rsidRDefault="00BF3FA6" w:rsidP="002C303B">
            <w:pPr>
              <w:pStyle w:val="TableText"/>
              <w:rPr>
                <w:lang w:eastAsia="en-NZ"/>
              </w:rPr>
            </w:pPr>
            <w:r w:rsidRPr="00644B5A">
              <w:t>65-84 years</w:t>
            </w:r>
          </w:p>
        </w:tc>
        <w:tc>
          <w:tcPr>
            <w:tcW w:w="1560" w:type="dxa"/>
          </w:tcPr>
          <w:p w14:paraId="164226ED" w14:textId="5C971371" w:rsidR="00BF3FA6" w:rsidRDefault="00BF3FA6" w:rsidP="002C303B">
            <w:pPr>
              <w:pStyle w:val="TableText"/>
              <w:rPr>
                <w:lang w:eastAsia="en-NZ"/>
              </w:rPr>
            </w:pPr>
            <w:r w:rsidRPr="00644B5A">
              <w:t>471</w:t>
            </w:r>
          </w:p>
        </w:tc>
        <w:tc>
          <w:tcPr>
            <w:tcW w:w="1411" w:type="dxa"/>
          </w:tcPr>
          <w:p w14:paraId="02DBFF49" w14:textId="2AD1BE94" w:rsidR="00BF3FA6" w:rsidRDefault="00BF3FA6" w:rsidP="002C303B">
            <w:pPr>
              <w:pStyle w:val="TableText"/>
              <w:rPr>
                <w:lang w:eastAsia="en-NZ"/>
              </w:rPr>
            </w:pPr>
            <w:r w:rsidRPr="00644B5A">
              <w:t>58.36</w:t>
            </w:r>
          </w:p>
        </w:tc>
      </w:tr>
      <w:tr w:rsidR="00BF3FA6" w14:paraId="52EB24E0" w14:textId="77777777" w:rsidTr="00BF3FA6">
        <w:tc>
          <w:tcPr>
            <w:tcW w:w="2405" w:type="dxa"/>
            <w:vMerge/>
          </w:tcPr>
          <w:p w14:paraId="5D44B57A" w14:textId="77777777" w:rsidR="00BF3FA6" w:rsidRDefault="00BF3FA6" w:rsidP="002C303B">
            <w:pPr>
              <w:pStyle w:val="TableText"/>
              <w:rPr>
                <w:lang w:eastAsia="en-NZ"/>
              </w:rPr>
            </w:pPr>
          </w:p>
        </w:tc>
        <w:tc>
          <w:tcPr>
            <w:tcW w:w="2693" w:type="dxa"/>
          </w:tcPr>
          <w:p w14:paraId="2FF2F571" w14:textId="4B89048A" w:rsidR="00BF3FA6" w:rsidRDefault="00BF3FA6" w:rsidP="002C303B">
            <w:pPr>
              <w:pStyle w:val="TableText"/>
              <w:rPr>
                <w:lang w:eastAsia="en-NZ"/>
              </w:rPr>
            </w:pPr>
            <w:r w:rsidRPr="00644B5A">
              <w:t>85+ years</w:t>
            </w:r>
          </w:p>
        </w:tc>
        <w:tc>
          <w:tcPr>
            <w:tcW w:w="1560" w:type="dxa"/>
          </w:tcPr>
          <w:p w14:paraId="16BECE04" w14:textId="627FF4A1" w:rsidR="00BF3FA6" w:rsidRDefault="00BF3FA6" w:rsidP="002C303B">
            <w:pPr>
              <w:pStyle w:val="TableText"/>
              <w:rPr>
                <w:lang w:eastAsia="en-NZ"/>
              </w:rPr>
            </w:pPr>
            <w:r w:rsidRPr="00644B5A">
              <w:t>149</w:t>
            </w:r>
          </w:p>
        </w:tc>
        <w:tc>
          <w:tcPr>
            <w:tcW w:w="1411" w:type="dxa"/>
          </w:tcPr>
          <w:p w14:paraId="30F21A63" w14:textId="61D89DCD" w:rsidR="00BF3FA6" w:rsidRDefault="00BF3FA6" w:rsidP="002C303B">
            <w:pPr>
              <w:pStyle w:val="TableText"/>
              <w:rPr>
                <w:lang w:eastAsia="en-NZ"/>
              </w:rPr>
            </w:pPr>
            <w:r w:rsidRPr="00644B5A">
              <w:t>18.46</w:t>
            </w:r>
          </w:p>
        </w:tc>
      </w:tr>
      <w:tr w:rsidR="00BF3FA6" w14:paraId="2E451FC0" w14:textId="77777777" w:rsidTr="00BF3FA6">
        <w:tc>
          <w:tcPr>
            <w:tcW w:w="2405" w:type="dxa"/>
            <w:vMerge w:val="restart"/>
          </w:tcPr>
          <w:p w14:paraId="21F28835" w14:textId="1180377B" w:rsidR="00BF3FA6" w:rsidRDefault="00BF3FA6" w:rsidP="002C303B">
            <w:pPr>
              <w:pStyle w:val="TableText"/>
              <w:rPr>
                <w:lang w:eastAsia="en-NZ"/>
              </w:rPr>
            </w:pPr>
            <w:r w:rsidRPr="002C303B">
              <w:rPr>
                <w:lang w:eastAsia="en-NZ"/>
              </w:rPr>
              <w:t>Diagnosis</w:t>
            </w:r>
            <w:r w:rsidRPr="00BF3FA6">
              <w:rPr>
                <w:vertAlign w:val="superscript"/>
                <w:lang w:eastAsia="en-NZ"/>
              </w:rPr>
              <w:t>2</w:t>
            </w:r>
          </w:p>
        </w:tc>
        <w:tc>
          <w:tcPr>
            <w:tcW w:w="2693" w:type="dxa"/>
          </w:tcPr>
          <w:p w14:paraId="70602321" w14:textId="1B800DFC" w:rsidR="00BF3FA6" w:rsidRDefault="00BF3FA6" w:rsidP="002C303B">
            <w:pPr>
              <w:pStyle w:val="TableText"/>
              <w:rPr>
                <w:lang w:eastAsia="en-NZ"/>
              </w:rPr>
            </w:pPr>
            <w:r w:rsidRPr="00E51D15">
              <w:t>Cancer</w:t>
            </w:r>
          </w:p>
        </w:tc>
        <w:tc>
          <w:tcPr>
            <w:tcW w:w="1560" w:type="dxa"/>
          </w:tcPr>
          <w:p w14:paraId="3330ACF0" w14:textId="1AA53C04" w:rsidR="00BF3FA6" w:rsidRDefault="00BF3FA6" w:rsidP="002C303B">
            <w:pPr>
              <w:pStyle w:val="TableText"/>
              <w:rPr>
                <w:lang w:eastAsia="en-NZ"/>
              </w:rPr>
            </w:pPr>
            <w:r w:rsidRPr="00E51D15">
              <w:t>546</w:t>
            </w:r>
          </w:p>
        </w:tc>
        <w:tc>
          <w:tcPr>
            <w:tcW w:w="1411" w:type="dxa"/>
          </w:tcPr>
          <w:p w14:paraId="6D674814" w14:textId="4FFC1329" w:rsidR="00BF3FA6" w:rsidRDefault="00BF3FA6" w:rsidP="002C303B">
            <w:pPr>
              <w:pStyle w:val="TableText"/>
              <w:rPr>
                <w:lang w:eastAsia="en-NZ"/>
              </w:rPr>
            </w:pPr>
            <w:r w:rsidRPr="00E51D15">
              <w:t>67.66</w:t>
            </w:r>
          </w:p>
        </w:tc>
      </w:tr>
      <w:tr w:rsidR="00BF3FA6" w14:paraId="26C8B3BD" w14:textId="77777777" w:rsidTr="00BF3FA6">
        <w:tc>
          <w:tcPr>
            <w:tcW w:w="2405" w:type="dxa"/>
            <w:vMerge/>
          </w:tcPr>
          <w:p w14:paraId="2CDFE596" w14:textId="77777777" w:rsidR="00BF3FA6" w:rsidRDefault="00BF3FA6" w:rsidP="002C303B">
            <w:pPr>
              <w:pStyle w:val="TableText"/>
              <w:rPr>
                <w:lang w:eastAsia="en-NZ"/>
              </w:rPr>
            </w:pPr>
          </w:p>
        </w:tc>
        <w:tc>
          <w:tcPr>
            <w:tcW w:w="2693" w:type="dxa"/>
          </w:tcPr>
          <w:p w14:paraId="2477875B" w14:textId="1477DE18" w:rsidR="00BF3FA6" w:rsidRDefault="00BF3FA6" w:rsidP="002C303B">
            <w:pPr>
              <w:pStyle w:val="TableText"/>
              <w:rPr>
                <w:lang w:eastAsia="en-NZ"/>
              </w:rPr>
            </w:pPr>
            <w:r w:rsidRPr="00E51D15">
              <w:t>Neurological condition</w:t>
            </w:r>
          </w:p>
        </w:tc>
        <w:tc>
          <w:tcPr>
            <w:tcW w:w="1560" w:type="dxa"/>
          </w:tcPr>
          <w:p w14:paraId="18907C10" w14:textId="558FFC29" w:rsidR="00BF3FA6" w:rsidRDefault="00BF3FA6" w:rsidP="002C303B">
            <w:pPr>
              <w:pStyle w:val="TableText"/>
              <w:rPr>
                <w:lang w:eastAsia="en-NZ"/>
              </w:rPr>
            </w:pPr>
            <w:r w:rsidRPr="00E51D15">
              <w:t>88</w:t>
            </w:r>
          </w:p>
        </w:tc>
        <w:tc>
          <w:tcPr>
            <w:tcW w:w="1411" w:type="dxa"/>
          </w:tcPr>
          <w:p w14:paraId="79F428A8" w14:textId="0FC988A4" w:rsidR="00BF3FA6" w:rsidRDefault="00BF3FA6" w:rsidP="002C303B">
            <w:pPr>
              <w:pStyle w:val="TableText"/>
              <w:rPr>
                <w:lang w:eastAsia="en-NZ"/>
              </w:rPr>
            </w:pPr>
            <w:r w:rsidRPr="00E51D15">
              <w:t>10.90</w:t>
            </w:r>
          </w:p>
        </w:tc>
      </w:tr>
      <w:tr w:rsidR="00BF3FA6" w14:paraId="503C3E93" w14:textId="77777777" w:rsidTr="00BF3FA6">
        <w:tc>
          <w:tcPr>
            <w:tcW w:w="2405" w:type="dxa"/>
            <w:vMerge/>
          </w:tcPr>
          <w:p w14:paraId="7CA41320" w14:textId="77777777" w:rsidR="00BF3FA6" w:rsidRDefault="00BF3FA6" w:rsidP="002C303B">
            <w:pPr>
              <w:pStyle w:val="TableText"/>
              <w:rPr>
                <w:lang w:eastAsia="en-NZ"/>
              </w:rPr>
            </w:pPr>
          </w:p>
        </w:tc>
        <w:tc>
          <w:tcPr>
            <w:tcW w:w="2693" w:type="dxa"/>
          </w:tcPr>
          <w:p w14:paraId="3D7EBF0B" w14:textId="418BA397" w:rsidR="00BF3FA6" w:rsidRDefault="00BF3FA6" w:rsidP="002C303B">
            <w:pPr>
              <w:pStyle w:val="TableText"/>
              <w:rPr>
                <w:lang w:eastAsia="en-NZ"/>
              </w:rPr>
            </w:pPr>
            <w:r w:rsidRPr="00E51D15">
              <w:t>Chronic respiratory disease</w:t>
            </w:r>
          </w:p>
        </w:tc>
        <w:tc>
          <w:tcPr>
            <w:tcW w:w="1560" w:type="dxa"/>
          </w:tcPr>
          <w:p w14:paraId="4273CBC2" w14:textId="250FB18C" w:rsidR="00BF3FA6" w:rsidRDefault="00BF3FA6" w:rsidP="002C303B">
            <w:pPr>
              <w:pStyle w:val="TableText"/>
              <w:rPr>
                <w:lang w:eastAsia="en-NZ"/>
              </w:rPr>
            </w:pPr>
            <w:r w:rsidRPr="00E51D15">
              <w:t>41</w:t>
            </w:r>
          </w:p>
        </w:tc>
        <w:tc>
          <w:tcPr>
            <w:tcW w:w="1411" w:type="dxa"/>
          </w:tcPr>
          <w:p w14:paraId="6F5CA53E" w14:textId="661B0B98" w:rsidR="00BF3FA6" w:rsidRDefault="00BF3FA6" w:rsidP="002C303B">
            <w:pPr>
              <w:pStyle w:val="TableText"/>
              <w:rPr>
                <w:lang w:eastAsia="en-NZ"/>
              </w:rPr>
            </w:pPr>
            <w:r w:rsidRPr="00E51D15">
              <w:t>5.08</w:t>
            </w:r>
          </w:p>
        </w:tc>
      </w:tr>
      <w:tr w:rsidR="00BF3FA6" w14:paraId="57CB32FA" w14:textId="77777777" w:rsidTr="00BF3FA6">
        <w:tc>
          <w:tcPr>
            <w:tcW w:w="2405" w:type="dxa"/>
            <w:vMerge/>
          </w:tcPr>
          <w:p w14:paraId="153F9229" w14:textId="77777777" w:rsidR="00BF3FA6" w:rsidRDefault="00BF3FA6" w:rsidP="002C303B">
            <w:pPr>
              <w:pStyle w:val="TableText"/>
              <w:rPr>
                <w:lang w:eastAsia="en-NZ"/>
              </w:rPr>
            </w:pPr>
          </w:p>
        </w:tc>
        <w:tc>
          <w:tcPr>
            <w:tcW w:w="2693" w:type="dxa"/>
          </w:tcPr>
          <w:p w14:paraId="42D6FB52" w14:textId="3698A7DA" w:rsidR="00BF3FA6" w:rsidRDefault="00BF3FA6" w:rsidP="002C303B">
            <w:pPr>
              <w:pStyle w:val="TableText"/>
              <w:rPr>
                <w:lang w:eastAsia="en-NZ"/>
              </w:rPr>
            </w:pPr>
            <w:r w:rsidRPr="00E51D15">
              <w:t>Cardiovascular condition</w:t>
            </w:r>
          </w:p>
        </w:tc>
        <w:tc>
          <w:tcPr>
            <w:tcW w:w="1560" w:type="dxa"/>
          </w:tcPr>
          <w:p w14:paraId="4C745D1E" w14:textId="196C23AD" w:rsidR="00BF3FA6" w:rsidRDefault="00BF3FA6" w:rsidP="002C303B">
            <w:pPr>
              <w:pStyle w:val="TableText"/>
              <w:rPr>
                <w:lang w:eastAsia="en-NZ"/>
              </w:rPr>
            </w:pPr>
            <w:r w:rsidRPr="00E51D15">
              <w:t>51</w:t>
            </w:r>
          </w:p>
        </w:tc>
        <w:tc>
          <w:tcPr>
            <w:tcW w:w="1411" w:type="dxa"/>
          </w:tcPr>
          <w:p w14:paraId="27252A0E" w14:textId="64A15047" w:rsidR="00BF3FA6" w:rsidRDefault="00BF3FA6" w:rsidP="002C303B">
            <w:pPr>
              <w:pStyle w:val="TableText"/>
              <w:rPr>
                <w:lang w:eastAsia="en-NZ"/>
              </w:rPr>
            </w:pPr>
            <w:r w:rsidRPr="00E51D15">
              <w:t>6.32</w:t>
            </w:r>
          </w:p>
        </w:tc>
      </w:tr>
      <w:tr w:rsidR="00BF3FA6" w14:paraId="2B0D34D9" w14:textId="77777777" w:rsidTr="00BF3FA6">
        <w:tc>
          <w:tcPr>
            <w:tcW w:w="2405" w:type="dxa"/>
            <w:vMerge/>
          </w:tcPr>
          <w:p w14:paraId="296F7D22" w14:textId="77777777" w:rsidR="00BF3FA6" w:rsidRDefault="00BF3FA6" w:rsidP="002C303B">
            <w:pPr>
              <w:pStyle w:val="TableText"/>
              <w:rPr>
                <w:lang w:eastAsia="en-NZ"/>
              </w:rPr>
            </w:pPr>
          </w:p>
        </w:tc>
        <w:tc>
          <w:tcPr>
            <w:tcW w:w="2693" w:type="dxa"/>
          </w:tcPr>
          <w:p w14:paraId="352052CD" w14:textId="1B91A8FC" w:rsidR="00BF3FA6" w:rsidRDefault="00BF3FA6" w:rsidP="002C303B">
            <w:pPr>
              <w:pStyle w:val="TableText"/>
              <w:rPr>
                <w:lang w:eastAsia="en-NZ"/>
              </w:rPr>
            </w:pPr>
            <w:r w:rsidRPr="00E51D15">
              <w:t>Other organ failure</w:t>
            </w:r>
          </w:p>
        </w:tc>
        <w:tc>
          <w:tcPr>
            <w:tcW w:w="1560" w:type="dxa"/>
          </w:tcPr>
          <w:p w14:paraId="341546F5" w14:textId="3E0C8252" w:rsidR="00BF3FA6" w:rsidRDefault="00BF3FA6" w:rsidP="002C303B">
            <w:pPr>
              <w:pStyle w:val="TableText"/>
              <w:rPr>
                <w:lang w:eastAsia="en-NZ"/>
              </w:rPr>
            </w:pPr>
            <w:r w:rsidRPr="00E51D15">
              <w:t>25</w:t>
            </w:r>
          </w:p>
        </w:tc>
        <w:tc>
          <w:tcPr>
            <w:tcW w:w="1411" w:type="dxa"/>
          </w:tcPr>
          <w:p w14:paraId="2F4FFF98" w14:textId="00F0552A" w:rsidR="00BF3FA6" w:rsidRDefault="00BF3FA6" w:rsidP="002C303B">
            <w:pPr>
              <w:pStyle w:val="TableText"/>
              <w:rPr>
                <w:lang w:eastAsia="en-NZ"/>
              </w:rPr>
            </w:pPr>
            <w:r w:rsidRPr="00E51D15">
              <w:t>3.10</w:t>
            </w:r>
          </w:p>
        </w:tc>
      </w:tr>
      <w:tr w:rsidR="00BF3FA6" w14:paraId="1EB9ECE3" w14:textId="77777777" w:rsidTr="00BF3FA6">
        <w:tc>
          <w:tcPr>
            <w:tcW w:w="2405" w:type="dxa"/>
            <w:vMerge/>
          </w:tcPr>
          <w:p w14:paraId="34B13F60" w14:textId="77777777" w:rsidR="00BF3FA6" w:rsidRDefault="00BF3FA6" w:rsidP="002C303B">
            <w:pPr>
              <w:pStyle w:val="TableText"/>
              <w:rPr>
                <w:lang w:eastAsia="en-NZ"/>
              </w:rPr>
            </w:pPr>
          </w:p>
        </w:tc>
        <w:tc>
          <w:tcPr>
            <w:tcW w:w="2693" w:type="dxa"/>
          </w:tcPr>
          <w:p w14:paraId="0ED917DA" w14:textId="1EFFE9C7" w:rsidR="00BF3FA6" w:rsidRDefault="00BF3FA6" w:rsidP="002C303B">
            <w:pPr>
              <w:pStyle w:val="TableText"/>
              <w:rPr>
                <w:lang w:eastAsia="en-NZ"/>
              </w:rPr>
            </w:pPr>
            <w:r w:rsidRPr="00E51D15">
              <w:t>Other diagnosis</w:t>
            </w:r>
          </w:p>
        </w:tc>
        <w:tc>
          <w:tcPr>
            <w:tcW w:w="1560" w:type="dxa"/>
          </w:tcPr>
          <w:p w14:paraId="3974AEBB" w14:textId="5AB82FA4" w:rsidR="00BF3FA6" w:rsidRDefault="00BF3FA6" w:rsidP="002C303B">
            <w:pPr>
              <w:pStyle w:val="TableText"/>
              <w:rPr>
                <w:lang w:eastAsia="en-NZ"/>
              </w:rPr>
            </w:pPr>
            <w:r w:rsidRPr="00E51D15">
              <w:t>51</w:t>
            </w:r>
          </w:p>
        </w:tc>
        <w:tc>
          <w:tcPr>
            <w:tcW w:w="1411" w:type="dxa"/>
          </w:tcPr>
          <w:p w14:paraId="4C60200A" w14:textId="67087C55" w:rsidR="00BF3FA6" w:rsidRDefault="00BF3FA6" w:rsidP="002C303B">
            <w:pPr>
              <w:pStyle w:val="TableText"/>
              <w:rPr>
                <w:lang w:eastAsia="en-NZ"/>
              </w:rPr>
            </w:pPr>
            <w:r w:rsidRPr="00E51D15">
              <w:t>6.32</w:t>
            </w:r>
          </w:p>
        </w:tc>
      </w:tr>
      <w:tr w:rsidR="00BF3FA6" w14:paraId="28DEDDBE" w14:textId="77777777" w:rsidTr="00BF3FA6">
        <w:tc>
          <w:tcPr>
            <w:tcW w:w="2405" w:type="dxa"/>
            <w:vMerge/>
          </w:tcPr>
          <w:p w14:paraId="5DC17E5B" w14:textId="77777777" w:rsidR="00BF3FA6" w:rsidRDefault="00BF3FA6" w:rsidP="002C303B">
            <w:pPr>
              <w:pStyle w:val="TableText"/>
              <w:rPr>
                <w:lang w:eastAsia="en-NZ"/>
              </w:rPr>
            </w:pPr>
          </w:p>
        </w:tc>
        <w:tc>
          <w:tcPr>
            <w:tcW w:w="2693" w:type="dxa"/>
          </w:tcPr>
          <w:p w14:paraId="6319443F" w14:textId="4B96B1A1" w:rsidR="00BF3FA6" w:rsidRDefault="00BF3FA6" w:rsidP="002C303B">
            <w:pPr>
              <w:pStyle w:val="TableText"/>
              <w:rPr>
                <w:lang w:eastAsia="en-NZ"/>
              </w:rPr>
            </w:pPr>
            <w:r w:rsidRPr="00E51D15">
              <w:t>Not known</w:t>
            </w:r>
            <w:r w:rsidRPr="00BF3FA6">
              <w:rPr>
                <w:vertAlign w:val="superscript"/>
              </w:rPr>
              <w:t>4</w:t>
            </w:r>
          </w:p>
        </w:tc>
        <w:tc>
          <w:tcPr>
            <w:tcW w:w="1560" w:type="dxa"/>
          </w:tcPr>
          <w:p w14:paraId="5B5C00E6" w14:textId="6F2944C7" w:rsidR="00BF3FA6" w:rsidRDefault="00BF3FA6" w:rsidP="002C303B">
            <w:pPr>
              <w:pStyle w:val="TableText"/>
              <w:rPr>
                <w:lang w:eastAsia="en-NZ"/>
              </w:rPr>
            </w:pPr>
            <w:r w:rsidRPr="00E51D15">
              <w:t>117</w:t>
            </w:r>
          </w:p>
        </w:tc>
        <w:tc>
          <w:tcPr>
            <w:tcW w:w="1411" w:type="dxa"/>
          </w:tcPr>
          <w:p w14:paraId="739B537D" w14:textId="1D407796" w:rsidR="00BF3FA6" w:rsidRDefault="00BF3FA6" w:rsidP="002C303B">
            <w:pPr>
              <w:pStyle w:val="TableText"/>
              <w:rPr>
                <w:lang w:eastAsia="en-NZ"/>
              </w:rPr>
            </w:pPr>
            <w:r w:rsidRPr="00E51D15">
              <w:t>14.50</w:t>
            </w:r>
          </w:p>
        </w:tc>
      </w:tr>
      <w:tr w:rsidR="002C303B" w14:paraId="711FBE2B" w14:textId="77777777" w:rsidTr="00BF3FA6">
        <w:tc>
          <w:tcPr>
            <w:tcW w:w="2405" w:type="dxa"/>
            <w:vMerge w:val="restart"/>
          </w:tcPr>
          <w:p w14:paraId="08ED9B44" w14:textId="4B28B033" w:rsidR="002C303B" w:rsidRDefault="002C303B" w:rsidP="002C303B">
            <w:pPr>
              <w:pStyle w:val="TableText"/>
              <w:rPr>
                <w:lang w:eastAsia="en-NZ"/>
              </w:rPr>
            </w:pPr>
            <w:r w:rsidRPr="002C303B">
              <w:rPr>
                <w:lang w:eastAsia="en-NZ"/>
              </w:rPr>
              <w:t>Receiving palliative care at time of application?</w:t>
            </w:r>
          </w:p>
        </w:tc>
        <w:tc>
          <w:tcPr>
            <w:tcW w:w="2693" w:type="dxa"/>
          </w:tcPr>
          <w:p w14:paraId="1E6A3FFE" w14:textId="48C32634" w:rsidR="002C303B" w:rsidRDefault="002C303B" w:rsidP="002C303B">
            <w:pPr>
              <w:pStyle w:val="TableText"/>
              <w:rPr>
                <w:lang w:eastAsia="en-NZ"/>
              </w:rPr>
            </w:pPr>
            <w:r w:rsidRPr="00E92B78">
              <w:t>Yes</w:t>
            </w:r>
          </w:p>
        </w:tc>
        <w:tc>
          <w:tcPr>
            <w:tcW w:w="1560" w:type="dxa"/>
          </w:tcPr>
          <w:p w14:paraId="6D25C744" w14:textId="019D6399" w:rsidR="002C303B" w:rsidRDefault="002C303B" w:rsidP="002C303B">
            <w:pPr>
              <w:pStyle w:val="TableText"/>
              <w:rPr>
                <w:lang w:eastAsia="en-NZ"/>
              </w:rPr>
            </w:pPr>
            <w:r w:rsidRPr="00E92B78">
              <w:t>615</w:t>
            </w:r>
          </w:p>
        </w:tc>
        <w:tc>
          <w:tcPr>
            <w:tcW w:w="1411" w:type="dxa"/>
          </w:tcPr>
          <w:p w14:paraId="5D5A6D4B" w14:textId="0E029BBC" w:rsidR="002C303B" w:rsidRDefault="002C303B" w:rsidP="002C303B">
            <w:pPr>
              <w:pStyle w:val="TableText"/>
              <w:rPr>
                <w:lang w:eastAsia="en-NZ"/>
              </w:rPr>
            </w:pPr>
            <w:r w:rsidRPr="00E92B78">
              <w:t>76.21</w:t>
            </w:r>
          </w:p>
        </w:tc>
      </w:tr>
      <w:tr w:rsidR="002C303B" w14:paraId="53A7E430" w14:textId="77777777" w:rsidTr="00BF3FA6">
        <w:tc>
          <w:tcPr>
            <w:tcW w:w="2405" w:type="dxa"/>
            <w:vMerge/>
          </w:tcPr>
          <w:p w14:paraId="69CF7559" w14:textId="77777777" w:rsidR="002C303B" w:rsidRDefault="002C303B" w:rsidP="002C303B">
            <w:pPr>
              <w:pStyle w:val="TableText"/>
              <w:rPr>
                <w:lang w:eastAsia="en-NZ"/>
              </w:rPr>
            </w:pPr>
          </w:p>
        </w:tc>
        <w:tc>
          <w:tcPr>
            <w:tcW w:w="2693" w:type="dxa"/>
          </w:tcPr>
          <w:p w14:paraId="56D5CFBE" w14:textId="151D22CA" w:rsidR="002C303B" w:rsidRDefault="002C303B" w:rsidP="002C303B">
            <w:pPr>
              <w:pStyle w:val="TableText"/>
              <w:rPr>
                <w:lang w:eastAsia="en-NZ"/>
              </w:rPr>
            </w:pPr>
            <w:r w:rsidRPr="00E92B78">
              <w:t>No</w:t>
            </w:r>
          </w:p>
        </w:tc>
        <w:tc>
          <w:tcPr>
            <w:tcW w:w="1560" w:type="dxa"/>
          </w:tcPr>
          <w:p w14:paraId="638F81E4" w14:textId="19CC53CC" w:rsidR="002C303B" w:rsidRDefault="002C303B" w:rsidP="002C303B">
            <w:pPr>
              <w:pStyle w:val="TableText"/>
              <w:rPr>
                <w:lang w:eastAsia="en-NZ"/>
              </w:rPr>
            </w:pPr>
            <w:r w:rsidRPr="00E92B78">
              <w:t>189</w:t>
            </w:r>
          </w:p>
        </w:tc>
        <w:tc>
          <w:tcPr>
            <w:tcW w:w="1411" w:type="dxa"/>
          </w:tcPr>
          <w:p w14:paraId="1376E7D0" w14:textId="4EB781FA" w:rsidR="002C303B" w:rsidRDefault="002C303B" w:rsidP="002C303B">
            <w:pPr>
              <w:pStyle w:val="TableText"/>
              <w:rPr>
                <w:lang w:eastAsia="en-NZ"/>
              </w:rPr>
            </w:pPr>
            <w:r w:rsidRPr="00E92B78">
              <w:t>23.42</w:t>
            </w:r>
          </w:p>
        </w:tc>
      </w:tr>
      <w:tr w:rsidR="002C303B" w14:paraId="74D36264" w14:textId="77777777" w:rsidTr="00BF3FA6">
        <w:trPr>
          <w:trHeight w:val="413"/>
        </w:trPr>
        <w:tc>
          <w:tcPr>
            <w:tcW w:w="2405" w:type="dxa"/>
            <w:vMerge/>
          </w:tcPr>
          <w:p w14:paraId="6AE9E62B" w14:textId="77777777" w:rsidR="002C303B" w:rsidRDefault="002C303B" w:rsidP="002C303B">
            <w:pPr>
              <w:pStyle w:val="TableText"/>
              <w:rPr>
                <w:lang w:eastAsia="en-NZ"/>
              </w:rPr>
            </w:pPr>
          </w:p>
        </w:tc>
        <w:tc>
          <w:tcPr>
            <w:tcW w:w="2693" w:type="dxa"/>
          </w:tcPr>
          <w:p w14:paraId="2A2FEC92" w14:textId="7102333D" w:rsidR="002C303B" w:rsidRDefault="002C303B" w:rsidP="002C303B">
            <w:pPr>
              <w:pStyle w:val="TableText"/>
              <w:rPr>
                <w:lang w:eastAsia="en-NZ"/>
              </w:rPr>
            </w:pPr>
            <w:r w:rsidRPr="00E92B78">
              <w:t>Not stated</w:t>
            </w:r>
          </w:p>
        </w:tc>
        <w:tc>
          <w:tcPr>
            <w:tcW w:w="1560" w:type="dxa"/>
          </w:tcPr>
          <w:p w14:paraId="0B9354B7" w14:textId="7C74A464" w:rsidR="002C303B" w:rsidRDefault="002C303B" w:rsidP="002C303B">
            <w:pPr>
              <w:pStyle w:val="TableText"/>
              <w:rPr>
                <w:lang w:eastAsia="en-NZ"/>
              </w:rPr>
            </w:pPr>
            <w:r w:rsidRPr="00E92B78">
              <w:t>3</w:t>
            </w:r>
          </w:p>
        </w:tc>
        <w:tc>
          <w:tcPr>
            <w:tcW w:w="1411" w:type="dxa"/>
          </w:tcPr>
          <w:p w14:paraId="2E25A262" w14:textId="21D38CA3" w:rsidR="002C303B" w:rsidRDefault="002C303B" w:rsidP="002C303B">
            <w:pPr>
              <w:pStyle w:val="TableText"/>
              <w:rPr>
                <w:lang w:eastAsia="en-NZ"/>
              </w:rPr>
            </w:pPr>
            <w:r w:rsidRPr="00E92B78">
              <w:t>0.37</w:t>
            </w:r>
          </w:p>
        </w:tc>
      </w:tr>
      <w:tr w:rsidR="002C303B" w14:paraId="0295A1B1" w14:textId="77777777" w:rsidTr="00BF3FA6">
        <w:tc>
          <w:tcPr>
            <w:tcW w:w="2405" w:type="dxa"/>
            <w:vMerge w:val="restart"/>
          </w:tcPr>
          <w:p w14:paraId="6C727988" w14:textId="283823EF" w:rsidR="002C303B" w:rsidRDefault="002C303B" w:rsidP="002C303B">
            <w:pPr>
              <w:pStyle w:val="TableText"/>
              <w:rPr>
                <w:lang w:eastAsia="en-NZ"/>
              </w:rPr>
            </w:pPr>
            <w:r w:rsidRPr="002C303B">
              <w:rPr>
                <w:lang w:eastAsia="en-NZ"/>
              </w:rPr>
              <w:t>Reported a disability at time of application?</w:t>
            </w:r>
          </w:p>
        </w:tc>
        <w:tc>
          <w:tcPr>
            <w:tcW w:w="2693" w:type="dxa"/>
          </w:tcPr>
          <w:p w14:paraId="7EAD4320" w14:textId="60877CA3" w:rsidR="002C303B" w:rsidRDefault="002C303B" w:rsidP="002C303B">
            <w:pPr>
              <w:pStyle w:val="TableText"/>
              <w:rPr>
                <w:lang w:eastAsia="en-NZ"/>
              </w:rPr>
            </w:pPr>
            <w:r w:rsidRPr="00654241">
              <w:t>Yes</w:t>
            </w:r>
          </w:p>
        </w:tc>
        <w:tc>
          <w:tcPr>
            <w:tcW w:w="1560" w:type="dxa"/>
          </w:tcPr>
          <w:p w14:paraId="57F5120B" w14:textId="48C57598" w:rsidR="002C303B" w:rsidRDefault="002C303B" w:rsidP="002C303B">
            <w:pPr>
              <w:pStyle w:val="TableText"/>
              <w:rPr>
                <w:lang w:eastAsia="en-NZ"/>
              </w:rPr>
            </w:pPr>
            <w:r w:rsidRPr="00654241">
              <w:t>153</w:t>
            </w:r>
          </w:p>
        </w:tc>
        <w:tc>
          <w:tcPr>
            <w:tcW w:w="1411" w:type="dxa"/>
          </w:tcPr>
          <w:p w14:paraId="6FC20DBB" w14:textId="5A3D3623" w:rsidR="002C303B" w:rsidRDefault="002C303B" w:rsidP="002C303B">
            <w:pPr>
              <w:pStyle w:val="TableText"/>
              <w:rPr>
                <w:lang w:eastAsia="en-NZ"/>
              </w:rPr>
            </w:pPr>
            <w:r w:rsidRPr="00654241">
              <w:t>18.96</w:t>
            </w:r>
          </w:p>
        </w:tc>
      </w:tr>
      <w:tr w:rsidR="002C303B" w14:paraId="2DDB9159" w14:textId="77777777" w:rsidTr="00BF3FA6">
        <w:tc>
          <w:tcPr>
            <w:tcW w:w="2405" w:type="dxa"/>
            <w:vMerge/>
          </w:tcPr>
          <w:p w14:paraId="4168C65D" w14:textId="77777777" w:rsidR="002C303B" w:rsidRDefault="002C303B" w:rsidP="002C303B">
            <w:pPr>
              <w:pStyle w:val="TableText"/>
              <w:rPr>
                <w:lang w:eastAsia="en-NZ"/>
              </w:rPr>
            </w:pPr>
          </w:p>
        </w:tc>
        <w:tc>
          <w:tcPr>
            <w:tcW w:w="2693" w:type="dxa"/>
          </w:tcPr>
          <w:p w14:paraId="6B8EA711" w14:textId="7952C875" w:rsidR="002C303B" w:rsidRDefault="002C303B" w:rsidP="002C303B">
            <w:pPr>
              <w:pStyle w:val="TableText"/>
              <w:rPr>
                <w:lang w:eastAsia="en-NZ"/>
              </w:rPr>
            </w:pPr>
            <w:r w:rsidRPr="00654241">
              <w:t>No</w:t>
            </w:r>
          </w:p>
        </w:tc>
        <w:tc>
          <w:tcPr>
            <w:tcW w:w="1560" w:type="dxa"/>
          </w:tcPr>
          <w:p w14:paraId="5AAC1A61" w14:textId="77E13859" w:rsidR="002C303B" w:rsidRDefault="002C303B" w:rsidP="002C303B">
            <w:pPr>
              <w:pStyle w:val="TableText"/>
              <w:rPr>
                <w:lang w:eastAsia="en-NZ"/>
              </w:rPr>
            </w:pPr>
            <w:r w:rsidRPr="00654241">
              <w:t>645</w:t>
            </w:r>
          </w:p>
        </w:tc>
        <w:tc>
          <w:tcPr>
            <w:tcW w:w="1411" w:type="dxa"/>
          </w:tcPr>
          <w:p w14:paraId="177CE7F6" w14:textId="163B9450" w:rsidR="002C303B" w:rsidRDefault="002C303B" w:rsidP="002C303B">
            <w:pPr>
              <w:pStyle w:val="TableText"/>
              <w:rPr>
                <w:lang w:eastAsia="en-NZ"/>
              </w:rPr>
            </w:pPr>
            <w:r w:rsidRPr="00654241">
              <w:t>79.93</w:t>
            </w:r>
          </w:p>
        </w:tc>
      </w:tr>
      <w:tr w:rsidR="002C303B" w14:paraId="2FF53E20" w14:textId="77777777" w:rsidTr="00BF3FA6">
        <w:tc>
          <w:tcPr>
            <w:tcW w:w="2405" w:type="dxa"/>
            <w:vMerge/>
          </w:tcPr>
          <w:p w14:paraId="5B63DA06" w14:textId="77777777" w:rsidR="002C303B" w:rsidRDefault="002C303B" w:rsidP="002C303B">
            <w:pPr>
              <w:pStyle w:val="TableText"/>
              <w:rPr>
                <w:lang w:eastAsia="en-NZ"/>
              </w:rPr>
            </w:pPr>
          </w:p>
        </w:tc>
        <w:tc>
          <w:tcPr>
            <w:tcW w:w="2693" w:type="dxa"/>
          </w:tcPr>
          <w:p w14:paraId="20AFF817" w14:textId="06B57CC9" w:rsidR="002C303B" w:rsidRDefault="002C303B" w:rsidP="002C303B">
            <w:pPr>
              <w:pStyle w:val="TableText"/>
              <w:rPr>
                <w:lang w:eastAsia="en-NZ"/>
              </w:rPr>
            </w:pPr>
            <w:r w:rsidRPr="00654241">
              <w:t>Not stated</w:t>
            </w:r>
          </w:p>
        </w:tc>
        <w:tc>
          <w:tcPr>
            <w:tcW w:w="1560" w:type="dxa"/>
          </w:tcPr>
          <w:p w14:paraId="19CD5104" w14:textId="7B80D593" w:rsidR="002C303B" w:rsidRDefault="002C303B" w:rsidP="002C303B">
            <w:pPr>
              <w:pStyle w:val="TableText"/>
              <w:rPr>
                <w:lang w:eastAsia="en-NZ"/>
              </w:rPr>
            </w:pPr>
            <w:r w:rsidRPr="00654241">
              <w:t>9</w:t>
            </w:r>
          </w:p>
        </w:tc>
        <w:tc>
          <w:tcPr>
            <w:tcW w:w="1411" w:type="dxa"/>
          </w:tcPr>
          <w:p w14:paraId="74A9C4F1" w14:textId="188E6F33" w:rsidR="002C303B" w:rsidRDefault="002C303B" w:rsidP="002C303B">
            <w:pPr>
              <w:pStyle w:val="TableText"/>
              <w:rPr>
                <w:lang w:eastAsia="en-NZ"/>
              </w:rPr>
            </w:pPr>
            <w:r w:rsidRPr="00654241">
              <w:t>1.12</w:t>
            </w:r>
          </w:p>
        </w:tc>
      </w:tr>
    </w:tbl>
    <w:p w14:paraId="005530F1" w14:textId="77777777" w:rsidR="00BF3FA6" w:rsidRPr="00BF3FA6" w:rsidRDefault="00BF3FA6" w:rsidP="00BF3FA6">
      <w:pPr>
        <w:pStyle w:val="Note"/>
        <w:rPr>
          <w:lang w:eastAsia="en-NZ"/>
        </w:rPr>
      </w:pPr>
      <w:r w:rsidRPr="00BF3FA6">
        <w:rPr>
          <w:lang w:eastAsia="en-NZ"/>
        </w:rPr>
        <w:t>Notes:</w:t>
      </w:r>
    </w:p>
    <w:p w14:paraId="5F434D17" w14:textId="40DE5044" w:rsidR="00BF3FA6" w:rsidRPr="00BF3FA6" w:rsidRDefault="00BF3FA6" w:rsidP="00BF3FA6">
      <w:pPr>
        <w:pStyle w:val="Note"/>
        <w:numPr>
          <w:ilvl w:val="0"/>
          <w:numId w:val="35"/>
        </w:numPr>
        <w:ind w:left="284" w:hanging="284"/>
        <w:rPr>
          <w:lang w:eastAsia="en-NZ"/>
        </w:rPr>
      </w:pPr>
      <w:r w:rsidRPr="00BF3FA6">
        <w:rPr>
          <w:lang w:eastAsia="en-NZ"/>
        </w:rPr>
        <w:t>Total ethnicity has been used. This means that individuals reporting more than one ethnicity are included within each category to which they identify. In the current report, individual identification as ‘European’ has been included within the ‘Other’ category, distinct from NZ European/</w:t>
      </w:r>
      <w:proofErr w:type="spellStart"/>
      <w:r w:rsidRPr="00BF3FA6">
        <w:rPr>
          <w:lang w:eastAsia="en-NZ"/>
        </w:rPr>
        <w:t>Pākehā</w:t>
      </w:r>
      <w:proofErr w:type="spellEnd"/>
    </w:p>
    <w:p w14:paraId="33F14665" w14:textId="2D3493B1" w:rsidR="00BF3FA6" w:rsidRPr="00BF3FA6" w:rsidRDefault="00BF3FA6" w:rsidP="00BF3FA6">
      <w:pPr>
        <w:pStyle w:val="Note"/>
        <w:numPr>
          <w:ilvl w:val="0"/>
          <w:numId w:val="35"/>
        </w:numPr>
        <w:ind w:left="284" w:hanging="284"/>
        <w:rPr>
          <w:lang w:eastAsia="en-NZ"/>
        </w:rPr>
      </w:pPr>
      <w:r w:rsidRPr="00BF3FA6">
        <w:rPr>
          <w:lang w:eastAsia="en-NZ"/>
        </w:rPr>
        <w:t>Total diagnosis has been used. This means that individuals presenting with multiple diagnoses are included within each applicable diagnostic category.</w:t>
      </w:r>
    </w:p>
    <w:p w14:paraId="4A266D27" w14:textId="5512BBE6" w:rsidR="00BF3FA6" w:rsidRPr="00BF3FA6" w:rsidRDefault="00BF3FA6" w:rsidP="00BF3FA6">
      <w:pPr>
        <w:pStyle w:val="Note"/>
        <w:numPr>
          <w:ilvl w:val="0"/>
          <w:numId w:val="35"/>
        </w:numPr>
        <w:ind w:left="284" w:hanging="284"/>
        <w:rPr>
          <w:lang w:eastAsia="en-NZ"/>
        </w:rPr>
      </w:pPr>
      <w:r w:rsidRPr="00BF3FA6">
        <w:rPr>
          <w:lang w:eastAsia="en-NZ"/>
        </w:rPr>
        <w:t>Repeat applications are included as unique instances. This means that in cases where an individual submits multiple applications during this period, their information is recorded in the demographic data each time.</w:t>
      </w:r>
    </w:p>
    <w:p w14:paraId="7F5AE546" w14:textId="13CAB972" w:rsidR="00785031" w:rsidRDefault="00BF3FA6" w:rsidP="00BF3FA6">
      <w:pPr>
        <w:pStyle w:val="Note"/>
        <w:numPr>
          <w:ilvl w:val="0"/>
          <w:numId w:val="35"/>
        </w:numPr>
        <w:ind w:left="284" w:hanging="284"/>
        <w:rPr>
          <w:lang w:eastAsia="en-NZ"/>
        </w:rPr>
      </w:pPr>
      <w:r w:rsidRPr="00BF3FA6">
        <w:rPr>
          <w:lang w:eastAsia="en-NZ"/>
        </w:rPr>
        <w:lastRenderedPageBreak/>
        <w:t>‘Diagnosis not known’ includes individuals who have applied but have not yet completed their first assessment with their AMP, as well as those who have withdrawn before assessment, died before this assessment was completed, or were ineligible due to not having a terminal illness.</w:t>
      </w:r>
    </w:p>
    <w:p w14:paraId="61FF5191" w14:textId="77777777" w:rsidR="00BF3FA6" w:rsidRPr="00BF3FA6" w:rsidRDefault="00BF3FA6" w:rsidP="00BF3FA6">
      <w:pPr>
        <w:pStyle w:val="Heading2"/>
      </w:pPr>
      <w:bookmarkStart w:id="61" w:name="_Toc103606333"/>
      <w:bookmarkStart w:id="62" w:name="_Toc104460683"/>
      <w:bookmarkStart w:id="63" w:name="_Toc106611878"/>
      <w:bookmarkStart w:id="64" w:name="_Toc138428957"/>
      <w:bookmarkStart w:id="65" w:name="_Toc103085571"/>
      <w:r w:rsidRPr="00BF3FA6">
        <w:t>Assisted deaths</w:t>
      </w:r>
      <w:bookmarkEnd w:id="61"/>
      <w:bookmarkEnd w:id="62"/>
      <w:bookmarkEnd w:id="63"/>
      <w:bookmarkEnd w:id="64"/>
      <w:r w:rsidRPr="00BF3FA6">
        <w:t xml:space="preserve"> </w:t>
      </w:r>
      <w:bookmarkEnd w:id="65"/>
    </w:p>
    <w:p w14:paraId="1AE9118D" w14:textId="77777777" w:rsidR="00BF3FA6" w:rsidRPr="00A42AC5" w:rsidRDefault="00BF3FA6" w:rsidP="00BF3FA6">
      <w:pPr>
        <w:rPr>
          <w:lang w:eastAsia="en-NZ"/>
        </w:rPr>
      </w:pPr>
      <w:r w:rsidRPr="00A42AC5">
        <w:rPr>
          <w:lang w:eastAsia="en-NZ"/>
        </w:rPr>
        <w:t>Between 1 April 2022 to 31 March 2023, 328 people had an assisted death.</w:t>
      </w:r>
    </w:p>
    <w:p w14:paraId="7A531AF2" w14:textId="77777777" w:rsidR="00BF3FA6" w:rsidRPr="00A42AC5" w:rsidRDefault="00BF3FA6" w:rsidP="00BF3FA6">
      <w:pPr>
        <w:rPr>
          <w:lang w:eastAsia="en-NZ"/>
        </w:rPr>
      </w:pPr>
    </w:p>
    <w:p w14:paraId="613DB61D" w14:textId="77777777" w:rsidR="00BF3FA6" w:rsidRPr="00A42AC5" w:rsidRDefault="00BF3FA6" w:rsidP="00BF3FA6">
      <w:pPr>
        <w:rPr>
          <w:lang w:eastAsia="en-NZ"/>
        </w:rPr>
      </w:pPr>
      <w:r w:rsidRPr="00A42AC5">
        <w:rPr>
          <w:lang w:eastAsia="en-NZ"/>
        </w:rPr>
        <w:t xml:space="preserve">The Ministry is aware that people opting for an assisted death have made this experience personal to them and their </w:t>
      </w:r>
      <w:proofErr w:type="spellStart"/>
      <w:r w:rsidRPr="00A42AC5">
        <w:rPr>
          <w:lang w:eastAsia="en-NZ"/>
        </w:rPr>
        <w:t>whānau</w:t>
      </w:r>
      <w:proofErr w:type="spellEnd"/>
      <w:r w:rsidRPr="00A42AC5">
        <w:rPr>
          <w:lang w:eastAsia="en-NZ"/>
        </w:rPr>
        <w:t xml:space="preserve">. Some people have chosen to include cultural or spiritual practices, such as </w:t>
      </w:r>
      <w:proofErr w:type="spellStart"/>
      <w:r w:rsidRPr="00A42AC5">
        <w:rPr>
          <w:lang w:eastAsia="en-NZ"/>
        </w:rPr>
        <w:t>karakia</w:t>
      </w:r>
      <w:proofErr w:type="spellEnd"/>
      <w:r w:rsidRPr="00A42AC5">
        <w:rPr>
          <w:lang w:eastAsia="en-NZ"/>
        </w:rPr>
        <w:t xml:space="preserve"> or prayer, prior to or during the administration of the medication, while others have chosen to play music that was significant to them. People have chosen who they would like to be present, including </w:t>
      </w:r>
      <w:proofErr w:type="spellStart"/>
      <w:r w:rsidRPr="00A42AC5">
        <w:rPr>
          <w:lang w:eastAsia="en-NZ"/>
        </w:rPr>
        <w:t>whānau</w:t>
      </w:r>
      <w:proofErr w:type="spellEnd"/>
      <w:r w:rsidRPr="00A42AC5">
        <w:rPr>
          <w:lang w:eastAsia="en-NZ"/>
        </w:rPr>
        <w:t xml:space="preserve">, friends, and pets, and where their death will occur. </w:t>
      </w:r>
    </w:p>
    <w:p w14:paraId="17806EA6" w14:textId="77777777" w:rsidR="00BF3FA6" w:rsidRPr="00A42AC5" w:rsidRDefault="00BF3FA6" w:rsidP="00BF3FA6">
      <w:pPr>
        <w:rPr>
          <w:lang w:eastAsia="en-NZ"/>
        </w:rPr>
      </w:pPr>
    </w:p>
    <w:p w14:paraId="3521904D" w14:textId="77777777" w:rsidR="00BF3FA6" w:rsidRPr="00A42AC5" w:rsidRDefault="00BF3FA6" w:rsidP="00BF3FA6">
      <w:pPr>
        <w:rPr>
          <w:lang w:eastAsia="en-NZ"/>
        </w:rPr>
      </w:pPr>
      <w:r w:rsidRPr="00A42AC5">
        <w:rPr>
          <w:lang w:eastAsia="en-NZ"/>
        </w:rPr>
        <w:t>The Secretariat encourages medical and nurse practitioners to discuss these choices with the person to ensure that the service is responsive to their cultural, spiritual and social needs. Resources are provided to support these conversations in the practitioner trainin</w:t>
      </w:r>
      <w:r>
        <w:rPr>
          <w:lang w:eastAsia="en-NZ"/>
        </w:rPr>
        <w:t>g</w:t>
      </w:r>
      <w:r w:rsidRPr="00A42AC5">
        <w:rPr>
          <w:lang w:eastAsia="en-NZ"/>
        </w:rPr>
        <w:t xml:space="preserve">. </w:t>
      </w:r>
      <w:bookmarkStart w:id="66" w:name="_Toc103606334"/>
      <w:bookmarkStart w:id="67" w:name="_Toc104460684"/>
    </w:p>
    <w:p w14:paraId="63A9A413" w14:textId="77777777" w:rsidR="00BF3FA6" w:rsidRPr="00A42AC5" w:rsidRDefault="00BF3FA6" w:rsidP="00BF3FA6">
      <w:pPr>
        <w:pStyle w:val="Heading3"/>
        <w:rPr>
          <w:lang w:eastAsia="en-NZ"/>
        </w:rPr>
      </w:pPr>
      <w:r w:rsidRPr="00A42AC5">
        <w:rPr>
          <w:lang w:eastAsia="en-NZ"/>
        </w:rPr>
        <w:t>Locations for assisted deaths</w:t>
      </w:r>
      <w:bookmarkEnd w:id="66"/>
      <w:bookmarkEnd w:id="67"/>
      <w:r w:rsidRPr="00A42AC5">
        <w:rPr>
          <w:lang w:eastAsia="en-NZ"/>
        </w:rPr>
        <w:t xml:space="preserve"> </w:t>
      </w:r>
    </w:p>
    <w:p w14:paraId="22406E26" w14:textId="193404A8" w:rsidR="00BF3FA6" w:rsidRPr="00A42AC5" w:rsidRDefault="00BF3FA6" w:rsidP="00BF3FA6">
      <w:r w:rsidRPr="00A42AC5">
        <w:t>Assisted deaths have mainly taken place in a person’s home or another private residence. The breakdown by location is:</w:t>
      </w:r>
    </w:p>
    <w:p w14:paraId="1CCE7429" w14:textId="77777777" w:rsidR="00BF3FA6" w:rsidRPr="00A42AC5" w:rsidRDefault="00BF3FA6" w:rsidP="00BF3FA6">
      <w:pPr>
        <w:pStyle w:val="Bullet"/>
        <w:rPr>
          <w:lang w:eastAsia="en-NZ"/>
        </w:rPr>
      </w:pPr>
      <w:r w:rsidRPr="00A42AC5">
        <w:rPr>
          <w:lang w:eastAsia="en-NZ"/>
        </w:rPr>
        <w:t>80% at the person’s home or another private property</w:t>
      </w:r>
    </w:p>
    <w:p w14:paraId="374AFFE5" w14:textId="77777777" w:rsidR="00BF3FA6" w:rsidRPr="00A42AC5" w:rsidRDefault="00BF3FA6" w:rsidP="00BF3FA6">
      <w:pPr>
        <w:pStyle w:val="Bullet"/>
        <w:rPr>
          <w:lang w:eastAsia="en-NZ"/>
        </w:rPr>
      </w:pPr>
      <w:r w:rsidRPr="00A42AC5">
        <w:rPr>
          <w:lang w:eastAsia="en-NZ"/>
        </w:rPr>
        <w:t>10% in an aged care facility</w:t>
      </w:r>
    </w:p>
    <w:p w14:paraId="5347B41B" w14:textId="7300656C" w:rsidR="00BF3FA6" w:rsidRPr="00A42AC5" w:rsidRDefault="00BF3FA6" w:rsidP="00BF3FA6">
      <w:pPr>
        <w:pStyle w:val="Bullet"/>
        <w:rPr>
          <w:lang w:eastAsia="en-NZ"/>
        </w:rPr>
      </w:pPr>
      <w:r w:rsidRPr="00A42AC5">
        <w:rPr>
          <w:lang w:eastAsia="en-NZ"/>
        </w:rPr>
        <w:t xml:space="preserve">7% in </w:t>
      </w:r>
      <w:r w:rsidR="0022591C">
        <w:rPr>
          <w:lang w:eastAsia="en-NZ"/>
        </w:rPr>
        <w:t>a</w:t>
      </w:r>
      <w:r w:rsidR="00BA5F65">
        <w:rPr>
          <w:lang w:eastAsia="en-NZ"/>
        </w:rPr>
        <w:t xml:space="preserve"> </w:t>
      </w:r>
      <w:r>
        <w:rPr>
          <w:lang w:eastAsia="en-NZ"/>
        </w:rPr>
        <w:t xml:space="preserve">public hospital </w:t>
      </w:r>
    </w:p>
    <w:p w14:paraId="00D54754" w14:textId="77777777" w:rsidR="00BF3FA6" w:rsidRPr="00A42AC5" w:rsidRDefault="00BF3FA6" w:rsidP="00BF3FA6">
      <w:pPr>
        <w:pStyle w:val="Bullet"/>
        <w:rPr>
          <w:lang w:eastAsia="en-NZ"/>
        </w:rPr>
      </w:pPr>
      <w:r w:rsidRPr="00A42AC5">
        <w:rPr>
          <w:lang w:eastAsia="en-NZ"/>
        </w:rPr>
        <w:t>3% in hospice facilities</w:t>
      </w:r>
      <w:r>
        <w:rPr>
          <w:lang w:eastAsia="en-NZ"/>
        </w:rPr>
        <w:t>.</w:t>
      </w:r>
    </w:p>
    <w:p w14:paraId="111E1AFD" w14:textId="77777777" w:rsidR="00BF3FA6" w:rsidRPr="00A42AC5" w:rsidRDefault="00BF3FA6" w:rsidP="00BF3FA6">
      <w:pPr>
        <w:rPr>
          <w:lang w:eastAsia="en-NZ"/>
        </w:rPr>
      </w:pPr>
    </w:p>
    <w:p w14:paraId="4AFE1B9A" w14:textId="56CDA4EC" w:rsidR="00BF3FA6" w:rsidRPr="009C757D" w:rsidRDefault="00BF3FA6" w:rsidP="00BF3FA6">
      <w:pPr>
        <w:pStyle w:val="Figure"/>
        <w:rPr>
          <w:rFonts w:cs="Segoe UI"/>
          <w:color w:val="002639"/>
          <w:shd w:val="clear" w:color="auto" w:fill="FFFFFF"/>
        </w:rPr>
      </w:pPr>
      <w:bookmarkStart w:id="68" w:name="_Toc106611899"/>
      <w:r>
        <w:t xml:space="preserve">Figure </w:t>
      </w:r>
      <w:r w:rsidR="00161918">
        <w:fldChar w:fldCharType="begin"/>
      </w:r>
      <w:r w:rsidR="00161918">
        <w:instrText xml:space="preserve"> SEQ Figure \* ARABIC </w:instrText>
      </w:r>
      <w:r w:rsidR="00161918">
        <w:fldChar w:fldCharType="separate"/>
      </w:r>
      <w:r w:rsidR="00A345F8">
        <w:rPr>
          <w:noProof/>
        </w:rPr>
        <w:t>1</w:t>
      </w:r>
      <w:r w:rsidR="00161918">
        <w:rPr>
          <w:noProof/>
        </w:rPr>
        <w:fldChar w:fldCharType="end"/>
      </w:r>
      <w:r>
        <w:t xml:space="preserve">: </w:t>
      </w:r>
      <w:r w:rsidRPr="00A42AC5">
        <w:t xml:space="preserve"> </w:t>
      </w:r>
      <w:r w:rsidRPr="00A42AC5">
        <w:rPr>
          <w:rFonts w:cs="Segoe UI"/>
          <w:color w:val="002639"/>
          <w:shd w:val="clear" w:color="auto" w:fill="FFFFFF"/>
        </w:rPr>
        <w:t>Assisted deaths by location</w:t>
      </w:r>
      <w:bookmarkEnd w:id="68"/>
    </w:p>
    <w:p w14:paraId="6B1660F7" w14:textId="77777777" w:rsidR="00BF3FA6" w:rsidRDefault="00BF3FA6" w:rsidP="00BF3FA6">
      <w:r>
        <w:rPr>
          <w:noProof/>
        </w:rPr>
        <w:drawing>
          <wp:inline distT="0" distB="0" distL="0" distR="0" wp14:anchorId="286CD032" wp14:editId="73612915">
            <wp:extent cx="4572000" cy="2743200"/>
            <wp:effectExtent l="0" t="0" r="0" b="0"/>
            <wp:docPr id="1534771136" name="Picture 15347711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771136" name="Picture 1534771136">
                      <a:extLst>
                        <a:ext uri="{C183D7F6-B498-43B3-948B-1728B52AA6E4}">
                          <adec:decorative xmlns:adec="http://schemas.microsoft.com/office/drawing/2017/decorative" val="1"/>
                        </a:ext>
                      </a:extLst>
                    </pic:cNvPr>
                    <pic:cNvPicPr/>
                  </pic:nvPicPr>
                  <pic:blipFill>
                    <a:blip r:embed="rId48">
                      <a:extLst>
                        <a:ext uri="{28A0092B-C50C-407E-A947-70E740481C1C}">
                          <a14:useLocalDpi xmlns:a14="http://schemas.microsoft.com/office/drawing/2010/main" val="0"/>
                        </a:ext>
                      </a:extLst>
                    </a:blip>
                    <a:stretch>
                      <a:fillRect/>
                    </a:stretch>
                  </pic:blipFill>
                  <pic:spPr>
                    <a:xfrm>
                      <a:off x="0" y="0"/>
                      <a:ext cx="4572000" cy="2743200"/>
                    </a:xfrm>
                    <a:prstGeom prst="rect">
                      <a:avLst/>
                    </a:prstGeom>
                  </pic:spPr>
                </pic:pic>
              </a:graphicData>
            </a:graphic>
          </wp:inline>
        </w:drawing>
      </w:r>
    </w:p>
    <w:p w14:paraId="5492DFBC" w14:textId="77777777" w:rsidR="00BF3FA6" w:rsidRPr="00940B54" w:rsidRDefault="00BF3FA6" w:rsidP="00BF3FA6">
      <w:pPr>
        <w:rPr>
          <w:rFonts w:cs="Segoe UI"/>
          <w:highlight w:val="yellow"/>
        </w:rPr>
      </w:pPr>
    </w:p>
    <w:p w14:paraId="219E20D1" w14:textId="77777777" w:rsidR="00BF3FA6" w:rsidRPr="004F2DFA" w:rsidRDefault="00BF3FA6" w:rsidP="00BF3FA6">
      <w:r w:rsidRPr="004F2DFA">
        <w:lastRenderedPageBreak/>
        <w:t>While most assisted deaths have taken place in a private home, some deaths have occurred in community facilities (rest homes and hospice</w:t>
      </w:r>
      <w:r>
        <w:t>s</w:t>
      </w:r>
      <w:r w:rsidRPr="004F2DFA">
        <w:t>) and facilities/public hospitals</w:t>
      </w:r>
      <w:r>
        <w:t xml:space="preserve"> managed by </w:t>
      </w:r>
      <w:proofErr w:type="spellStart"/>
      <w:r>
        <w:t>Te</w:t>
      </w:r>
      <w:proofErr w:type="spellEnd"/>
      <w:r>
        <w:t xml:space="preserve"> </w:t>
      </w:r>
      <w:proofErr w:type="spellStart"/>
      <w:r>
        <w:t>Whatu</w:t>
      </w:r>
      <w:proofErr w:type="spellEnd"/>
      <w:r>
        <w:t xml:space="preserve"> Ora</w:t>
      </w:r>
      <w:r w:rsidRPr="004F2DFA">
        <w:t xml:space="preserve">. The Ministry understands that for some community providers, allowing assisted deaths within its facility may be a complex decision due to differing viewpoints within the organisation. </w:t>
      </w:r>
    </w:p>
    <w:p w14:paraId="4A5DAC85" w14:textId="77777777" w:rsidR="00BF3FA6" w:rsidRPr="004F2DFA" w:rsidRDefault="00BF3FA6" w:rsidP="00BF3FA6"/>
    <w:p w14:paraId="06B045CF" w14:textId="732BE266" w:rsidR="00BF3FA6" w:rsidRPr="004F2DFA" w:rsidRDefault="00BF3FA6" w:rsidP="00BF3FA6">
      <w:r w:rsidRPr="004F2DFA">
        <w:t>The Secretariat continues to support and encourage providers to consider how to support person-centred access to assisted dying should a person in a provider’s care request assisted dying. The Ministry is also continuing to work with</w:t>
      </w:r>
      <w:r w:rsidR="00BA7BB9">
        <w:t xml:space="preserve"> </w:t>
      </w:r>
      <w:proofErr w:type="spellStart"/>
      <w:r w:rsidR="0022591C">
        <w:t>Te</w:t>
      </w:r>
      <w:proofErr w:type="spellEnd"/>
      <w:r w:rsidR="0022591C">
        <w:t xml:space="preserve"> </w:t>
      </w:r>
      <w:proofErr w:type="spellStart"/>
      <w:r w:rsidR="0022591C">
        <w:t>Whatu</w:t>
      </w:r>
      <w:proofErr w:type="spellEnd"/>
      <w:r w:rsidR="0022591C">
        <w:t xml:space="preserve"> Ora</w:t>
      </w:r>
      <w:r w:rsidRPr="004F2DFA">
        <w:t xml:space="preserve"> to streamline processes and strengthen relationships between practitioners involved in assisted dying, and hospital staff. </w:t>
      </w:r>
    </w:p>
    <w:p w14:paraId="3372C15C" w14:textId="77777777" w:rsidR="00BF3FA6" w:rsidRPr="004F2DFA" w:rsidRDefault="00BF3FA6" w:rsidP="00BF3FA6">
      <w:pPr>
        <w:pStyle w:val="Heading3"/>
        <w:rPr>
          <w:rFonts w:cs="Segoe UI"/>
        </w:rPr>
      </w:pPr>
      <w:bookmarkStart w:id="69" w:name="_Toc103606335"/>
      <w:bookmarkStart w:id="70" w:name="_Toc104460685"/>
      <w:r w:rsidRPr="004F2DFA">
        <w:rPr>
          <w:rFonts w:cs="Segoe UI"/>
        </w:rPr>
        <w:t>Method of administration</w:t>
      </w:r>
      <w:bookmarkEnd w:id="69"/>
      <w:bookmarkEnd w:id="70"/>
      <w:r w:rsidRPr="004F2DFA">
        <w:rPr>
          <w:rFonts w:cs="Segoe UI"/>
        </w:rPr>
        <w:t xml:space="preserve"> </w:t>
      </w:r>
    </w:p>
    <w:p w14:paraId="0264B4D9" w14:textId="4F7F39C4" w:rsidR="00BF3FA6" w:rsidRPr="004F2DFA" w:rsidRDefault="00BF3FA6" w:rsidP="00BF3FA6">
      <w:pPr>
        <w:rPr>
          <w:rFonts w:cs="Segoe UI"/>
        </w:rPr>
      </w:pPr>
      <w:r w:rsidRPr="004F2DFA">
        <w:rPr>
          <w:rFonts w:cs="Segoe UI"/>
        </w:rPr>
        <w:t>Under the Act, there are four</w:t>
      </w:r>
      <w:r>
        <w:rPr>
          <w:rFonts w:cs="Segoe UI"/>
        </w:rPr>
        <w:t xml:space="preserve"> </w:t>
      </w:r>
      <w:r w:rsidRPr="004F2DFA">
        <w:rPr>
          <w:rFonts w:cs="Segoe UI"/>
        </w:rPr>
        <w:t xml:space="preserve">options for the administration of the assisted dying medication. The person is provided with advice on </w:t>
      </w:r>
      <w:r w:rsidRPr="051E591D">
        <w:rPr>
          <w:rFonts w:cs="Segoe UI"/>
        </w:rPr>
        <w:t xml:space="preserve">each of </w:t>
      </w:r>
      <w:r w:rsidRPr="004F2DFA">
        <w:rPr>
          <w:rFonts w:cs="Segoe UI"/>
        </w:rPr>
        <w:t xml:space="preserve">the options by the AMP </w:t>
      </w:r>
      <w:r w:rsidRPr="3B60DEAD">
        <w:rPr>
          <w:rFonts w:cs="Segoe UI"/>
        </w:rPr>
        <w:t xml:space="preserve">and then </w:t>
      </w:r>
      <w:r w:rsidRPr="1AB4BEAC">
        <w:rPr>
          <w:rFonts w:cs="Segoe UI"/>
        </w:rPr>
        <w:t>selects</w:t>
      </w:r>
      <w:r w:rsidRPr="3B60DEAD">
        <w:rPr>
          <w:rFonts w:cs="Segoe UI"/>
        </w:rPr>
        <w:t xml:space="preserve"> their </w:t>
      </w:r>
      <w:r w:rsidRPr="09FA1C6D">
        <w:rPr>
          <w:rFonts w:cs="Segoe UI"/>
        </w:rPr>
        <w:t>preferred option.</w:t>
      </w:r>
      <w:r w:rsidRPr="00003C1B">
        <w:rPr>
          <w:rFonts w:cs="Segoe UI"/>
        </w:rPr>
        <w:t xml:space="preserve"> For the </w:t>
      </w:r>
      <w:r w:rsidRPr="73739957">
        <w:rPr>
          <w:lang w:eastAsia="en-NZ"/>
        </w:rPr>
        <w:t xml:space="preserve">328 </w:t>
      </w:r>
      <w:r w:rsidRPr="00003C1B">
        <w:rPr>
          <w:rFonts w:cs="Segoe UI"/>
        </w:rPr>
        <w:t xml:space="preserve">assisted deaths, </w:t>
      </w:r>
      <w:r>
        <w:rPr>
          <w:lang w:eastAsia="en-NZ"/>
        </w:rPr>
        <w:t>b</w:t>
      </w:r>
      <w:r w:rsidRPr="73739957">
        <w:rPr>
          <w:lang w:eastAsia="en-NZ"/>
        </w:rPr>
        <w:t>etween 1 April 2022 to 31 March 2023</w:t>
      </w:r>
      <w:r w:rsidRPr="004F2DFA">
        <w:rPr>
          <w:rFonts w:cs="Segoe UI"/>
        </w:rPr>
        <w:t xml:space="preserve">: </w:t>
      </w:r>
    </w:p>
    <w:p w14:paraId="6C7A8D78" w14:textId="77777777" w:rsidR="00BF3FA6" w:rsidRPr="004F2DFA" w:rsidRDefault="00BF3FA6" w:rsidP="00BF3FA6">
      <w:pPr>
        <w:pStyle w:val="Bullet"/>
      </w:pPr>
      <w:r w:rsidRPr="004F2DFA">
        <w:t>15 people have chosen ingestion, triggered by the person</w:t>
      </w:r>
    </w:p>
    <w:p w14:paraId="34922DFB" w14:textId="77777777" w:rsidR="00BF3FA6" w:rsidRPr="004F2DFA" w:rsidRDefault="00BF3FA6" w:rsidP="00BF3FA6">
      <w:pPr>
        <w:pStyle w:val="Bullet"/>
      </w:pPr>
      <w:r w:rsidRPr="004F2DFA">
        <w:t>7 people have chosen intravenous delivery, triggered by the person</w:t>
      </w:r>
    </w:p>
    <w:p w14:paraId="66FACAA0" w14:textId="77777777" w:rsidR="00BF3FA6" w:rsidRPr="004F2DFA" w:rsidRDefault="00BF3FA6" w:rsidP="00BF3FA6">
      <w:pPr>
        <w:pStyle w:val="Bullet"/>
      </w:pPr>
      <w:r w:rsidRPr="004F2DFA">
        <w:t>4 people have chosen ingestion through a tube, triggered by the AMP/ANP</w:t>
      </w:r>
    </w:p>
    <w:p w14:paraId="3E3C512A" w14:textId="77777777" w:rsidR="00BF3FA6" w:rsidRPr="004F2DFA" w:rsidRDefault="00BF3FA6" w:rsidP="00BF3FA6">
      <w:pPr>
        <w:pStyle w:val="Bullet"/>
      </w:pPr>
      <w:r w:rsidRPr="004F2DFA">
        <w:t>302 people have chosen injection administered by the AMP/ANP</w:t>
      </w:r>
      <w:r>
        <w:t>.</w:t>
      </w:r>
    </w:p>
    <w:p w14:paraId="2B028775" w14:textId="77777777" w:rsidR="00BF3FA6" w:rsidRPr="00ED47EF" w:rsidRDefault="00BF3FA6" w:rsidP="00BF3FA6">
      <w:pPr>
        <w:rPr>
          <w:rFonts w:cs="Segoe UI"/>
        </w:rPr>
      </w:pPr>
      <w:r w:rsidRPr="00ED47EF">
        <w:rPr>
          <w:rFonts w:cs="Segoe UI"/>
        </w:rPr>
        <w:t xml:space="preserve">  </w:t>
      </w:r>
    </w:p>
    <w:p w14:paraId="1B136D1F" w14:textId="77777777" w:rsidR="00BF3FA6" w:rsidRPr="00ED47EF" w:rsidRDefault="00BF3FA6" w:rsidP="00BF3FA6">
      <w:r w:rsidRPr="00ED47EF">
        <w:t xml:space="preserve">Each medication method has a standard administration protocol to ensure consistent, safe and quality services. As of 31 March 2023, there have been no major complications related to the administration of the medication and all deaths have occurred within expected timeframes. </w:t>
      </w:r>
    </w:p>
    <w:p w14:paraId="534DFB07" w14:textId="77777777" w:rsidR="00BF3FA6" w:rsidRPr="00ED47EF" w:rsidRDefault="00BF3FA6" w:rsidP="00BF3FA6"/>
    <w:p w14:paraId="71A4214B" w14:textId="77777777" w:rsidR="00BF3FA6" w:rsidRPr="00ED47EF" w:rsidRDefault="00BF3FA6" w:rsidP="00BF3FA6">
      <w:r w:rsidRPr="00ED47EF">
        <w:t xml:space="preserve">The details of the protocol are only provided to practitioners involved in the assisted dying service. </w:t>
      </w:r>
    </w:p>
    <w:p w14:paraId="409E2DB6" w14:textId="77777777" w:rsidR="00BF3FA6" w:rsidRPr="00003C1B" w:rsidRDefault="00BF3FA6" w:rsidP="00BF3FA6">
      <w:pPr>
        <w:pStyle w:val="Heading3"/>
        <w:rPr>
          <w:lang w:eastAsia="en-NZ"/>
        </w:rPr>
      </w:pPr>
      <w:r w:rsidRPr="00003C1B">
        <w:t>Assessments completed during this period</w:t>
      </w:r>
    </w:p>
    <w:p w14:paraId="0F4C7583" w14:textId="77777777" w:rsidR="00BF3FA6" w:rsidRPr="00003C1B" w:rsidRDefault="00BF3FA6" w:rsidP="00BF3FA6">
      <w:pPr>
        <w:rPr>
          <w:lang w:eastAsia="en-NZ"/>
        </w:rPr>
      </w:pPr>
      <w:r w:rsidRPr="00003C1B">
        <w:rPr>
          <w:lang w:eastAsia="en-NZ"/>
        </w:rPr>
        <w:t xml:space="preserve">A person must meet strict eligibility criteria to have an assisted death. </w:t>
      </w:r>
    </w:p>
    <w:p w14:paraId="0344E6A1" w14:textId="77777777" w:rsidR="00BF3FA6" w:rsidRPr="00940B54" w:rsidRDefault="00BF3FA6" w:rsidP="00BF3FA6">
      <w:pPr>
        <w:rPr>
          <w:highlight w:val="yellow"/>
          <w:lang w:eastAsia="en-NZ"/>
        </w:rPr>
      </w:pPr>
    </w:p>
    <w:p w14:paraId="05505F45" w14:textId="77777777" w:rsidR="00BF3FA6" w:rsidRDefault="00BF3FA6" w:rsidP="00BF3FA6">
      <w:pPr>
        <w:rPr>
          <w:lang w:eastAsia="en-NZ"/>
        </w:rPr>
      </w:pPr>
      <w:r>
        <w:rPr>
          <w:lang w:eastAsia="en-NZ"/>
        </w:rPr>
        <w:t xml:space="preserve">After an application is submitted, an initial assessment is made by an AMP. This practitioner reviews eligibility against the criteria as outlined in the Act. The IMP provides an independent second assessment. For more information relating to practitioner roles, please refer to the </w:t>
      </w:r>
      <w:hyperlink r:id="rId49" w:history="1">
        <w:r w:rsidRPr="004069B9">
          <w:rPr>
            <w:rStyle w:val="Hyperlink"/>
            <w:lang w:eastAsia="en-NZ"/>
          </w:rPr>
          <w:t>Ministry’s website</w:t>
        </w:r>
      </w:hyperlink>
      <w:r>
        <w:rPr>
          <w:lang w:eastAsia="en-NZ"/>
        </w:rPr>
        <w:t xml:space="preserve"> or the End of Life Choice Act 2019.</w:t>
      </w:r>
    </w:p>
    <w:p w14:paraId="7763970F" w14:textId="77777777" w:rsidR="00BF3FA6" w:rsidRDefault="00BF3FA6" w:rsidP="00BF3FA6">
      <w:pPr>
        <w:rPr>
          <w:lang w:eastAsia="en-NZ"/>
        </w:rPr>
      </w:pPr>
    </w:p>
    <w:p w14:paraId="42A705BD" w14:textId="2E3C9A72" w:rsidR="00BF3FA6" w:rsidRDefault="00BF3FA6" w:rsidP="00BF3FA6">
      <w:pPr>
        <w:rPr>
          <w:lang w:eastAsia="en-NZ"/>
        </w:rPr>
      </w:pPr>
      <w:r>
        <w:rPr>
          <w:lang w:eastAsia="en-NZ"/>
        </w:rPr>
        <w:t>Applications may be found ineligible at each of these assessments for a variety of reasons. For more information on ineligibility outcomes at assessment for this first year of service please see</w:t>
      </w:r>
      <w:r w:rsidR="003F44DB">
        <w:rPr>
          <w:lang w:eastAsia="en-NZ"/>
        </w:rPr>
        <w:t xml:space="preserve"> </w:t>
      </w:r>
      <w:r w:rsidR="003F44DB">
        <w:rPr>
          <w:lang w:eastAsia="en-NZ"/>
        </w:rPr>
        <w:fldChar w:fldCharType="begin"/>
      </w:r>
      <w:r w:rsidR="003F44DB">
        <w:rPr>
          <w:lang w:eastAsia="en-NZ"/>
        </w:rPr>
        <w:instrText xml:space="preserve"> REF _Ref138345112 \h </w:instrText>
      </w:r>
      <w:r w:rsidR="003F44DB">
        <w:rPr>
          <w:lang w:eastAsia="en-NZ"/>
        </w:rPr>
      </w:r>
      <w:r w:rsidR="003F44DB">
        <w:rPr>
          <w:lang w:eastAsia="en-NZ"/>
        </w:rPr>
        <w:fldChar w:fldCharType="separate"/>
      </w:r>
      <w:r w:rsidR="00A345F8">
        <w:t xml:space="preserve">Table </w:t>
      </w:r>
      <w:r w:rsidR="00A345F8">
        <w:rPr>
          <w:noProof/>
        </w:rPr>
        <w:t>2</w:t>
      </w:r>
      <w:r w:rsidR="003F44DB">
        <w:rPr>
          <w:lang w:eastAsia="en-NZ"/>
        </w:rPr>
        <w:fldChar w:fldCharType="end"/>
      </w:r>
      <w:r>
        <w:rPr>
          <w:lang w:eastAsia="en-NZ"/>
        </w:rPr>
        <w:t>.</w:t>
      </w:r>
    </w:p>
    <w:p w14:paraId="1C93F290" w14:textId="77777777" w:rsidR="00BF3FA6" w:rsidRDefault="00BF3FA6" w:rsidP="00BF3FA6">
      <w:pPr>
        <w:rPr>
          <w:lang w:eastAsia="en-NZ"/>
        </w:rPr>
      </w:pPr>
    </w:p>
    <w:p w14:paraId="79F54E45" w14:textId="77777777" w:rsidR="003748C8" w:rsidRDefault="003748C8" w:rsidP="00BF3FA6">
      <w:pPr>
        <w:rPr>
          <w:lang w:eastAsia="en-NZ"/>
        </w:rPr>
      </w:pPr>
    </w:p>
    <w:p w14:paraId="73C3AED1" w14:textId="77777777" w:rsidR="003748C8" w:rsidRDefault="003748C8" w:rsidP="00BF3FA6">
      <w:pPr>
        <w:rPr>
          <w:lang w:eastAsia="en-NZ"/>
        </w:rPr>
      </w:pPr>
    </w:p>
    <w:p w14:paraId="72CD3C0D" w14:textId="52C89331" w:rsidR="00BF3FA6" w:rsidRDefault="00BF3FA6" w:rsidP="00BF3FA6">
      <w:pPr>
        <w:rPr>
          <w:rFonts w:cs="Segoe UI"/>
          <w:szCs w:val="21"/>
          <w:lang w:eastAsia="en-NZ"/>
        </w:rPr>
      </w:pPr>
      <w:r>
        <w:rPr>
          <w:lang w:eastAsia="en-NZ"/>
        </w:rPr>
        <w:lastRenderedPageBreak/>
        <w:t xml:space="preserve">Following eligible outcomes at both AMP and IMP assessments, </w:t>
      </w:r>
      <w:r w:rsidRPr="1A351E5D">
        <w:rPr>
          <w:lang w:eastAsia="en-NZ"/>
        </w:rPr>
        <w:t>the AMP meets</w:t>
      </w:r>
      <w:r>
        <w:rPr>
          <w:lang w:eastAsia="en-NZ"/>
        </w:rPr>
        <w:t xml:space="preserve"> with the applicant for further discussion relating to eligibility and the assisted dying process. At this time, some previously eligible applicants may be found not competent to c</w:t>
      </w:r>
      <w:r w:rsidRPr="004E1B64">
        <w:rPr>
          <w:rFonts w:cs="Segoe UI"/>
          <w:szCs w:val="21"/>
          <w:lang w:eastAsia="en-NZ"/>
        </w:rPr>
        <w:t xml:space="preserve">ontinue. </w:t>
      </w:r>
    </w:p>
    <w:p w14:paraId="252A0E7D" w14:textId="77777777" w:rsidR="00BF3FA6" w:rsidRPr="004E1B64" w:rsidRDefault="00BF3FA6" w:rsidP="00BF3FA6">
      <w:pPr>
        <w:rPr>
          <w:rFonts w:cs="Segoe UI"/>
          <w:szCs w:val="21"/>
          <w:lang w:eastAsia="en-NZ"/>
        </w:rPr>
      </w:pPr>
    </w:p>
    <w:p w14:paraId="12177193" w14:textId="53B624DB" w:rsidR="00BF3FA6" w:rsidRDefault="00BF3FA6" w:rsidP="00BF3FA6">
      <w:pPr>
        <w:pStyle w:val="Table"/>
        <w:rPr>
          <w:rFonts w:cs="Segoe UI"/>
          <w:color w:val="000000" w:themeColor="text1"/>
          <w:szCs w:val="21"/>
          <w:lang w:eastAsia="en-NZ"/>
        </w:rPr>
      </w:pPr>
      <w:bookmarkStart w:id="71" w:name="_Ref138345112"/>
      <w:bookmarkStart w:id="72" w:name="_Toc138428969"/>
      <w:r>
        <w:t xml:space="preserve">Table </w:t>
      </w:r>
      <w:r w:rsidR="00161918">
        <w:fldChar w:fldCharType="begin"/>
      </w:r>
      <w:r w:rsidR="00161918">
        <w:instrText xml:space="preserve"> SEQ Table \* ARABIC </w:instrText>
      </w:r>
      <w:r w:rsidR="00161918">
        <w:fldChar w:fldCharType="separate"/>
      </w:r>
      <w:r w:rsidR="00A345F8">
        <w:rPr>
          <w:noProof/>
        </w:rPr>
        <w:t>2</w:t>
      </w:r>
      <w:r w:rsidR="00161918">
        <w:rPr>
          <w:noProof/>
        </w:rPr>
        <w:fldChar w:fldCharType="end"/>
      </w:r>
      <w:bookmarkEnd w:id="71"/>
      <w:r>
        <w:t xml:space="preserve">: </w:t>
      </w:r>
      <w:r w:rsidRPr="004E1B64">
        <w:rPr>
          <w:rFonts w:cs="Segoe UI"/>
          <w:color w:val="000000" w:themeColor="text1"/>
          <w:szCs w:val="21"/>
          <w:lang w:eastAsia="en-NZ"/>
        </w:rPr>
        <w:t>Assessment outcomes</w:t>
      </w:r>
      <w:bookmarkEnd w:id="72"/>
    </w:p>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2689"/>
        <w:gridCol w:w="2690"/>
        <w:gridCol w:w="2690"/>
      </w:tblGrid>
      <w:tr w:rsidR="001A2A72" w14:paraId="066A7B74" w14:textId="77777777" w:rsidTr="001A2A72">
        <w:tc>
          <w:tcPr>
            <w:tcW w:w="2689" w:type="dxa"/>
            <w:tcBorders>
              <w:top w:val="nil"/>
              <w:bottom w:val="nil"/>
            </w:tcBorders>
            <w:shd w:val="clear" w:color="auto" w:fill="D9D9D9" w:themeFill="background1" w:themeFillShade="D9"/>
          </w:tcPr>
          <w:p w14:paraId="2B9C0A14" w14:textId="77777777" w:rsidR="001A2A72" w:rsidRPr="001A2A72" w:rsidRDefault="001A2A72" w:rsidP="001A2A72">
            <w:pPr>
              <w:pStyle w:val="TableText"/>
              <w:rPr>
                <w:b/>
                <w:bCs/>
                <w:lang w:eastAsia="en-NZ"/>
              </w:rPr>
            </w:pPr>
          </w:p>
        </w:tc>
        <w:tc>
          <w:tcPr>
            <w:tcW w:w="2690" w:type="dxa"/>
            <w:tcBorders>
              <w:top w:val="nil"/>
              <w:bottom w:val="nil"/>
            </w:tcBorders>
            <w:shd w:val="clear" w:color="auto" w:fill="D9D9D9" w:themeFill="background1" w:themeFillShade="D9"/>
          </w:tcPr>
          <w:p w14:paraId="1C3B5C03" w14:textId="18948C84" w:rsidR="001A2A72" w:rsidRPr="001A2A72" w:rsidRDefault="001A2A72" w:rsidP="001A2A72">
            <w:pPr>
              <w:pStyle w:val="TableText"/>
              <w:rPr>
                <w:b/>
                <w:bCs/>
                <w:lang w:eastAsia="en-NZ"/>
              </w:rPr>
            </w:pPr>
            <w:r w:rsidRPr="001A2A72">
              <w:rPr>
                <w:b/>
                <w:bCs/>
              </w:rPr>
              <w:t>Outcome of assessment</w:t>
            </w:r>
          </w:p>
        </w:tc>
        <w:tc>
          <w:tcPr>
            <w:tcW w:w="2690" w:type="dxa"/>
            <w:tcBorders>
              <w:top w:val="nil"/>
              <w:bottom w:val="nil"/>
            </w:tcBorders>
            <w:shd w:val="clear" w:color="auto" w:fill="D9D9D9" w:themeFill="background1" w:themeFillShade="D9"/>
          </w:tcPr>
          <w:p w14:paraId="2C45A227" w14:textId="15DF6C1D" w:rsidR="001A2A72" w:rsidRPr="001A2A72" w:rsidRDefault="001A2A72" w:rsidP="001A2A72">
            <w:pPr>
              <w:pStyle w:val="TableText"/>
              <w:rPr>
                <w:b/>
                <w:bCs/>
                <w:lang w:eastAsia="en-NZ"/>
              </w:rPr>
            </w:pPr>
            <w:r w:rsidRPr="001A2A72">
              <w:rPr>
                <w:b/>
                <w:bCs/>
              </w:rPr>
              <w:t>Number of assessments</w:t>
            </w:r>
          </w:p>
        </w:tc>
      </w:tr>
      <w:tr w:rsidR="001A2A72" w14:paraId="340B7DC9" w14:textId="77777777" w:rsidTr="001A2A72">
        <w:tc>
          <w:tcPr>
            <w:tcW w:w="2689" w:type="dxa"/>
            <w:vMerge w:val="restart"/>
            <w:tcBorders>
              <w:top w:val="nil"/>
            </w:tcBorders>
          </w:tcPr>
          <w:p w14:paraId="0699D974" w14:textId="77777777" w:rsidR="001A2A72" w:rsidRDefault="001A2A72" w:rsidP="001A2A72">
            <w:pPr>
              <w:pStyle w:val="TableText"/>
              <w:rPr>
                <w:lang w:eastAsia="en-NZ"/>
              </w:rPr>
            </w:pPr>
            <w:r>
              <w:rPr>
                <w:lang w:eastAsia="en-NZ"/>
              </w:rPr>
              <w:t xml:space="preserve">AMP Assessments </w:t>
            </w:r>
          </w:p>
          <w:p w14:paraId="3E0EB6FB" w14:textId="5737E85E" w:rsidR="001A2A72" w:rsidRDefault="001A2A72" w:rsidP="001A2A72">
            <w:pPr>
              <w:pStyle w:val="TableText"/>
              <w:rPr>
                <w:lang w:eastAsia="en-NZ"/>
              </w:rPr>
            </w:pPr>
            <w:r>
              <w:rPr>
                <w:lang w:eastAsia="en-NZ"/>
              </w:rPr>
              <w:t>(N = 794)</w:t>
            </w:r>
          </w:p>
        </w:tc>
        <w:tc>
          <w:tcPr>
            <w:tcW w:w="2690" w:type="dxa"/>
            <w:tcBorders>
              <w:top w:val="nil"/>
            </w:tcBorders>
          </w:tcPr>
          <w:p w14:paraId="558E8A9B" w14:textId="374344F1" w:rsidR="001A2A72" w:rsidRDefault="001A2A72" w:rsidP="001A2A72">
            <w:pPr>
              <w:pStyle w:val="TableText"/>
              <w:rPr>
                <w:lang w:eastAsia="en-NZ"/>
              </w:rPr>
            </w:pPr>
            <w:r w:rsidRPr="00CC6403">
              <w:t>Eligible</w:t>
            </w:r>
          </w:p>
        </w:tc>
        <w:tc>
          <w:tcPr>
            <w:tcW w:w="2690" w:type="dxa"/>
            <w:tcBorders>
              <w:top w:val="nil"/>
            </w:tcBorders>
          </w:tcPr>
          <w:p w14:paraId="58684AD4" w14:textId="2AB89211" w:rsidR="001A2A72" w:rsidRDefault="001A2A72" w:rsidP="001A2A72">
            <w:pPr>
              <w:pStyle w:val="TableText"/>
              <w:rPr>
                <w:lang w:eastAsia="en-NZ"/>
              </w:rPr>
            </w:pPr>
            <w:r w:rsidRPr="00CC6403">
              <w:t>682</w:t>
            </w:r>
          </w:p>
        </w:tc>
      </w:tr>
      <w:tr w:rsidR="001A2A72" w14:paraId="3FAE2070" w14:textId="77777777" w:rsidTr="001A2A72">
        <w:tc>
          <w:tcPr>
            <w:tcW w:w="2689" w:type="dxa"/>
            <w:vMerge/>
          </w:tcPr>
          <w:p w14:paraId="37E54889" w14:textId="77777777" w:rsidR="001A2A72" w:rsidRDefault="001A2A72" w:rsidP="001A2A72">
            <w:pPr>
              <w:pStyle w:val="TableText"/>
              <w:rPr>
                <w:lang w:eastAsia="en-NZ"/>
              </w:rPr>
            </w:pPr>
          </w:p>
        </w:tc>
        <w:tc>
          <w:tcPr>
            <w:tcW w:w="2690" w:type="dxa"/>
          </w:tcPr>
          <w:p w14:paraId="721C724E" w14:textId="05C858B7" w:rsidR="001A2A72" w:rsidRDefault="001A2A72" w:rsidP="001A2A72">
            <w:pPr>
              <w:pStyle w:val="TableText"/>
              <w:rPr>
                <w:lang w:eastAsia="en-NZ"/>
              </w:rPr>
            </w:pPr>
            <w:r w:rsidRPr="00CC6403">
              <w:t>Ineligible</w:t>
            </w:r>
          </w:p>
        </w:tc>
        <w:tc>
          <w:tcPr>
            <w:tcW w:w="2690" w:type="dxa"/>
          </w:tcPr>
          <w:p w14:paraId="4859FF90" w14:textId="72002358" w:rsidR="001A2A72" w:rsidRDefault="001A2A72" w:rsidP="001A2A72">
            <w:pPr>
              <w:pStyle w:val="TableText"/>
              <w:rPr>
                <w:lang w:eastAsia="en-NZ"/>
              </w:rPr>
            </w:pPr>
            <w:r w:rsidRPr="00CC6403">
              <w:t>112</w:t>
            </w:r>
          </w:p>
        </w:tc>
      </w:tr>
      <w:tr w:rsidR="001A2A72" w14:paraId="4EE29FD0" w14:textId="77777777" w:rsidTr="001A2A72">
        <w:tc>
          <w:tcPr>
            <w:tcW w:w="2689" w:type="dxa"/>
            <w:vMerge w:val="restart"/>
          </w:tcPr>
          <w:p w14:paraId="29351AB2" w14:textId="77777777" w:rsidR="001A2A72" w:rsidRDefault="001A2A72" w:rsidP="001A2A72">
            <w:pPr>
              <w:pStyle w:val="TableText"/>
              <w:rPr>
                <w:lang w:eastAsia="en-NZ"/>
              </w:rPr>
            </w:pPr>
            <w:r>
              <w:rPr>
                <w:lang w:eastAsia="en-NZ"/>
              </w:rPr>
              <w:t xml:space="preserve">IMP Assessments </w:t>
            </w:r>
          </w:p>
          <w:p w14:paraId="161F3C76" w14:textId="754DE2B2" w:rsidR="001A2A72" w:rsidRDefault="001A2A72" w:rsidP="001A2A72">
            <w:pPr>
              <w:pStyle w:val="TableText"/>
              <w:rPr>
                <w:lang w:eastAsia="en-NZ"/>
              </w:rPr>
            </w:pPr>
            <w:r>
              <w:rPr>
                <w:lang w:eastAsia="en-NZ"/>
              </w:rPr>
              <w:t>(N = 578)</w:t>
            </w:r>
          </w:p>
        </w:tc>
        <w:tc>
          <w:tcPr>
            <w:tcW w:w="2690" w:type="dxa"/>
          </w:tcPr>
          <w:p w14:paraId="475F3131" w14:textId="0A58D006" w:rsidR="001A2A72" w:rsidRDefault="001A2A72" w:rsidP="001A2A72">
            <w:pPr>
              <w:pStyle w:val="TableText"/>
              <w:rPr>
                <w:lang w:eastAsia="en-NZ"/>
              </w:rPr>
            </w:pPr>
            <w:r w:rsidRPr="00CC6403">
              <w:t>Eligible</w:t>
            </w:r>
          </w:p>
        </w:tc>
        <w:tc>
          <w:tcPr>
            <w:tcW w:w="2690" w:type="dxa"/>
          </w:tcPr>
          <w:p w14:paraId="29EEF2BA" w14:textId="0C311CC5" w:rsidR="001A2A72" w:rsidRDefault="001A2A72" w:rsidP="001A2A72">
            <w:pPr>
              <w:pStyle w:val="TableText"/>
              <w:rPr>
                <w:lang w:eastAsia="en-NZ"/>
              </w:rPr>
            </w:pPr>
            <w:r w:rsidRPr="00CC6403">
              <w:t>558</w:t>
            </w:r>
          </w:p>
        </w:tc>
      </w:tr>
      <w:tr w:rsidR="001A2A72" w14:paraId="729294B5" w14:textId="77777777" w:rsidTr="001A2A72">
        <w:tc>
          <w:tcPr>
            <w:tcW w:w="2689" w:type="dxa"/>
            <w:vMerge/>
          </w:tcPr>
          <w:p w14:paraId="6719CB06" w14:textId="77777777" w:rsidR="001A2A72" w:rsidRDefault="001A2A72" w:rsidP="001A2A72">
            <w:pPr>
              <w:pStyle w:val="TableText"/>
              <w:rPr>
                <w:lang w:eastAsia="en-NZ"/>
              </w:rPr>
            </w:pPr>
          </w:p>
        </w:tc>
        <w:tc>
          <w:tcPr>
            <w:tcW w:w="2690" w:type="dxa"/>
          </w:tcPr>
          <w:p w14:paraId="638E8490" w14:textId="532979F2" w:rsidR="001A2A72" w:rsidRDefault="001A2A72" w:rsidP="001A2A72">
            <w:pPr>
              <w:pStyle w:val="TableText"/>
              <w:rPr>
                <w:lang w:eastAsia="en-NZ"/>
              </w:rPr>
            </w:pPr>
            <w:r w:rsidRPr="00CC6403">
              <w:t>Ineligible</w:t>
            </w:r>
          </w:p>
        </w:tc>
        <w:tc>
          <w:tcPr>
            <w:tcW w:w="2690" w:type="dxa"/>
          </w:tcPr>
          <w:p w14:paraId="6D806AEA" w14:textId="79382495" w:rsidR="001A2A72" w:rsidRDefault="001A2A72" w:rsidP="001A2A72">
            <w:pPr>
              <w:pStyle w:val="TableText"/>
              <w:rPr>
                <w:lang w:eastAsia="en-NZ"/>
              </w:rPr>
            </w:pPr>
            <w:r w:rsidRPr="00CC6403">
              <w:t>20</w:t>
            </w:r>
          </w:p>
        </w:tc>
      </w:tr>
      <w:tr w:rsidR="001A2A72" w14:paraId="2B1FA522" w14:textId="77777777" w:rsidTr="003748C8">
        <w:trPr>
          <w:trHeight w:val="487"/>
        </w:trPr>
        <w:tc>
          <w:tcPr>
            <w:tcW w:w="2689" w:type="dxa"/>
            <w:vMerge w:val="restart"/>
          </w:tcPr>
          <w:p w14:paraId="69F243D5" w14:textId="7A744850" w:rsidR="001A2A72" w:rsidRDefault="001A2A72" w:rsidP="001A2A72">
            <w:pPr>
              <w:pStyle w:val="TableText"/>
              <w:rPr>
                <w:lang w:eastAsia="en-NZ"/>
              </w:rPr>
            </w:pPr>
            <w:r>
              <w:rPr>
                <w:lang w:eastAsia="en-NZ"/>
              </w:rPr>
              <w:t xml:space="preserve">Eligibility Discussion </w:t>
            </w:r>
            <w:r w:rsidR="004A6C30">
              <w:rPr>
                <w:lang w:eastAsia="en-NZ"/>
              </w:rPr>
              <w:br/>
            </w:r>
            <w:r>
              <w:rPr>
                <w:lang w:eastAsia="en-NZ"/>
              </w:rPr>
              <w:t>Following Assessment</w:t>
            </w:r>
          </w:p>
          <w:p w14:paraId="7C5FCDC6" w14:textId="0E213001" w:rsidR="001A2A72" w:rsidRDefault="001A2A72" w:rsidP="001A2A72">
            <w:pPr>
              <w:pStyle w:val="TableText"/>
              <w:rPr>
                <w:lang w:eastAsia="en-NZ"/>
              </w:rPr>
            </w:pPr>
            <w:r>
              <w:rPr>
                <w:lang w:eastAsia="en-NZ"/>
              </w:rPr>
              <w:t>(N = 520)</w:t>
            </w:r>
          </w:p>
        </w:tc>
        <w:tc>
          <w:tcPr>
            <w:tcW w:w="2690" w:type="dxa"/>
          </w:tcPr>
          <w:p w14:paraId="02662609" w14:textId="79E06901" w:rsidR="001A2A72" w:rsidRDefault="001A2A72" w:rsidP="001A2A72">
            <w:pPr>
              <w:pStyle w:val="TableText"/>
              <w:rPr>
                <w:lang w:eastAsia="en-NZ"/>
              </w:rPr>
            </w:pPr>
            <w:r w:rsidRPr="00CC6403">
              <w:t xml:space="preserve">Eligible </w:t>
            </w:r>
          </w:p>
        </w:tc>
        <w:tc>
          <w:tcPr>
            <w:tcW w:w="2690" w:type="dxa"/>
          </w:tcPr>
          <w:p w14:paraId="23CDD98C" w14:textId="31293563" w:rsidR="001A2A72" w:rsidRDefault="001A2A72" w:rsidP="001A2A72">
            <w:pPr>
              <w:pStyle w:val="TableText"/>
              <w:rPr>
                <w:lang w:eastAsia="en-NZ"/>
              </w:rPr>
            </w:pPr>
            <w:r w:rsidRPr="00CC6403">
              <w:t>515</w:t>
            </w:r>
          </w:p>
        </w:tc>
      </w:tr>
      <w:tr w:rsidR="001A2A72" w14:paraId="5319EE37" w14:textId="77777777" w:rsidTr="003748C8">
        <w:trPr>
          <w:trHeight w:val="501"/>
        </w:trPr>
        <w:tc>
          <w:tcPr>
            <w:tcW w:w="2689" w:type="dxa"/>
            <w:vMerge/>
          </w:tcPr>
          <w:p w14:paraId="0C65A20F" w14:textId="77777777" w:rsidR="001A2A72" w:rsidRDefault="001A2A72" w:rsidP="001A2A72">
            <w:pPr>
              <w:pStyle w:val="TableText"/>
              <w:rPr>
                <w:lang w:eastAsia="en-NZ"/>
              </w:rPr>
            </w:pPr>
          </w:p>
        </w:tc>
        <w:tc>
          <w:tcPr>
            <w:tcW w:w="2690" w:type="dxa"/>
          </w:tcPr>
          <w:p w14:paraId="3206E14E" w14:textId="7F04CFF3" w:rsidR="001A2A72" w:rsidRPr="00CC6403" w:rsidRDefault="001A2A72" w:rsidP="001A2A72">
            <w:pPr>
              <w:pStyle w:val="TableText"/>
            </w:pPr>
            <w:r w:rsidRPr="00FF069F">
              <w:t>Ineligible</w:t>
            </w:r>
          </w:p>
        </w:tc>
        <w:tc>
          <w:tcPr>
            <w:tcW w:w="2690" w:type="dxa"/>
          </w:tcPr>
          <w:p w14:paraId="4CFE4E98" w14:textId="76AAABCA" w:rsidR="001A2A72" w:rsidRPr="00CC6403" w:rsidRDefault="001A2A72" w:rsidP="001A2A72">
            <w:pPr>
              <w:pStyle w:val="TableText"/>
            </w:pPr>
            <w:r w:rsidRPr="00FF069F">
              <w:t>5</w:t>
            </w:r>
          </w:p>
        </w:tc>
      </w:tr>
    </w:tbl>
    <w:p w14:paraId="46F96568" w14:textId="77777777" w:rsidR="001A2A72" w:rsidRPr="001A2A72" w:rsidRDefault="001A2A72" w:rsidP="001A2A72">
      <w:pPr>
        <w:pStyle w:val="Heading3"/>
        <w:rPr>
          <w:lang w:eastAsia="en-NZ"/>
        </w:rPr>
      </w:pPr>
      <w:r w:rsidRPr="001A2A72">
        <w:rPr>
          <w:lang w:eastAsia="en-NZ"/>
        </w:rPr>
        <w:t xml:space="preserve">Ineligibility summaries: Assessed by AMP and IMP </w:t>
      </w:r>
    </w:p>
    <w:p w14:paraId="68B40E8F" w14:textId="185B0151" w:rsidR="001A2A72" w:rsidRDefault="001A2A72" w:rsidP="001A2A72">
      <w:pPr>
        <w:rPr>
          <w:lang w:eastAsia="en-NZ"/>
        </w:rPr>
      </w:pPr>
      <w:r w:rsidRPr="001A2A72">
        <w:rPr>
          <w:lang w:eastAsia="en-NZ"/>
        </w:rPr>
        <w:t xml:space="preserve">Not all applications made to the Assisted Dying Service will result in an assisted death; some individuals may be assessed as ineligible. Reasons for ineligibility vary, and may relate to an applicant’s age, status as a New Zealand citizen/resident, or considerations relating to their health and physical decline. For more information about eligibility criteria, please refer to our </w:t>
      </w:r>
      <w:hyperlink r:id="rId50" w:history="1">
        <w:r w:rsidR="003F44DB" w:rsidRPr="003F44DB">
          <w:rPr>
            <w:rStyle w:val="Hyperlink"/>
          </w:rPr>
          <w:t>website</w:t>
        </w:r>
      </w:hyperlink>
      <w:r w:rsidR="003F44DB" w:rsidRPr="003F44DB">
        <w:t>.</w:t>
      </w:r>
    </w:p>
    <w:p w14:paraId="2A4DAE6A" w14:textId="77777777" w:rsidR="001A2A72" w:rsidRPr="001A2A72" w:rsidRDefault="001A2A72" w:rsidP="001A2A72">
      <w:pPr>
        <w:rPr>
          <w:lang w:eastAsia="en-NZ"/>
        </w:rPr>
      </w:pPr>
    </w:p>
    <w:p w14:paraId="56124416" w14:textId="1C06FAEF" w:rsidR="00BF3FA6" w:rsidRDefault="003F44DB" w:rsidP="001A2A72">
      <w:pPr>
        <w:rPr>
          <w:lang w:eastAsia="en-NZ"/>
        </w:rPr>
      </w:pPr>
      <w:r>
        <w:rPr>
          <w:lang w:eastAsia="en-NZ"/>
        </w:rPr>
        <w:fldChar w:fldCharType="begin"/>
      </w:r>
      <w:r>
        <w:rPr>
          <w:lang w:eastAsia="en-NZ"/>
        </w:rPr>
        <w:instrText xml:space="preserve"> REF _Ref138344670 \h </w:instrText>
      </w:r>
      <w:r>
        <w:rPr>
          <w:lang w:eastAsia="en-NZ"/>
        </w:rPr>
      </w:r>
      <w:r>
        <w:rPr>
          <w:lang w:eastAsia="en-NZ"/>
        </w:rPr>
        <w:fldChar w:fldCharType="separate"/>
      </w:r>
      <w:r w:rsidR="00A345F8">
        <w:t xml:space="preserve">Table </w:t>
      </w:r>
      <w:r w:rsidR="00A345F8">
        <w:rPr>
          <w:noProof/>
        </w:rPr>
        <w:t>3</w:t>
      </w:r>
      <w:r>
        <w:rPr>
          <w:lang w:eastAsia="en-NZ"/>
        </w:rPr>
        <w:fldChar w:fldCharType="end"/>
      </w:r>
      <w:r>
        <w:rPr>
          <w:lang w:eastAsia="en-NZ"/>
        </w:rPr>
        <w:t xml:space="preserve"> </w:t>
      </w:r>
      <w:r w:rsidR="001A2A72" w:rsidRPr="001A2A72">
        <w:rPr>
          <w:lang w:eastAsia="en-NZ"/>
        </w:rPr>
        <w:t>outlines a summary of ineligibility decisions at each stage of assessment by AMP and IMPs. Being found eligible at AMP assessment stage and ineligible at IMP assessment stage may occur due to a number of reasons, including but not limited to a change in personal circumstances impacting eligibility and/or a change in prognosis.</w:t>
      </w:r>
    </w:p>
    <w:p w14:paraId="17373C6D" w14:textId="3D15DD9E" w:rsidR="001A2A72" w:rsidRDefault="001A2A72" w:rsidP="001A2A72">
      <w:pPr>
        <w:rPr>
          <w:lang w:eastAsia="en-NZ"/>
        </w:rPr>
      </w:pPr>
    </w:p>
    <w:p w14:paraId="3B341FD5" w14:textId="0B9B440E" w:rsidR="004A6C30" w:rsidRDefault="004A6C30" w:rsidP="004A6C30">
      <w:pPr>
        <w:pStyle w:val="Table"/>
        <w:rPr>
          <w:rFonts w:cs="Segoe UI"/>
          <w:color w:val="000000" w:themeColor="text1"/>
          <w:szCs w:val="21"/>
          <w:lang w:eastAsia="en-NZ"/>
        </w:rPr>
      </w:pPr>
      <w:bookmarkStart w:id="73" w:name="_Ref138344670"/>
      <w:bookmarkStart w:id="74" w:name="_Toc138428970"/>
      <w:r>
        <w:t xml:space="preserve">Table </w:t>
      </w:r>
      <w:r w:rsidR="00161918">
        <w:fldChar w:fldCharType="begin"/>
      </w:r>
      <w:r w:rsidR="00161918">
        <w:instrText xml:space="preserve"> SEQ Table \* ARABIC </w:instrText>
      </w:r>
      <w:r w:rsidR="00161918">
        <w:fldChar w:fldCharType="separate"/>
      </w:r>
      <w:r w:rsidR="00A345F8">
        <w:rPr>
          <w:noProof/>
        </w:rPr>
        <w:t>3</w:t>
      </w:r>
      <w:r w:rsidR="00161918">
        <w:rPr>
          <w:noProof/>
        </w:rPr>
        <w:fldChar w:fldCharType="end"/>
      </w:r>
      <w:bookmarkEnd w:id="73"/>
      <w:r>
        <w:t xml:space="preserve">: </w:t>
      </w:r>
      <w:r w:rsidRPr="004A6C30">
        <w:rPr>
          <w:rFonts w:cs="Segoe UI"/>
          <w:color w:val="000000" w:themeColor="text1"/>
          <w:szCs w:val="21"/>
          <w:lang w:eastAsia="en-NZ"/>
        </w:rPr>
        <w:t>Ineligible decisions</w:t>
      </w:r>
      <w:bookmarkEnd w:id="74"/>
    </w:p>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4111"/>
        <w:gridCol w:w="2126"/>
        <w:gridCol w:w="1832"/>
      </w:tblGrid>
      <w:tr w:rsidR="004A6C30" w:rsidRPr="004A6C30" w14:paraId="0316E179" w14:textId="77777777" w:rsidTr="004A6C30">
        <w:tc>
          <w:tcPr>
            <w:tcW w:w="4111" w:type="dxa"/>
            <w:tcBorders>
              <w:top w:val="nil"/>
              <w:bottom w:val="nil"/>
            </w:tcBorders>
            <w:shd w:val="clear" w:color="auto" w:fill="D9D9D9" w:themeFill="background1" w:themeFillShade="D9"/>
          </w:tcPr>
          <w:p w14:paraId="59B60CF0" w14:textId="0C412ACB" w:rsidR="004A6C30" w:rsidRPr="004A6C30" w:rsidRDefault="004A6C30" w:rsidP="004A6C30">
            <w:pPr>
              <w:pStyle w:val="TableText"/>
              <w:rPr>
                <w:b/>
                <w:bCs/>
                <w:lang w:eastAsia="en-NZ"/>
              </w:rPr>
            </w:pPr>
            <w:r w:rsidRPr="004A6C30">
              <w:rPr>
                <w:b/>
                <w:bCs/>
              </w:rPr>
              <w:t>The applicant is…</w:t>
            </w:r>
          </w:p>
        </w:tc>
        <w:tc>
          <w:tcPr>
            <w:tcW w:w="2126" w:type="dxa"/>
            <w:tcBorders>
              <w:top w:val="nil"/>
              <w:bottom w:val="nil"/>
            </w:tcBorders>
            <w:shd w:val="clear" w:color="auto" w:fill="D9D9D9" w:themeFill="background1" w:themeFillShade="D9"/>
          </w:tcPr>
          <w:p w14:paraId="381B35DE" w14:textId="71D335E2" w:rsidR="004A6C30" w:rsidRPr="004A6C30" w:rsidRDefault="004A6C30" w:rsidP="004A6C30">
            <w:pPr>
              <w:pStyle w:val="TableText"/>
              <w:rPr>
                <w:b/>
                <w:bCs/>
                <w:lang w:eastAsia="en-NZ"/>
              </w:rPr>
            </w:pPr>
            <w:r w:rsidRPr="004A6C30">
              <w:rPr>
                <w:b/>
                <w:bCs/>
              </w:rPr>
              <w:t>Ineligible at AMP assessment (112)</w:t>
            </w:r>
          </w:p>
        </w:tc>
        <w:tc>
          <w:tcPr>
            <w:tcW w:w="1832" w:type="dxa"/>
            <w:tcBorders>
              <w:top w:val="nil"/>
              <w:bottom w:val="nil"/>
            </w:tcBorders>
            <w:shd w:val="clear" w:color="auto" w:fill="D9D9D9" w:themeFill="background1" w:themeFillShade="D9"/>
          </w:tcPr>
          <w:p w14:paraId="06EE67F5" w14:textId="488A1F30" w:rsidR="004A6C30" w:rsidRPr="004A6C30" w:rsidRDefault="004A6C30" w:rsidP="004A6C30">
            <w:pPr>
              <w:pStyle w:val="TableText"/>
              <w:rPr>
                <w:b/>
                <w:bCs/>
                <w:lang w:eastAsia="en-NZ"/>
              </w:rPr>
            </w:pPr>
            <w:r w:rsidRPr="004A6C30">
              <w:rPr>
                <w:b/>
                <w:bCs/>
              </w:rPr>
              <w:t>Ineligible at IMP assessment (20)</w:t>
            </w:r>
          </w:p>
        </w:tc>
      </w:tr>
      <w:tr w:rsidR="004A6C30" w14:paraId="6E96C287" w14:textId="77777777" w:rsidTr="004A6C30">
        <w:tc>
          <w:tcPr>
            <w:tcW w:w="4111" w:type="dxa"/>
            <w:tcBorders>
              <w:top w:val="nil"/>
            </w:tcBorders>
            <w:shd w:val="clear" w:color="auto" w:fill="FFFFFF" w:themeFill="background1"/>
          </w:tcPr>
          <w:p w14:paraId="76CBD730" w14:textId="00789CD5" w:rsidR="004A6C30" w:rsidRPr="001A2A72" w:rsidRDefault="004A6C30" w:rsidP="004A6C30">
            <w:pPr>
              <w:pStyle w:val="TableText"/>
              <w:rPr>
                <w:b/>
                <w:bCs/>
                <w:lang w:eastAsia="en-NZ"/>
              </w:rPr>
            </w:pPr>
            <w:r w:rsidRPr="00B30C99">
              <w:t>Not a New Zealand Citizen/Permanent resident</w:t>
            </w:r>
          </w:p>
        </w:tc>
        <w:tc>
          <w:tcPr>
            <w:tcW w:w="2126" w:type="dxa"/>
            <w:tcBorders>
              <w:top w:val="nil"/>
            </w:tcBorders>
            <w:shd w:val="clear" w:color="auto" w:fill="FFFFFF" w:themeFill="background1"/>
          </w:tcPr>
          <w:p w14:paraId="050B3604" w14:textId="2E254576" w:rsidR="004A6C30" w:rsidRPr="001A2A72" w:rsidRDefault="004A6C30" w:rsidP="004A6C30">
            <w:pPr>
              <w:pStyle w:val="TableText"/>
              <w:rPr>
                <w:b/>
                <w:bCs/>
              </w:rPr>
            </w:pPr>
            <w:r w:rsidRPr="00B30C99">
              <w:t>5 (4.5%)</w:t>
            </w:r>
          </w:p>
        </w:tc>
        <w:tc>
          <w:tcPr>
            <w:tcW w:w="1832" w:type="dxa"/>
            <w:tcBorders>
              <w:top w:val="nil"/>
            </w:tcBorders>
            <w:shd w:val="clear" w:color="auto" w:fill="FFFFFF" w:themeFill="background1"/>
          </w:tcPr>
          <w:p w14:paraId="1A23E862" w14:textId="66E68E8B" w:rsidR="004A6C30" w:rsidRPr="001A2A72" w:rsidRDefault="004A6C30" w:rsidP="004A6C30">
            <w:pPr>
              <w:pStyle w:val="TableText"/>
              <w:rPr>
                <w:b/>
                <w:bCs/>
              </w:rPr>
            </w:pPr>
            <w:r w:rsidRPr="00B30C99">
              <w:t>0</w:t>
            </w:r>
          </w:p>
        </w:tc>
      </w:tr>
      <w:tr w:rsidR="004A6C30" w14:paraId="5FCFBC10" w14:textId="77777777" w:rsidTr="004A6C30">
        <w:tc>
          <w:tcPr>
            <w:tcW w:w="4111" w:type="dxa"/>
            <w:tcBorders>
              <w:top w:val="nil"/>
            </w:tcBorders>
            <w:shd w:val="clear" w:color="auto" w:fill="FFFFFF" w:themeFill="background1"/>
          </w:tcPr>
          <w:p w14:paraId="7CC76391" w14:textId="35F74533" w:rsidR="004A6C30" w:rsidRPr="001A2A72" w:rsidRDefault="004A6C30" w:rsidP="004A6C30">
            <w:pPr>
              <w:pStyle w:val="TableText"/>
              <w:rPr>
                <w:b/>
                <w:bCs/>
                <w:lang w:eastAsia="en-NZ"/>
              </w:rPr>
            </w:pPr>
            <w:r w:rsidRPr="00B30C99">
              <w:t>Not aged 18 or over</w:t>
            </w:r>
          </w:p>
        </w:tc>
        <w:tc>
          <w:tcPr>
            <w:tcW w:w="2126" w:type="dxa"/>
            <w:tcBorders>
              <w:top w:val="nil"/>
            </w:tcBorders>
            <w:shd w:val="clear" w:color="auto" w:fill="FFFFFF" w:themeFill="background1"/>
          </w:tcPr>
          <w:p w14:paraId="08439F86" w14:textId="6A267776" w:rsidR="004A6C30" w:rsidRPr="001A2A72" w:rsidRDefault="004A6C30" w:rsidP="004A6C30">
            <w:pPr>
              <w:pStyle w:val="TableText"/>
              <w:rPr>
                <w:b/>
                <w:bCs/>
              </w:rPr>
            </w:pPr>
            <w:r w:rsidRPr="00B30C99">
              <w:t>0 (0%)</w:t>
            </w:r>
          </w:p>
        </w:tc>
        <w:tc>
          <w:tcPr>
            <w:tcW w:w="1832" w:type="dxa"/>
            <w:tcBorders>
              <w:top w:val="nil"/>
            </w:tcBorders>
            <w:shd w:val="clear" w:color="auto" w:fill="FFFFFF" w:themeFill="background1"/>
          </w:tcPr>
          <w:p w14:paraId="254B963F" w14:textId="60C1E413" w:rsidR="004A6C30" w:rsidRPr="001A2A72" w:rsidRDefault="004A6C30" w:rsidP="004A6C30">
            <w:pPr>
              <w:pStyle w:val="TableText"/>
              <w:rPr>
                <w:b/>
                <w:bCs/>
              </w:rPr>
            </w:pPr>
            <w:r w:rsidRPr="00B30C99">
              <w:t>0</w:t>
            </w:r>
          </w:p>
        </w:tc>
      </w:tr>
      <w:tr w:rsidR="004A6C30" w14:paraId="4B202A2B" w14:textId="77777777" w:rsidTr="004A6C30">
        <w:tc>
          <w:tcPr>
            <w:tcW w:w="4111" w:type="dxa"/>
            <w:tcBorders>
              <w:top w:val="nil"/>
            </w:tcBorders>
            <w:shd w:val="clear" w:color="auto" w:fill="FFFFFF" w:themeFill="background1"/>
          </w:tcPr>
          <w:p w14:paraId="1F4628B8" w14:textId="09579090" w:rsidR="004A6C30" w:rsidRPr="001A2A72" w:rsidRDefault="004A6C30" w:rsidP="004A6C30">
            <w:pPr>
              <w:pStyle w:val="TableText"/>
              <w:rPr>
                <w:b/>
                <w:bCs/>
                <w:lang w:eastAsia="en-NZ"/>
              </w:rPr>
            </w:pPr>
            <w:r w:rsidRPr="00B30C99">
              <w:t>Not experiencing unbearable suffering that cannot be relieved in a manner that the person considers tolerable</w:t>
            </w:r>
          </w:p>
        </w:tc>
        <w:tc>
          <w:tcPr>
            <w:tcW w:w="2126" w:type="dxa"/>
            <w:tcBorders>
              <w:top w:val="nil"/>
            </w:tcBorders>
            <w:shd w:val="clear" w:color="auto" w:fill="FFFFFF" w:themeFill="background1"/>
          </w:tcPr>
          <w:p w14:paraId="6194D8A8" w14:textId="7F5187C0" w:rsidR="004A6C30" w:rsidRPr="001A2A72" w:rsidRDefault="004A6C30" w:rsidP="004A6C30">
            <w:pPr>
              <w:pStyle w:val="TableText"/>
              <w:rPr>
                <w:b/>
                <w:bCs/>
              </w:rPr>
            </w:pPr>
            <w:r w:rsidRPr="00B30C99">
              <w:t>60 (53.6%)</w:t>
            </w:r>
          </w:p>
        </w:tc>
        <w:tc>
          <w:tcPr>
            <w:tcW w:w="1832" w:type="dxa"/>
            <w:tcBorders>
              <w:top w:val="nil"/>
            </w:tcBorders>
            <w:shd w:val="clear" w:color="auto" w:fill="FFFFFF" w:themeFill="background1"/>
          </w:tcPr>
          <w:p w14:paraId="26489F9E" w14:textId="75D1CDBA" w:rsidR="004A6C30" w:rsidRPr="001A2A72" w:rsidRDefault="004A6C30" w:rsidP="004A6C30">
            <w:pPr>
              <w:pStyle w:val="TableText"/>
              <w:rPr>
                <w:b/>
                <w:bCs/>
              </w:rPr>
            </w:pPr>
            <w:r w:rsidRPr="00B30C99">
              <w:t>13 (65.0%)</w:t>
            </w:r>
          </w:p>
        </w:tc>
      </w:tr>
      <w:tr w:rsidR="004A6C30" w14:paraId="4A75967C" w14:textId="77777777" w:rsidTr="004A6C30">
        <w:tc>
          <w:tcPr>
            <w:tcW w:w="4111" w:type="dxa"/>
            <w:tcBorders>
              <w:top w:val="nil"/>
            </w:tcBorders>
            <w:shd w:val="clear" w:color="auto" w:fill="FFFFFF" w:themeFill="background1"/>
          </w:tcPr>
          <w:p w14:paraId="76A90F71" w14:textId="0CCE57E0" w:rsidR="004A6C30" w:rsidRPr="001A2A72" w:rsidRDefault="004A6C30" w:rsidP="004A6C30">
            <w:pPr>
              <w:pStyle w:val="TableText"/>
              <w:rPr>
                <w:b/>
                <w:bCs/>
                <w:lang w:eastAsia="en-NZ"/>
              </w:rPr>
            </w:pPr>
            <w:r w:rsidRPr="00B30C99">
              <w:t>Not in an advanced state of irreversible physical decline</w:t>
            </w:r>
          </w:p>
        </w:tc>
        <w:tc>
          <w:tcPr>
            <w:tcW w:w="2126" w:type="dxa"/>
            <w:tcBorders>
              <w:top w:val="nil"/>
            </w:tcBorders>
            <w:shd w:val="clear" w:color="auto" w:fill="FFFFFF" w:themeFill="background1"/>
          </w:tcPr>
          <w:p w14:paraId="4EC25E6E" w14:textId="630DF73A" w:rsidR="004A6C30" w:rsidRPr="001A2A72" w:rsidRDefault="004A6C30" w:rsidP="004A6C30">
            <w:pPr>
              <w:pStyle w:val="TableText"/>
              <w:rPr>
                <w:b/>
                <w:bCs/>
              </w:rPr>
            </w:pPr>
            <w:r w:rsidRPr="00B30C99">
              <w:t>54 (48.2%)</w:t>
            </w:r>
          </w:p>
        </w:tc>
        <w:tc>
          <w:tcPr>
            <w:tcW w:w="1832" w:type="dxa"/>
            <w:tcBorders>
              <w:top w:val="nil"/>
            </w:tcBorders>
            <w:shd w:val="clear" w:color="auto" w:fill="FFFFFF" w:themeFill="background1"/>
          </w:tcPr>
          <w:p w14:paraId="11AD8FE2" w14:textId="29D25785" w:rsidR="004A6C30" w:rsidRPr="001A2A72" w:rsidRDefault="004A6C30" w:rsidP="004A6C30">
            <w:pPr>
              <w:pStyle w:val="TableText"/>
              <w:rPr>
                <w:b/>
                <w:bCs/>
              </w:rPr>
            </w:pPr>
            <w:r w:rsidRPr="00B30C99">
              <w:t>7 (35.0%)</w:t>
            </w:r>
          </w:p>
        </w:tc>
      </w:tr>
      <w:tr w:rsidR="004A6C30" w14:paraId="25C810ED" w14:textId="77777777" w:rsidTr="004A6C30">
        <w:tc>
          <w:tcPr>
            <w:tcW w:w="4111" w:type="dxa"/>
            <w:tcBorders>
              <w:top w:val="nil"/>
            </w:tcBorders>
            <w:shd w:val="clear" w:color="auto" w:fill="FFFFFF" w:themeFill="background1"/>
          </w:tcPr>
          <w:p w14:paraId="0777A071" w14:textId="05744EEE" w:rsidR="004A6C30" w:rsidRPr="001A2A72" w:rsidRDefault="004A6C30" w:rsidP="004A6C30">
            <w:pPr>
              <w:pStyle w:val="TableText"/>
              <w:rPr>
                <w:b/>
                <w:bCs/>
                <w:lang w:eastAsia="en-NZ"/>
              </w:rPr>
            </w:pPr>
            <w:r w:rsidRPr="00B30C99">
              <w:t>Not suffering from a terminal illness that is likely to end their life within 6 months</w:t>
            </w:r>
          </w:p>
        </w:tc>
        <w:tc>
          <w:tcPr>
            <w:tcW w:w="2126" w:type="dxa"/>
            <w:tcBorders>
              <w:top w:val="nil"/>
            </w:tcBorders>
            <w:shd w:val="clear" w:color="auto" w:fill="FFFFFF" w:themeFill="background1"/>
          </w:tcPr>
          <w:p w14:paraId="1352CE25" w14:textId="5A04AA1F" w:rsidR="004A6C30" w:rsidRPr="001A2A72" w:rsidRDefault="004A6C30" w:rsidP="004A6C30">
            <w:pPr>
              <w:pStyle w:val="TableText"/>
              <w:rPr>
                <w:b/>
                <w:bCs/>
              </w:rPr>
            </w:pPr>
            <w:r w:rsidRPr="00B30C99">
              <w:t>82 (73.2%)</w:t>
            </w:r>
          </w:p>
        </w:tc>
        <w:tc>
          <w:tcPr>
            <w:tcW w:w="1832" w:type="dxa"/>
            <w:tcBorders>
              <w:top w:val="nil"/>
            </w:tcBorders>
            <w:shd w:val="clear" w:color="auto" w:fill="FFFFFF" w:themeFill="background1"/>
          </w:tcPr>
          <w:p w14:paraId="6ABB12AB" w14:textId="7FFF40CC" w:rsidR="004A6C30" w:rsidRPr="001A2A72" w:rsidRDefault="004A6C30" w:rsidP="004A6C30">
            <w:pPr>
              <w:pStyle w:val="TableText"/>
              <w:rPr>
                <w:b/>
                <w:bCs/>
              </w:rPr>
            </w:pPr>
            <w:r w:rsidRPr="00B30C99">
              <w:t>13 (65.0%)</w:t>
            </w:r>
          </w:p>
        </w:tc>
      </w:tr>
    </w:tbl>
    <w:p w14:paraId="009EBFDC" w14:textId="77777777" w:rsidR="004A6C30" w:rsidRPr="004A6C30" w:rsidRDefault="004A6C30" w:rsidP="004A6C30">
      <w:pPr>
        <w:pStyle w:val="Note"/>
        <w:rPr>
          <w:lang w:eastAsia="en-NZ"/>
        </w:rPr>
      </w:pPr>
      <w:r w:rsidRPr="004A6C30">
        <w:rPr>
          <w:lang w:eastAsia="en-NZ"/>
        </w:rPr>
        <w:t>Note:</w:t>
      </w:r>
    </w:p>
    <w:p w14:paraId="0EC4FD20" w14:textId="65330E05" w:rsidR="00BF3FA6" w:rsidRPr="004E1B64" w:rsidRDefault="004A6C30" w:rsidP="004A6C30">
      <w:pPr>
        <w:pStyle w:val="Note"/>
        <w:rPr>
          <w:b/>
          <w:lang w:eastAsia="en-NZ"/>
        </w:rPr>
      </w:pPr>
      <w:r w:rsidRPr="004A6C30">
        <w:rPr>
          <w:lang w:eastAsia="en-NZ"/>
        </w:rPr>
        <w:t xml:space="preserve">Total reasons for ineligibility have been applied. This means that individuals may be found to be ineligible across multiple criteria, and each observed reason is included in the report.  </w:t>
      </w:r>
    </w:p>
    <w:p w14:paraId="7A16C3F2" w14:textId="77777777" w:rsidR="004A6C30" w:rsidRDefault="004A6C30" w:rsidP="004A6C30">
      <w:pPr>
        <w:pStyle w:val="Heading3"/>
      </w:pPr>
      <w:r>
        <w:lastRenderedPageBreak/>
        <w:t>Application not progressed to an assisted death</w:t>
      </w:r>
    </w:p>
    <w:p w14:paraId="5668095B" w14:textId="21407F5E" w:rsidR="004A6C30" w:rsidRDefault="003F44DB" w:rsidP="004A6C30">
      <w:r>
        <w:fldChar w:fldCharType="begin"/>
      </w:r>
      <w:r>
        <w:instrText xml:space="preserve"> REF _Ref138345125 \h </w:instrText>
      </w:r>
      <w:r>
        <w:fldChar w:fldCharType="separate"/>
      </w:r>
      <w:r w:rsidR="00A345F8">
        <w:t xml:space="preserve">Table </w:t>
      </w:r>
      <w:r w:rsidR="00A345F8">
        <w:rPr>
          <w:noProof/>
        </w:rPr>
        <w:t>4</w:t>
      </w:r>
      <w:r>
        <w:fldChar w:fldCharType="end"/>
      </w:r>
      <w:r w:rsidR="004A6C30">
        <w:t xml:space="preserve"> summarises applications where an assessment had occurred (at AMP or IMP), but the applicant had not progressed to an assisted death. This table specifically relates to applications not accounted for as ineligible at the AMP or IMP assessments (as per </w:t>
      </w:r>
      <w:r>
        <w:fldChar w:fldCharType="begin"/>
      </w:r>
      <w:r>
        <w:instrText xml:space="preserve"> REF _Ref138344670 \h </w:instrText>
      </w:r>
      <w:r>
        <w:fldChar w:fldCharType="separate"/>
      </w:r>
      <w:r w:rsidR="00A345F8">
        <w:t xml:space="preserve">Table </w:t>
      </w:r>
      <w:r w:rsidR="00A345F8">
        <w:rPr>
          <w:noProof/>
        </w:rPr>
        <w:t>3</w:t>
      </w:r>
      <w:r>
        <w:fldChar w:fldCharType="end"/>
      </w:r>
      <w:r w:rsidR="004A6C30">
        <w:t>). Additionally, this table includes applications which are still open at the time of review and are therefore not associated with a known outcome.</w:t>
      </w:r>
    </w:p>
    <w:p w14:paraId="0BF99B33" w14:textId="77777777" w:rsidR="004A6C30" w:rsidRDefault="004A6C30" w:rsidP="004A6C30"/>
    <w:p w14:paraId="703BDE5E" w14:textId="3867021A" w:rsidR="004A6C30" w:rsidRDefault="004A6C30" w:rsidP="004A6C30">
      <w:r>
        <w:t>There are several reasons why an individual may not continue their application to an assisted death. These include being found ineligible following a prior eligible outcome or becoming unable to make an informed decision/give consent. Individuals may also withdraw their application or die of an underlying condition/terminal illness at any point during the application process or before their scheduled assisted death. Furthermore, individual applications may be found non-compliant with the Act during final review before an assisted death may occur.</w:t>
      </w:r>
    </w:p>
    <w:p w14:paraId="62C87E14" w14:textId="77777777" w:rsidR="004A6C30" w:rsidRDefault="004A6C30" w:rsidP="004A6C30"/>
    <w:p w14:paraId="3CA189E9" w14:textId="620B25A2" w:rsidR="004A6C30" w:rsidRDefault="004A6C30" w:rsidP="004A6C30">
      <w:pPr>
        <w:pStyle w:val="Table"/>
      </w:pPr>
      <w:bookmarkStart w:id="75" w:name="_Ref138345125"/>
      <w:bookmarkStart w:id="76" w:name="_Toc138428971"/>
      <w:r>
        <w:t xml:space="preserve">Table </w:t>
      </w:r>
      <w:r w:rsidR="00161918">
        <w:fldChar w:fldCharType="begin"/>
      </w:r>
      <w:r w:rsidR="00161918">
        <w:instrText xml:space="preserve"> SEQ Table \* ARABIC </w:instrText>
      </w:r>
      <w:r w:rsidR="00161918">
        <w:fldChar w:fldCharType="separate"/>
      </w:r>
      <w:r w:rsidR="00A345F8">
        <w:rPr>
          <w:noProof/>
        </w:rPr>
        <w:t>4</w:t>
      </w:r>
      <w:r w:rsidR="00161918">
        <w:rPr>
          <w:noProof/>
        </w:rPr>
        <w:fldChar w:fldCharType="end"/>
      </w:r>
      <w:bookmarkEnd w:id="75"/>
      <w:r>
        <w:t>: Assessment outcomes</w:t>
      </w:r>
      <w:bookmarkEnd w:id="76"/>
    </w:p>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5665"/>
        <w:gridCol w:w="2404"/>
      </w:tblGrid>
      <w:tr w:rsidR="004A6C30" w14:paraId="5607CEE9" w14:textId="77777777" w:rsidTr="00AA2D21">
        <w:tc>
          <w:tcPr>
            <w:tcW w:w="5665" w:type="dxa"/>
            <w:tcBorders>
              <w:top w:val="nil"/>
              <w:bottom w:val="nil"/>
            </w:tcBorders>
            <w:shd w:val="clear" w:color="auto" w:fill="D9D9D9" w:themeFill="background1" w:themeFillShade="D9"/>
          </w:tcPr>
          <w:p w14:paraId="6A83BBCC" w14:textId="77777777" w:rsidR="004A6C30" w:rsidRPr="004A6C30" w:rsidRDefault="004A6C30" w:rsidP="004A6C30">
            <w:pPr>
              <w:pStyle w:val="TableText"/>
              <w:rPr>
                <w:b/>
                <w:bCs/>
              </w:rPr>
            </w:pPr>
          </w:p>
        </w:tc>
        <w:tc>
          <w:tcPr>
            <w:tcW w:w="2404" w:type="dxa"/>
            <w:tcBorders>
              <w:top w:val="nil"/>
              <w:bottom w:val="nil"/>
            </w:tcBorders>
            <w:shd w:val="clear" w:color="auto" w:fill="D9D9D9" w:themeFill="background1" w:themeFillShade="D9"/>
          </w:tcPr>
          <w:p w14:paraId="5AC86CEE" w14:textId="261362A8" w:rsidR="004A6C30" w:rsidRPr="004A6C30" w:rsidRDefault="004A6C30" w:rsidP="004A6C30">
            <w:pPr>
              <w:pStyle w:val="TableText"/>
              <w:rPr>
                <w:b/>
                <w:bCs/>
              </w:rPr>
            </w:pPr>
            <w:r w:rsidRPr="004A6C30">
              <w:rPr>
                <w:b/>
                <w:bCs/>
              </w:rPr>
              <w:t>Number of assessments</w:t>
            </w:r>
          </w:p>
        </w:tc>
      </w:tr>
      <w:tr w:rsidR="004A6C30" w14:paraId="31283CA5" w14:textId="77777777" w:rsidTr="00AA2D21">
        <w:tc>
          <w:tcPr>
            <w:tcW w:w="5665" w:type="dxa"/>
            <w:tcBorders>
              <w:top w:val="nil"/>
            </w:tcBorders>
          </w:tcPr>
          <w:p w14:paraId="0499A26E" w14:textId="50BC976E" w:rsidR="004A6C30" w:rsidRDefault="004A6C30" w:rsidP="004A6C30">
            <w:pPr>
              <w:pStyle w:val="TableText"/>
            </w:pPr>
            <w:r w:rsidRPr="00666005">
              <w:t>Died in process</w:t>
            </w:r>
          </w:p>
        </w:tc>
        <w:tc>
          <w:tcPr>
            <w:tcW w:w="2404" w:type="dxa"/>
            <w:tcBorders>
              <w:top w:val="nil"/>
            </w:tcBorders>
          </w:tcPr>
          <w:p w14:paraId="14F90B03" w14:textId="6E0A2CFA" w:rsidR="004A6C30" w:rsidRDefault="004A6C30" w:rsidP="004A6C30">
            <w:pPr>
              <w:pStyle w:val="TableText"/>
            </w:pPr>
            <w:r w:rsidRPr="00666005">
              <w:t>202</w:t>
            </w:r>
          </w:p>
        </w:tc>
      </w:tr>
      <w:tr w:rsidR="004A6C30" w14:paraId="63A2BDF5" w14:textId="77777777" w:rsidTr="00AA2D21">
        <w:tc>
          <w:tcPr>
            <w:tcW w:w="5665" w:type="dxa"/>
          </w:tcPr>
          <w:p w14:paraId="6FAB5583" w14:textId="176C60BE" w:rsidR="004A6C30" w:rsidRDefault="004A6C30" w:rsidP="004A6C30">
            <w:pPr>
              <w:pStyle w:val="TableText"/>
            </w:pPr>
            <w:r w:rsidRPr="00666005">
              <w:t>Lost competence</w:t>
            </w:r>
          </w:p>
        </w:tc>
        <w:tc>
          <w:tcPr>
            <w:tcW w:w="2404" w:type="dxa"/>
          </w:tcPr>
          <w:p w14:paraId="1AFC7F0C" w14:textId="33C81E7C" w:rsidR="004A6C30" w:rsidRDefault="004A6C30" w:rsidP="004A6C30">
            <w:pPr>
              <w:pStyle w:val="TableText"/>
            </w:pPr>
            <w:r w:rsidRPr="00666005">
              <w:t>48</w:t>
            </w:r>
          </w:p>
        </w:tc>
      </w:tr>
      <w:tr w:rsidR="004A6C30" w14:paraId="3FDD0342" w14:textId="77777777" w:rsidTr="00AA2D21">
        <w:tc>
          <w:tcPr>
            <w:tcW w:w="5665" w:type="dxa"/>
          </w:tcPr>
          <w:p w14:paraId="755E4E98" w14:textId="1F463D23" w:rsidR="004A6C30" w:rsidRDefault="004A6C30" w:rsidP="004A6C30">
            <w:pPr>
              <w:pStyle w:val="TableText"/>
            </w:pPr>
            <w:r w:rsidRPr="00666005">
              <w:t>Lost eligibility</w:t>
            </w:r>
          </w:p>
        </w:tc>
        <w:tc>
          <w:tcPr>
            <w:tcW w:w="2404" w:type="dxa"/>
          </w:tcPr>
          <w:p w14:paraId="3DFA2151" w14:textId="64A42322" w:rsidR="004A6C30" w:rsidRDefault="004A6C30" w:rsidP="004A6C30">
            <w:pPr>
              <w:pStyle w:val="TableText"/>
            </w:pPr>
            <w:r w:rsidRPr="00666005">
              <w:t>5</w:t>
            </w:r>
          </w:p>
        </w:tc>
      </w:tr>
      <w:tr w:rsidR="004A6C30" w14:paraId="3AD4D743" w14:textId="77777777" w:rsidTr="00AA2D21">
        <w:tc>
          <w:tcPr>
            <w:tcW w:w="5665" w:type="dxa"/>
          </w:tcPr>
          <w:p w14:paraId="1CD2C4DC" w14:textId="07E4AAC5" w:rsidR="004A6C30" w:rsidRDefault="004A6C30" w:rsidP="004A6C30">
            <w:pPr>
              <w:pStyle w:val="TableText"/>
            </w:pPr>
            <w:r w:rsidRPr="00666005">
              <w:t>Decided to withdraw</w:t>
            </w:r>
          </w:p>
        </w:tc>
        <w:tc>
          <w:tcPr>
            <w:tcW w:w="2404" w:type="dxa"/>
          </w:tcPr>
          <w:p w14:paraId="5CD6E325" w14:textId="6A77EBC1" w:rsidR="004A6C30" w:rsidRDefault="004A6C30" w:rsidP="004A6C30">
            <w:pPr>
              <w:pStyle w:val="TableText"/>
            </w:pPr>
            <w:r w:rsidRPr="00666005">
              <w:t>17</w:t>
            </w:r>
          </w:p>
        </w:tc>
      </w:tr>
      <w:tr w:rsidR="004A6C30" w14:paraId="5ACCCB6B" w14:textId="77777777" w:rsidTr="00AA2D21">
        <w:tc>
          <w:tcPr>
            <w:tcW w:w="5665" w:type="dxa"/>
          </w:tcPr>
          <w:p w14:paraId="1252F07F" w14:textId="159C410E" w:rsidR="004A6C30" w:rsidRDefault="004A6C30" w:rsidP="004A6C30">
            <w:pPr>
              <w:pStyle w:val="TableText"/>
            </w:pPr>
            <w:r w:rsidRPr="00666005">
              <w:t>Application found to be not compliant with the Act at final review</w:t>
            </w:r>
          </w:p>
        </w:tc>
        <w:tc>
          <w:tcPr>
            <w:tcW w:w="2404" w:type="dxa"/>
          </w:tcPr>
          <w:p w14:paraId="12E0F2BC" w14:textId="267865D1" w:rsidR="004A6C30" w:rsidRDefault="004A6C30" w:rsidP="004A6C30">
            <w:pPr>
              <w:pStyle w:val="TableText"/>
            </w:pPr>
            <w:r w:rsidRPr="00666005">
              <w:t>4</w:t>
            </w:r>
          </w:p>
        </w:tc>
      </w:tr>
      <w:tr w:rsidR="004A6C30" w14:paraId="7890C100" w14:textId="77777777" w:rsidTr="00AA2D21">
        <w:tc>
          <w:tcPr>
            <w:tcW w:w="5665" w:type="dxa"/>
          </w:tcPr>
          <w:p w14:paraId="7DA4BFC1" w14:textId="73E6D173" w:rsidR="004A6C30" w:rsidRDefault="004A6C30" w:rsidP="004A6C30">
            <w:pPr>
              <w:pStyle w:val="TableText"/>
            </w:pPr>
            <w:r w:rsidRPr="00666005">
              <w:t>Application is still open at the time of review</w:t>
            </w:r>
          </w:p>
        </w:tc>
        <w:tc>
          <w:tcPr>
            <w:tcW w:w="2404" w:type="dxa"/>
          </w:tcPr>
          <w:p w14:paraId="345D40EE" w14:textId="78FE1066" w:rsidR="004A6C30" w:rsidRDefault="004A6C30" w:rsidP="004A6C30">
            <w:pPr>
              <w:pStyle w:val="TableText"/>
            </w:pPr>
            <w:r w:rsidRPr="00666005">
              <w:t>111</w:t>
            </w:r>
          </w:p>
        </w:tc>
      </w:tr>
    </w:tbl>
    <w:p w14:paraId="6F204DED" w14:textId="77777777" w:rsidR="004A6C30" w:rsidRDefault="004A6C30" w:rsidP="004A6C30">
      <w:pPr>
        <w:pStyle w:val="Table"/>
      </w:pPr>
    </w:p>
    <w:p w14:paraId="372D56B2" w14:textId="77777777" w:rsidR="00AA2D21" w:rsidRDefault="00AA2D21" w:rsidP="00AA2D21">
      <w:pPr>
        <w:sectPr w:rsidR="00AA2D21" w:rsidSect="002C303B">
          <w:pgSz w:w="11907" w:h="16834" w:code="9"/>
          <w:pgMar w:top="1418" w:right="1701" w:bottom="1134" w:left="1843" w:header="284" w:footer="425" w:gutter="284"/>
          <w:cols w:space="720"/>
        </w:sectPr>
      </w:pPr>
    </w:p>
    <w:p w14:paraId="6163B3A4" w14:textId="77777777" w:rsidR="00AA2D21" w:rsidRDefault="00AA2D21" w:rsidP="00AA2D21">
      <w:pPr>
        <w:pStyle w:val="Heading1"/>
        <w:spacing w:before="0"/>
      </w:pPr>
      <w:bookmarkStart w:id="77" w:name="_Toc103085574"/>
      <w:bookmarkStart w:id="78" w:name="_Toc103606338"/>
      <w:bookmarkStart w:id="79" w:name="_Toc104460688"/>
      <w:bookmarkStart w:id="80" w:name="_Toc106611880"/>
      <w:bookmarkStart w:id="81" w:name="_Toc138428958"/>
      <w:r w:rsidRPr="537D20A4">
        <w:lastRenderedPageBreak/>
        <w:t>Assisted dying workforce</w:t>
      </w:r>
      <w:bookmarkEnd w:id="77"/>
      <w:bookmarkEnd w:id="78"/>
      <w:bookmarkEnd w:id="79"/>
      <w:bookmarkEnd w:id="80"/>
      <w:bookmarkEnd w:id="81"/>
    </w:p>
    <w:p w14:paraId="48EF97A2" w14:textId="77777777" w:rsidR="00AA2D21" w:rsidRPr="006F5F43" w:rsidRDefault="00AA2D21" w:rsidP="00AA2D21">
      <w:r>
        <w:t xml:space="preserve">The Act enables any willing medical practitioner, nurse practitioner or psychiatrist to choose to provide assisted dying services as described in the legislation. The practitioners involved in providing assisted dying services are from a diverse range of backgrounds. </w:t>
      </w:r>
    </w:p>
    <w:p w14:paraId="2A9901C3" w14:textId="77777777" w:rsidR="00AA2D21" w:rsidRPr="006F5F43" w:rsidRDefault="00AA2D21" w:rsidP="00AA2D21"/>
    <w:p w14:paraId="4AE55C7F" w14:textId="77777777" w:rsidR="00AA2D21" w:rsidRPr="006F5F43" w:rsidRDefault="00AA2D21" w:rsidP="00AA2D21">
      <w:r w:rsidRPr="006F5F43">
        <w:t xml:space="preserve">Ensuring the workforce represents the diversity of </w:t>
      </w:r>
      <w:r>
        <w:t xml:space="preserve">Aotearoa </w:t>
      </w:r>
      <w:r w:rsidRPr="006F5F43">
        <w:t>New Zealand, including increasing the number of Māori practitioners</w:t>
      </w:r>
      <w:r>
        <w:t>,</w:t>
      </w:r>
      <w:r w:rsidRPr="006F5F43">
        <w:t xml:space="preserve"> remains a focus for both Manatū Hauora and </w:t>
      </w:r>
      <w:proofErr w:type="spellStart"/>
      <w:r w:rsidRPr="006F5F43">
        <w:t>Te</w:t>
      </w:r>
      <w:proofErr w:type="spellEnd"/>
      <w:r w:rsidRPr="006F5F43">
        <w:t xml:space="preserve"> </w:t>
      </w:r>
      <w:proofErr w:type="spellStart"/>
      <w:r w:rsidRPr="006F5F43">
        <w:t>Whatu</w:t>
      </w:r>
      <w:proofErr w:type="spellEnd"/>
      <w:r w:rsidRPr="006F5F43">
        <w:t xml:space="preserve"> Ora. Cultural safety of the practitioners providing assisted dying services is a priority as this underpins good practice. </w:t>
      </w:r>
    </w:p>
    <w:p w14:paraId="5C1A58FD" w14:textId="77777777" w:rsidR="00AA2D21" w:rsidRPr="006F5F43" w:rsidRDefault="00AA2D21" w:rsidP="00AA2D21"/>
    <w:p w14:paraId="79D4CE7A" w14:textId="77777777" w:rsidR="00AA2D21" w:rsidRDefault="00AA2D21" w:rsidP="00AA2D21">
      <w:r w:rsidRPr="006F5F43">
        <w:t>Whether to provide assisted dying services is an individual and personal choice. Every health practitioner has the right to conscientiously object to being involved in the service. However, this does not absolve them of thei</w:t>
      </w:r>
      <w:r w:rsidRPr="49027C90">
        <w:t xml:space="preserve">r obligations under the </w:t>
      </w:r>
      <w:hyperlink r:id="rId51">
        <w:r w:rsidRPr="49027C90">
          <w:rPr>
            <w:rStyle w:val="Hyperlink"/>
            <w:rFonts w:cs="Segoe UI"/>
          </w:rPr>
          <w:t>Code of Health and Disability Services Consumers’ Rights</w:t>
        </w:r>
      </w:hyperlink>
      <w:r w:rsidRPr="49027C90">
        <w:t xml:space="preserve">. </w:t>
      </w:r>
    </w:p>
    <w:p w14:paraId="74022616" w14:textId="77777777" w:rsidR="00AA2D21" w:rsidRPr="00EF67EB" w:rsidRDefault="00AA2D21" w:rsidP="00AA2D21">
      <w:pPr>
        <w:pStyle w:val="Heading2"/>
      </w:pPr>
      <w:bookmarkStart w:id="82" w:name="_Toc103085575"/>
      <w:bookmarkStart w:id="83" w:name="_Toc103606340"/>
      <w:bookmarkStart w:id="84" w:name="_Toc104460690"/>
      <w:bookmarkStart w:id="85" w:name="_Toc106611881"/>
      <w:bookmarkStart w:id="86" w:name="_Toc138428959"/>
      <w:r w:rsidRPr="00EF67EB">
        <w:t>SCENZ Group practitioner lists</w:t>
      </w:r>
      <w:bookmarkEnd w:id="82"/>
      <w:bookmarkEnd w:id="83"/>
      <w:bookmarkEnd w:id="84"/>
      <w:bookmarkEnd w:id="85"/>
      <w:bookmarkEnd w:id="86"/>
    </w:p>
    <w:p w14:paraId="117C1F4B" w14:textId="77777777" w:rsidR="00AA2D21" w:rsidRPr="00EF67EB" w:rsidRDefault="00AA2D21" w:rsidP="00AA2D21">
      <w:r w:rsidRPr="00EF67EB">
        <w:t xml:space="preserve">The SCENZ Group holds lists of practitioners willing to be an attending medical or nurse practitioner, independent medical practitioner, or psychiatrist in the assisted dying process. </w:t>
      </w:r>
    </w:p>
    <w:p w14:paraId="61C9391D" w14:textId="77777777" w:rsidR="00AA2D21" w:rsidRPr="00EF67EB" w:rsidRDefault="00AA2D21" w:rsidP="00AA2D21"/>
    <w:p w14:paraId="7FA10890" w14:textId="77777777" w:rsidR="00AA2D21" w:rsidRPr="00EF67EB" w:rsidRDefault="00AA2D21" w:rsidP="00AA2D21">
      <w:r w:rsidRPr="00EF67EB">
        <w:t xml:space="preserve">Medical practitioners can be on the SCENZ list for more than one role, depending on their scope of practice (AMP, IMP, Psychiatrist). The SCENZ group also holds a list of Nurse Practitioners. For more information about the SCENZ group and practitioner roles, please refer to </w:t>
      </w:r>
      <w:r>
        <w:t xml:space="preserve">the </w:t>
      </w:r>
      <w:hyperlink r:id="rId52" w:history="1">
        <w:r w:rsidRPr="004069B9">
          <w:rPr>
            <w:rStyle w:val="Hyperlink"/>
          </w:rPr>
          <w:t>Ministry’s website.</w:t>
        </w:r>
      </w:hyperlink>
      <w:r w:rsidRPr="00EF67EB">
        <w:rPr>
          <w:szCs w:val="21"/>
        </w:rPr>
        <w:t xml:space="preserve"> </w:t>
      </w:r>
      <w:r w:rsidRPr="00EF67EB">
        <w:rPr>
          <w:szCs w:val="21"/>
          <w:shd w:val="clear" w:color="auto" w:fill="FFFFFF"/>
        </w:rPr>
        <w:t>The SCENZ lists and information they contain are held securely and practitioners’ details are only provided with their permission.</w:t>
      </w:r>
      <w:r w:rsidRPr="00EF67EB">
        <w:rPr>
          <w:rFonts w:ascii="Arial" w:hAnsi="Arial" w:cs="Arial"/>
          <w:sz w:val="20"/>
          <w:shd w:val="clear" w:color="auto" w:fill="FFFFFF"/>
        </w:rPr>
        <w:t xml:space="preserve"> </w:t>
      </w:r>
    </w:p>
    <w:p w14:paraId="5FD28641" w14:textId="77777777" w:rsidR="00AA2D21" w:rsidRPr="00EF67EB" w:rsidRDefault="00AA2D21" w:rsidP="00AA2D21"/>
    <w:p w14:paraId="2A7554E4" w14:textId="77777777" w:rsidR="00AA2D21" w:rsidRPr="00EF67EB" w:rsidRDefault="00AA2D21" w:rsidP="00AA2D21">
      <w:r w:rsidRPr="00EF67EB">
        <w:t>A growing number of health practitioners have chosen to provide services as an AMP for their own patients without registering to be included as a SCENZ member</w:t>
      </w:r>
      <w:r>
        <w:t>, and this is our fastest growing workforce</w:t>
      </w:r>
      <w:r w:rsidRPr="00EF67EB">
        <w:t xml:space="preserve">. Some of these health practitioners have subsequently chosen to join the SCENZ </w:t>
      </w:r>
      <w:r>
        <w:t>list</w:t>
      </w:r>
      <w:r w:rsidRPr="00EF67EB">
        <w:t>, and to make themselves available to additional patients.</w:t>
      </w:r>
    </w:p>
    <w:p w14:paraId="72466A2B" w14:textId="77777777" w:rsidR="00AA2D21" w:rsidRPr="00EF67EB" w:rsidRDefault="00AA2D21" w:rsidP="00AA2D21"/>
    <w:p w14:paraId="1263EE6F" w14:textId="77777777" w:rsidR="00AA2D21" w:rsidRPr="00EF67EB" w:rsidRDefault="00AA2D21" w:rsidP="00AA2D21">
      <w:r>
        <w:t xml:space="preserve">As of 31 March 2023, 148 practitioners are registered to be on the SCENZ lists. Sixty-nine practitioners have elected to perform both the attending medical practitioner (AMP) and independent medical practitioner (IMP) roles. The breakdown of roles is as follows: </w:t>
      </w:r>
    </w:p>
    <w:p w14:paraId="1EBEC0B7" w14:textId="77777777" w:rsidR="00AA2D21" w:rsidRPr="00D1636A" w:rsidRDefault="00AA2D21" w:rsidP="00AA2D21">
      <w:pPr>
        <w:pStyle w:val="Bullet"/>
      </w:pPr>
      <w:r w:rsidRPr="00D1636A">
        <w:t>103 registered to be an attending medical practitioner</w:t>
      </w:r>
    </w:p>
    <w:p w14:paraId="16F3DC4A" w14:textId="77777777" w:rsidR="00AA2D21" w:rsidRPr="00D1636A" w:rsidRDefault="00AA2D21" w:rsidP="00AA2D21">
      <w:pPr>
        <w:pStyle w:val="Bullet"/>
      </w:pPr>
      <w:r w:rsidRPr="00D1636A">
        <w:t>88 registered to be an independent medical practitioner</w:t>
      </w:r>
    </w:p>
    <w:p w14:paraId="2456B204" w14:textId="77777777" w:rsidR="00AA2D21" w:rsidRDefault="00AA2D21" w:rsidP="00AA2D21">
      <w:pPr>
        <w:pStyle w:val="Bullet"/>
      </w:pPr>
      <w:r w:rsidRPr="009C757D">
        <w:t xml:space="preserve">13 registered to be a psychiatrist </w:t>
      </w:r>
    </w:p>
    <w:p w14:paraId="2CF80099" w14:textId="77777777" w:rsidR="00AA2D21" w:rsidRPr="009C757D" w:rsidRDefault="00AA2D21" w:rsidP="00AA2D21">
      <w:pPr>
        <w:pStyle w:val="Bullet"/>
      </w:pPr>
      <w:r w:rsidRPr="009C757D">
        <w:t>13 reg</w:t>
      </w:r>
      <w:r>
        <w:t xml:space="preserve">istered to be an attending nurse practitioner. </w:t>
      </w:r>
    </w:p>
    <w:p w14:paraId="413BA973" w14:textId="77777777" w:rsidR="00AA2D21" w:rsidRPr="00940B54" w:rsidRDefault="00AA2D21" w:rsidP="00AA2D21">
      <w:pPr>
        <w:pStyle w:val="Bullet"/>
        <w:numPr>
          <w:ilvl w:val="0"/>
          <w:numId w:val="0"/>
        </w:numPr>
        <w:rPr>
          <w:highlight w:val="yellow"/>
        </w:rPr>
      </w:pPr>
    </w:p>
    <w:p w14:paraId="28E07FA3" w14:textId="77777777" w:rsidR="00AA2D21" w:rsidRPr="00940B54" w:rsidRDefault="00AA2D21" w:rsidP="00AA2D21">
      <w:pPr>
        <w:rPr>
          <w:highlight w:val="yellow"/>
        </w:rPr>
      </w:pPr>
    </w:p>
    <w:p w14:paraId="478D6868" w14:textId="77777777" w:rsidR="00AA2D21" w:rsidRPr="00940B54" w:rsidRDefault="00AA2D21" w:rsidP="00AA2D21">
      <w:pPr>
        <w:pStyle w:val="Table"/>
        <w:rPr>
          <w:highlight w:val="yellow"/>
        </w:rPr>
        <w:sectPr w:rsidR="00AA2D21" w:rsidRPr="00940B54" w:rsidSect="008A3CD6">
          <w:pgSz w:w="11907" w:h="16834" w:code="9"/>
          <w:pgMar w:top="1418" w:right="1701" w:bottom="1134" w:left="1843" w:header="284" w:footer="425" w:gutter="284"/>
          <w:cols w:space="720"/>
          <w:docGrid w:linePitch="286"/>
        </w:sectPr>
      </w:pPr>
    </w:p>
    <w:p w14:paraId="16EB2F9B" w14:textId="19991492" w:rsidR="00AA2D21" w:rsidRPr="008C37D1" w:rsidRDefault="00AA2D21" w:rsidP="00AA2D21">
      <w:pPr>
        <w:pStyle w:val="Table"/>
      </w:pPr>
      <w:bookmarkStart w:id="87" w:name="_Toc106611894"/>
      <w:bookmarkStart w:id="88" w:name="_Toc138428972"/>
      <w:r>
        <w:lastRenderedPageBreak/>
        <w:t xml:space="preserve">Table </w:t>
      </w:r>
      <w:r w:rsidR="00161918">
        <w:fldChar w:fldCharType="begin"/>
      </w:r>
      <w:r w:rsidR="00161918">
        <w:instrText xml:space="preserve"> SEQ Table \* ARABIC </w:instrText>
      </w:r>
      <w:r w:rsidR="00161918">
        <w:fldChar w:fldCharType="separate"/>
      </w:r>
      <w:r w:rsidR="00A345F8">
        <w:rPr>
          <w:noProof/>
        </w:rPr>
        <w:t>5</w:t>
      </w:r>
      <w:r w:rsidR="00161918">
        <w:rPr>
          <w:noProof/>
        </w:rPr>
        <w:fldChar w:fldCharType="end"/>
      </w:r>
      <w:r>
        <w:t xml:space="preserve">: </w:t>
      </w:r>
      <w:r w:rsidRPr="008C37D1">
        <w:t>Count of practitioners by role and region as of 31 March 202</w:t>
      </w:r>
      <w:bookmarkEnd w:id="87"/>
      <w:r>
        <w:t>3</w:t>
      </w:r>
      <w:bookmarkEnd w:id="88"/>
    </w:p>
    <w:p w14:paraId="5F8013CB" w14:textId="323FED2F" w:rsidR="00AA2D21" w:rsidRPr="00AA2D21" w:rsidRDefault="00AA2D21" w:rsidP="00AA2D21">
      <w:pPr>
        <w:pStyle w:val="Note"/>
        <w:ind w:right="-285"/>
      </w:pPr>
      <w:r w:rsidRPr="00AA2D21">
        <w:t>*Note: Due to low numbers, precise numbers by region of Nurse Practitioners and Psychiatrists are</w:t>
      </w:r>
      <w:r>
        <w:t xml:space="preserve"> </w:t>
      </w:r>
      <w:r w:rsidRPr="00AA2D21">
        <w:t>suppressed.</w:t>
      </w:r>
    </w:p>
    <w:tbl>
      <w:tblPr>
        <w:tblStyle w:val="TableGrid"/>
        <w:tblpPr w:leftFromText="180" w:rightFromText="180" w:vertAnchor="page" w:horzAnchor="margin" w:tblpY="1786"/>
        <w:tblW w:w="8364"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947"/>
        <w:gridCol w:w="1947"/>
        <w:gridCol w:w="1952"/>
        <w:gridCol w:w="1109"/>
        <w:gridCol w:w="1188"/>
        <w:gridCol w:w="1221"/>
      </w:tblGrid>
      <w:tr w:rsidR="00AA2D21" w:rsidRPr="00AA2D21" w14:paraId="738EF927" w14:textId="77777777" w:rsidTr="00AA2D21">
        <w:trPr>
          <w:tblHeader/>
        </w:trPr>
        <w:tc>
          <w:tcPr>
            <w:tcW w:w="851" w:type="dxa"/>
            <w:tcBorders>
              <w:top w:val="nil"/>
              <w:bottom w:val="nil"/>
            </w:tcBorders>
            <w:shd w:val="clear" w:color="auto" w:fill="D9D9D9" w:themeFill="background1" w:themeFillShade="D9"/>
          </w:tcPr>
          <w:p w14:paraId="64B89B26" w14:textId="77777777" w:rsidR="00AA2D21" w:rsidRPr="00AA2D21" w:rsidRDefault="00AA2D21" w:rsidP="00AA2D21">
            <w:pPr>
              <w:pStyle w:val="TableText"/>
              <w:rPr>
                <w:b/>
                <w:bCs/>
              </w:rPr>
            </w:pPr>
            <w:r w:rsidRPr="00AA2D21">
              <w:rPr>
                <w:b/>
                <w:bCs/>
              </w:rPr>
              <w:t>Region</w:t>
            </w:r>
          </w:p>
        </w:tc>
        <w:tc>
          <w:tcPr>
            <w:tcW w:w="1985" w:type="dxa"/>
            <w:tcBorders>
              <w:top w:val="nil"/>
              <w:bottom w:val="nil"/>
            </w:tcBorders>
            <w:shd w:val="clear" w:color="auto" w:fill="D9D9D9" w:themeFill="background1" w:themeFillShade="D9"/>
            <w:vAlign w:val="center"/>
          </w:tcPr>
          <w:p w14:paraId="1924FB2A" w14:textId="485958D9" w:rsidR="00AA2D21" w:rsidRPr="00AA2D21" w:rsidRDefault="00AA2D21" w:rsidP="00AA2D21">
            <w:pPr>
              <w:pStyle w:val="TableText"/>
              <w:jc w:val="center"/>
              <w:rPr>
                <w:b/>
                <w:bCs/>
              </w:rPr>
            </w:pPr>
            <w:r w:rsidRPr="00AA2D21">
              <w:rPr>
                <w:b/>
                <w:bCs/>
              </w:rPr>
              <w:t xml:space="preserve">Attending </w:t>
            </w:r>
            <w:r>
              <w:rPr>
                <w:b/>
                <w:bCs/>
              </w:rPr>
              <w:br/>
            </w:r>
            <w:r w:rsidRPr="00AA2D21">
              <w:rPr>
                <w:b/>
                <w:bCs/>
              </w:rPr>
              <w:t>medical practitioner</w:t>
            </w:r>
          </w:p>
        </w:tc>
        <w:tc>
          <w:tcPr>
            <w:tcW w:w="1985" w:type="dxa"/>
            <w:tcBorders>
              <w:top w:val="nil"/>
              <w:bottom w:val="nil"/>
            </w:tcBorders>
            <w:shd w:val="clear" w:color="auto" w:fill="D9D9D9" w:themeFill="background1" w:themeFillShade="D9"/>
            <w:vAlign w:val="center"/>
          </w:tcPr>
          <w:p w14:paraId="3AC4457D" w14:textId="77777777" w:rsidR="00AA2D21" w:rsidRPr="00AA2D21" w:rsidRDefault="00AA2D21" w:rsidP="00AA2D21">
            <w:pPr>
              <w:pStyle w:val="TableText"/>
              <w:jc w:val="center"/>
              <w:rPr>
                <w:b/>
                <w:bCs/>
              </w:rPr>
            </w:pPr>
            <w:r w:rsidRPr="00AA2D21">
              <w:rPr>
                <w:b/>
                <w:bCs/>
              </w:rPr>
              <w:t>Independent medical practitioner</w:t>
            </w:r>
          </w:p>
        </w:tc>
        <w:tc>
          <w:tcPr>
            <w:tcW w:w="1134" w:type="dxa"/>
            <w:tcBorders>
              <w:top w:val="nil"/>
              <w:bottom w:val="nil"/>
            </w:tcBorders>
            <w:shd w:val="clear" w:color="auto" w:fill="D9D9D9" w:themeFill="background1" w:themeFillShade="D9"/>
            <w:vAlign w:val="center"/>
          </w:tcPr>
          <w:p w14:paraId="16AA8DFA" w14:textId="77777777" w:rsidR="00AA2D21" w:rsidRPr="00AA2D21" w:rsidRDefault="00AA2D21" w:rsidP="00AA2D21">
            <w:pPr>
              <w:pStyle w:val="TableText"/>
              <w:jc w:val="center"/>
              <w:rPr>
                <w:b/>
                <w:bCs/>
              </w:rPr>
            </w:pPr>
            <w:r w:rsidRPr="00AA2D21">
              <w:rPr>
                <w:b/>
                <w:bCs/>
              </w:rPr>
              <w:t>Both AMP and IMP</w:t>
            </w:r>
          </w:p>
        </w:tc>
        <w:tc>
          <w:tcPr>
            <w:tcW w:w="1188" w:type="dxa"/>
            <w:tcBorders>
              <w:top w:val="nil"/>
              <w:bottom w:val="nil"/>
            </w:tcBorders>
            <w:shd w:val="clear" w:color="auto" w:fill="D9D9D9" w:themeFill="background1" w:themeFillShade="D9"/>
            <w:vAlign w:val="center"/>
          </w:tcPr>
          <w:p w14:paraId="281560D3" w14:textId="77777777" w:rsidR="00AA2D21" w:rsidRPr="00AA2D21" w:rsidRDefault="00AA2D21" w:rsidP="00AA2D21">
            <w:pPr>
              <w:pStyle w:val="TableText"/>
              <w:jc w:val="center"/>
              <w:rPr>
                <w:b/>
                <w:bCs/>
              </w:rPr>
            </w:pPr>
            <w:r w:rsidRPr="00AA2D21">
              <w:rPr>
                <w:b/>
                <w:bCs/>
              </w:rPr>
              <w:t>Psychiatrist</w:t>
            </w:r>
          </w:p>
        </w:tc>
        <w:tc>
          <w:tcPr>
            <w:tcW w:w="1221" w:type="dxa"/>
            <w:tcBorders>
              <w:top w:val="nil"/>
              <w:bottom w:val="nil"/>
            </w:tcBorders>
            <w:shd w:val="clear" w:color="auto" w:fill="D9D9D9" w:themeFill="background1" w:themeFillShade="D9"/>
            <w:vAlign w:val="center"/>
          </w:tcPr>
          <w:p w14:paraId="5730508C" w14:textId="77777777" w:rsidR="00AA2D21" w:rsidRPr="00AA2D21" w:rsidRDefault="00AA2D21" w:rsidP="00AA2D21">
            <w:pPr>
              <w:pStyle w:val="TableText"/>
              <w:jc w:val="center"/>
              <w:rPr>
                <w:b/>
                <w:bCs/>
              </w:rPr>
            </w:pPr>
            <w:r w:rsidRPr="00AA2D21">
              <w:rPr>
                <w:b/>
                <w:bCs/>
              </w:rPr>
              <w:t>Nurse practitioner</w:t>
            </w:r>
          </w:p>
        </w:tc>
      </w:tr>
      <w:tr w:rsidR="00AA2D21" w:rsidRPr="008E1B14" w14:paraId="45D9D801" w14:textId="77777777" w:rsidTr="00AA2D21">
        <w:tc>
          <w:tcPr>
            <w:tcW w:w="851" w:type="dxa"/>
            <w:tcBorders>
              <w:top w:val="nil"/>
            </w:tcBorders>
          </w:tcPr>
          <w:p w14:paraId="4EF93565" w14:textId="77777777" w:rsidR="00AA2D21" w:rsidRPr="00AA2D21" w:rsidRDefault="00AA2D21" w:rsidP="00AA2D21">
            <w:pPr>
              <w:pStyle w:val="TableText"/>
            </w:pPr>
            <w:r w:rsidRPr="00AA2D21">
              <w:t>Northern</w:t>
            </w:r>
          </w:p>
        </w:tc>
        <w:tc>
          <w:tcPr>
            <w:tcW w:w="1985" w:type="dxa"/>
            <w:tcBorders>
              <w:top w:val="nil"/>
            </w:tcBorders>
            <w:vAlign w:val="center"/>
          </w:tcPr>
          <w:p w14:paraId="498230A4" w14:textId="77777777" w:rsidR="00AA2D21" w:rsidRPr="00AA2D21" w:rsidRDefault="00AA2D21" w:rsidP="00AA2D21">
            <w:pPr>
              <w:pStyle w:val="TableText"/>
              <w:jc w:val="center"/>
            </w:pPr>
            <w:r w:rsidRPr="00AA2D21">
              <w:t>27</w:t>
            </w:r>
          </w:p>
        </w:tc>
        <w:tc>
          <w:tcPr>
            <w:tcW w:w="1985" w:type="dxa"/>
            <w:tcBorders>
              <w:top w:val="nil"/>
            </w:tcBorders>
            <w:vAlign w:val="center"/>
          </w:tcPr>
          <w:p w14:paraId="2290F253" w14:textId="77777777" w:rsidR="00AA2D21" w:rsidRPr="00AA2D21" w:rsidRDefault="00AA2D21" w:rsidP="00AA2D21">
            <w:pPr>
              <w:pStyle w:val="TableText"/>
              <w:jc w:val="center"/>
            </w:pPr>
            <w:r w:rsidRPr="00AA2D21">
              <w:t>26</w:t>
            </w:r>
          </w:p>
        </w:tc>
        <w:tc>
          <w:tcPr>
            <w:tcW w:w="1134" w:type="dxa"/>
            <w:tcBorders>
              <w:top w:val="nil"/>
            </w:tcBorders>
            <w:vAlign w:val="center"/>
          </w:tcPr>
          <w:p w14:paraId="2DAD1F76" w14:textId="77777777" w:rsidR="00AA2D21" w:rsidRPr="00AA2D21" w:rsidRDefault="00AA2D21" w:rsidP="00AA2D21">
            <w:pPr>
              <w:pStyle w:val="TableText"/>
              <w:jc w:val="center"/>
            </w:pPr>
            <w:r w:rsidRPr="00AA2D21">
              <w:t>20</w:t>
            </w:r>
          </w:p>
        </w:tc>
        <w:tc>
          <w:tcPr>
            <w:tcW w:w="1188" w:type="dxa"/>
            <w:tcBorders>
              <w:top w:val="nil"/>
            </w:tcBorders>
            <w:vAlign w:val="center"/>
          </w:tcPr>
          <w:p w14:paraId="659CCC61" w14:textId="77777777" w:rsidR="00AA2D21" w:rsidRPr="00AA2D21" w:rsidRDefault="00AA2D21" w:rsidP="00AA2D21">
            <w:pPr>
              <w:pStyle w:val="TableText"/>
              <w:jc w:val="center"/>
            </w:pPr>
            <w:r w:rsidRPr="00AA2D21">
              <w:t>S</w:t>
            </w:r>
          </w:p>
        </w:tc>
        <w:tc>
          <w:tcPr>
            <w:tcW w:w="1221" w:type="dxa"/>
            <w:tcBorders>
              <w:top w:val="nil"/>
            </w:tcBorders>
            <w:vAlign w:val="center"/>
          </w:tcPr>
          <w:p w14:paraId="4B598F43" w14:textId="77777777" w:rsidR="00AA2D21" w:rsidRPr="00AA2D21" w:rsidRDefault="00AA2D21" w:rsidP="00AA2D21">
            <w:pPr>
              <w:pStyle w:val="TableText"/>
              <w:jc w:val="center"/>
            </w:pPr>
            <w:r w:rsidRPr="00AA2D21">
              <w:t>6</w:t>
            </w:r>
          </w:p>
        </w:tc>
      </w:tr>
      <w:tr w:rsidR="00AA2D21" w:rsidRPr="008E1B14" w14:paraId="7CE27454" w14:textId="77777777" w:rsidTr="00AA2D21">
        <w:tc>
          <w:tcPr>
            <w:tcW w:w="851" w:type="dxa"/>
          </w:tcPr>
          <w:p w14:paraId="51406FF6" w14:textId="77777777" w:rsidR="00AA2D21" w:rsidRPr="00AA2D21" w:rsidRDefault="00AA2D21" w:rsidP="00AA2D21">
            <w:pPr>
              <w:pStyle w:val="TableText"/>
            </w:pPr>
            <w:r w:rsidRPr="00AA2D21">
              <w:t>Midlands</w:t>
            </w:r>
          </w:p>
        </w:tc>
        <w:tc>
          <w:tcPr>
            <w:tcW w:w="1985" w:type="dxa"/>
            <w:vAlign w:val="center"/>
          </w:tcPr>
          <w:p w14:paraId="301402CA" w14:textId="77777777" w:rsidR="00AA2D21" w:rsidRPr="00AA2D21" w:rsidRDefault="00AA2D21" w:rsidP="00AA2D21">
            <w:pPr>
              <w:pStyle w:val="TableText"/>
              <w:jc w:val="center"/>
            </w:pPr>
            <w:r w:rsidRPr="00AA2D21">
              <w:t>17</w:t>
            </w:r>
          </w:p>
        </w:tc>
        <w:tc>
          <w:tcPr>
            <w:tcW w:w="1985" w:type="dxa"/>
            <w:vAlign w:val="center"/>
          </w:tcPr>
          <w:p w14:paraId="0ABBD1BC" w14:textId="77777777" w:rsidR="00AA2D21" w:rsidRPr="00AA2D21" w:rsidRDefault="00AA2D21" w:rsidP="00AA2D21">
            <w:pPr>
              <w:pStyle w:val="TableText"/>
              <w:jc w:val="center"/>
            </w:pPr>
            <w:r w:rsidRPr="00AA2D21">
              <w:t>19</w:t>
            </w:r>
          </w:p>
        </w:tc>
        <w:tc>
          <w:tcPr>
            <w:tcW w:w="1134" w:type="dxa"/>
            <w:vAlign w:val="center"/>
          </w:tcPr>
          <w:p w14:paraId="6269BE4F" w14:textId="77777777" w:rsidR="00AA2D21" w:rsidRPr="00AA2D21" w:rsidRDefault="00AA2D21" w:rsidP="00AA2D21">
            <w:pPr>
              <w:pStyle w:val="TableText"/>
              <w:jc w:val="center"/>
            </w:pPr>
            <w:r w:rsidRPr="00AA2D21">
              <w:t>12</w:t>
            </w:r>
          </w:p>
        </w:tc>
        <w:tc>
          <w:tcPr>
            <w:tcW w:w="1188" w:type="dxa"/>
            <w:vAlign w:val="center"/>
          </w:tcPr>
          <w:p w14:paraId="0DB6D291" w14:textId="77777777" w:rsidR="00AA2D21" w:rsidRPr="00AA2D21" w:rsidRDefault="00AA2D21" w:rsidP="00AA2D21">
            <w:pPr>
              <w:pStyle w:val="TableText"/>
              <w:jc w:val="center"/>
            </w:pPr>
            <w:r w:rsidRPr="00AA2D21">
              <w:t>S</w:t>
            </w:r>
          </w:p>
        </w:tc>
        <w:tc>
          <w:tcPr>
            <w:tcW w:w="1221" w:type="dxa"/>
            <w:vAlign w:val="center"/>
          </w:tcPr>
          <w:p w14:paraId="39B8AD70" w14:textId="77777777" w:rsidR="00AA2D21" w:rsidRPr="00AA2D21" w:rsidRDefault="00AA2D21" w:rsidP="00AA2D21">
            <w:pPr>
              <w:pStyle w:val="TableText"/>
              <w:jc w:val="center"/>
            </w:pPr>
            <w:r w:rsidRPr="00AA2D21">
              <w:t>S</w:t>
            </w:r>
          </w:p>
        </w:tc>
      </w:tr>
      <w:tr w:rsidR="00AA2D21" w:rsidRPr="008E1B14" w14:paraId="4A0EA5AD" w14:textId="77777777" w:rsidTr="00AA2D21">
        <w:tc>
          <w:tcPr>
            <w:tcW w:w="851" w:type="dxa"/>
            <w:tcBorders>
              <w:bottom w:val="single" w:sz="4" w:space="0" w:color="A6A6A6" w:themeColor="background1" w:themeShade="A6"/>
            </w:tcBorders>
          </w:tcPr>
          <w:p w14:paraId="1695C822" w14:textId="77777777" w:rsidR="00AA2D21" w:rsidRPr="00AA2D21" w:rsidRDefault="00AA2D21" w:rsidP="00AA2D21">
            <w:pPr>
              <w:pStyle w:val="TableText"/>
            </w:pPr>
            <w:r w:rsidRPr="00AA2D21">
              <w:t>Central</w:t>
            </w:r>
          </w:p>
        </w:tc>
        <w:tc>
          <w:tcPr>
            <w:tcW w:w="1985" w:type="dxa"/>
            <w:tcBorders>
              <w:bottom w:val="single" w:sz="4" w:space="0" w:color="A6A6A6" w:themeColor="background1" w:themeShade="A6"/>
            </w:tcBorders>
            <w:vAlign w:val="center"/>
          </w:tcPr>
          <w:p w14:paraId="0B2B7F85" w14:textId="77777777" w:rsidR="00AA2D21" w:rsidRPr="00AA2D21" w:rsidRDefault="00AA2D21" w:rsidP="00AA2D21">
            <w:pPr>
              <w:pStyle w:val="TableText"/>
              <w:jc w:val="center"/>
            </w:pPr>
            <w:r w:rsidRPr="00AA2D21">
              <w:t>24</w:t>
            </w:r>
          </w:p>
        </w:tc>
        <w:tc>
          <w:tcPr>
            <w:tcW w:w="1985" w:type="dxa"/>
            <w:tcBorders>
              <w:bottom w:val="single" w:sz="4" w:space="0" w:color="A6A6A6" w:themeColor="background1" w:themeShade="A6"/>
            </w:tcBorders>
            <w:vAlign w:val="center"/>
          </w:tcPr>
          <w:p w14:paraId="1EC7C984" w14:textId="77777777" w:rsidR="00AA2D21" w:rsidRPr="00AA2D21" w:rsidRDefault="00AA2D21" w:rsidP="00AA2D21">
            <w:pPr>
              <w:pStyle w:val="TableText"/>
              <w:jc w:val="center"/>
            </w:pPr>
            <w:r w:rsidRPr="00AA2D21">
              <w:t>16</w:t>
            </w:r>
          </w:p>
        </w:tc>
        <w:tc>
          <w:tcPr>
            <w:tcW w:w="1134" w:type="dxa"/>
            <w:tcBorders>
              <w:bottom w:val="single" w:sz="4" w:space="0" w:color="A6A6A6" w:themeColor="background1" w:themeShade="A6"/>
            </w:tcBorders>
            <w:vAlign w:val="center"/>
          </w:tcPr>
          <w:p w14:paraId="718A8945" w14:textId="77777777" w:rsidR="00AA2D21" w:rsidRPr="00AA2D21" w:rsidRDefault="00AA2D21" w:rsidP="00AA2D21">
            <w:pPr>
              <w:pStyle w:val="TableText"/>
              <w:jc w:val="center"/>
            </w:pPr>
            <w:r w:rsidRPr="00AA2D21">
              <w:t>15</w:t>
            </w:r>
          </w:p>
        </w:tc>
        <w:tc>
          <w:tcPr>
            <w:tcW w:w="1188" w:type="dxa"/>
            <w:tcBorders>
              <w:bottom w:val="single" w:sz="4" w:space="0" w:color="A6A6A6" w:themeColor="background1" w:themeShade="A6"/>
            </w:tcBorders>
            <w:vAlign w:val="center"/>
          </w:tcPr>
          <w:p w14:paraId="6AC0FE5F" w14:textId="77777777" w:rsidR="00AA2D21" w:rsidRPr="00AA2D21" w:rsidRDefault="00AA2D21" w:rsidP="00AA2D21">
            <w:pPr>
              <w:pStyle w:val="TableText"/>
              <w:jc w:val="center"/>
            </w:pPr>
            <w:r w:rsidRPr="00AA2D21">
              <w:t>S</w:t>
            </w:r>
          </w:p>
        </w:tc>
        <w:tc>
          <w:tcPr>
            <w:tcW w:w="1221" w:type="dxa"/>
            <w:tcBorders>
              <w:bottom w:val="single" w:sz="4" w:space="0" w:color="A6A6A6" w:themeColor="background1" w:themeShade="A6"/>
            </w:tcBorders>
            <w:vAlign w:val="center"/>
          </w:tcPr>
          <w:p w14:paraId="08EB6858" w14:textId="77777777" w:rsidR="00AA2D21" w:rsidRPr="00AA2D21" w:rsidRDefault="00AA2D21" w:rsidP="00AA2D21">
            <w:pPr>
              <w:pStyle w:val="TableText"/>
              <w:jc w:val="center"/>
            </w:pPr>
            <w:r w:rsidRPr="00AA2D21">
              <w:t>S</w:t>
            </w:r>
          </w:p>
        </w:tc>
      </w:tr>
      <w:tr w:rsidR="00AA2D21" w:rsidRPr="008E1B14" w14:paraId="5B5568AD" w14:textId="77777777" w:rsidTr="00AA2D21">
        <w:tc>
          <w:tcPr>
            <w:tcW w:w="851" w:type="dxa"/>
            <w:tcBorders>
              <w:bottom w:val="single" w:sz="2" w:space="0" w:color="C4BC96" w:themeColor="background2" w:themeShade="BF"/>
            </w:tcBorders>
          </w:tcPr>
          <w:p w14:paraId="2EF6B00C" w14:textId="77777777" w:rsidR="00AA2D21" w:rsidRPr="00AA2D21" w:rsidRDefault="00AA2D21" w:rsidP="00AA2D21">
            <w:pPr>
              <w:pStyle w:val="TableText"/>
            </w:pPr>
            <w:r w:rsidRPr="00AA2D21">
              <w:t>Southern</w:t>
            </w:r>
          </w:p>
        </w:tc>
        <w:tc>
          <w:tcPr>
            <w:tcW w:w="1985" w:type="dxa"/>
            <w:tcBorders>
              <w:bottom w:val="single" w:sz="2" w:space="0" w:color="C4BC96" w:themeColor="background2" w:themeShade="BF"/>
            </w:tcBorders>
            <w:vAlign w:val="center"/>
          </w:tcPr>
          <w:p w14:paraId="48CC79CD" w14:textId="77777777" w:rsidR="00AA2D21" w:rsidRPr="00AA2D21" w:rsidRDefault="00AA2D21" w:rsidP="00AA2D21">
            <w:pPr>
              <w:pStyle w:val="TableText"/>
              <w:jc w:val="center"/>
            </w:pPr>
            <w:r w:rsidRPr="00AA2D21">
              <w:t>35</w:t>
            </w:r>
          </w:p>
        </w:tc>
        <w:tc>
          <w:tcPr>
            <w:tcW w:w="1985" w:type="dxa"/>
            <w:tcBorders>
              <w:bottom w:val="single" w:sz="2" w:space="0" w:color="C4BC96" w:themeColor="background2" w:themeShade="BF"/>
            </w:tcBorders>
            <w:vAlign w:val="center"/>
          </w:tcPr>
          <w:p w14:paraId="67698536" w14:textId="77777777" w:rsidR="00AA2D21" w:rsidRPr="00AA2D21" w:rsidRDefault="00AA2D21" w:rsidP="00AA2D21">
            <w:pPr>
              <w:pStyle w:val="TableText"/>
              <w:jc w:val="center"/>
            </w:pPr>
            <w:r w:rsidRPr="00AA2D21">
              <w:t>27</w:t>
            </w:r>
          </w:p>
        </w:tc>
        <w:tc>
          <w:tcPr>
            <w:tcW w:w="1134" w:type="dxa"/>
            <w:tcBorders>
              <w:bottom w:val="single" w:sz="2" w:space="0" w:color="C4BC96" w:themeColor="background2" w:themeShade="BF"/>
            </w:tcBorders>
            <w:vAlign w:val="center"/>
          </w:tcPr>
          <w:p w14:paraId="56285D5B" w14:textId="77777777" w:rsidR="00AA2D21" w:rsidRPr="00AA2D21" w:rsidRDefault="00AA2D21" w:rsidP="00AA2D21">
            <w:pPr>
              <w:pStyle w:val="TableText"/>
              <w:jc w:val="center"/>
            </w:pPr>
            <w:r w:rsidRPr="00AA2D21">
              <w:t>22</w:t>
            </w:r>
          </w:p>
        </w:tc>
        <w:tc>
          <w:tcPr>
            <w:tcW w:w="1188" w:type="dxa"/>
            <w:tcBorders>
              <w:bottom w:val="single" w:sz="2" w:space="0" w:color="C4BC96" w:themeColor="background2" w:themeShade="BF"/>
            </w:tcBorders>
            <w:vAlign w:val="center"/>
          </w:tcPr>
          <w:p w14:paraId="659245BF" w14:textId="77777777" w:rsidR="00AA2D21" w:rsidRPr="00AA2D21" w:rsidRDefault="00AA2D21" w:rsidP="00AA2D21">
            <w:pPr>
              <w:pStyle w:val="TableText"/>
              <w:jc w:val="center"/>
            </w:pPr>
            <w:r w:rsidRPr="00AA2D21">
              <w:t>5</w:t>
            </w:r>
          </w:p>
        </w:tc>
        <w:tc>
          <w:tcPr>
            <w:tcW w:w="1221" w:type="dxa"/>
            <w:tcBorders>
              <w:bottom w:val="single" w:sz="2" w:space="0" w:color="C4BC96" w:themeColor="background2" w:themeShade="BF"/>
            </w:tcBorders>
            <w:vAlign w:val="center"/>
          </w:tcPr>
          <w:p w14:paraId="378A9A7C" w14:textId="77777777" w:rsidR="00AA2D21" w:rsidRPr="00AA2D21" w:rsidRDefault="00AA2D21" w:rsidP="00AA2D21">
            <w:pPr>
              <w:pStyle w:val="TableText"/>
              <w:jc w:val="center"/>
            </w:pPr>
            <w:r w:rsidRPr="00AA2D21">
              <w:t>S</w:t>
            </w:r>
          </w:p>
        </w:tc>
      </w:tr>
      <w:tr w:rsidR="00AA2D21" w:rsidRPr="008E1B14" w14:paraId="0256448D" w14:textId="77777777" w:rsidTr="00AA2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tcBorders>
              <w:top w:val="single" w:sz="2" w:space="0" w:color="C4BC96" w:themeColor="background2" w:themeShade="BF"/>
              <w:left w:val="nil"/>
              <w:bottom w:val="single" w:sz="2" w:space="0" w:color="C4BC96" w:themeColor="background2" w:themeShade="BF"/>
              <w:right w:val="nil"/>
            </w:tcBorders>
          </w:tcPr>
          <w:p w14:paraId="769DA8AF" w14:textId="77777777" w:rsidR="00AA2D21" w:rsidRPr="00AA2D21" w:rsidRDefault="00AA2D21" w:rsidP="00AA2D21">
            <w:pPr>
              <w:pStyle w:val="TableText"/>
            </w:pPr>
            <w:r w:rsidRPr="00AA2D21">
              <w:t>Total</w:t>
            </w:r>
          </w:p>
        </w:tc>
        <w:tc>
          <w:tcPr>
            <w:tcW w:w="1985" w:type="dxa"/>
            <w:tcBorders>
              <w:top w:val="single" w:sz="2" w:space="0" w:color="C4BC96" w:themeColor="background2" w:themeShade="BF"/>
              <w:left w:val="nil"/>
              <w:bottom w:val="single" w:sz="2" w:space="0" w:color="C4BC96" w:themeColor="background2" w:themeShade="BF"/>
              <w:right w:val="nil"/>
            </w:tcBorders>
            <w:vAlign w:val="center"/>
          </w:tcPr>
          <w:p w14:paraId="195D3ABC" w14:textId="77777777" w:rsidR="00AA2D21" w:rsidRPr="00AA2D21" w:rsidRDefault="00AA2D21" w:rsidP="00AA2D21">
            <w:pPr>
              <w:pStyle w:val="TableText"/>
              <w:jc w:val="center"/>
            </w:pPr>
            <w:r w:rsidRPr="00AA2D21">
              <w:t>103</w:t>
            </w:r>
          </w:p>
        </w:tc>
        <w:tc>
          <w:tcPr>
            <w:tcW w:w="1985" w:type="dxa"/>
            <w:tcBorders>
              <w:top w:val="single" w:sz="2" w:space="0" w:color="C4BC96" w:themeColor="background2" w:themeShade="BF"/>
              <w:left w:val="nil"/>
              <w:bottom w:val="single" w:sz="2" w:space="0" w:color="C4BC96" w:themeColor="background2" w:themeShade="BF"/>
              <w:right w:val="nil"/>
            </w:tcBorders>
            <w:vAlign w:val="center"/>
          </w:tcPr>
          <w:p w14:paraId="28A30D33" w14:textId="77777777" w:rsidR="00AA2D21" w:rsidRPr="00AA2D21" w:rsidRDefault="00AA2D21" w:rsidP="00AA2D21">
            <w:pPr>
              <w:pStyle w:val="TableText"/>
              <w:jc w:val="center"/>
            </w:pPr>
            <w:r w:rsidRPr="00AA2D21">
              <w:t>88</w:t>
            </w:r>
          </w:p>
        </w:tc>
        <w:tc>
          <w:tcPr>
            <w:tcW w:w="1134" w:type="dxa"/>
            <w:tcBorders>
              <w:top w:val="single" w:sz="2" w:space="0" w:color="C4BC96" w:themeColor="background2" w:themeShade="BF"/>
              <w:left w:val="nil"/>
              <w:bottom w:val="single" w:sz="2" w:space="0" w:color="C4BC96" w:themeColor="background2" w:themeShade="BF"/>
              <w:right w:val="nil"/>
            </w:tcBorders>
            <w:vAlign w:val="center"/>
          </w:tcPr>
          <w:p w14:paraId="123E1B45" w14:textId="77777777" w:rsidR="00AA2D21" w:rsidRPr="00AA2D21" w:rsidRDefault="00AA2D21" w:rsidP="00AA2D21">
            <w:pPr>
              <w:pStyle w:val="TableText"/>
              <w:jc w:val="center"/>
            </w:pPr>
            <w:r w:rsidRPr="00AA2D21">
              <w:t>69</w:t>
            </w:r>
          </w:p>
        </w:tc>
        <w:tc>
          <w:tcPr>
            <w:tcW w:w="1188" w:type="dxa"/>
            <w:tcBorders>
              <w:top w:val="single" w:sz="2" w:space="0" w:color="C4BC96" w:themeColor="background2" w:themeShade="BF"/>
              <w:left w:val="nil"/>
              <w:bottom w:val="single" w:sz="2" w:space="0" w:color="C4BC96" w:themeColor="background2" w:themeShade="BF"/>
              <w:right w:val="nil"/>
            </w:tcBorders>
            <w:vAlign w:val="center"/>
          </w:tcPr>
          <w:p w14:paraId="73A8F351" w14:textId="77777777" w:rsidR="00AA2D21" w:rsidRPr="00AA2D21" w:rsidRDefault="00AA2D21" w:rsidP="00AA2D21">
            <w:pPr>
              <w:pStyle w:val="TableText"/>
              <w:jc w:val="center"/>
            </w:pPr>
            <w:r w:rsidRPr="00AA2D21">
              <w:t>13</w:t>
            </w:r>
          </w:p>
        </w:tc>
        <w:tc>
          <w:tcPr>
            <w:tcW w:w="1221" w:type="dxa"/>
            <w:tcBorders>
              <w:top w:val="single" w:sz="2" w:space="0" w:color="C4BC96" w:themeColor="background2" w:themeShade="BF"/>
              <w:left w:val="nil"/>
              <w:bottom w:val="single" w:sz="2" w:space="0" w:color="C4BC96" w:themeColor="background2" w:themeShade="BF"/>
              <w:right w:val="nil"/>
            </w:tcBorders>
            <w:vAlign w:val="center"/>
          </w:tcPr>
          <w:p w14:paraId="338B4EAE" w14:textId="77777777" w:rsidR="00AA2D21" w:rsidRPr="00AA2D21" w:rsidRDefault="00AA2D21" w:rsidP="00AA2D21">
            <w:pPr>
              <w:pStyle w:val="TableText"/>
              <w:jc w:val="center"/>
            </w:pPr>
            <w:r w:rsidRPr="00AA2D21">
              <w:t>13</w:t>
            </w:r>
          </w:p>
        </w:tc>
      </w:tr>
    </w:tbl>
    <w:p w14:paraId="05BBDC2C" w14:textId="77777777" w:rsidR="00AA2D21" w:rsidRPr="00AA2D21" w:rsidRDefault="00AA2D21" w:rsidP="00AA2D21">
      <w:pPr>
        <w:pStyle w:val="Heading2"/>
      </w:pPr>
      <w:bookmarkStart w:id="89" w:name="_Toc106611882"/>
      <w:bookmarkStart w:id="90" w:name="_Toc138428960"/>
      <w:r w:rsidRPr="00AA2D21">
        <w:t xml:space="preserve">Workforce </w:t>
      </w:r>
      <w:bookmarkEnd w:id="89"/>
      <w:r w:rsidRPr="00AA2D21">
        <w:t>training</w:t>
      </w:r>
      <w:bookmarkEnd w:id="90"/>
    </w:p>
    <w:p w14:paraId="23BB80B7" w14:textId="7599504C" w:rsidR="00AA2D21" w:rsidRPr="0013300E" w:rsidRDefault="00AA2D21" w:rsidP="00AA2D21">
      <w:r>
        <w:t xml:space="preserve">During implementation of the Act, the Ministry developed a variety of information and training resources for the workforce. These resources continue to be available to practitioners and other health care professionals to understand their rights and responsibilities under the Act. Details of each of the modules can be found in the previous report. </w:t>
      </w:r>
    </w:p>
    <w:p w14:paraId="6B45AAE5" w14:textId="77777777" w:rsidR="00AA2D21" w:rsidRPr="00B647B0" w:rsidRDefault="00AA2D21" w:rsidP="00AA2D21"/>
    <w:p w14:paraId="6AB9F8CB" w14:textId="0904F072" w:rsidR="00AA2D21" w:rsidRPr="0013300E" w:rsidRDefault="003F44DB" w:rsidP="00AA2D21">
      <w:r>
        <w:fldChar w:fldCharType="begin"/>
      </w:r>
      <w:r>
        <w:instrText xml:space="preserve"> REF _Ref138344841 \h </w:instrText>
      </w:r>
      <w:r>
        <w:fldChar w:fldCharType="separate"/>
      </w:r>
      <w:r w:rsidR="00A345F8">
        <w:t xml:space="preserve">Table </w:t>
      </w:r>
      <w:r w:rsidR="00A345F8">
        <w:rPr>
          <w:noProof/>
        </w:rPr>
        <w:t>6</w:t>
      </w:r>
      <w:r>
        <w:fldChar w:fldCharType="end"/>
      </w:r>
      <w:r>
        <w:t xml:space="preserve"> </w:t>
      </w:r>
      <w:r w:rsidR="00AA2D21" w:rsidRPr="0013300E">
        <w:t xml:space="preserve">outlines uptake on the three training modules available to the wider health workforce as of 31 March 2023. </w:t>
      </w:r>
    </w:p>
    <w:p w14:paraId="7B8A6945" w14:textId="77777777" w:rsidR="00AA2D21" w:rsidRPr="00B647B0" w:rsidRDefault="00AA2D21" w:rsidP="00AA2D21"/>
    <w:p w14:paraId="07F580FE" w14:textId="77777777" w:rsidR="00AA2D21" w:rsidRDefault="00AA2D21" w:rsidP="00AA2D21">
      <w:r w:rsidRPr="00B647B0">
        <w:t>Note: These figures are likely to underestimate the total workforce trained, as the Ministry is aware that some professionals completed the modules with their team as part of a group learning and discussion session.</w:t>
      </w:r>
      <w:r>
        <w:t xml:space="preserve"> </w:t>
      </w:r>
    </w:p>
    <w:p w14:paraId="70624CBD" w14:textId="77777777" w:rsidR="00AA2D21" w:rsidRDefault="00AA2D21" w:rsidP="00AA2D21"/>
    <w:p w14:paraId="0626DEE8" w14:textId="48FB1D9B" w:rsidR="00AA2D21" w:rsidRDefault="00AA2D21" w:rsidP="00AA2D21">
      <w:pPr>
        <w:pStyle w:val="Table"/>
      </w:pPr>
      <w:bookmarkStart w:id="91" w:name="_Ref138344841"/>
      <w:bookmarkStart w:id="92" w:name="_Toc106611895"/>
      <w:bookmarkStart w:id="93" w:name="_Toc138428973"/>
      <w:r>
        <w:t xml:space="preserve">Table </w:t>
      </w:r>
      <w:r w:rsidR="00161918">
        <w:fldChar w:fldCharType="begin"/>
      </w:r>
      <w:r w:rsidR="00161918">
        <w:instrText xml:space="preserve"> SEQ Table \* ARABIC </w:instrText>
      </w:r>
      <w:r w:rsidR="00161918">
        <w:fldChar w:fldCharType="separate"/>
      </w:r>
      <w:r w:rsidR="00A345F8">
        <w:rPr>
          <w:noProof/>
        </w:rPr>
        <w:t>6</w:t>
      </w:r>
      <w:r w:rsidR="00161918">
        <w:rPr>
          <w:noProof/>
        </w:rPr>
        <w:fldChar w:fldCharType="end"/>
      </w:r>
      <w:bookmarkEnd w:id="91"/>
      <w:r>
        <w:t xml:space="preserve">: </w:t>
      </w:r>
      <w:r w:rsidRPr="00DC2F44">
        <w:t>Number of people accessing the wider health workforce training</w:t>
      </w:r>
      <w:bookmarkEnd w:id="92"/>
      <w:bookmarkEnd w:id="93"/>
    </w:p>
    <w:tbl>
      <w:tblPr>
        <w:tblStyle w:val="TableGrid"/>
        <w:tblW w:w="8221"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3828"/>
        <w:gridCol w:w="2409"/>
        <w:gridCol w:w="1984"/>
      </w:tblGrid>
      <w:tr w:rsidR="00AA2D21" w:rsidRPr="008E1B14" w14:paraId="551DAAEF" w14:textId="77777777" w:rsidTr="00AA2D21">
        <w:tc>
          <w:tcPr>
            <w:tcW w:w="3828" w:type="dxa"/>
            <w:tcBorders>
              <w:top w:val="nil"/>
              <w:bottom w:val="nil"/>
            </w:tcBorders>
            <w:shd w:val="clear" w:color="auto" w:fill="D9D9D9" w:themeFill="background1" w:themeFillShade="D9"/>
          </w:tcPr>
          <w:p w14:paraId="1C4221A8" w14:textId="77777777" w:rsidR="00AA2D21" w:rsidRPr="008E1B14" w:rsidRDefault="00AA2D21" w:rsidP="008A3CD6">
            <w:pPr>
              <w:pStyle w:val="TableText"/>
              <w:rPr>
                <w:b/>
                <w:bCs/>
              </w:rPr>
            </w:pPr>
            <w:r w:rsidRPr="008E1B14">
              <w:rPr>
                <w:b/>
                <w:bCs/>
              </w:rPr>
              <w:t>Module</w:t>
            </w:r>
          </w:p>
        </w:tc>
        <w:tc>
          <w:tcPr>
            <w:tcW w:w="2409" w:type="dxa"/>
            <w:tcBorders>
              <w:top w:val="nil"/>
              <w:bottom w:val="nil"/>
            </w:tcBorders>
            <w:shd w:val="clear" w:color="auto" w:fill="D9D9D9" w:themeFill="background1" w:themeFillShade="D9"/>
          </w:tcPr>
          <w:p w14:paraId="3011E66D" w14:textId="1452E08D" w:rsidR="00AA2D21" w:rsidRPr="008E1B14" w:rsidRDefault="00AA2D21" w:rsidP="008A3CD6">
            <w:pPr>
              <w:pStyle w:val="TableText"/>
              <w:rPr>
                <w:b/>
                <w:bCs/>
              </w:rPr>
            </w:pPr>
            <w:r w:rsidRPr="008E1B14">
              <w:rPr>
                <w:b/>
                <w:bCs/>
              </w:rPr>
              <w:t xml:space="preserve">Number completed, </w:t>
            </w:r>
            <w:r>
              <w:rPr>
                <w:b/>
                <w:bCs/>
              </w:rPr>
              <w:br/>
            </w:r>
            <w:r w:rsidRPr="008E1B14">
              <w:rPr>
                <w:b/>
                <w:bCs/>
              </w:rPr>
              <w:t>as 31 March 2022</w:t>
            </w:r>
          </w:p>
        </w:tc>
        <w:tc>
          <w:tcPr>
            <w:tcW w:w="1984" w:type="dxa"/>
            <w:tcBorders>
              <w:top w:val="nil"/>
              <w:bottom w:val="nil"/>
            </w:tcBorders>
            <w:shd w:val="clear" w:color="auto" w:fill="D9D9D9" w:themeFill="background1" w:themeFillShade="D9"/>
          </w:tcPr>
          <w:p w14:paraId="39C1A682" w14:textId="4A7D4974" w:rsidR="00AA2D21" w:rsidRPr="008E1B14" w:rsidRDefault="00AA2D21" w:rsidP="008A3CD6">
            <w:pPr>
              <w:pStyle w:val="TableText"/>
              <w:rPr>
                <w:b/>
                <w:bCs/>
              </w:rPr>
            </w:pPr>
            <w:r w:rsidRPr="008E1B14">
              <w:rPr>
                <w:b/>
                <w:bCs/>
              </w:rPr>
              <w:t xml:space="preserve">Number completed, </w:t>
            </w:r>
            <w:r>
              <w:rPr>
                <w:b/>
                <w:bCs/>
              </w:rPr>
              <w:br/>
            </w:r>
            <w:r w:rsidRPr="008E1B14">
              <w:rPr>
                <w:b/>
                <w:bCs/>
              </w:rPr>
              <w:t>as 31 March 202</w:t>
            </w:r>
            <w:r>
              <w:rPr>
                <w:b/>
                <w:bCs/>
              </w:rPr>
              <w:t>3</w:t>
            </w:r>
          </w:p>
        </w:tc>
      </w:tr>
      <w:tr w:rsidR="00AA2D21" w14:paraId="44C05C10" w14:textId="77777777" w:rsidTr="00AA2D21">
        <w:tc>
          <w:tcPr>
            <w:tcW w:w="3828" w:type="dxa"/>
            <w:tcBorders>
              <w:top w:val="nil"/>
            </w:tcBorders>
          </w:tcPr>
          <w:p w14:paraId="6E336744" w14:textId="77777777" w:rsidR="00AA2D21" w:rsidRDefault="00AA2D21" w:rsidP="008A3CD6">
            <w:pPr>
              <w:pStyle w:val="TableText"/>
            </w:pPr>
            <w:r>
              <w:t>The End of Life Choice Act 2019: Overview</w:t>
            </w:r>
          </w:p>
        </w:tc>
        <w:tc>
          <w:tcPr>
            <w:tcW w:w="2409" w:type="dxa"/>
            <w:tcBorders>
              <w:top w:val="nil"/>
            </w:tcBorders>
          </w:tcPr>
          <w:p w14:paraId="450D90BE" w14:textId="77777777" w:rsidR="00AA2D21" w:rsidRDefault="00AA2D21" w:rsidP="008A3CD6">
            <w:pPr>
              <w:pStyle w:val="TableText"/>
            </w:pPr>
            <w:r w:rsidRPr="537D20A4">
              <w:t>9501</w:t>
            </w:r>
          </w:p>
        </w:tc>
        <w:tc>
          <w:tcPr>
            <w:tcW w:w="1984" w:type="dxa"/>
            <w:tcBorders>
              <w:top w:val="nil"/>
            </w:tcBorders>
          </w:tcPr>
          <w:p w14:paraId="34769860" w14:textId="77777777" w:rsidR="00AA2D21" w:rsidRPr="537D20A4" w:rsidRDefault="00AA2D21" w:rsidP="008A3CD6">
            <w:pPr>
              <w:pStyle w:val="TableText"/>
            </w:pPr>
            <w:r>
              <w:t>10881</w:t>
            </w:r>
          </w:p>
        </w:tc>
      </w:tr>
      <w:tr w:rsidR="00AA2D21" w14:paraId="461470B3" w14:textId="77777777" w:rsidTr="00AA2D21">
        <w:tc>
          <w:tcPr>
            <w:tcW w:w="3828" w:type="dxa"/>
          </w:tcPr>
          <w:p w14:paraId="2298ACB4" w14:textId="77777777" w:rsidR="00AA2D21" w:rsidRDefault="00AA2D21" w:rsidP="008A3CD6">
            <w:pPr>
              <w:pStyle w:val="TableText"/>
            </w:pPr>
            <w:r>
              <w:t>The Assisted Dying Care Pathway: Overview</w:t>
            </w:r>
          </w:p>
        </w:tc>
        <w:tc>
          <w:tcPr>
            <w:tcW w:w="2409" w:type="dxa"/>
          </w:tcPr>
          <w:p w14:paraId="56263587" w14:textId="77777777" w:rsidR="00AA2D21" w:rsidRDefault="00AA2D21" w:rsidP="008A3CD6">
            <w:pPr>
              <w:pStyle w:val="TableText"/>
            </w:pPr>
            <w:r w:rsidRPr="537D20A4">
              <w:t>3180</w:t>
            </w:r>
          </w:p>
        </w:tc>
        <w:tc>
          <w:tcPr>
            <w:tcW w:w="1984" w:type="dxa"/>
          </w:tcPr>
          <w:p w14:paraId="12E06878" w14:textId="77777777" w:rsidR="00AA2D21" w:rsidRPr="537D20A4" w:rsidRDefault="00AA2D21" w:rsidP="008A3CD6">
            <w:pPr>
              <w:pStyle w:val="TableText"/>
            </w:pPr>
            <w:r>
              <w:t>3930</w:t>
            </w:r>
          </w:p>
        </w:tc>
      </w:tr>
      <w:tr w:rsidR="00AA2D21" w14:paraId="7ACA4006" w14:textId="77777777" w:rsidTr="00AA2D21">
        <w:tc>
          <w:tcPr>
            <w:tcW w:w="3828" w:type="dxa"/>
          </w:tcPr>
          <w:p w14:paraId="19346A35" w14:textId="77777777" w:rsidR="00AA2D21" w:rsidRDefault="00AA2D21" w:rsidP="008A3CD6">
            <w:pPr>
              <w:pStyle w:val="TableText"/>
            </w:pPr>
            <w:r>
              <w:t>Responding when a person raises assisted dying</w:t>
            </w:r>
          </w:p>
        </w:tc>
        <w:tc>
          <w:tcPr>
            <w:tcW w:w="2409" w:type="dxa"/>
          </w:tcPr>
          <w:p w14:paraId="0ADB2B4E" w14:textId="77777777" w:rsidR="00AA2D21" w:rsidRDefault="00AA2D21" w:rsidP="008A3CD6">
            <w:pPr>
              <w:pStyle w:val="TableText"/>
            </w:pPr>
            <w:r w:rsidRPr="537D20A4">
              <w:t>2943</w:t>
            </w:r>
          </w:p>
        </w:tc>
        <w:tc>
          <w:tcPr>
            <w:tcW w:w="1984" w:type="dxa"/>
          </w:tcPr>
          <w:p w14:paraId="1518FDB8" w14:textId="77777777" w:rsidR="00AA2D21" w:rsidRPr="537D20A4" w:rsidRDefault="00AA2D21" w:rsidP="008A3CD6">
            <w:pPr>
              <w:pStyle w:val="TableText"/>
            </w:pPr>
            <w:r>
              <w:t>3503</w:t>
            </w:r>
          </w:p>
        </w:tc>
      </w:tr>
    </w:tbl>
    <w:p w14:paraId="3C07319F" w14:textId="77777777" w:rsidR="00AA2D21" w:rsidRDefault="00AA2D21" w:rsidP="00AA2D21">
      <w:pPr>
        <w:rPr>
          <w:highlight w:val="yellow"/>
        </w:rPr>
      </w:pPr>
      <w:bookmarkStart w:id="94" w:name="_Toc103085577"/>
      <w:bookmarkStart w:id="95" w:name="_Toc103606344"/>
      <w:bookmarkStart w:id="96" w:name="_Toc104460694"/>
      <w:bookmarkStart w:id="97" w:name="_Toc106611884"/>
    </w:p>
    <w:p w14:paraId="7B077BF2" w14:textId="77777777" w:rsidR="00AA2D21" w:rsidRPr="00A75BA8" w:rsidRDefault="00AA2D21" w:rsidP="00AA2D21">
      <w:r w:rsidRPr="0013300E">
        <w:t xml:space="preserve">Workforce training is now the responsibility of </w:t>
      </w:r>
      <w:proofErr w:type="spellStart"/>
      <w:r w:rsidRPr="0013300E">
        <w:t>Te</w:t>
      </w:r>
      <w:proofErr w:type="spellEnd"/>
      <w:r w:rsidRPr="0013300E">
        <w:t xml:space="preserve"> </w:t>
      </w:r>
      <w:proofErr w:type="spellStart"/>
      <w:r w:rsidRPr="0013300E">
        <w:t>Whatu</w:t>
      </w:r>
      <w:proofErr w:type="spellEnd"/>
      <w:r w:rsidRPr="0013300E">
        <w:t xml:space="preserve"> Ora and includes training for medical and nurse practitioners providing assisted dying services, training for the wider health workforce and support for practitioners.</w:t>
      </w:r>
      <w:r>
        <w:t xml:space="preserve"> </w:t>
      </w:r>
    </w:p>
    <w:p w14:paraId="692AF549" w14:textId="77777777" w:rsidR="00AA2D21" w:rsidRPr="00A75BA8" w:rsidRDefault="00AA2D21" w:rsidP="00AA2D21"/>
    <w:p w14:paraId="3010F3D2" w14:textId="77777777" w:rsidR="00AA2D21" w:rsidRPr="00A75BA8" w:rsidRDefault="00AA2D21" w:rsidP="00AA2D21">
      <w:pPr>
        <w:pStyle w:val="Heading2"/>
        <w:spacing w:before="0"/>
      </w:pPr>
      <w:bookmarkStart w:id="98" w:name="_Toc138428961"/>
      <w:r w:rsidRPr="00A75BA8">
        <w:t>Supporting practitioners</w:t>
      </w:r>
      <w:bookmarkEnd w:id="94"/>
      <w:bookmarkEnd w:id="95"/>
      <w:bookmarkEnd w:id="96"/>
      <w:bookmarkEnd w:id="97"/>
      <w:bookmarkEnd w:id="98"/>
      <w:r w:rsidRPr="00A75BA8">
        <w:t xml:space="preserve"> </w:t>
      </w:r>
    </w:p>
    <w:p w14:paraId="15669443" w14:textId="15AA6D85" w:rsidR="00AA2D21" w:rsidRPr="00A75BA8" w:rsidRDefault="00AA2D21" w:rsidP="00AA2D21">
      <w:r w:rsidRPr="00A75BA8">
        <w:t xml:space="preserve">Choosing to provide an assisted dying service may be </w:t>
      </w:r>
      <w:r w:rsidR="0022591C" w:rsidRPr="00A75BA8">
        <w:t>c</w:t>
      </w:r>
      <w:r w:rsidR="0022591C">
        <w:t>hallenging</w:t>
      </w:r>
      <w:r w:rsidR="0022591C" w:rsidRPr="00A75BA8">
        <w:t xml:space="preserve"> </w:t>
      </w:r>
      <w:r w:rsidRPr="00A75BA8">
        <w:t xml:space="preserve">for practitioners due to the sensitive nature of this mahi, and that practitioners are providing services as individuals, and often in unfamiliar environments, such as people’s homes.  </w:t>
      </w:r>
    </w:p>
    <w:p w14:paraId="1B528112" w14:textId="77777777" w:rsidR="00AA2D21" w:rsidRPr="00A75BA8" w:rsidRDefault="00AA2D21" w:rsidP="00AA2D21"/>
    <w:p w14:paraId="472E41E4" w14:textId="77777777" w:rsidR="00AA2D21" w:rsidRPr="00A75BA8" w:rsidRDefault="00AA2D21" w:rsidP="00AA2D21"/>
    <w:p w14:paraId="54A2A410" w14:textId="77777777" w:rsidR="00AA2D21" w:rsidRPr="00A75BA8" w:rsidRDefault="00AA2D21" w:rsidP="00AA2D21">
      <w:r>
        <w:lastRenderedPageBreak/>
        <w:t xml:space="preserve">Virtual peer network sessions offered by Manatū Hauora ran throughout 2022 and early 2023 and enabled practitioners to share case studies and discuss their experiences of being involved in the service. In response to practitioner feedback, these sessions were run on a quarterly basis. As a result of the functions transfer, </w:t>
      </w:r>
      <w:proofErr w:type="spellStart"/>
      <w:r>
        <w:t>Te</w:t>
      </w:r>
      <w:proofErr w:type="spellEnd"/>
      <w:r>
        <w:t xml:space="preserve"> </w:t>
      </w:r>
      <w:proofErr w:type="spellStart"/>
      <w:r>
        <w:t>Whatu</w:t>
      </w:r>
      <w:proofErr w:type="spellEnd"/>
      <w:r>
        <w:t xml:space="preserve"> Ora has been facilitating these discussions since March 2023.  </w:t>
      </w:r>
    </w:p>
    <w:p w14:paraId="1942F7A4" w14:textId="77777777" w:rsidR="00AA2D21" w:rsidRPr="00A75BA8" w:rsidRDefault="00AA2D21" w:rsidP="00AA2D21">
      <w:pPr>
        <w:pStyle w:val="Heading3"/>
      </w:pPr>
      <w:r>
        <w:t>The Assisted Dying Forum 2022</w:t>
      </w:r>
    </w:p>
    <w:p w14:paraId="39230281" w14:textId="77777777" w:rsidR="00AA2D21" w:rsidRPr="00A75BA8" w:rsidRDefault="00AA2D21" w:rsidP="00AA2D21">
      <w:r w:rsidRPr="00A75BA8">
        <w:t>Manatū Ha</w:t>
      </w:r>
      <w:r>
        <w:t>uo</w:t>
      </w:r>
      <w:r w:rsidRPr="00A75BA8">
        <w:t xml:space="preserve">ra successfully hosted a workforce forum on 26 and 27 November 2022 in Wellington to mark the first year of the Assisted Dying Service being available. </w:t>
      </w:r>
    </w:p>
    <w:p w14:paraId="0F23E3FC" w14:textId="6F0124FE" w:rsidR="00AA2D21" w:rsidRDefault="00AA2D21" w:rsidP="00AA2D21">
      <w:r w:rsidRPr="00A75BA8">
        <w:t>The forum provided an opportunity for people from the health and disability sector to come together to share their experiences of the assisted dying service and look ahead to the ongoing development of the service. The setting provided a safe space for practitioners to have open discussions, network with their peers and meet the Assisted Dying Secretariat in person.</w:t>
      </w:r>
    </w:p>
    <w:p w14:paraId="19F513EB" w14:textId="77777777" w:rsidR="00AA2D21" w:rsidRPr="00A75BA8" w:rsidRDefault="00AA2D21" w:rsidP="00AA2D21"/>
    <w:p w14:paraId="6EEDFB35" w14:textId="6A09EAB9" w:rsidR="00AA2D21" w:rsidRDefault="00AA2D21" w:rsidP="00AA2D21">
      <w:r w:rsidRPr="00A75BA8">
        <w:t xml:space="preserve">The forum included presentations, panel discussions and practical breakout sessions presented by both Manatū Hauora staff and guest speakers. The guest speakers included the Human Rights Commission, </w:t>
      </w:r>
      <w:proofErr w:type="spellStart"/>
      <w:r w:rsidRPr="00A75BA8">
        <w:t>Te</w:t>
      </w:r>
      <w:proofErr w:type="spellEnd"/>
      <w:r w:rsidRPr="00A75BA8">
        <w:t xml:space="preserve"> </w:t>
      </w:r>
      <w:proofErr w:type="spellStart"/>
      <w:r w:rsidRPr="00A75BA8">
        <w:t>Apārangi</w:t>
      </w:r>
      <w:proofErr w:type="spellEnd"/>
      <w:r w:rsidRPr="00A75BA8">
        <w:t xml:space="preserve">: Māori Partnership Alliance, assisted dying service providers and practitioners from other end of life care services such as palliative care. </w:t>
      </w:r>
    </w:p>
    <w:p w14:paraId="197E9892" w14:textId="77777777" w:rsidR="00AA2D21" w:rsidRPr="00A75BA8" w:rsidRDefault="00AA2D21" w:rsidP="00AA2D21"/>
    <w:p w14:paraId="3ACB1717" w14:textId="77777777" w:rsidR="00AA2D21" w:rsidRDefault="00AA2D21" w:rsidP="00AA2D21">
      <w:r w:rsidRPr="00A75BA8">
        <w:t xml:space="preserve">There is ongoing work to develop further </w:t>
      </w:r>
      <w:r>
        <w:t>opportunities</w:t>
      </w:r>
      <w:r w:rsidRPr="00A75BA8">
        <w:t xml:space="preserve"> to support practitioners and ensure the sustainability of the workforce. </w:t>
      </w:r>
    </w:p>
    <w:p w14:paraId="7D22E027" w14:textId="77777777" w:rsidR="00AA2D21" w:rsidRDefault="00AA2D21" w:rsidP="009E489C">
      <w:pPr>
        <w:sectPr w:rsidR="00AA2D21" w:rsidSect="009E489C">
          <w:pgSz w:w="11907" w:h="16834" w:code="9"/>
          <w:pgMar w:top="1418" w:right="1701" w:bottom="1134" w:left="1843" w:header="284" w:footer="425" w:gutter="284"/>
          <w:cols w:space="720"/>
        </w:sectPr>
      </w:pPr>
    </w:p>
    <w:p w14:paraId="4EBEF080" w14:textId="77777777" w:rsidR="00AA2D21" w:rsidRPr="001E7528" w:rsidRDefault="00AA2D21" w:rsidP="00AA2D21">
      <w:pPr>
        <w:pStyle w:val="IntroHead"/>
      </w:pPr>
      <w:r w:rsidRPr="4690022B">
        <w:lastRenderedPageBreak/>
        <w:t>Feedback, queries</w:t>
      </w:r>
      <w:r>
        <w:t>,</w:t>
      </w:r>
      <w:r w:rsidRPr="4690022B">
        <w:t xml:space="preserve"> and complaints</w:t>
      </w:r>
    </w:p>
    <w:p w14:paraId="0E1D31E6" w14:textId="77777777" w:rsidR="00AA2D21" w:rsidRPr="008E1B14" w:rsidRDefault="00AA2D21" w:rsidP="00AA2D21">
      <w:pPr>
        <w:pStyle w:val="Heading2"/>
      </w:pPr>
      <w:bookmarkStart w:id="99" w:name="_Toc103085579"/>
      <w:bookmarkStart w:id="100" w:name="_Toc103606346"/>
      <w:bookmarkStart w:id="101" w:name="_Toc104460696"/>
      <w:bookmarkStart w:id="102" w:name="_Toc106611886"/>
      <w:bookmarkStart w:id="103" w:name="_Toc138428962"/>
      <w:r w:rsidRPr="008E1B14">
        <w:t>Receiving feedback, queries, and complaints</w:t>
      </w:r>
      <w:bookmarkEnd w:id="99"/>
      <w:bookmarkEnd w:id="100"/>
      <w:bookmarkEnd w:id="101"/>
      <w:bookmarkEnd w:id="102"/>
      <w:bookmarkEnd w:id="103"/>
    </w:p>
    <w:p w14:paraId="110FFE67" w14:textId="77777777" w:rsidR="00AA2D21" w:rsidRDefault="00AA2D21" w:rsidP="00AA2D21">
      <w:r w:rsidRPr="4690022B">
        <w:t>Feedback, queries</w:t>
      </w:r>
      <w:r>
        <w:t>,</w:t>
      </w:r>
      <w:r w:rsidRPr="4690022B">
        <w:t xml:space="preserve"> and complaints are an important part of understanding the experiences of accessing and providing assisted dying, as well as public perception of and interest in the service. </w:t>
      </w:r>
    </w:p>
    <w:p w14:paraId="2D9F7196" w14:textId="77777777" w:rsidR="00AA2D21" w:rsidRDefault="00AA2D21" w:rsidP="00AA2D21"/>
    <w:p w14:paraId="58D55BDC" w14:textId="77777777" w:rsidR="00AA2D21" w:rsidRDefault="00AA2D21" w:rsidP="00AA2D21">
      <w:r w:rsidRPr="4690022B">
        <w:t xml:space="preserve">The Ministry welcomes feedback in all forms, and there are several channels for </w:t>
      </w:r>
      <w:r>
        <w:t>providing it</w:t>
      </w:r>
      <w:r w:rsidRPr="4690022B">
        <w:t xml:space="preserve">. These include: </w:t>
      </w:r>
    </w:p>
    <w:p w14:paraId="0C31F4FF" w14:textId="77777777" w:rsidR="00AA2D21" w:rsidRPr="00D57366" w:rsidRDefault="00AA2D21" w:rsidP="00AA2D21">
      <w:pPr>
        <w:pStyle w:val="Bullet"/>
      </w:pPr>
      <w:r>
        <w:t xml:space="preserve">through the ongoing conversations a person, their </w:t>
      </w:r>
      <w:proofErr w:type="spellStart"/>
      <w:r>
        <w:t>whānau</w:t>
      </w:r>
      <w:proofErr w:type="spellEnd"/>
      <w:r>
        <w:t xml:space="preserve"> or the practitioner has with the clinical advisor</w:t>
      </w:r>
    </w:p>
    <w:p w14:paraId="73908797" w14:textId="79422C3D" w:rsidR="00AA2D21" w:rsidRDefault="00AA2D21" w:rsidP="00AA2D21">
      <w:pPr>
        <w:pStyle w:val="Bullet"/>
      </w:pPr>
      <w:r>
        <w:t>via email (</w:t>
      </w:r>
      <w:hyperlink r:id="rId53">
        <w:r w:rsidRPr="6E087651">
          <w:rPr>
            <w:rStyle w:val="Hyperlink"/>
            <w:rFonts w:cs="Segoe UI"/>
          </w:rPr>
          <w:t>AssistedDying@health.govt.nz</w:t>
        </w:r>
      </w:hyperlink>
      <w:r>
        <w:t>) or phone (0800 223 852), or by requesting a follow-up phone call/meeting</w:t>
      </w:r>
    </w:p>
    <w:p w14:paraId="0AAEAB76" w14:textId="77777777" w:rsidR="00AA2D21" w:rsidRPr="00D57366" w:rsidRDefault="00AA2D21" w:rsidP="00AA2D21">
      <w:pPr>
        <w:pStyle w:val="Bullet"/>
      </w:pPr>
      <w:r>
        <w:t xml:space="preserve">by completing a </w:t>
      </w:r>
      <w:hyperlink r:id="rId54">
        <w:r w:rsidRPr="6E087651">
          <w:rPr>
            <w:rStyle w:val="Hyperlink"/>
          </w:rPr>
          <w:t>feedback form</w:t>
        </w:r>
      </w:hyperlink>
      <w:r>
        <w:t xml:space="preserve"> </w:t>
      </w:r>
    </w:p>
    <w:p w14:paraId="69F48E3A" w14:textId="77777777" w:rsidR="00AA2D21" w:rsidRPr="00D57366" w:rsidRDefault="00AA2D21" w:rsidP="00AA2D21">
      <w:pPr>
        <w:pStyle w:val="Bullet"/>
      </w:pPr>
      <w:r>
        <w:t xml:space="preserve">by making a </w:t>
      </w:r>
      <w:hyperlink r:id="rId55">
        <w:r w:rsidRPr="6E087651">
          <w:rPr>
            <w:rStyle w:val="Hyperlink"/>
          </w:rPr>
          <w:t>formal complaint</w:t>
        </w:r>
      </w:hyperlink>
      <w:r>
        <w:t xml:space="preserve">. </w:t>
      </w:r>
    </w:p>
    <w:p w14:paraId="66014865" w14:textId="77777777" w:rsidR="00AA2D21" w:rsidRDefault="00AA2D21" w:rsidP="00AA2D21">
      <w:pPr>
        <w:rPr>
          <w:rFonts w:cs="Segoe UI"/>
        </w:rPr>
      </w:pPr>
    </w:p>
    <w:p w14:paraId="5A433829" w14:textId="77777777" w:rsidR="00AA2D21" w:rsidRDefault="00AA2D21" w:rsidP="00AA2D21">
      <w:r w:rsidRPr="4690022B">
        <w:t xml:space="preserve">People can also contact the Ministry about the assisted dying service through existing channels, such as writing to the Ministry directly or submitting an Official Information Act (OIA) request. </w:t>
      </w:r>
    </w:p>
    <w:p w14:paraId="0C0D0303" w14:textId="77777777" w:rsidR="00AA2D21" w:rsidRPr="008E1B14" w:rsidRDefault="00AA2D21" w:rsidP="00AA2D21">
      <w:pPr>
        <w:pStyle w:val="Heading2"/>
      </w:pPr>
      <w:bookmarkStart w:id="104" w:name="_Toc103085580"/>
      <w:bookmarkStart w:id="105" w:name="_Toc103606347"/>
      <w:bookmarkStart w:id="106" w:name="_Toc104460697"/>
      <w:bookmarkStart w:id="107" w:name="_Toc106611887"/>
      <w:bookmarkStart w:id="108" w:name="_Toc138428963"/>
      <w:proofErr w:type="gramStart"/>
      <w:r w:rsidRPr="008E1B14">
        <w:t>Complaints</w:t>
      </w:r>
      <w:proofErr w:type="gramEnd"/>
      <w:r w:rsidRPr="008E1B14">
        <w:t xml:space="preserve"> process and responsibilities</w:t>
      </w:r>
      <w:bookmarkEnd w:id="104"/>
      <w:bookmarkEnd w:id="105"/>
      <w:bookmarkEnd w:id="106"/>
      <w:bookmarkEnd w:id="107"/>
      <w:bookmarkEnd w:id="108"/>
      <w:r w:rsidRPr="008E1B14">
        <w:t xml:space="preserve"> </w:t>
      </w:r>
    </w:p>
    <w:p w14:paraId="6A394761" w14:textId="77777777" w:rsidR="00AA2D21" w:rsidRDefault="00AA2D21" w:rsidP="00AA2D21">
      <w:r>
        <w:t xml:space="preserve">Anyone can make a complaint about their own or someone else’s experience when using the assisted dying service. </w:t>
      </w:r>
    </w:p>
    <w:p w14:paraId="32744468" w14:textId="77777777" w:rsidR="00AA2D21" w:rsidRDefault="00AA2D21" w:rsidP="00AA2D21"/>
    <w:p w14:paraId="31712066" w14:textId="0681D741" w:rsidR="00AA2D21" w:rsidRDefault="00AA2D21" w:rsidP="00AA2D21">
      <w:r w:rsidRPr="444C2F7D">
        <w:t>The Registrar is responsible for all complaints</w:t>
      </w:r>
      <w:r>
        <w:t xml:space="preserve"> </w:t>
      </w:r>
      <w:r w:rsidR="00424283">
        <w:t xml:space="preserve">about the appropriateness of </w:t>
      </w:r>
      <w:r w:rsidR="003F5D1F">
        <w:t xml:space="preserve">the </w:t>
      </w:r>
      <w:r w:rsidR="00424283">
        <w:t>conduct of any health practitioner under the Act</w:t>
      </w:r>
      <w:r w:rsidRPr="444C2F7D">
        <w:t xml:space="preserve">. The Registrar may also refer complaints to </w:t>
      </w:r>
      <w:proofErr w:type="spellStart"/>
      <w:r w:rsidR="0022591C">
        <w:t>Te</w:t>
      </w:r>
      <w:proofErr w:type="spellEnd"/>
      <w:r w:rsidR="0022591C">
        <w:t xml:space="preserve"> </w:t>
      </w:r>
      <w:proofErr w:type="spellStart"/>
      <w:r w:rsidR="0022591C">
        <w:t>Whatu</w:t>
      </w:r>
      <w:proofErr w:type="spellEnd"/>
      <w:r w:rsidR="0022591C">
        <w:t xml:space="preserve"> </w:t>
      </w:r>
      <w:proofErr w:type="gramStart"/>
      <w:r w:rsidR="0022591C">
        <w:t>Ora</w:t>
      </w:r>
      <w:proofErr w:type="gramEnd"/>
      <w:r w:rsidR="0022591C">
        <w:t xml:space="preserve"> or </w:t>
      </w:r>
      <w:r w:rsidRPr="444C2F7D">
        <w:t xml:space="preserve">an appropriate authority should that be required. This may include </w:t>
      </w:r>
      <w:r>
        <w:t>the responsible authority</w:t>
      </w:r>
      <w:r w:rsidRPr="444C2F7D">
        <w:t xml:space="preserve">, the Health and Disability Commissioner (HDC), or the New Zealand Police. </w:t>
      </w:r>
    </w:p>
    <w:p w14:paraId="5BF4C1FE" w14:textId="77777777" w:rsidR="00AA2D21" w:rsidRDefault="00AA2D21" w:rsidP="00AA2D21"/>
    <w:p w14:paraId="57C31E6A" w14:textId="77777777" w:rsidR="00AA2D21" w:rsidRPr="001E7528" w:rsidRDefault="00AA2D21" w:rsidP="00AA2D21">
      <w:r w:rsidRPr="444C2F7D">
        <w:t xml:space="preserve">The Registrar works closely with the HDC, and the Ministry has a memorandum of understanding in place to support co-operation and </w:t>
      </w:r>
      <w:r>
        <w:t xml:space="preserve">appropriate </w:t>
      </w:r>
      <w:r w:rsidRPr="444C2F7D">
        <w:t xml:space="preserve">information sharing between these organisations.  </w:t>
      </w:r>
    </w:p>
    <w:p w14:paraId="7372ACFC" w14:textId="77777777" w:rsidR="00AA2D21" w:rsidRPr="0001537F" w:rsidRDefault="00AA2D21" w:rsidP="00AA2D21">
      <w:pPr>
        <w:pStyle w:val="Heading2"/>
      </w:pPr>
      <w:bookmarkStart w:id="109" w:name="_Toc103606348"/>
      <w:bookmarkStart w:id="110" w:name="_Toc104460698"/>
      <w:bookmarkStart w:id="111" w:name="_Toc106611888"/>
      <w:bookmarkStart w:id="112" w:name="_Toc138428964"/>
      <w:r w:rsidRPr="0001537F">
        <w:lastRenderedPageBreak/>
        <w:t>Complaints</w:t>
      </w:r>
      <w:bookmarkEnd w:id="109"/>
      <w:bookmarkEnd w:id="110"/>
      <w:bookmarkEnd w:id="111"/>
      <w:bookmarkEnd w:id="112"/>
    </w:p>
    <w:p w14:paraId="11632FA5" w14:textId="3E2B9A2D" w:rsidR="00AA2D21" w:rsidRDefault="00AA2D21" w:rsidP="00AA2D21">
      <w:pPr>
        <w:rPr>
          <w:rFonts w:cs="Segoe UI"/>
        </w:rPr>
      </w:pPr>
      <w:r>
        <w:t xml:space="preserve">The Registrar and Secretariat keep a central record of all complaints directly received about the service. </w:t>
      </w:r>
      <w:r w:rsidRPr="00F24521">
        <w:rPr>
          <w:rFonts w:cs="Segoe UI"/>
        </w:rPr>
        <w:t xml:space="preserve">The Registrar (assisted dying) </w:t>
      </w:r>
      <w:r w:rsidR="0022591C">
        <w:rPr>
          <w:rFonts w:cs="Segoe UI"/>
        </w:rPr>
        <w:t>will</w:t>
      </w:r>
      <w:r w:rsidR="0022591C" w:rsidRPr="00F24521">
        <w:rPr>
          <w:rFonts w:cs="Segoe UI"/>
        </w:rPr>
        <w:t xml:space="preserve"> </w:t>
      </w:r>
      <w:r w:rsidRPr="00F24521">
        <w:rPr>
          <w:rFonts w:cs="Segoe UI"/>
        </w:rPr>
        <w:t xml:space="preserve">also receive details of complaints about the assisted dying service made to the HDC, an Authority or the New Zealand Police under section 28 of the Act. </w:t>
      </w:r>
    </w:p>
    <w:p w14:paraId="2527763B" w14:textId="77777777" w:rsidR="00AA2D21" w:rsidRDefault="00AA2D21" w:rsidP="00AA2D21">
      <w:pPr>
        <w:rPr>
          <w:rFonts w:cs="Segoe UI"/>
        </w:rPr>
      </w:pPr>
    </w:p>
    <w:p w14:paraId="75EF6C21" w14:textId="77777777" w:rsidR="00AA2D21" w:rsidRDefault="00AA2D21" w:rsidP="00AA2D21">
      <w:r>
        <w:rPr>
          <w:rFonts w:cs="Segoe UI"/>
        </w:rPr>
        <w:t xml:space="preserve">The tables below contain a summary of all complaints received by the Registrar (assisted dying) and the Secretariat at Manatū Hauora, the Medical Council and the HDC </w:t>
      </w:r>
      <w:r>
        <w:t xml:space="preserve">between 1 April 2022 and 31 March 2023. </w:t>
      </w:r>
    </w:p>
    <w:p w14:paraId="7D141EC1" w14:textId="77777777" w:rsidR="00AA2D21" w:rsidRDefault="00AA2D21" w:rsidP="00AA2D21"/>
    <w:p w14:paraId="07ECBA31" w14:textId="77777777" w:rsidR="00AA2D21" w:rsidRDefault="00AA2D21" w:rsidP="00AA2D21">
      <w:r>
        <w:rPr>
          <w:rFonts w:cs="Segoe UI"/>
        </w:rPr>
        <w:t xml:space="preserve">No complaints have been received by the New Zealand Police or the Nursing Council in relation to the assisted dying service during the reporting period. </w:t>
      </w:r>
    </w:p>
    <w:p w14:paraId="1FAFA8D1" w14:textId="77777777" w:rsidR="00AA2D21" w:rsidRDefault="00AA2D21" w:rsidP="00AA2D21">
      <w:pPr>
        <w:rPr>
          <w:rFonts w:cs="Segoe UI"/>
        </w:rPr>
      </w:pPr>
    </w:p>
    <w:p w14:paraId="30EC2A8D" w14:textId="273A168E" w:rsidR="00AA2D21" w:rsidRDefault="00AA2D21" w:rsidP="00AA2D21">
      <w:pPr>
        <w:pStyle w:val="Table"/>
        <w:rPr>
          <w:rFonts w:cs="Segoe UI"/>
          <w:bCs/>
        </w:rPr>
      </w:pPr>
      <w:bookmarkStart w:id="113" w:name="_Toc106611896"/>
      <w:bookmarkStart w:id="114" w:name="_Toc138428974"/>
      <w:r>
        <w:t xml:space="preserve">Table </w:t>
      </w:r>
      <w:r w:rsidR="00161918">
        <w:fldChar w:fldCharType="begin"/>
      </w:r>
      <w:r w:rsidR="00161918">
        <w:instrText xml:space="preserve"> SEQ Table \* ARABIC </w:instrText>
      </w:r>
      <w:r w:rsidR="00161918">
        <w:fldChar w:fldCharType="separate"/>
      </w:r>
      <w:r w:rsidR="00A345F8">
        <w:rPr>
          <w:noProof/>
        </w:rPr>
        <w:t>7</w:t>
      </w:r>
      <w:r w:rsidR="00161918">
        <w:rPr>
          <w:noProof/>
        </w:rPr>
        <w:fldChar w:fldCharType="end"/>
      </w:r>
      <w:r>
        <w:t xml:space="preserve">: </w:t>
      </w:r>
      <w:r>
        <w:rPr>
          <w:rFonts w:cs="Segoe UI"/>
          <w:bCs/>
        </w:rPr>
        <w:t>Summary of c</w:t>
      </w:r>
      <w:r w:rsidRPr="00DC2F44">
        <w:rPr>
          <w:rFonts w:cs="Segoe UI"/>
          <w:bCs/>
        </w:rPr>
        <w:t>omplaints</w:t>
      </w:r>
      <w:bookmarkEnd w:id="113"/>
      <w:r>
        <w:rPr>
          <w:rFonts w:cs="Segoe UI"/>
          <w:bCs/>
        </w:rPr>
        <w:t xml:space="preserve"> received by the Registrar (Assisted Dying) and the Secretariat at Manatū Hauora directly</w:t>
      </w:r>
      <w:bookmarkEnd w:id="114"/>
    </w:p>
    <w:tbl>
      <w:tblPr>
        <w:tblStyle w:val="TableGrid1"/>
        <w:tblW w:w="8254"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426"/>
        <w:gridCol w:w="1417"/>
        <w:gridCol w:w="2268"/>
        <w:gridCol w:w="2693"/>
        <w:gridCol w:w="1450"/>
      </w:tblGrid>
      <w:tr w:rsidR="008A3CD6" w:rsidRPr="008A3CD6" w14:paraId="12E6E68A" w14:textId="77777777" w:rsidTr="008A3CD6">
        <w:trPr>
          <w:trHeight w:val="250"/>
          <w:tblHeader/>
        </w:trPr>
        <w:tc>
          <w:tcPr>
            <w:tcW w:w="426" w:type="dxa"/>
            <w:tcBorders>
              <w:top w:val="nil"/>
              <w:bottom w:val="nil"/>
            </w:tcBorders>
            <w:shd w:val="clear" w:color="auto" w:fill="D9D9D9" w:themeFill="background1" w:themeFillShade="D9"/>
          </w:tcPr>
          <w:p w14:paraId="3A039EFC" w14:textId="77777777" w:rsidR="008A3CD6" w:rsidRPr="008A3CD6" w:rsidRDefault="008A3CD6" w:rsidP="008A3CD6">
            <w:pPr>
              <w:pStyle w:val="TableText"/>
              <w:rPr>
                <w:b/>
                <w:bCs/>
              </w:rPr>
            </w:pPr>
          </w:p>
        </w:tc>
        <w:tc>
          <w:tcPr>
            <w:tcW w:w="1417" w:type="dxa"/>
            <w:tcBorders>
              <w:top w:val="nil"/>
              <w:bottom w:val="nil"/>
            </w:tcBorders>
            <w:shd w:val="clear" w:color="auto" w:fill="D9D9D9" w:themeFill="background1" w:themeFillShade="D9"/>
          </w:tcPr>
          <w:p w14:paraId="37F6F081" w14:textId="77777777" w:rsidR="008A3CD6" w:rsidRPr="008A3CD6" w:rsidRDefault="008A3CD6" w:rsidP="008A3CD6">
            <w:pPr>
              <w:pStyle w:val="TableText"/>
              <w:rPr>
                <w:b/>
                <w:bCs/>
              </w:rPr>
            </w:pPr>
            <w:r w:rsidRPr="008A3CD6">
              <w:rPr>
                <w:b/>
                <w:bCs/>
              </w:rPr>
              <w:t>Complainant</w:t>
            </w:r>
          </w:p>
        </w:tc>
        <w:tc>
          <w:tcPr>
            <w:tcW w:w="2268" w:type="dxa"/>
            <w:tcBorders>
              <w:top w:val="nil"/>
              <w:bottom w:val="nil"/>
            </w:tcBorders>
            <w:shd w:val="clear" w:color="auto" w:fill="D9D9D9" w:themeFill="background1" w:themeFillShade="D9"/>
          </w:tcPr>
          <w:p w14:paraId="17755F3B" w14:textId="77777777" w:rsidR="008A3CD6" w:rsidRPr="008A3CD6" w:rsidRDefault="008A3CD6" w:rsidP="008A3CD6">
            <w:pPr>
              <w:pStyle w:val="TableText"/>
              <w:rPr>
                <w:b/>
                <w:bCs/>
              </w:rPr>
            </w:pPr>
            <w:r w:rsidRPr="008A3CD6">
              <w:rPr>
                <w:b/>
                <w:bCs/>
              </w:rPr>
              <w:t>Subject</w:t>
            </w:r>
          </w:p>
        </w:tc>
        <w:tc>
          <w:tcPr>
            <w:tcW w:w="2693" w:type="dxa"/>
            <w:tcBorders>
              <w:top w:val="nil"/>
              <w:bottom w:val="nil"/>
            </w:tcBorders>
            <w:shd w:val="clear" w:color="auto" w:fill="D9D9D9" w:themeFill="background1" w:themeFillShade="D9"/>
          </w:tcPr>
          <w:p w14:paraId="0CD31029" w14:textId="77777777" w:rsidR="008A3CD6" w:rsidRPr="008A3CD6" w:rsidRDefault="008A3CD6" w:rsidP="008A3CD6">
            <w:pPr>
              <w:pStyle w:val="TableText"/>
              <w:rPr>
                <w:b/>
                <w:bCs/>
              </w:rPr>
            </w:pPr>
            <w:r w:rsidRPr="008A3CD6">
              <w:rPr>
                <w:b/>
                <w:bCs/>
              </w:rPr>
              <w:t>Action</w:t>
            </w:r>
          </w:p>
        </w:tc>
        <w:tc>
          <w:tcPr>
            <w:tcW w:w="1450" w:type="dxa"/>
            <w:tcBorders>
              <w:top w:val="nil"/>
              <w:bottom w:val="nil"/>
            </w:tcBorders>
            <w:shd w:val="clear" w:color="auto" w:fill="D9D9D9" w:themeFill="background1" w:themeFillShade="D9"/>
          </w:tcPr>
          <w:p w14:paraId="181FB170" w14:textId="77777777" w:rsidR="008A3CD6" w:rsidRPr="008A3CD6" w:rsidRDefault="008A3CD6" w:rsidP="008A3CD6">
            <w:pPr>
              <w:pStyle w:val="TableText"/>
              <w:rPr>
                <w:b/>
                <w:bCs/>
              </w:rPr>
            </w:pPr>
            <w:r w:rsidRPr="008A3CD6">
              <w:rPr>
                <w:b/>
                <w:bCs/>
              </w:rPr>
              <w:t>Outcome</w:t>
            </w:r>
          </w:p>
        </w:tc>
      </w:tr>
      <w:tr w:rsidR="008A3CD6" w:rsidRPr="008A3CD6" w14:paraId="7A6709E4" w14:textId="77777777" w:rsidTr="008A3CD6">
        <w:trPr>
          <w:trHeight w:val="513"/>
        </w:trPr>
        <w:tc>
          <w:tcPr>
            <w:tcW w:w="426" w:type="dxa"/>
            <w:tcBorders>
              <w:top w:val="nil"/>
            </w:tcBorders>
          </w:tcPr>
          <w:p w14:paraId="3F26EF3C" w14:textId="77777777" w:rsidR="008A3CD6" w:rsidRPr="008A3CD6" w:rsidRDefault="008A3CD6" w:rsidP="008A3CD6">
            <w:pPr>
              <w:pStyle w:val="TableText"/>
            </w:pPr>
            <w:r w:rsidRPr="008A3CD6">
              <w:t xml:space="preserve">1 </w:t>
            </w:r>
          </w:p>
        </w:tc>
        <w:tc>
          <w:tcPr>
            <w:tcW w:w="1417" w:type="dxa"/>
            <w:tcBorders>
              <w:top w:val="nil"/>
            </w:tcBorders>
          </w:tcPr>
          <w:p w14:paraId="53B4A5FD" w14:textId="77777777" w:rsidR="008A3CD6" w:rsidRPr="008A3CD6" w:rsidRDefault="008A3CD6" w:rsidP="008A3CD6">
            <w:pPr>
              <w:pStyle w:val="TableText"/>
            </w:pPr>
            <w:r w:rsidRPr="008A3CD6">
              <w:t xml:space="preserve">Public </w:t>
            </w:r>
          </w:p>
        </w:tc>
        <w:tc>
          <w:tcPr>
            <w:tcW w:w="2268" w:type="dxa"/>
            <w:tcBorders>
              <w:top w:val="nil"/>
            </w:tcBorders>
          </w:tcPr>
          <w:p w14:paraId="5450C8E7" w14:textId="77777777" w:rsidR="008A3CD6" w:rsidRPr="008A3CD6" w:rsidRDefault="008A3CD6" w:rsidP="008A3CD6">
            <w:pPr>
              <w:pStyle w:val="TableText"/>
            </w:pPr>
            <w:r w:rsidRPr="008A3CD6">
              <w:t xml:space="preserve">A media outlet making public the details of an assisted death. </w:t>
            </w:r>
          </w:p>
        </w:tc>
        <w:tc>
          <w:tcPr>
            <w:tcW w:w="2693" w:type="dxa"/>
            <w:tcBorders>
              <w:top w:val="nil"/>
            </w:tcBorders>
          </w:tcPr>
          <w:p w14:paraId="3A3838A2" w14:textId="77777777" w:rsidR="008A3CD6" w:rsidRPr="008A3CD6" w:rsidRDefault="008A3CD6" w:rsidP="008A3CD6">
            <w:pPr>
              <w:pStyle w:val="TableText"/>
            </w:pPr>
            <w:r w:rsidRPr="008A3CD6">
              <w:t>Substantiated. Secretariat worked with media outlet to amend their information to align with the Act.</w:t>
            </w:r>
          </w:p>
        </w:tc>
        <w:tc>
          <w:tcPr>
            <w:tcW w:w="1450" w:type="dxa"/>
            <w:tcBorders>
              <w:top w:val="nil"/>
            </w:tcBorders>
          </w:tcPr>
          <w:p w14:paraId="19E17C37" w14:textId="77777777" w:rsidR="008A3CD6" w:rsidRPr="008A3CD6" w:rsidRDefault="008A3CD6" w:rsidP="008A3CD6">
            <w:pPr>
              <w:pStyle w:val="TableText"/>
            </w:pPr>
            <w:r w:rsidRPr="008A3CD6">
              <w:t>Closed</w:t>
            </w:r>
          </w:p>
        </w:tc>
      </w:tr>
      <w:tr w:rsidR="008A3CD6" w:rsidRPr="008A3CD6" w14:paraId="070E7251" w14:textId="77777777" w:rsidTr="008A3CD6">
        <w:trPr>
          <w:trHeight w:val="250"/>
        </w:trPr>
        <w:tc>
          <w:tcPr>
            <w:tcW w:w="426" w:type="dxa"/>
          </w:tcPr>
          <w:p w14:paraId="5DF36DB5" w14:textId="77777777" w:rsidR="008A3CD6" w:rsidRPr="008A3CD6" w:rsidRDefault="008A3CD6" w:rsidP="008A3CD6">
            <w:pPr>
              <w:pStyle w:val="TableText"/>
            </w:pPr>
            <w:r w:rsidRPr="008A3CD6">
              <w:t xml:space="preserve">2 </w:t>
            </w:r>
          </w:p>
        </w:tc>
        <w:tc>
          <w:tcPr>
            <w:tcW w:w="1417" w:type="dxa"/>
          </w:tcPr>
          <w:p w14:paraId="5EC49896" w14:textId="77777777" w:rsidR="008A3CD6" w:rsidRPr="008A3CD6" w:rsidRDefault="008A3CD6" w:rsidP="008A3CD6">
            <w:pPr>
              <w:pStyle w:val="TableText"/>
            </w:pPr>
            <w:r w:rsidRPr="008A3CD6">
              <w:t xml:space="preserve">Public </w:t>
            </w:r>
          </w:p>
        </w:tc>
        <w:tc>
          <w:tcPr>
            <w:tcW w:w="2268" w:type="dxa"/>
          </w:tcPr>
          <w:p w14:paraId="371E988C" w14:textId="77777777" w:rsidR="008A3CD6" w:rsidRPr="008A3CD6" w:rsidRDefault="008A3CD6" w:rsidP="008A3CD6">
            <w:pPr>
              <w:pStyle w:val="TableText"/>
            </w:pPr>
            <w:r w:rsidRPr="008A3CD6">
              <w:t>A media outlet screening details about assisted deaths.</w:t>
            </w:r>
          </w:p>
        </w:tc>
        <w:tc>
          <w:tcPr>
            <w:tcW w:w="2693" w:type="dxa"/>
          </w:tcPr>
          <w:p w14:paraId="2BCEF579" w14:textId="77777777" w:rsidR="008A3CD6" w:rsidRPr="008A3CD6" w:rsidRDefault="008A3CD6" w:rsidP="008A3CD6">
            <w:pPr>
              <w:pStyle w:val="TableText"/>
            </w:pPr>
            <w:r w:rsidRPr="008A3CD6">
              <w:t xml:space="preserve">Not substantiated. No action was required. </w:t>
            </w:r>
          </w:p>
        </w:tc>
        <w:tc>
          <w:tcPr>
            <w:tcW w:w="1450" w:type="dxa"/>
          </w:tcPr>
          <w:p w14:paraId="3DABE8CA" w14:textId="77777777" w:rsidR="008A3CD6" w:rsidRPr="008A3CD6" w:rsidRDefault="008A3CD6" w:rsidP="008A3CD6">
            <w:pPr>
              <w:pStyle w:val="TableText"/>
            </w:pPr>
            <w:r w:rsidRPr="008A3CD6">
              <w:t>Closed</w:t>
            </w:r>
          </w:p>
        </w:tc>
      </w:tr>
      <w:tr w:rsidR="008A3CD6" w:rsidRPr="008A3CD6" w14:paraId="44B583AC" w14:textId="77777777" w:rsidTr="008A3CD6">
        <w:trPr>
          <w:trHeight w:val="764"/>
        </w:trPr>
        <w:tc>
          <w:tcPr>
            <w:tcW w:w="426" w:type="dxa"/>
          </w:tcPr>
          <w:p w14:paraId="5044343D" w14:textId="77777777" w:rsidR="008A3CD6" w:rsidRPr="008A3CD6" w:rsidRDefault="008A3CD6" w:rsidP="008A3CD6">
            <w:pPr>
              <w:pStyle w:val="TableText"/>
            </w:pPr>
            <w:r w:rsidRPr="008A3CD6">
              <w:t xml:space="preserve">3 </w:t>
            </w:r>
          </w:p>
        </w:tc>
        <w:tc>
          <w:tcPr>
            <w:tcW w:w="1417" w:type="dxa"/>
          </w:tcPr>
          <w:p w14:paraId="6394E572" w14:textId="77777777" w:rsidR="008A3CD6" w:rsidRPr="008A3CD6" w:rsidRDefault="008A3CD6" w:rsidP="008A3CD6">
            <w:pPr>
              <w:pStyle w:val="TableText"/>
            </w:pPr>
            <w:r w:rsidRPr="008A3CD6">
              <w:t xml:space="preserve">Applicant </w:t>
            </w:r>
          </w:p>
        </w:tc>
        <w:tc>
          <w:tcPr>
            <w:tcW w:w="2268" w:type="dxa"/>
          </w:tcPr>
          <w:p w14:paraId="623325B9" w14:textId="77777777" w:rsidR="008A3CD6" w:rsidRPr="008A3CD6" w:rsidRDefault="008A3CD6" w:rsidP="008A3CD6">
            <w:pPr>
              <w:pStyle w:val="TableText"/>
            </w:pPr>
            <w:r w:rsidRPr="008A3CD6">
              <w:t xml:space="preserve">Desire for urgency with IMP assessment. </w:t>
            </w:r>
          </w:p>
        </w:tc>
        <w:tc>
          <w:tcPr>
            <w:tcW w:w="2693" w:type="dxa"/>
          </w:tcPr>
          <w:p w14:paraId="5F3B05D8" w14:textId="77777777" w:rsidR="008A3CD6" w:rsidRPr="008A3CD6" w:rsidRDefault="008A3CD6" w:rsidP="008A3CD6">
            <w:pPr>
              <w:pStyle w:val="TableText"/>
            </w:pPr>
            <w:r w:rsidRPr="008A3CD6">
              <w:t xml:space="preserve">Not substantiated. Secretariat actively worked with applicant to assign doctor and time to second appointment was not excessive. </w:t>
            </w:r>
          </w:p>
        </w:tc>
        <w:tc>
          <w:tcPr>
            <w:tcW w:w="1450" w:type="dxa"/>
          </w:tcPr>
          <w:p w14:paraId="765C0EED" w14:textId="77777777" w:rsidR="008A3CD6" w:rsidRPr="008A3CD6" w:rsidRDefault="008A3CD6" w:rsidP="008A3CD6">
            <w:pPr>
              <w:pStyle w:val="TableText"/>
            </w:pPr>
            <w:r w:rsidRPr="008A3CD6">
              <w:t>Closed</w:t>
            </w:r>
          </w:p>
        </w:tc>
      </w:tr>
      <w:tr w:rsidR="008A3CD6" w:rsidRPr="008A3CD6" w14:paraId="494B3A75" w14:textId="77777777" w:rsidTr="008A3CD6">
        <w:trPr>
          <w:trHeight w:val="513"/>
        </w:trPr>
        <w:tc>
          <w:tcPr>
            <w:tcW w:w="426" w:type="dxa"/>
          </w:tcPr>
          <w:p w14:paraId="028934C8" w14:textId="77777777" w:rsidR="008A3CD6" w:rsidRPr="008A3CD6" w:rsidRDefault="008A3CD6" w:rsidP="008A3CD6">
            <w:pPr>
              <w:pStyle w:val="TableText"/>
            </w:pPr>
            <w:r w:rsidRPr="008A3CD6">
              <w:t xml:space="preserve">4 </w:t>
            </w:r>
          </w:p>
        </w:tc>
        <w:tc>
          <w:tcPr>
            <w:tcW w:w="1417" w:type="dxa"/>
          </w:tcPr>
          <w:p w14:paraId="64BA8138" w14:textId="77777777" w:rsidR="008A3CD6" w:rsidRPr="008A3CD6" w:rsidRDefault="008A3CD6" w:rsidP="008A3CD6">
            <w:pPr>
              <w:pStyle w:val="TableText"/>
            </w:pPr>
            <w:r w:rsidRPr="008A3CD6">
              <w:t xml:space="preserve">Practitioner </w:t>
            </w:r>
          </w:p>
        </w:tc>
        <w:tc>
          <w:tcPr>
            <w:tcW w:w="2268" w:type="dxa"/>
          </w:tcPr>
          <w:p w14:paraId="61FC33C3" w14:textId="77777777" w:rsidR="008A3CD6" w:rsidRPr="008A3CD6" w:rsidRDefault="008A3CD6" w:rsidP="008A3CD6">
            <w:pPr>
              <w:pStyle w:val="TableText"/>
            </w:pPr>
            <w:r w:rsidRPr="008A3CD6">
              <w:t xml:space="preserve">Difficulty accessing patient medical notes under urgency. </w:t>
            </w:r>
          </w:p>
        </w:tc>
        <w:tc>
          <w:tcPr>
            <w:tcW w:w="2693" w:type="dxa"/>
          </w:tcPr>
          <w:p w14:paraId="235A9855" w14:textId="77777777" w:rsidR="008A3CD6" w:rsidRPr="008A3CD6" w:rsidRDefault="008A3CD6" w:rsidP="008A3CD6">
            <w:pPr>
              <w:pStyle w:val="TableText"/>
            </w:pPr>
            <w:r w:rsidRPr="008A3CD6">
              <w:t xml:space="preserve">Partially substantiated. Secretariat engaged with complainant, recognised area for improvement. </w:t>
            </w:r>
          </w:p>
        </w:tc>
        <w:tc>
          <w:tcPr>
            <w:tcW w:w="1450" w:type="dxa"/>
          </w:tcPr>
          <w:p w14:paraId="6592BC35" w14:textId="77777777" w:rsidR="008A3CD6" w:rsidRPr="008A3CD6" w:rsidRDefault="008A3CD6" w:rsidP="008A3CD6">
            <w:pPr>
              <w:pStyle w:val="TableText"/>
            </w:pPr>
            <w:r w:rsidRPr="008A3CD6">
              <w:t xml:space="preserve">Closed </w:t>
            </w:r>
          </w:p>
        </w:tc>
      </w:tr>
      <w:tr w:rsidR="008A3CD6" w:rsidRPr="008A3CD6" w14:paraId="64A6127E" w14:textId="77777777" w:rsidTr="008A3CD6">
        <w:trPr>
          <w:trHeight w:val="764"/>
        </w:trPr>
        <w:tc>
          <w:tcPr>
            <w:tcW w:w="426" w:type="dxa"/>
          </w:tcPr>
          <w:p w14:paraId="660E8859" w14:textId="77777777" w:rsidR="008A3CD6" w:rsidRPr="008A3CD6" w:rsidRDefault="008A3CD6" w:rsidP="008A3CD6">
            <w:pPr>
              <w:pStyle w:val="TableText"/>
            </w:pPr>
            <w:r w:rsidRPr="008A3CD6">
              <w:t xml:space="preserve">5 </w:t>
            </w:r>
          </w:p>
        </w:tc>
        <w:tc>
          <w:tcPr>
            <w:tcW w:w="1417" w:type="dxa"/>
          </w:tcPr>
          <w:p w14:paraId="5691A31C" w14:textId="77777777" w:rsidR="008A3CD6" w:rsidRPr="008A3CD6" w:rsidRDefault="008A3CD6" w:rsidP="008A3CD6">
            <w:pPr>
              <w:pStyle w:val="TableText"/>
            </w:pPr>
            <w:r w:rsidRPr="008A3CD6">
              <w:t>Practitioner</w:t>
            </w:r>
          </w:p>
        </w:tc>
        <w:tc>
          <w:tcPr>
            <w:tcW w:w="2268" w:type="dxa"/>
          </w:tcPr>
          <w:p w14:paraId="2C2B4EC7" w14:textId="77777777" w:rsidR="008A3CD6" w:rsidRPr="008A3CD6" w:rsidRDefault="008A3CD6" w:rsidP="008A3CD6">
            <w:pPr>
              <w:pStyle w:val="TableText"/>
            </w:pPr>
            <w:r w:rsidRPr="008A3CD6">
              <w:t xml:space="preserve">Requirements for death report. </w:t>
            </w:r>
          </w:p>
        </w:tc>
        <w:tc>
          <w:tcPr>
            <w:tcW w:w="2693" w:type="dxa"/>
          </w:tcPr>
          <w:p w14:paraId="1479E776" w14:textId="77777777" w:rsidR="008A3CD6" w:rsidRPr="008A3CD6" w:rsidRDefault="008A3CD6" w:rsidP="008A3CD6">
            <w:pPr>
              <w:pStyle w:val="TableText"/>
            </w:pPr>
            <w:r w:rsidRPr="008A3CD6">
              <w:t xml:space="preserve">Partially substantiated. The detail needed was clarified with the Review Committee and distributed to practitioners. </w:t>
            </w:r>
          </w:p>
        </w:tc>
        <w:tc>
          <w:tcPr>
            <w:tcW w:w="1450" w:type="dxa"/>
          </w:tcPr>
          <w:p w14:paraId="23B15211" w14:textId="77777777" w:rsidR="008A3CD6" w:rsidRPr="008A3CD6" w:rsidRDefault="008A3CD6" w:rsidP="008A3CD6">
            <w:pPr>
              <w:pStyle w:val="TableText"/>
            </w:pPr>
            <w:r w:rsidRPr="008A3CD6">
              <w:t xml:space="preserve">Closed </w:t>
            </w:r>
          </w:p>
        </w:tc>
      </w:tr>
      <w:tr w:rsidR="008A3CD6" w:rsidRPr="008A3CD6" w14:paraId="3B353BC8" w14:textId="77777777" w:rsidTr="008A3CD6">
        <w:trPr>
          <w:trHeight w:val="502"/>
        </w:trPr>
        <w:tc>
          <w:tcPr>
            <w:tcW w:w="426" w:type="dxa"/>
          </w:tcPr>
          <w:p w14:paraId="52204E14" w14:textId="77777777" w:rsidR="008A3CD6" w:rsidRPr="008A3CD6" w:rsidRDefault="008A3CD6" w:rsidP="008A3CD6">
            <w:pPr>
              <w:pStyle w:val="TableText"/>
            </w:pPr>
            <w:r w:rsidRPr="008A3CD6">
              <w:t xml:space="preserve">6 </w:t>
            </w:r>
          </w:p>
        </w:tc>
        <w:tc>
          <w:tcPr>
            <w:tcW w:w="1417" w:type="dxa"/>
          </w:tcPr>
          <w:p w14:paraId="3C603B18" w14:textId="77777777" w:rsidR="008A3CD6" w:rsidRPr="008A3CD6" w:rsidRDefault="008A3CD6" w:rsidP="008A3CD6">
            <w:pPr>
              <w:pStyle w:val="TableText"/>
            </w:pPr>
            <w:r w:rsidRPr="008A3CD6">
              <w:t xml:space="preserve">Practitioner </w:t>
            </w:r>
          </w:p>
        </w:tc>
        <w:tc>
          <w:tcPr>
            <w:tcW w:w="2268" w:type="dxa"/>
          </w:tcPr>
          <w:p w14:paraId="52C7DBCA" w14:textId="77777777" w:rsidR="008A3CD6" w:rsidRPr="008A3CD6" w:rsidRDefault="008A3CD6" w:rsidP="008A3CD6">
            <w:pPr>
              <w:pStyle w:val="TableText"/>
            </w:pPr>
            <w:r w:rsidRPr="008A3CD6">
              <w:t xml:space="preserve">Difficulty accessing case management system. </w:t>
            </w:r>
          </w:p>
        </w:tc>
        <w:tc>
          <w:tcPr>
            <w:tcW w:w="2693" w:type="dxa"/>
          </w:tcPr>
          <w:p w14:paraId="5847A694" w14:textId="77777777" w:rsidR="008A3CD6" w:rsidRPr="008A3CD6" w:rsidRDefault="008A3CD6" w:rsidP="008A3CD6">
            <w:pPr>
              <w:pStyle w:val="TableText"/>
            </w:pPr>
            <w:r w:rsidRPr="008A3CD6">
              <w:t xml:space="preserve">Not substantiated. Practitioner provided with support by the Secretariat to access and use the system. </w:t>
            </w:r>
          </w:p>
        </w:tc>
        <w:tc>
          <w:tcPr>
            <w:tcW w:w="1450" w:type="dxa"/>
          </w:tcPr>
          <w:p w14:paraId="4FCE5F92" w14:textId="77777777" w:rsidR="008A3CD6" w:rsidRPr="008A3CD6" w:rsidRDefault="008A3CD6" w:rsidP="008A3CD6">
            <w:pPr>
              <w:pStyle w:val="TableText"/>
            </w:pPr>
            <w:r w:rsidRPr="008A3CD6">
              <w:t>Closed</w:t>
            </w:r>
          </w:p>
        </w:tc>
      </w:tr>
      <w:tr w:rsidR="008A3CD6" w:rsidRPr="008A3CD6" w14:paraId="31ECDF0B" w14:textId="77777777" w:rsidTr="008A3CD6">
        <w:trPr>
          <w:trHeight w:val="250"/>
        </w:trPr>
        <w:tc>
          <w:tcPr>
            <w:tcW w:w="426" w:type="dxa"/>
          </w:tcPr>
          <w:p w14:paraId="04433609" w14:textId="77777777" w:rsidR="008A3CD6" w:rsidRPr="008A3CD6" w:rsidRDefault="008A3CD6" w:rsidP="008A3CD6">
            <w:pPr>
              <w:pStyle w:val="TableText"/>
            </w:pPr>
            <w:r w:rsidRPr="008A3CD6">
              <w:t xml:space="preserve">7 </w:t>
            </w:r>
          </w:p>
        </w:tc>
        <w:tc>
          <w:tcPr>
            <w:tcW w:w="1417" w:type="dxa"/>
          </w:tcPr>
          <w:p w14:paraId="217CAA99" w14:textId="77777777" w:rsidR="008A3CD6" w:rsidRPr="008A3CD6" w:rsidRDefault="008A3CD6" w:rsidP="008A3CD6">
            <w:pPr>
              <w:pStyle w:val="TableText"/>
            </w:pPr>
            <w:r w:rsidRPr="008A3CD6">
              <w:t>Public</w:t>
            </w:r>
          </w:p>
        </w:tc>
        <w:tc>
          <w:tcPr>
            <w:tcW w:w="2268" w:type="dxa"/>
          </w:tcPr>
          <w:p w14:paraId="46A97351" w14:textId="77777777" w:rsidR="008A3CD6" w:rsidRPr="008A3CD6" w:rsidRDefault="008A3CD6" w:rsidP="008A3CD6">
            <w:pPr>
              <w:pStyle w:val="TableText"/>
            </w:pPr>
            <w:r w:rsidRPr="008A3CD6">
              <w:t xml:space="preserve">Complaint about mental health services. </w:t>
            </w:r>
          </w:p>
        </w:tc>
        <w:tc>
          <w:tcPr>
            <w:tcW w:w="2693" w:type="dxa"/>
          </w:tcPr>
          <w:p w14:paraId="6DB9CC0E" w14:textId="77777777" w:rsidR="008A3CD6" w:rsidRPr="008A3CD6" w:rsidRDefault="008A3CD6" w:rsidP="008A3CD6">
            <w:pPr>
              <w:pStyle w:val="TableText"/>
            </w:pPr>
            <w:r w:rsidRPr="008A3CD6">
              <w:t xml:space="preserve">Not substantiated. Referred to relevant mental health service by the Secretariat. </w:t>
            </w:r>
          </w:p>
        </w:tc>
        <w:tc>
          <w:tcPr>
            <w:tcW w:w="1450" w:type="dxa"/>
          </w:tcPr>
          <w:p w14:paraId="0BD628EE" w14:textId="77777777" w:rsidR="008A3CD6" w:rsidRPr="008A3CD6" w:rsidRDefault="008A3CD6" w:rsidP="008A3CD6">
            <w:pPr>
              <w:pStyle w:val="TableText"/>
            </w:pPr>
            <w:r w:rsidRPr="008A3CD6">
              <w:t xml:space="preserve">Closed </w:t>
            </w:r>
          </w:p>
        </w:tc>
      </w:tr>
      <w:tr w:rsidR="008A3CD6" w:rsidRPr="008A3CD6" w14:paraId="01064E59" w14:textId="77777777" w:rsidTr="008A3CD6">
        <w:trPr>
          <w:trHeight w:val="764"/>
        </w:trPr>
        <w:tc>
          <w:tcPr>
            <w:tcW w:w="426" w:type="dxa"/>
          </w:tcPr>
          <w:p w14:paraId="673585C1" w14:textId="77777777" w:rsidR="008A3CD6" w:rsidRPr="008A3CD6" w:rsidRDefault="008A3CD6" w:rsidP="008A3CD6">
            <w:pPr>
              <w:pStyle w:val="TableText"/>
            </w:pPr>
            <w:r w:rsidRPr="008A3CD6">
              <w:t xml:space="preserve">8 </w:t>
            </w:r>
          </w:p>
        </w:tc>
        <w:tc>
          <w:tcPr>
            <w:tcW w:w="1417" w:type="dxa"/>
          </w:tcPr>
          <w:p w14:paraId="0B593860" w14:textId="77777777" w:rsidR="008A3CD6" w:rsidRPr="008A3CD6" w:rsidRDefault="008A3CD6" w:rsidP="008A3CD6">
            <w:pPr>
              <w:pStyle w:val="TableText"/>
            </w:pPr>
            <w:proofErr w:type="spellStart"/>
            <w:r w:rsidRPr="008A3CD6">
              <w:t>Whānau</w:t>
            </w:r>
            <w:proofErr w:type="spellEnd"/>
            <w:r w:rsidRPr="008A3CD6">
              <w:t xml:space="preserve"> of Applicant</w:t>
            </w:r>
          </w:p>
        </w:tc>
        <w:tc>
          <w:tcPr>
            <w:tcW w:w="2268" w:type="dxa"/>
          </w:tcPr>
          <w:p w14:paraId="78D466A1" w14:textId="77777777" w:rsidR="008A3CD6" w:rsidRPr="008A3CD6" w:rsidRDefault="008A3CD6" w:rsidP="008A3CD6">
            <w:pPr>
              <w:pStyle w:val="TableText"/>
            </w:pPr>
            <w:r w:rsidRPr="008A3CD6">
              <w:t>Delay accessing service through health practitioner.</w:t>
            </w:r>
          </w:p>
        </w:tc>
        <w:tc>
          <w:tcPr>
            <w:tcW w:w="2693" w:type="dxa"/>
          </w:tcPr>
          <w:p w14:paraId="077231B1" w14:textId="77777777" w:rsidR="008A3CD6" w:rsidRPr="008A3CD6" w:rsidRDefault="008A3CD6" w:rsidP="008A3CD6">
            <w:pPr>
              <w:pStyle w:val="TableText"/>
            </w:pPr>
            <w:r w:rsidRPr="008A3CD6">
              <w:t xml:space="preserve">Substantiated. Referred to HDC for investigation by the Registrar. </w:t>
            </w:r>
          </w:p>
        </w:tc>
        <w:tc>
          <w:tcPr>
            <w:tcW w:w="1450" w:type="dxa"/>
          </w:tcPr>
          <w:p w14:paraId="42E908E0" w14:textId="77777777" w:rsidR="008A3CD6" w:rsidRPr="008A3CD6" w:rsidRDefault="008A3CD6" w:rsidP="008A3CD6">
            <w:pPr>
              <w:pStyle w:val="TableText"/>
            </w:pPr>
            <w:r w:rsidRPr="008A3CD6">
              <w:t>Under investigation by HDC</w:t>
            </w:r>
          </w:p>
        </w:tc>
      </w:tr>
      <w:tr w:rsidR="008A3CD6" w:rsidRPr="008A3CD6" w14:paraId="30F7FDC0" w14:textId="77777777" w:rsidTr="008A3CD6">
        <w:trPr>
          <w:trHeight w:val="513"/>
        </w:trPr>
        <w:tc>
          <w:tcPr>
            <w:tcW w:w="426" w:type="dxa"/>
          </w:tcPr>
          <w:p w14:paraId="69F85F0E" w14:textId="77777777" w:rsidR="008A3CD6" w:rsidRPr="008A3CD6" w:rsidRDefault="008A3CD6" w:rsidP="008A3CD6">
            <w:pPr>
              <w:pStyle w:val="TableText"/>
            </w:pPr>
            <w:r w:rsidRPr="008A3CD6">
              <w:lastRenderedPageBreak/>
              <w:t xml:space="preserve">9 </w:t>
            </w:r>
          </w:p>
        </w:tc>
        <w:tc>
          <w:tcPr>
            <w:tcW w:w="1417" w:type="dxa"/>
          </w:tcPr>
          <w:p w14:paraId="78639B2A" w14:textId="77777777" w:rsidR="008A3CD6" w:rsidRPr="008A3CD6" w:rsidRDefault="008A3CD6" w:rsidP="008A3CD6">
            <w:pPr>
              <w:pStyle w:val="TableText"/>
            </w:pPr>
            <w:r w:rsidRPr="008A3CD6">
              <w:t xml:space="preserve">Practitioner </w:t>
            </w:r>
          </w:p>
        </w:tc>
        <w:tc>
          <w:tcPr>
            <w:tcW w:w="2268" w:type="dxa"/>
          </w:tcPr>
          <w:p w14:paraId="204481F6" w14:textId="77777777" w:rsidR="008A3CD6" w:rsidRPr="008A3CD6" w:rsidRDefault="008A3CD6" w:rsidP="008A3CD6">
            <w:pPr>
              <w:pStyle w:val="TableText"/>
            </w:pPr>
            <w:r w:rsidRPr="008A3CD6">
              <w:t xml:space="preserve">Facility poorly accommodating applicant in their request for an assisted death. </w:t>
            </w:r>
          </w:p>
        </w:tc>
        <w:tc>
          <w:tcPr>
            <w:tcW w:w="2693" w:type="dxa"/>
          </w:tcPr>
          <w:p w14:paraId="7F3A7CD3" w14:textId="77777777" w:rsidR="008A3CD6" w:rsidRPr="008A3CD6" w:rsidRDefault="008A3CD6" w:rsidP="008A3CD6">
            <w:pPr>
              <w:pStyle w:val="TableText"/>
            </w:pPr>
            <w:r w:rsidRPr="008A3CD6">
              <w:t xml:space="preserve">Substantiated. Issue raised with facility management by Secretariat. </w:t>
            </w:r>
          </w:p>
        </w:tc>
        <w:tc>
          <w:tcPr>
            <w:tcW w:w="1450" w:type="dxa"/>
          </w:tcPr>
          <w:p w14:paraId="01D3AF48" w14:textId="77777777" w:rsidR="008A3CD6" w:rsidRPr="008A3CD6" w:rsidRDefault="008A3CD6" w:rsidP="008A3CD6">
            <w:pPr>
              <w:pStyle w:val="TableText"/>
            </w:pPr>
            <w:r w:rsidRPr="008A3CD6">
              <w:t xml:space="preserve">Pending closure </w:t>
            </w:r>
          </w:p>
        </w:tc>
      </w:tr>
      <w:tr w:rsidR="008A3CD6" w:rsidRPr="008A3CD6" w14:paraId="7675D150" w14:textId="77777777" w:rsidTr="008A3CD6">
        <w:trPr>
          <w:trHeight w:val="513"/>
        </w:trPr>
        <w:tc>
          <w:tcPr>
            <w:tcW w:w="426" w:type="dxa"/>
          </w:tcPr>
          <w:p w14:paraId="34CE891E" w14:textId="77777777" w:rsidR="008A3CD6" w:rsidRPr="008A3CD6" w:rsidRDefault="008A3CD6" w:rsidP="008A3CD6">
            <w:pPr>
              <w:pStyle w:val="TableText"/>
            </w:pPr>
            <w:r w:rsidRPr="008A3CD6">
              <w:t xml:space="preserve">10 </w:t>
            </w:r>
          </w:p>
        </w:tc>
        <w:tc>
          <w:tcPr>
            <w:tcW w:w="1417" w:type="dxa"/>
          </w:tcPr>
          <w:p w14:paraId="726F109F" w14:textId="77777777" w:rsidR="008A3CD6" w:rsidRPr="008A3CD6" w:rsidRDefault="008A3CD6" w:rsidP="008A3CD6">
            <w:pPr>
              <w:pStyle w:val="TableText"/>
            </w:pPr>
            <w:r w:rsidRPr="008A3CD6">
              <w:t xml:space="preserve">Public </w:t>
            </w:r>
          </w:p>
        </w:tc>
        <w:tc>
          <w:tcPr>
            <w:tcW w:w="2268" w:type="dxa"/>
          </w:tcPr>
          <w:p w14:paraId="29DDA3F7" w14:textId="77777777" w:rsidR="008A3CD6" w:rsidRPr="008A3CD6" w:rsidRDefault="008A3CD6" w:rsidP="008A3CD6">
            <w:pPr>
              <w:pStyle w:val="TableText"/>
            </w:pPr>
            <w:r w:rsidRPr="008A3CD6">
              <w:t>Difficulty accessing information about the service.</w:t>
            </w:r>
          </w:p>
        </w:tc>
        <w:tc>
          <w:tcPr>
            <w:tcW w:w="2693" w:type="dxa"/>
          </w:tcPr>
          <w:p w14:paraId="36E80C7A" w14:textId="77777777" w:rsidR="008A3CD6" w:rsidRPr="008A3CD6" w:rsidRDefault="008A3CD6" w:rsidP="008A3CD6">
            <w:pPr>
              <w:pStyle w:val="TableText"/>
            </w:pPr>
            <w:r w:rsidRPr="008A3CD6">
              <w:t xml:space="preserve">Not substantiated. Member of the public provided with support by the Secretariat to navigate the system. </w:t>
            </w:r>
          </w:p>
        </w:tc>
        <w:tc>
          <w:tcPr>
            <w:tcW w:w="1450" w:type="dxa"/>
          </w:tcPr>
          <w:p w14:paraId="7F3384AD" w14:textId="77777777" w:rsidR="008A3CD6" w:rsidRPr="008A3CD6" w:rsidRDefault="008A3CD6" w:rsidP="008A3CD6">
            <w:pPr>
              <w:pStyle w:val="TableText"/>
            </w:pPr>
            <w:r w:rsidRPr="008A3CD6">
              <w:t xml:space="preserve">Closed </w:t>
            </w:r>
          </w:p>
        </w:tc>
      </w:tr>
      <w:tr w:rsidR="008A3CD6" w:rsidRPr="008A3CD6" w14:paraId="23F30C5B" w14:textId="77777777" w:rsidTr="008A3CD6">
        <w:trPr>
          <w:trHeight w:val="502"/>
        </w:trPr>
        <w:tc>
          <w:tcPr>
            <w:tcW w:w="426" w:type="dxa"/>
          </w:tcPr>
          <w:p w14:paraId="20EBDCA1" w14:textId="77777777" w:rsidR="008A3CD6" w:rsidRPr="008A3CD6" w:rsidRDefault="008A3CD6" w:rsidP="008A3CD6">
            <w:pPr>
              <w:pStyle w:val="TableText"/>
            </w:pPr>
            <w:r w:rsidRPr="008A3CD6">
              <w:t xml:space="preserve">11 </w:t>
            </w:r>
          </w:p>
        </w:tc>
        <w:tc>
          <w:tcPr>
            <w:tcW w:w="1417" w:type="dxa"/>
          </w:tcPr>
          <w:p w14:paraId="137BDBFE" w14:textId="77777777" w:rsidR="008A3CD6" w:rsidRPr="008A3CD6" w:rsidRDefault="008A3CD6" w:rsidP="008A3CD6">
            <w:pPr>
              <w:pStyle w:val="TableText"/>
            </w:pPr>
            <w:r w:rsidRPr="008A3CD6">
              <w:t xml:space="preserve">Practitioner </w:t>
            </w:r>
          </w:p>
        </w:tc>
        <w:tc>
          <w:tcPr>
            <w:tcW w:w="2268" w:type="dxa"/>
          </w:tcPr>
          <w:p w14:paraId="11B3480A" w14:textId="77777777" w:rsidR="008A3CD6" w:rsidRPr="008A3CD6" w:rsidRDefault="008A3CD6" w:rsidP="008A3CD6">
            <w:pPr>
              <w:pStyle w:val="TableText"/>
            </w:pPr>
            <w:r w:rsidRPr="008A3CD6">
              <w:t xml:space="preserve">Facility not having adequate resources to support a request for assisted death. </w:t>
            </w:r>
          </w:p>
        </w:tc>
        <w:tc>
          <w:tcPr>
            <w:tcW w:w="2693" w:type="dxa"/>
          </w:tcPr>
          <w:p w14:paraId="25DF53EB" w14:textId="77777777" w:rsidR="008A3CD6" w:rsidRPr="008A3CD6" w:rsidRDefault="008A3CD6" w:rsidP="008A3CD6">
            <w:pPr>
              <w:pStyle w:val="TableText"/>
            </w:pPr>
            <w:r w:rsidRPr="008A3CD6">
              <w:t>Substantiated. Issue raised with facility management by Secretariat.</w:t>
            </w:r>
          </w:p>
        </w:tc>
        <w:tc>
          <w:tcPr>
            <w:tcW w:w="1450" w:type="dxa"/>
          </w:tcPr>
          <w:p w14:paraId="03A31F43" w14:textId="77777777" w:rsidR="008A3CD6" w:rsidRPr="008A3CD6" w:rsidRDefault="008A3CD6" w:rsidP="008A3CD6">
            <w:pPr>
              <w:pStyle w:val="TableText"/>
            </w:pPr>
            <w:r w:rsidRPr="008A3CD6">
              <w:t xml:space="preserve">Closed </w:t>
            </w:r>
          </w:p>
        </w:tc>
      </w:tr>
      <w:tr w:rsidR="008A3CD6" w:rsidRPr="008A3CD6" w14:paraId="7ED55838" w14:textId="77777777" w:rsidTr="008A3CD6">
        <w:trPr>
          <w:trHeight w:val="250"/>
        </w:trPr>
        <w:tc>
          <w:tcPr>
            <w:tcW w:w="426" w:type="dxa"/>
          </w:tcPr>
          <w:p w14:paraId="3E2DCFAF" w14:textId="77777777" w:rsidR="008A3CD6" w:rsidRPr="008A3CD6" w:rsidRDefault="008A3CD6" w:rsidP="008A3CD6">
            <w:pPr>
              <w:pStyle w:val="TableText"/>
            </w:pPr>
            <w:r w:rsidRPr="008A3CD6">
              <w:t xml:space="preserve">12 </w:t>
            </w:r>
          </w:p>
        </w:tc>
        <w:tc>
          <w:tcPr>
            <w:tcW w:w="1417" w:type="dxa"/>
          </w:tcPr>
          <w:p w14:paraId="7E853121" w14:textId="77777777" w:rsidR="008A3CD6" w:rsidRPr="008A3CD6" w:rsidRDefault="008A3CD6" w:rsidP="008A3CD6">
            <w:pPr>
              <w:pStyle w:val="TableText"/>
            </w:pPr>
            <w:r w:rsidRPr="008A3CD6">
              <w:t xml:space="preserve">Practitioner </w:t>
            </w:r>
          </w:p>
        </w:tc>
        <w:tc>
          <w:tcPr>
            <w:tcW w:w="2268" w:type="dxa"/>
          </w:tcPr>
          <w:p w14:paraId="56BAC6E8" w14:textId="77777777" w:rsidR="008A3CD6" w:rsidRPr="008A3CD6" w:rsidRDefault="008A3CD6" w:rsidP="008A3CD6">
            <w:pPr>
              <w:pStyle w:val="TableText"/>
            </w:pPr>
            <w:r w:rsidRPr="008A3CD6">
              <w:t xml:space="preserve">Concern about actions of another practitioner. </w:t>
            </w:r>
          </w:p>
        </w:tc>
        <w:tc>
          <w:tcPr>
            <w:tcW w:w="2693" w:type="dxa"/>
          </w:tcPr>
          <w:p w14:paraId="566D9F4D" w14:textId="77777777" w:rsidR="008A3CD6" w:rsidRPr="008A3CD6" w:rsidRDefault="008A3CD6" w:rsidP="008A3CD6">
            <w:pPr>
              <w:pStyle w:val="TableText"/>
            </w:pPr>
            <w:r w:rsidRPr="008A3CD6">
              <w:t xml:space="preserve">Being investigated by Registrar and Secretariat. </w:t>
            </w:r>
          </w:p>
        </w:tc>
        <w:tc>
          <w:tcPr>
            <w:tcW w:w="1450" w:type="dxa"/>
          </w:tcPr>
          <w:p w14:paraId="468531D3" w14:textId="77777777" w:rsidR="008A3CD6" w:rsidRPr="008A3CD6" w:rsidRDefault="008A3CD6" w:rsidP="008A3CD6">
            <w:pPr>
              <w:pStyle w:val="TableText"/>
            </w:pPr>
            <w:r w:rsidRPr="008A3CD6">
              <w:t xml:space="preserve">In progress </w:t>
            </w:r>
          </w:p>
        </w:tc>
      </w:tr>
      <w:tr w:rsidR="008A3CD6" w:rsidRPr="008A3CD6" w14:paraId="0BD6D82B" w14:textId="77777777" w:rsidTr="008A3CD6">
        <w:trPr>
          <w:trHeight w:val="250"/>
        </w:trPr>
        <w:tc>
          <w:tcPr>
            <w:tcW w:w="426" w:type="dxa"/>
          </w:tcPr>
          <w:p w14:paraId="59A6641D" w14:textId="77777777" w:rsidR="008A3CD6" w:rsidRPr="008A3CD6" w:rsidRDefault="008A3CD6" w:rsidP="008A3CD6">
            <w:pPr>
              <w:pStyle w:val="TableText"/>
            </w:pPr>
            <w:r w:rsidRPr="008A3CD6">
              <w:t>13</w:t>
            </w:r>
          </w:p>
        </w:tc>
        <w:tc>
          <w:tcPr>
            <w:tcW w:w="1417" w:type="dxa"/>
          </w:tcPr>
          <w:p w14:paraId="5F5B8B78" w14:textId="77777777" w:rsidR="008A3CD6" w:rsidRPr="008A3CD6" w:rsidRDefault="008A3CD6" w:rsidP="008A3CD6">
            <w:pPr>
              <w:pStyle w:val="TableText"/>
            </w:pPr>
            <w:r w:rsidRPr="008A3CD6">
              <w:t xml:space="preserve">Practitioner </w:t>
            </w:r>
          </w:p>
        </w:tc>
        <w:tc>
          <w:tcPr>
            <w:tcW w:w="2268" w:type="dxa"/>
          </w:tcPr>
          <w:p w14:paraId="560259C0" w14:textId="77777777" w:rsidR="008A3CD6" w:rsidRPr="008A3CD6" w:rsidRDefault="008A3CD6" w:rsidP="008A3CD6">
            <w:pPr>
              <w:pStyle w:val="TableText"/>
            </w:pPr>
            <w:r w:rsidRPr="008A3CD6">
              <w:t>Concern about actions of another practitioner.</w:t>
            </w:r>
          </w:p>
        </w:tc>
        <w:tc>
          <w:tcPr>
            <w:tcW w:w="2693" w:type="dxa"/>
          </w:tcPr>
          <w:p w14:paraId="333A0ED1" w14:textId="77777777" w:rsidR="008A3CD6" w:rsidRPr="008A3CD6" w:rsidRDefault="008A3CD6" w:rsidP="008A3CD6">
            <w:pPr>
              <w:pStyle w:val="TableText"/>
            </w:pPr>
            <w:r w:rsidRPr="008A3CD6">
              <w:t xml:space="preserve">Referred to the HDC by the Registrar. HDC advised concluding due to lack of engagement. </w:t>
            </w:r>
          </w:p>
        </w:tc>
        <w:tc>
          <w:tcPr>
            <w:tcW w:w="1450" w:type="dxa"/>
          </w:tcPr>
          <w:p w14:paraId="55572943" w14:textId="77777777" w:rsidR="008A3CD6" w:rsidRPr="008A3CD6" w:rsidRDefault="008A3CD6" w:rsidP="008A3CD6">
            <w:pPr>
              <w:pStyle w:val="TableText"/>
            </w:pPr>
            <w:r w:rsidRPr="008A3CD6">
              <w:t xml:space="preserve">Pending closure </w:t>
            </w:r>
          </w:p>
        </w:tc>
      </w:tr>
      <w:tr w:rsidR="008A3CD6" w:rsidRPr="008A3CD6" w14:paraId="2C610C94" w14:textId="77777777" w:rsidTr="008A3CD6">
        <w:trPr>
          <w:trHeight w:val="513"/>
        </w:trPr>
        <w:tc>
          <w:tcPr>
            <w:tcW w:w="426" w:type="dxa"/>
          </w:tcPr>
          <w:p w14:paraId="4C2FA184" w14:textId="77777777" w:rsidR="008A3CD6" w:rsidRPr="008A3CD6" w:rsidRDefault="008A3CD6" w:rsidP="008A3CD6">
            <w:pPr>
              <w:pStyle w:val="TableText"/>
            </w:pPr>
            <w:r w:rsidRPr="008A3CD6">
              <w:t xml:space="preserve">14 </w:t>
            </w:r>
          </w:p>
        </w:tc>
        <w:tc>
          <w:tcPr>
            <w:tcW w:w="1417" w:type="dxa"/>
          </w:tcPr>
          <w:p w14:paraId="5A54321F" w14:textId="77777777" w:rsidR="008A3CD6" w:rsidRPr="008A3CD6" w:rsidRDefault="008A3CD6" w:rsidP="008A3CD6">
            <w:pPr>
              <w:pStyle w:val="TableText"/>
            </w:pPr>
            <w:proofErr w:type="spellStart"/>
            <w:r w:rsidRPr="008A3CD6">
              <w:t>Whānau</w:t>
            </w:r>
            <w:proofErr w:type="spellEnd"/>
            <w:r w:rsidRPr="008A3CD6">
              <w:t xml:space="preserve"> of Applicant</w:t>
            </w:r>
          </w:p>
        </w:tc>
        <w:tc>
          <w:tcPr>
            <w:tcW w:w="2268" w:type="dxa"/>
          </w:tcPr>
          <w:p w14:paraId="6B13C20D" w14:textId="77777777" w:rsidR="008A3CD6" w:rsidRPr="008A3CD6" w:rsidRDefault="008A3CD6" w:rsidP="008A3CD6">
            <w:pPr>
              <w:pStyle w:val="TableText"/>
            </w:pPr>
            <w:r w:rsidRPr="008A3CD6">
              <w:t xml:space="preserve">Concern about the outcome of an assessment. </w:t>
            </w:r>
          </w:p>
        </w:tc>
        <w:tc>
          <w:tcPr>
            <w:tcW w:w="2693" w:type="dxa"/>
          </w:tcPr>
          <w:p w14:paraId="7008510D" w14:textId="77777777" w:rsidR="008A3CD6" w:rsidRPr="008A3CD6" w:rsidRDefault="008A3CD6" w:rsidP="008A3CD6">
            <w:pPr>
              <w:pStyle w:val="TableText"/>
            </w:pPr>
            <w:r w:rsidRPr="008A3CD6">
              <w:t xml:space="preserve">Not substantiated. Discussed concerns with complainant and provided further information. </w:t>
            </w:r>
          </w:p>
        </w:tc>
        <w:tc>
          <w:tcPr>
            <w:tcW w:w="1450" w:type="dxa"/>
          </w:tcPr>
          <w:p w14:paraId="0A1A41F5" w14:textId="77777777" w:rsidR="008A3CD6" w:rsidRPr="008A3CD6" w:rsidRDefault="008A3CD6" w:rsidP="008A3CD6">
            <w:pPr>
              <w:pStyle w:val="TableText"/>
            </w:pPr>
            <w:r w:rsidRPr="008A3CD6">
              <w:t>In progress</w:t>
            </w:r>
          </w:p>
        </w:tc>
      </w:tr>
      <w:tr w:rsidR="008A3CD6" w:rsidRPr="008A3CD6" w14:paraId="6FCABDC2" w14:textId="77777777" w:rsidTr="008A3CD6">
        <w:trPr>
          <w:trHeight w:val="502"/>
        </w:trPr>
        <w:tc>
          <w:tcPr>
            <w:tcW w:w="426" w:type="dxa"/>
          </w:tcPr>
          <w:p w14:paraId="222C4290" w14:textId="77777777" w:rsidR="008A3CD6" w:rsidRPr="008A3CD6" w:rsidRDefault="008A3CD6" w:rsidP="008A3CD6">
            <w:pPr>
              <w:pStyle w:val="TableText"/>
            </w:pPr>
            <w:r w:rsidRPr="008A3CD6">
              <w:t xml:space="preserve">15 </w:t>
            </w:r>
          </w:p>
        </w:tc>
        <w:tc>
          <w:tcPr>
            <w:tcW w:w="1417" w:type="dxa"/>
          </w:tcPr>
          <w:p w14:paraId="17025C04" w14:textId="77777777" w:rsidR="008A3CD6" w:rsidRPr="008A3CD6" w:rsidRDefault="008A3CD6" w:rsidP="008A3CD6">
            <w:pPr>
              <w:pStyle w:val="TableText"/>
            </w:pPr>
            <w:r w:rsidRPr="008A3CD6">
              <w:t xml:space="preserve">Practitioner </w:t>
            </w:r>
          </w:p>
        </w:tc>
        <w:tc>
          <w:tcPr>
            <w:tcW w:w="2268" w:type="dxa"/>
          </w:tcPr>
          <w:p w14:paraId="5090C6CA" w14:textId="77777777" w:rsidR="008A3CD6" w:rsidRPr="008A3CD6" w:rsidRDefault="008A3CD6" w:rsidP="008A3CD6">
            <w:pPr>
              <w:pStyle w:val="TableText"/>
            </w:pPr>
            <w:r w:rsidRPr="008A3CD6">
              <w:t xml:space="preserve">Facility obstructive in engaging with practitioners involved in the service. </w:t>
            </w:r>
          </w:p>
        </w:tc>
        <w:tc>
          <w:tcPr>
            <w:tcW w:w="2693" w:type="dxa"/>
          </w:tcPr>
          <w:p w14:paraId="5D271C35" w14:textId="77777777" w:rsidR="008A3CD6" w:rsidRPr="008A3CD6" w:rsidRDefault="008A3CD6" w:rsidP="008A3CD6">
            <w:pPr>
              <w:pStyle w:val="TableText"/>
            </w:pPr>
            <w:r w:rsidRPr="008A3CD6">
              <w:t xml:space="preserve">Redirected to facility involved with case. </w:t>
            </w:r>
          </w:p>
        </w:tc>
        <w:tc>
          <w:tcPr>
            <w:tcW w:w="1450" w:type="dxa"/>
          </w:tcPr>
          <w:p w14:paraId="4071FB84" w14:textId="77777777" w:rsidR="008A3CD6" w:rsidRPr="008A3CD6" w:rsidRDefault="008A3CD6" w:rsidP="008A3CD6">
            <w:pPr>
              <w:pStyle w:val="TableText"/>
            </w:pPr>
            <w:r w:rsidRPr="008A3CD6">
              <w:t xml:space="preserve">Closed </w:t>
            </w:r>
          </w:p>
        </w:tc>
      </w:tr>
      <w:tr w:rsidR="008A3CD6" w:rsidRPr="008A3CD6" w14:paraId="7F26B4D6" w14:textId="77777777" w:rsidTr="008A3CD6">
        <w:trPr>
          <w:trHeight w:val="513"/>
        </w:trPr>
        <w:tc>
          <w:tcPr>
            <w:tcW w:w="426" w:type="dxa"/>
          </w:tcPr>
          <w:p w14:paraId="4FDEAE44" w14:textId="77777777" w:rsidR="008A3CD6" w:rsidRPr="008A3CD6" w:rsidRDefault="008A3CD6" w:rsidP="008A3CD6">
            <w:pPr>
              <w:pStyle w:val="TableText"/>
            </w:pPr>
            <w:r w:rsidRPr="008A3CD6">
              <w:t xml:space="preserve">16 </w:t>
            </w:r>
          </w:p>
        </w:tc>
        <w:tc>
          <w:tcPr>
            <w:tcW w:w="1417" w:type="dxa"/>
          </w:tcPr>
          <w:p w14:paraId="2CD04B09" w14:textId="77777777" w:rsidR="008A3CD6" w:rsidRPr="008A3CD6" w:rsidRDefault="008A3CD6" w:rsidP="008A3CD6">
            <w:pPr>
              <w:pStyle w:val="TableText"/>
            </w:pPr>
            <w:r w:rsidRPr="008A3CD6">
              <w:t>Referral from HDC</w:t>
            </w:r>
          </w:p>
        </w:tc>
        <w:tc>
          <w:tcPr>
            <w:tcW w:w="2268" w:type="dxa"/>
          </w:tcPr>
          <w:p w14:paraId="4DDB5410" w14:textId="77777777" w:rsidR="008A3CD6" w:rsidRPr="008A3CD6" w:rsidRDefault="008A3CD6" w:rsidP="008A3CD6">
            <w:pPr>
              <w:pStyle w:val="TableText"/>
            </w:pPr>
            <w:r w:rsidRPr="008A3CD6">
              <w:t xml:space="preserve">Concern about practitioner behaviour. </w:t>
            </w:r>
          </w:p>
        </w:tc>
        <w:tc>
          <w:tcPr>
            <w:tcW w:w="2693" w:type="dxa"/>
          </w:tcPr>
          <w:p w14:paraId="7234C1B3" w14:textId="77777777" w:rsidR="008A3CD6" w:rsidRPr="008A3CD6" w:rsidRDefault="008A3CD6" w:rsidP="008A3CD6">
            <w:pPr>
              <w:pStyle w:val="TableText"/>
            </w:pPr>
            <w:r w:rsidRPr="008A3CD6">
              <w:t xml:space="preserve">Seeking further information, investigation ongoing. </w:t>
            </w:r>
          </w:p>
        </w:tc>
        <w:tc>
          <w:tcPr>
            <w:tcW w:w="1450" w:type="dxa"/>
          </w:tcPr>
          <w:p w14:paraId="6CF7F2B3" w14:textId="77777777" w:rsidR="008A3CD6" w:rsidRPr="008A3CD6" w:rsidRDefault="008A3CD6" w:rsidP="008A3CD6">
            <w:pPr>
              <w:pStyle w:val="TableText"/>
            </w:pPr>
            <w:r w:rsidRPr="008A3CD6">
              <w:t xml:space="preserve">In progress </w:t>
            </w:r>
          </w:p>
        </w:tc>
      </w:tr>
    </w:tbl>
    <w:p w14:paraId="4CF12198" w14:textId="77777777" w:rsidR="008A3CD6" w:rsidRDefault="008A3CD6" w:rsidP="008A3CD6">
      <w:pPr>
        <w:pStyle w:val="Table"/>
      </w:pPr>
    </w:p>
    <w:p w14:paraId="41A52E4A" w14:textId="72AE1E19" w:rsidR="008A3CD6" w:rsidRDefault="008A3CD6" w:rsidP="008A3CD6">
      <w:pPr>
        <w:pStyle w:val="Table"/>
        <w:rPr>
          <w:rFonts w:cs="Segoe UI"/>
          <w:bCs/>
        </w:rPr>
      </w:pPr>
      <w:bookmarkStart w:id="115" w:name="_Toc138428975"/>
      <w:r>
        <w:t xml:space="preserve">Table </w:t>
      </w:r>
      <w:r w:rsidR="00161918">
        <w:fldChar w:fldCharType="begin"/>
      </w:r>
      <w:r w:rsidR="00161918">
        <w:instrText xml:space="preserve"> SEQ Table \* ARABIC </w:instrText>
      </w:r>
      <w:r w:rsidR="00161918">
        <w:fldChar w:fldCharType="separate"/>
      </w:r>
      <w:r w:rsidR="00A345F8">
        <w:rPr>
          <w:noProof/>
        </w:rPr>
        <w:t>8</w:t>
      </w:r>
      <w:r w:rsidR="00161918">
        <w:rPr>
          <w:noProof/>
        </w:rPr>
        <w:fldChar w:fldCharType="end"/>
      </w:r>
      <w:r>
        <w:t xml:space="preserve">: </w:t>
      </w:r>
      <w:r w:rsidRPr="008A3CD6">
        <w:rPr>
          <w:rFonts w:cs="Segoe UI"/>
          <w:bCs/>
        </w:rPr>
        <w:t>Summary of complaints received by the Medical Council directly</w:t>
      </w:r>
      <w:bookmarkEnd w:id="115"/>
    </w:p>
    <w:tbl>
      <w:tblPr>
        <w:tblStyle w:val="TableGrid1"/>
        <w:tblW w:w="8359"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562"/>
        <w:gridCol w:w="5387"/>
        <w:gridCol w:w="2410"/>
      </w:tblGrid>
      <w:tr w:rsidR="008A3CD6" w:rsidRPr="009C3B04" w14:paraId="27758A03" w14:textId="77777777" w:rsidTr="008A3CD6">
        <w:trPr>
          <w:trHeight w:val="250"/>
        </w:trPr>
        <w:tc>
          <w:tcPr>
            <w:tcW w:w="562" w:type="dxa"/>
            <w:tcBorders>
              <w:top w:val="nil"/>
              <w:bottom w:val="nil"/>
            </w:tcBorders>
            <w:shd w:val="clear" w:color="auto" w:fill="D9D9D9" w:themeFill="background1" w:themeFillShade="D9"/>
          </w:tcPr>
          <w:p w14:paraId="6CCED305" w14:textId="77777777" w:rsidR="008A3CD6" w:rsidRDefault="008A3CD6" w:rsidP="008A3CD6">
            <w:pPr>
              <w:pStyle w:val="TableText"/>
            </w:pPr>
          </w:p>
        </w:tc>
        <w:tc>
          <w:tcPr>
            <w:tcW w:w="5387" w:type="dxa"/>
            <w:tcBorders>
              <w:top w:val="nil"/>
              <w:bottom w:val="nil"/>
            </w:tcBorders>
            <w:shd w:val="clear" w:color="auto" w:fill="D9D9D9" w:themeFill="background1" w:themeFillShade="D9"/>
          </w:tcPr>
          <w:p w14:paraId="55825DE0" w14:textId="77777777" w:rsidR="008A3CD6" w:rsidRPr="009C3B04" w:rsidRDefault="008A3CD6" w:rsidP="008A3CD6">
            <w:pPr>
              <w:pStyle w:val="TableText"/>
              <w:rPr>
                <w:b/>
                <w:bCs/>
              </w:rPr>
            </w:pPr>
            <w:r>
              <w:rPr>
                <w:b/>
                <w:bCs/>
              </w:rPr>
              <w:t>Subject</w:t>
            </w:r>
          </w:p>
        </w:tc>
        <w:tc>
          <w:tcPr>
            <w:tcW w:w="2410" w:type="dxa"/>
            <w:tcBorders>
              <w:top w:val="nil"/>
              <w:bottom w:val="nil"/>
            </w:tcBorders>
            <w:shd w:val="clear" w:color="auto" w:fill="D9D9D9" w:themeFill="background1" w:themeFillShade="D9"/>
          </w:tcPr>
          <w:p w14:paraId="05584C58" w14:textId="77777777" w:rsidR="008A3CD6" w:rsidRPr="009C3B04" w:rsidRDefault="008A3CD6" w:rsidP="008A3CD6">
            <w:pPr>
              <w:pStyle w:val="TableText"/>
              <w:rPr>
                <w:b/>
                <w:bCs/>
              </w:rPr>
            </w:pPr>
            <w:r w:rsidRPr="009C3B04">
              <w:rPr>
                <w:b/>
                <w:bCs/>
              </w:rPr>
              <w:t>Action</w:t>
            </w:r>
          </w:p>
        </w:tc>
      </w:tr>
      <w:tr w:rsidR="008A3CD6" w14:paraId="1B5ED7CD" w14:textId="77777777" w:rsidTr="008A3CD6">
        <w:trPr>
          <w:trHeight w:val="513"/>
        </w:trPr>
        <w:tc>
          <w:tcPr>
            <w:tcW w:w="562" w:type="dxa"/>
            <w:tcBorders>
              <w:top w:val="nil"/>
            </w:tcBorders>
          </w:tcPr>
          <w:p w14:paraId="633C57D9" w14:textId="77777777" w:rsidR="008A3CD6" w:rsidRDefault="008A3CD6" w:rsidP="008A3CD6">
            <w:pPr>
              <w:pStyle w:val="TableText"/>
            </w:pPr>
            <w:r>
              <w:t xml:space="preserve">1 </w:t>
            </w:r>
          </w:p>
        </w:tc>
        <w:tc>
          <w:tcPr>
            <w:tcW w:w="5387" w:type="dxa"/>
            <w:tcBorders>
              <w:top w:val="nil"/>
            </w:tcBorders>
          </w:tcPr>
          <w:p w14:paraId="1D0319F8" w14:textId="77777777" w:rsidR="008A3CD6" w:rsidRDefault="008A3CD6" w:rsidP="008A3CD6">
            <w:pPr>
              <w:pStyle w:val="TableText"/>
            </w:pPr>
            <w:r>
              <w:t xml:space="preserve">Complaint regarding the quality of information supplied by a doctor which was used in the assessment of an application for an assisted death.  </w:t>
            </w:r>
          </w:p>
        </w:tc>
        <w:tc>
          <w:tcPr>
            <w:tcW w:w="2410" w:type="dxa"/>
            <w:tcBorders>
              <w:top w:val="nil"/>
            </w:tcBorders>
          </w:tcPr>
          <w:p w14:paraId="1B07F56B" w14:textId="77777777" w:rsidR="008A3CD6" w:rsidRDefault="008A3CD6" w:rsidP="008A3CD6">
            <w:pPr>
              <w:pStyle w:val="TableText"/>
            </w:pPr>
            <w:r>
              <w:t xml:space="preserve">Referred to the HDC by the Medical Council. </w:t>
            </w:r>
          </w:p>
        </w:tc>
      </w:tr>
    </w:tbl>
    <w:p w14:paraId="62B100BC" w14:textId="77777777" w:rsidR="008A3CD6" w:rsidRDefault="008A3CD6" w:rsidP="008A3CD6">
      <w:pPr>
        <w:pStyle w:val="Table"/>
        <w:rPr>
          <w:rFonts w:cs="Segoe UI"/>
          <w:bCs/>
        </w:rPr>
      </w:pPr>
    </w:p>
    <w:p w14:paraId="0ECFD9CF" w14:textId="5DFC2F9F" w:rsidR="008A3CD6" w:rsidRDefault="008A3CD6" w:rsidP="008A3CD6">
      <w:pPr>
        <w:pStyle w:val="Table"/>
        <w:rPr>
          <w:rFonts w:cs="Segoe UI"/>
          <w:bCs/>
        </w:rPr>
      </w:pPr>
      <w:bookmarkStart w:id="116" w:name="_Toc138428976"/>
      <w:r>
        <w:t xml:space="preserve">Table </w:t>
      </w:r>
      <w:r w:rsidR="00161918">
        <w:fldChar w:fldCharType="begin"/>
      </w:r>
      <w:r w:rsidR="00161918">
        <w:instrText xml:space="preserve"> SEQ Table \* ARABIC </w:instrText>
      </w:r>
      <w:r w:rsidR="00161918">
        <w:fldChar w:fldCharType="separate"/>
      </w:r>
      <w:r w:rsidR="00A345F8">
        <w:rPr>
          <w:noProof/>
        </w:rPr>
        <w:t>9</w:t>
      </w:r>
      <w:r w:rsidR="00161918">
        <w:rPr>
          <w:noProof/>
        </w:rPr>
        <w:fldChar w:fldCharType="end"/>
      </w:r>
      <w:r>
        <w:t xml:space="preserve">: </w:t>
      </w:r>
      <w:r w:rsidRPr="008A3CD6">
        <w:rPr>
          <w:rFonts w:cs="Segoe UI"/>
          <w:bCs/>
        </w:rPr>
        <w:t>Summary of complaints being considered by the HDC including those referred by the Registrar or sent from the Medical Council</w:t>
      </w:r>
      <w:bookmarkEnd w:id="116"/>
    </w:p>
    <w:tbl>
      <w:tblPr>
        <w:tblStyle w:val="TableGrid"/>
        <w:tblW w:w="8291"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562"/>
        <w:gridCol w:w="5362"/>
        <w:gridCol w:w="2367"/>
      </w:tblGrid>
      <w:tr w:rsidR="008A3CD6" w14:paraId="62BA6F4E" w14:textId="77777777" w:rsidTr="008A3CD6">
        <w:tc>
          <w:tcPr>
            <w:tcW w:w="562" w:type="dxa"/>
          </w:tcPr>
          <w:p w14:paraId="6D29834E" w14:textId="77777777" w:rsidR="008A3CD6" w:rsidRDefault="008A3CD6" w:rsidP="008A3CD6">
            <w:pPr>
              <w:pStyle w:val="TableText"/>
              <w:rPr>
                <w:lang w:val="mi-NZ"/>
              </w:rPr>
            </w:pPr>
            <w:r>
              <w:rPr>
                <w:lang w:val="mi-NZ"/>
              </w:rPr>
              <w:t>1</w:t>
            </w:r>
          </w:p>
        </w:tc>
        <w:tc>
          <w:tcPr>
            <w:tcW w:w="5362" w:type="dxa"/>
          </w:tcPr>
          <w:p w14:paraId="6C9F3507" w14:textId="77777777" w:rsidR="008A3CD6" w:rsidRPr="007B3D2C" w:rsidRDefault="008A3CD6" w:rsidP="008A3CD6">
            <w:pPr>
              <w:pStyle w:val="TableText"/>
            </w:pPr>
            <w:r w:rsidRPr="007B3D2C">
              <w:t>The complainant raised concerns on behalf of the consumer about a competency assessment and the adequacy and communication of policies and procedures related to assisted dying at an Aged Residential Care facility.</w:t>
            </w:r>
          </w:p>
        </w:tc>
        <w:tc>
          <w:tcPr>
            <w:tcW w:w="2367" w:type="dxa"/>
          </w:tcPr>
          <w:p w14:paraId="32C24AC0" w14:textId="77777777" w:rsidR="008A3CD6" w:rsidRPr="007B3D2C" w:rsidRDefault="008A3CD6" w:rsidP="008A3CD6">
            <w:pPr>
              <w:pStyle w:val="TableText"/>
            </w:pPr>
            <w:r w:rsidRPr="007B3D2C">
              <w:t xml:space="preserve">Investigation: Reviewing responses </w:t>
            </w:r>
          </w:p>
        </w:tc>
      </w:tr>
      <w:tr w:rsidR="008A3CD6" w14:paraId="19CE95F1" w14:textId="77777777" w:rsidTr="008A3CD6">
        <w:tc>
          <w:tcPr>
            <w:tcW w:w="562" w:type="dxa"/>
          </w:tcPr>
          <w:p w14:paraId="254CEF16" w14:textId="77777777" w:rsidR="008A3CD6" w:rsidRDefault="008A3CD6" w:rsidP="008A3CD6">
            <w:pPr>
              <w:pStyle w:val="TableText"/>
              <w:rPr>
                <w:lang w:val="mi-NZ"/>
              </w:rPr>
            </w:pPr>
            <w:r>
              <w:rPr>
                <w:lang w:val="mi-NZ"/>
              </w:rPr>
              <w:t>2</w:t>
            </w:r>
          </w:p>
        </w:tc>
        <w:tc>
          <w:tcPr>
            <w:tcW w:w="5362" w:type="dxa"/>
          </w:tcPr>
          <w:p w14:paraId="137CDA1D" w14:textId="29C687B7" w:rsidR="008A3CD6" w:rsidRPr="007B3D2C" w:rsidRDefault="008A3CD6" w:rsidP="008A3CD6">
            <w:pPr>
              <w:pStyle w:val="TableText"/>
            </w:pPr>
            <w:r w:rsidRPr="007B3D2C">
              <w:t xml:space="preserve">Received from the Registrar (assisted dying). The complainant raised concerns over the qualifications and professional conduct of a </w:t>
            </w:r>
            <w:r w:rsidR="0022591C">
              <w:t>health practitioner</w:t>
            </w:r>
            <w:r w:rsidR="0022591C" w:rsidRPr="007B3D2C">
              <w:t xml:space="preserve"> </w:t>
            </w:r>
            <w:r w:rsidRPr="007B3D2C">
              <w:t xml:space="preserve">involved in the assessment of a consumer. </w:t>
            </w:r>
          </w:p>
        </w:tc>
        <w:tc>
          <w:tcPr>
            <w:tcW w:w="2367" w:type="dxa"/>
          </w:tcPr>
          <w:p w14:paraId="37C84A13" w14:textId="77777777" w:rsidR="008A3CD6" w:rsidRPr="007B3D2C" w:rsidRDefault="008A3CD6" w:rsidP="008A3CD6">
            <w:pPr>
              <w:pStyle w:val="TableText"/>
            </w:pPr>
            <w:r w:rsidRPr="007B3D2C">
              <w:t>Under assessment: With decision maker</w:t>
            </w:r>
          </w:p>
        </w:tc>
      </w:tr>
      <w:tr w:rsidR="008A3CD6" w14:paraId="00A1A5B9" w14:textId="77777777" w:rsidTr="008A3CD6">
        <w:tc>
          <w:tcPr>
            <w:tcW w:w="562" w:type="dxa"/>
          </w:tcPr>
          <w:p w14:paraId="255B0CA1" w14:textId="77777777" w:rsidR="008A3CD6" w:rsidRDefault="008A3CD6" w:rsidP="008A3CD6">
            <w:pPr>
              <w:pStyle w:val="TableText"/>
              <w:keepNext/>
              <w:rPr>
                <w:lang w:val="mi-NZ"/>
              </w:rPr>
            </w:pPr>
            <w:r>
              <w:rPr>
                <w:lang w:val="mi-NZ"/>
              </w:rPr>
              <w:lastRenderedPageBreak/>
              <w:t>3</w:t>
            </w:r>
          </w:p>
        </w:tc>
        <w:tc>
          <w:tcPr>
            <w:tcW w:w="5362" w:type="dxa"/>
          </w:tcPr>
          <w:p w14:paraId="31003A4E" w14:textId="77777777" w:rsidR="008A3CD6" w:rsidRPr="007B3D2C" w:rsidRDefault="008A3CD6" w:rsidP="008A3CD6">
            <w:pPr>
              <w:pStyle w:val="TableText"/>
              <w:keepNext/>
            </w:pPr>
            <w:r w:rsidRPr="007B3D2C">
              <w:t>Received from the Medical Council</w:t>
            </w:r>
            <w:r w:rsidRPr="007B3D2C">
              <w:rPr>
                <w:b/>
                <w:bCs/>
              </w:rPr>
              <w:t xml:space="preserve">. </w:t>
            </w:r>
            <w:r w:rsidRPr="007B3D2C">
              <w:t xml:space="preserve">The complainant raised concerns about the prognostic information supplied as part of an ‘eligible’ first assessment for assisted dying by another practitioner. </w:t>
            </w:r>
          </w:p>
        </w:tc>
        <w:tc>
          <w:tcPr>
            <w:tcW w:w="2367" w:type="dxa"/>
          </w:tcPr>
          <w:p w14:paraId="70C9968D" w14:textId="77777777" w:rsidR="008A3CD6" w:rsidRPr="007B3D2C" w:rsidRDefault="008A3CD6" w:rsidP="008A3CD6">
            <w:pPr>
              <w:pStyle w:val="TableText"/>
              <w:keepNext/>
            </w:pPr>
            <w:r w:rsidRPr="007B3D2C">
              <w:t>Under assessment: Rec</w:t>
            </w:r>
            <w:r>
              <w:t>ei</w:t>
            </w:r>
            <w:r w:rsidRPr="007B3D2C">
              <w:t>ving clinical advice</w:t>
            </w:r>
          </w:p>
        </w:tc>
      </w:tr>
      <w:tr w:rsidR="008A3CD6" w14:paraId="39571919" w14:textId="77777777" w:rsidTr="008A3CD6">
        <w:tc>
          <w:tcPr>
            <w:tcW w:w="562" w:type="dxa"/>
          </w:tcPr>
          <w:p w14:paraId="545F5F7B" w14:textId="77777777" w:rsidR="008A3CD6" w:rsidRDefault="008A3CD6" w:rsidP="008A3CD6">
            <w:pPr>
              <w:pStyle w:val="TableText"/>
              <w:rPr>
                <w:lang w:val="mi-NZ"/>
              </w:rPr>
            </w:pPr>
            <w:r>
              <w:rPr>
                <w:lang w:val="mi-NZ"/>
              </w:rPr>
              <w:t>4</w:t>
            </w:r>
          </w:p>
        </w:tc>
        <w:tc>
          <w:tcPr>
            <w:tcW w:w="5362" w:type="dxa"/>
          </w:tcPr>
          <w:p w14:paraId="69DED124" w14:textId="77777777" w:rsidR="008A3CD6" w:rsidRPr="007B3D2C" w:rsidRDefault="008A3CD6" w:rsidP="008A3CD6">
            <w:pPr>
              <w:pStyle w:val="TableText"/>
            </w:pPr>
            <w:r w:rsidRPr="007B3D2C">
              <w:t xml:space="preserve">Received from the Registrar (assisted dying). The complainant raised concerns on behalf of the consumer about a lack of access to assisted dying. </w:t>
            </w:r>
          </w:p>
        </w:tc>
        <w:tc>
          <w:tcPr>
            <w:tcW w:w="2367" w:type="dxa"/>
          </w:tcPr>
          <w:p w14:paraId="240A471E" w14:textId="77777777" w:rsidR="008A3CD6" w:rsidRPr="007B3D2C" w:rsidRDefault="008A3CD6" w:rsidP="008A3CD6">
            <w:pPr>
              <w:pStyle w:val="TableText"/>
            </w:pPr>
            <w:r w:rsidRPr="007B3D2C">
              <w:t>Under assessment: Receiving clinical advice</w:t>
            </w:r>
          </w:p>
        </w:tc>
      </w:tr>
      <w:tr w:rsidR="008A3CD6" w14:paraId="60C21099" w14:textId="77777777" w:rsidTr="008A3CD6">
        <w:tc>
          <w:tcPr>
            <w:tcW w:w="562" w:type="dxa"/>
          </w:tcPr>
          <w:p w14:paraId="5D6AADB2" w14:textId="77777777" w:rsidR="008A3CD6" w:rsidRDefault="008A3CD6" w:rsidP="008A3CD6">
            <w:pPr>
              <w:pStyle w:val="TableText"/>
              <w:rPr>
                <w:lang w:val="mi-NZ"/>
              </w:rPr>
            </w:pPr>
            <w:r>
              <w:rPr>
                <w:lang w:val="mi-NZ"/>
              </w:rPr>
              <w:t>5</w:t>
            </w:r>
          </w:p>
        </w:tc>
        <w:tc>
          <w:tcPr>
            <w:tcW w:w="5362" w:type="dxa"/>
          </w:tcPr>
          <w:p w14:paraId="609668CB" w14:textId="40514961" w:rsidR="008A3CD6" w:rsidRPr="007B3D2C" w:rsidRDefault="008A3CD6" w:rsidP="008A3CD6">
            <w:pPr>
              <w:pStyle w:val="TableText"/>
            </w:pPr>
            <w:r w:rsidRPr="007B3D2C">
              <w:t>The complainant raised concerns about their inability to access assisted dying</w:t>
            </w:r>
            <w:r w:rsidR="002F65E4">
              <w:t>.</w:t>
            </w:r>
          </w:p>
        </w:tc>
        <w:tc>
          <w:tcPr>
            <w:tcW w:w="2367" w:type="dxa"/>
          </w:tcPr>
          <w:p w14:paraId="053F1981" w14:textId="77777777" w:rsidR="008A3CD6" w:rsidRPr="007B3D2C" w:rsidRDefault="008A3CD6" w:rsidP="008A3CD6">
            <w:pPr>
              <w:pStyle w:val="TableText"/>
            </w:pPr>
            <w:r w:rsidRPr="007B3D2C">
              <w:t>Under assessment: Awaiting information from provider</w:t>
            </w:r>
          </w:p>
        </w:tc>
      </w:tr>
      <w:tr w:rsidR="008A3CD6" w14:paraId="72DC5444" w14:textId="77777777" w:rsidTr="008A3CD6">
        <w:tc>
          <w:tcPr>
            <w:tcW w:w="562" w:type="dxa"/>
          </w:tcPr>
          <w:p w14:paraId="1003BA44" w14:textId="77777777" w:rsidR="008A3CD6" w:rsidRDefault="008A3CD6" w:rsidP="008A3CD6">
            <w:pPr>
              <w:pStyle w:val="TableText"/>
              <w:rPr>
                <w:lang w:val="mi-NZ"/>
              </w:rPr>
            </w:pPr>
            <w:r>
              <w:rPr>
                <w:lang w:val="mi-NZ"/>
              </w:rPr>
              <w:t>6</w:t>
            </w:r>
          </w:p>
        </w:tc>
        <w:tc>
          <w:tcPr>
            <w:tcW w:w="5362" w:type="dxa"/>
          </w:tcPr>
          <w:p w14:paraId="7A0D7FC4" w14:textId="0978D62C" w:rsidR="008A3CD6" w:rsidRPr="007B3D2C" w:rsidRDefault="008A3CD6" w:rsidP="008A3CD6">
            <w:pPr>
              <w:pStyle w:val="TableText"/>
            </w:pPr>
            <w:r w:rsidRPr="007B3D2C">
              <w:t>Received from the Registrar (assisted dying).</w:t>
            </w:r>
            <w:r w:rsidRPr="007B3D2C">
              <w:rPr>
                <w:b/>
                <w:bCs/>
              </w:rPr>
              <w:t xml:space="preserve"> </w:t>
            </w:r>
            <w:r w:rsidRPr="007B3D2C">
              <w:t xml:space="preserve">The complainant raised concerns on behalf of the consumer following the consumer’s assisted death. The complainant is concerned about the actions and attitude toward the consumer and their family prior to the consumer’s assisted death by a </w:t>
            </w:r>
            <w:r w:rsidR="0022591C">
              <w:t>health practitioner</w:t>
            </w:r>
            <w:r w:rsidR="0022591C" w:rsidRPr="007B3D2C">
              <w:t xml:space="preserve"> </w:t>
            </w:r>
            <w:r w:rsidRPr="007B3D2C">
              <w:t>involved in the consumer’s care.</w:t>
            </w:r>
          </w:p>
        </w:tc>
        <w:tc>
          <w:tcPr>
            <w:tcW w:w="2367" w:type="dxa"/>
          </w:tcPr>
          <w:p w14:paraId="72EB83D4" w14:textId="77777777" w:rsidR="008A3CD6" w:rsidRPr="007B3D2C" w:rsidRDefault="008A3CD6" w:rsidP="008A3CD6">
            <w:pPr>
              <w:pStyle w:val="TableText"/>
            </w:pPr>
            <w:r w:rsidRPr="007B3D2C">
              <w:t>Assessment concluding due to lack of engagement by complainant and consumer’s family</w:t>
            </w:r>
          </w:p>
          <w:p w14:paraId="502D3F25" w14:textId="77777777" w:rsidR="008A3CD6" w:rsidRPr="007B3D2C" w:rsidRDefault="008A3CD6" w:rsidP="008A3CD6">
            <w:pPr>
              <w:pStyle w:val="TableText"/>
            </w:pPr>
          </w:p>
        </w:tc>
      </w:tr>
      <w:tr w:rsidR="008A3CD6" w14:paraId="7553B84C" w14:textId="77777777" w:rsidTr="008A3CD6">
        <w:tc>
          <w:tcPr>
            <w:tcW w:w="562" w:type="dxa"/>
          </w:tcPr>
          <w:p w14:paraId="0999AF24" w14:textId="77777777" w:rsidR="008A3CD6" w:rsidRDefault="008A3CD6" w:rsidP="008A3CD6">
            <w:pPr>
              <w:pStyle w:val="TableText"/>
              <w:rPr>
                <w:lang w:val="mi-NZ"/>
              </w:rPr>
            </w:pPr>
            <w:r>
              <w:rPr>
                <w:lang w:val="mi-NZ"/>
              </w:rPr>
              <w:t>7</w:t>
            </w:r>
          </w:p>
        </w:tc>
        <w:tc>
          <w:tcPr>
            <w:tcW w:w="5362" w:type="dxa"/>
          </w:tcPr>
          <w:p w14:paraId="67E0A40F" w14:textId="7BBD17D8" w:rsidR="008A3CD6" w:rsidRPr="007B3D2C" w:rsidRDefault="008A3CD6" w:rsidP="008A3CD6">
            <w:pPr>
              <w:pStyle w:val="TableText"/>
            </w:pPr>
            <w:r w:rsidRPr="007B3D2C">
              <w:t xml:space="preserve">The complainant raised concerns about a </w:t>
            </w:r>
            <w:r w:rsidR="0022591C">
              <w:t>health practitioner</w:t>
            </w:r>
            <w:r w:rsidR="0022591C" w:rsidRPr="007B3D2C">
              <w:t xml:space="preserve"> </w:t>
            </w:r>
            <w:r w:rsidRPr="007B3D2C">
              <w:t xml:space="preserve">initiating a conversation about assisted dying with a suicidal young person.  </w:t>
            </w:r>
          </w:p>
        </w:tc>
        <w:tc>
          <w:tcPr>
            <w:tcW w:w="2367" w:type="dxa"/>
          </w:tcPr>
          <w:p w14:paraId="3002C531" w14:textId="77777777" w:rsidR="008A3CD6" w:rsidRPr="007B3D2C" w:rsidRDefault="008A3CD6" w:rsidP="008A3CD6">
            <w:pPr>
              <w:pStyle w:val="TableText"/>
            </w:pPr>
            <w:r w:rsidRPr="007B3D2C">
              <w:t xml:space="preserve">Assessment concluding: Preparing provisional decision </w:t>
            </w:r>
          </w:p>
        </w:tc>
      </w:tr>
      <w:tr w:rsidR="008A3CD6" w14:paraId="10D219AC" w14:textId="77777777" w:rsidTr="008A3CD6">
        <w:tc>
          <w:tcPr>
            <w:tcW w:w="562" w:type="dxa"/>
          </w:tcPr>
          <w:p w14:paraId="27D23119" w14:textId="77777777" w:rsidR="008A3CD6" w:rsidRDefault="008A3CD6" w:rsidP="008A3CD6">
            <w:pPr>
              <w:pStyle w:val="TableText"/>
              <w:rPr>
                <w:lang w:val="mi-NZ"/>
              </w:rPr>
            </w:pPr>
            <w:r>
              <w:rPr>
                <w:lang w:val="mi-NZ"/>
              </w:rPr>
              <w:t>8</w:t>
            </w:r>
          </w:p>
        </w:tc>
        <w:tc>
          <w:tcPr>
            <w:tcW w:w="5362" w:type="dxa"/>
          </w:tcPr>
          <w:p w14:paraId="45B25EBA" w14:textId="77777777" w:rsidR="008A3CD6" w:rsidRPr="007B3D2C" w:rsidRDefault="008A3CD6" w:rsidP="008A3CD6">
            <w:pPr>
              <w:pStyle w:val="TableText"/>
            </w:pPr>
            <w:r w:rsidRPr="007B3D2C">
              <w:t>The initial complaint was about the incompat</w:t>
            </w:r>
            <w:r>
              <w:t>i</w:t>
            </w:r>
            <w:r w:rsidRPr="007B3D2C">
              <w:t xml:space="preserve">bility of a provider’s health record system with advance directives. </w:t>
            </w:r>
          </w:p>
        </w:tc>
        <w:tc>
          <w:tcPr>
            <w:tcW w:w="2367" w:type="dxa"/>
          </w:tcPr>
          <w:p w14:paraId="66E8ECD2" w14:textId="77777777" w:rsidR="008A3CD6" w:rsidRPr="007B3D2C" w:rsidRDefault="008A3CD6" w:rsidP="008A3CD6">
            <w:pPr>
              <w:pStyle w:val="TableText"/>
            </w:pPr>
            <w:r w:rsidRPr="007B3D2C">
              <w:t>Under assessment: Awaiting further information from provider</w:t>
            </w:r>
          </w:p>
        </w:tc>
      </w:tr>
    </w:tbl>
    <w:p w14:paraId="4DC5AF4E" w14:textId="77777777" w:rsidR="008A3CD6" w:rsidRPr="008E1B14" w:rsidRDefault="008A3CD6" w:rsidP="008A3CD6">
      <w:pPr>
        <w:pStyle w:val="Heading2"/>
        <w:rPr>
          <w:rFonts w:cs="Segoe UI"/>
          <w:b w:val="0"/>
        </w:rPr>
      </w:pPr>
      <w:bookmarkStart w:id="117" w:name="_Toc103606349"/>
      <w:bookmarkStart w:id="118" w:name="_Toc104460699"/>
      <w:bookmarkStart w:id="119" w:name="_Toc106611889"/>
      <w:bookmarkStart w:id="120" w:name="_Toc138428965"/>
      <w:r>
        <w:t>Feedback</w:t>
      </w:r>
      <w:bookmarkEnd w:id="117"/>
      <w:bookmarkEnd w:id="118"/>
      <w:bookmarkEnd w:id="119"/>
      <w:bookmarkEnd w:id="120"/>
    </w:p>
    <w:p w14:paraId="33E3209F" w14:textId="77777777" w:rsidR="008A3CD6" w:rsidRPr="0003349C" w:rsidRDefault="008A3CD6" w:rsidP="008A3CD6">
      <w:r>
        <w:t xml:space="preserve">The Ministry and </w:t>
      </w:r>
      <w:proofErr w:type="spellStart"/>
      <w:r>
        <w:t>Te</w:t>
      </w:r>
      <w:proofErr w:type="spellEnd"/>
      <w:r>
        <w:t xml:space="preserve"> </w:t>
      </w:r>
      <w:proofErr w:type="spellStart"/>
      <w:r>
        <w:t>Whatu</w:t>
      </w:r>
      <w:proofErr w:type="spellEnd"/>
      <w:r>
        <w:t xml:space="preserve"> Ora continue to receive feedback from people and their </w:t>
      </w:r>
      <w:proofErr w:type="spellStart"/>
      <w:r>
        <w:t>whānau</w:t>
      </w:r>
      <w:proofErr w:type="spellEnd"/>
      <w:r>
        <w:t xml:space="preserve"> about their experiences with the assisted dying service. The feedback has been predominantly positive to date and has helped us to identify opportunities for improvement and to shape service delivery. </w:t>
      </w:r>
    </w:p>
    <w:p w14:paraId="2B675312" w14:textId="77777777" w:rsidR="008A3CD6" w:rsidRPr="0003349C" w:rsidRDefault="008A3CD6" w:rsidP="008A3CD6">
      <w:pPr>
        <w:tabs>
          <w:tab w:val="left" w:pos="2685"/>
        </w:tabs>
      </w:pPr>
      <w:r>
        <w:tab/>
      </w:r>
    </w:p>
    <w:p w14:paraId="35EAB52D" w14:textId="77777777" w:rsidR="008A3CD6" w:rsidRPr="0003349C" w:rsidRDefault="008A3CD6" w:rsidP="008A3CD6">
      <w:r w:rsidRPr="0003349C">
        <w:t xml:space="preserve">The Ministry acknowledges that as this feedback is proactively provided, it may not be reflective of all people’s experiences of the service. </w:t>
      </w:r>
    </w:p>
    <w:p w14:paraId="08355ECF" w14:textId="77777777" w:rsidR="008A3CD6" w:rsidRPr="0003349C" w:rsidRDefault="008A3CD6" w:rsidP="008A3CD6"/>
    <w:p w14:paraId="0282EE6A" w14:textId="77777777" w:rsidR="008A3CD6" w:rsidRPr="0003349C" w:rsidRDefault="008A3CD6" w:rsidP="008A3CD6">
      <w:pPr>
        <w:rPr>
          <w:rFonts w:cs="Segoe UI"/>
        </w:rPr>
      </w:pPr>
      <w:r>
        <w:rPr>
          <w:rFonts w:cs="Segoe UI"/>
        </w:rPr>
        <w:t>A</w:t>
      </w:r>
      <w:r w:rsidRPr="0003349C">
        <w:rPr>
          <w:rFonts w:cs="Segoe UI"/>
        </w:rPr>
        <w:t xml:space="preserve"> feedback form</w:t>
      </w:r>
      <w:r>
        <w:rPr>
          <w:rFonts w:cs="Segoe UI"/>
        </w:rPr>
        <w:t xml:space="preserve"> which was introduced</w:t>
      </w:r>
      <w:r w:rsidRPr="0003349C">
        <w:rPr>
          <w:rFonts w:cs="Segoe UI"/>
        </w:rPr>
        <w:t xml:space="preserve"> in late 2022 aims to reduce the barriers to people and </w:t>
      </w:r>
      <w:proofErr w:type="spellStart"/>
      <w:r w:rsidRPr="0003349C">
        <w:rPr>
          <w:rFonts w:cs="Segoe UI"/>
        </w:rPr>
        <w:t>wh</w:t>
      </w:r>
      <w:r>
        <w:rPr>
          <w:rFonts w:cs="Segoe UI"/>
        </w:rPr>
        <w:t>ā</w:t>
      </w:r>
      <w:r w:rsidRPr="0003349C">
        <w:rPr>
          <w:rFonts w:cs="Segoe UI"/>
        </w:rPr>
        <w:t>nau</w:t>
      </w:r>
      <w:proofErr w:type="spellEnd"/>
      <w:r w:rsidRPr="0003349C">
        <w:rPr>
          <w:rFonts w:cs="Segoe UI"/>
        </w:rPr>
        <w:t xml:space="preserve"> wishing to provide feedback about the service. The Ministry is aware of the sensitive nature of this topic, and the need to reflect and uphold the emotional wellbeing and privacy of anyone who shares their feedback. </w:t>
      </w:r>
    </w:p>
    <w:p w14:paraId="7401095C" w14:textId="77777777" w:rsidR="008A3CD6" w:rsidRPr="0003349C" w:rsidRDefault="008A3CD6" w:rsidP="008A3CD6">
      <w:pPr>
        <w:rPr>
          <w:rFonts w:cs="Segoe UI"/>
        </w:rPr>
      </w:pPr>
    </w:p>
    <w:p w14:paraId="66D0F8BF" w14:textId="77777777" w:rsidR="008A3CD6" w:rsidRPr="0003349C" w:rsidRDefault="008A3CD6" w:rsidP="008A3CD6">
      <w:r w:rsidRPr="0003349C">
        <w:rPr>
          <w:rFonts w:cs="Segoe UI"/>
        </w:rPr>
        <w:t xml:space="preserve">Feedback is critical to improving the quality, safety and equity of the service and the Ministry retains its interest in receiving feedback on the service as part of good monitoring and regulation. </w:t>
      </w:r>
    </w:p>
    <w:p w14:paraId="79E39E8F" w14:textId="77777777" w:rsidR="008A3CD6" w:rsidRPr="008E1B14" w:rsidRDefault="008A3CD6" w:rsidP="008A3CD6">
      <w:pPr>
        <w:pStyle w:val="Heading2"/>
      </w:pPr>
      <w:bookmarkStart w:id="121" w:name="_Toc106611890"/>
      <w:bookmarkStart w:id="122" w:name="_Toc138428966"/>
      <w:r w:rsidRPr="008E1B14">
        <w:lastRenderedPageBreak/>
        <w:t>Summary of queries and Official Information requests</w:t>
      </w:r>
      <w:bookmarkEnd w:id="121"/>
      <w:bookmarkEnd w:id="122"/>
    </w:p>
    <w:p w14:paraId="2C46D8B9" w14:textId="77777777" w:rsidR="008A3CD6" w:rsidRPr="008E76C5" w:rsidRDefault="008A3CD6" w:rsidP="008A3CD6">
      <w:r w:rsidRPr="4690022B">
        <w:t xml:space="preserve">The Ministry notes that there is public interest in assisted dying outside of people who are accessing or providing the service. This is reflected in the queries and </w:t>
      </w:r>
      <w:r>
        <w:t xml:space="preserve">Official Information </w:t>
      </w:r>
      <w:r w:rsidRPr="4690022B">
        <w:t xml:space="preserve">requests from individuals, interest groups and the media since the service became available on 7 November 2021. </w:t>
      </w:r>
    </w:p>
    <w:p w14:paraId="34F505F4" w14:textId="77777777" w:rsidR="008A3CD6" w:rsidRDefault="008A3CD6" w:rsidP="008A3CD6">
      <w:pPr>
        <w:rPr>
          <w:szCs w:val="21"/>
        </w:rPr>
      </w:pPr>
    </w:p>
    <w:p w14:paraId="36F225D4" w14:textId="77777777" w:rsidR="008A3CD6" w:rsidRDefault="008A3CD6" w:rsidP="008A3CD6">
      <w:r>
        <w:t xml:space="preserve">Queries and requests have generally been related to service usage/activity, practitioner availability, and the functions of practitioners involved in the service.  </w:t>
      </w:r>
    </w:p>
    <w:p w14:paraId="02A1F4BC" w14:textId="77777777" w:rsidR="008A3CD6" w:rsidRPr="001E7528" w:rsidRDefault="008A3CD6" w:rsidP="008A3CD6">
      <w:pPr>
        <w:rPr>
          <w:szCs w:val="21"/>
        </w:rPr>
      </w:pPr>
    </w:p>
    <w:p w14:paraId="1A36850D" w14:textId="77777777" w:rsidR="008A3CD6" w:rsidRPr="001E7528" w:rsidRDefault="008A3CD6" w:rsidP="008A3CD6">
      <w:r>
        <w:t xml:space="preserve">Common themes from these queries and requests are considered as part of ongoing improvement to public information and reporting. </w:t>
      </w:r>
    </w:p>
    <w:p w14:paraId="389AF268" w14:textId="77777777" w:rsidR="008A3CD6" w:rsidRPr="001E7528" w:rsidRDefault="008A3CD6" w:rsidP="008A3CD6">
      <w:pPr>
        <w:rPr>
          <w:szCs w:val="21"/>
        </w:rPr>
      </w:pPr>
    </w:p>
    <w:p w14:paraId="2B52507B" w14:textId="3E1B9AA5" w:rsidR="008A3CD6" w:rsidRPr="001E7528" w:rsidRDefault="003F44DB" w:rsidP="008A3CD6">
      <w:pPr>
        <w:rPr>
          <w:szCs w:val="21"/>
        </w:rPr>
      </w:pPr>
      <w:r>
        <w:rPr>
          <w:szCs w:val="21"/>
        </w:rPr>
        <w:fldChar w:fldCharType="begin"/>
      </w:r>
      <w:r>
        <w:rPr>
          <w:szCs w:val="21"/>
        </w:rPr>
        <w:instrText xml:space="preserve"> REF _Ref138344902 \h </w:instrText>
      </w:r>
      <w:r>
        <w:rPr>
          <w:szCs w:val="21"/>
        </w:rPr>
      </w:r>
      <w:r>
        <w:rPr>
          <w:szCs w:val="21"/>
        </w:rPr>
        <w:fldChar w:fldCharType="separate"/>
      </w:r>
      <w:r w:rsidR="00A345F8">
        <w:t xml:space="preserve">Table </w:t>
      </w:r>
      <w:r w:rsidR="00A345F8">
        <w:rPr>
          <w:noProof/>
        </w:rPr>
        <w:t>10</w:t>
      </w:r>
      <w:r>
        <w:rPr>
          <w:szCs w:val="21"/>
        </w:rPr>
        <w:fldChar w:fldCharType="end"/>
      </w:r>
      <w:r w:rsidR="008A3CD6" w:rsidRPr="4690022B">
        <w:rPr>
          <w:szCs w:val="21"/>
        </w:rPr>
        <w:t xml:space="preserve"> outlines a summary of the queries and requests</w:t>
      </w:r>
      <w:r w:rsidR="008A3CD6">
        <w:rPr>
          <w:szCs w:val="21"/>
        </w:rPr>
        <w:t xml:space="preserve"> responded to during each reporting year. Please note, queries related to the operational aspects of the service were formally transferred to </w:t>
      </w:r>
      <w:proofErr w:type="spellStart"/>
      <w:r w:rsidR="008A3CD6">
        <w:rPr>
          <w:szCs w:val="21"/>
        </w:rPr>
        <w:t>Te</w:t>
      </w:r>
      <w:proofErr w:type="spellEnd"/>
      <w:r w:rsidR="008A3CD6">
        <w:rPr>
          <w:szCs w:val="21"/>
        </w:rPr>
        <w:t xml:space="preserve"> </w:t>
      </w:r>
      <w:proofErr w:type="spellStart"/>
      <w:r w:rsidR="008A3CD6">
        <w:rPr>
          <w:szCs w:val="21"/>
        </w:rPr>
        <w:t>Whatu</w:t>
      </w:r>
      <w:proofErr w:type="spellEnd"/>
      <w:r w:rsidR="008A3CD6">
        <w:rPr>
          <w:szCs w:val="21"/>
        </w:rPr>
        <w:t xml:space="preserve"> Ora for a response from 6 March 2023 onwards and are not reflected in these figures. </w:t>
      </w:r>
    </w:p>
    <w:p w14:paraId="10B9D70E" w14:textId="77777777" w:rsidR="008A3CD6" w:rsidRDefault="008A3CD6" w:rsidP="008A3CD6"/>
    <w:p w14:paraId="447BFAF8" w14:textId="3ED979D4" w:rsidR="008A3CD6" w:rsidRDefault="008A3CD6" w:rsidP="008A3CD6">
      <w:pPr>
        <w:pStyle w:val="Table"/>
      </w:pPr>
      <w:bookmarkStart w:id="123" w:name="_Ref138344902"/>
      <w:bookmarkStart w:id="124" w:name="_Toc106611897"/>
      <w:bookmarkStart w:id="125" w:name="_Toc138428977"/>
      <w:r>
        <w:t xml:space="preserve">Table </w:t>
      </w:r>
      <w:r w:rsidR="00161918">
        <w:fldChar w:fldCharType="begin"/>
      </w:r>
      <w:r w:rsidR="00161918">
        <w:instrText xml:space="preserve"> SEQ Table \* A</w:instrText>
      </w:r>
      <w:r w:rsidR="00161918">
        <w:instrText xml:space="preserve">RABIC </w:instrText>
      </w:r>
      <w:r w:rsidR="00161918">
        <w:fldChar w:fldCharType="separate"/>
      </w:r>
      <w:r w:rsidR="00A345F8">
        <w:rPr>
          <w:noProof/>
        </w:rPr>
        <w:t>10</w:t>
      </w:r>
      <w:r w:rsidR="00161918">
        <w:rPr>
          <w:noProof/>
        </w:rPr>
        <w:fldChar w:fldCharType="end"/>
      </w:r>
      <w:bookmarkEnd w:id="123"/>
      <w:r>
        <w:t>: Q</w:t>
      </w:r>
      <w:r w:rsidRPr="00DC2F44">
        <w:t>ueries and requests related to Assisted Dying</w:t>
      </w:r>
      <w:bookmarkEnd w:id="124"/>
      <w:bookmarkEnd w:id="125"/>
      <w:r w:rsidRPr="00DC2F44">
        <w:t xml:space="preserve"> </w:t>
      </w:r>
    </w:p>
    <w:tbl>
      <w:tblPr>
        <w:tblStyle w:val="TableGrid"/>
        <w:tblW w:w="7938" w:type="dxa"/>
        <w:tblBorders>
          <w:top w:val="none" w:sz="0" w:space="0" w:color="auto"/>
          <w:left w:val="none" w:sz="0" w:space="0" w:color="auto"/>
          <w:right w:val="none" w:sz="0" w:space="0" w:color="auto"/>
          <w:insideV w:val="none" w:sz="0" w:space="0" w:color="auto"/>
        </w:tblBorders>
        <w:tblLayout w:type="fixed"/>
        <w:tblLook w:val="06A0" w:firstRow="1" w:lastRow="0" w:firstColumn="1" w:lastColumn="0" w:noHBand="1" w:noVBand="1"/>
      </w:tblPr>
      <w:tblGrid>
        <w:gridCol w:w="3964"/>
        <w:gridCol w:w="2132"/>
        <w:gridCol w:w="1842"/>
      </w:tblGrid>
      <w:tr w:rsidR="008A3CD6" w:rsidRPr="00AE03E7" w14:paraId="52612FD4" w14:textId="77777777" w:rsidTr="008A3CD6">
        <w:trPr>
          <w:trHeight w:val="335"/>
        </w:trPr>
        <w:tc>
          <w:tcPr>
            <w:tcW w:w="3964" w:type="dxa"/>
            <w:tcBorders>
              <w:top w:val="nil"/>
              <w:bottom w:val="nil"/>
            </w:tcBorders>
            <w:shd w:val="clear" w:color="auto" w:fill="D9D9D9" w:themeFill="background1" w:themeFillShade="D9"/>
          </w:tcPr>
          <w:p w14:paraId="6357CF7D" w14:textId="77777777" w:rsidR="008A3CD6" w:rsidRPr="008A3CD6" w:rsidRDefault="008A3CD6" w:rsidP="008A3CD6">
            <w:pPr>
              <w:pStyle w:val="TableText"/>
              <w:rPr>
                <w:b/>
                <w:bCs/>
              </w:rPr>
            </w:pPr>
            <w:r w:rsidRPr="008A3CD6">
              <w:rPr>
                <w:b/>
                <w:bCs/>
              </w:rPr>
              <w:t>Query type</w:t>
            </w:r>
          </w:p>
        </w:tc>
        <w:tc>
          <w:tcPr>
            <w:tcW w:w="2132" w:type="dxa"/>
            <w:tcBorders>
              <w:top w:val="nil"/>
              <w:bottom w:val="nil"/>
            </w:tcBorders>
            <w:shd w:val="clear" w:color="auto" w:fill="D9D9D9" w:themeFill="background1" w:themeFillShade="D9"/>
          </w:tcPr>
          <w:p w14:paraId="3ABFCE9E" w14:textId="6DCB5628" w:rsidR="008A3CD6" w:rsidRPr="008A3CD6" w:rsidRDefault="008A3CD6" w:rsidP="008A3CD6">
            <w:pPr>
              <w:pStyle w:val="TableText"/>
              <w:rPr>
                <w:b/>
                <w:bCs/>
              </w:rPr>
            </w:pPr>
            <w:r w:rsidRPr="008A3CD6">
              <w:rPr>
                <w:b/>
                <w:bCs/>
              </w:rPr>
              <w:t xml:space="preserve">7 November 2021 – </w:t>
            </w:r>
            <w:r>
              <w:rPr>
                <w:b/>
                <w:bCs/>
              </w:rPr>
              <w:br/>
            </w:r>
            <w:r w:rsidRPr="008A3CD6">
              <w:rPr>
                <w:b/>
                <w:bCs/>
              </w:rPr>
              <w:t xml:space="preserve">31 March 2022 </w:t>
            </w:r>
          </w:p>
        </w:tc>
        <w:tc>
          <w:tcPr>
            <w:tcW w:w="1842" w:type="dxa"/>
            <w:tcBorders>
              <w:top w:val="nil"/>
              <w:bottom w:val="nil"/>
            </w:tcBorders>
            <w:shd w:val="clear" w:color="auto" w:fill="D9D9D9" w:themeFill="background1" w:themeFillShade="D9"/>
          </w:tcPr>
          <w:p w14:paraId="6B6665ED" w14:textId="2CB52F2C" w:rsidR="008A3CD6" w:rsidRPr="008A3CD6" w:rsidRDefault="008A3CD6" w:rsidP="008A3CD6">
            <w:pPr>
              <w:pStyle w:val="TableText"/>
              <w:rPr>
                <w:b/>
                <w:bCs/>
              </w:rPr>
            </w:pPr>
            <w:r w:rsidRPr="008A3CD6">
              <w:rPr>
                <w:b/>
                <w:bCs/>
              </w:rPr>
              <w:t xml:space="preserve">1 April 2022 – </w:t>
            </w:r>
            <w:r>
              <w:rPr>
                <w:b/>
                <w:bCs/>
              </w:rPr>
              <w:br/>
            </w:r>
            <w:r w:rsidRPr="008A3CD6">
              <w:rPr>
                <w:b/>
                <w:bCs/>
              </w:rPr>
              <w:t xml:space="preserve">31 March 2023 </w:t>
            </w:r>
          </w:p>
        </w:tc>
      </w:tr>
      <w:tr w:rsidR="008A3CD6" w14:paraId="2903C3C6" w14:textId="77777777" w:rsidTr="008A3CD6">
        <w:trPr>
          <w:trHeight w:val="321"/>
        </w:trPr>
        <w:tc>
          <w:tcPr>
            <w:tcW w:w="3964" w:type="dxa"/>
            <w:tcBorders>
              <w:top w:val="nil"/>
              <w:bottom w:val="single" w:sz="4" w:space="0" w:color="A6A6A6" w:themeColor="background1" w:themeShade="A6"/>
            </w:tcBorders>
          </w:tcPr>
          <w:p w14:paraId="7574C63B" w14:textId="77777777" w:rsidR="008A3CD6" w:rsidRPr="008A3CD6" w:rsidRDefault="008A3CD6" w:rsidP="008A3CD6">
            <w:pPr>
              <w:pStyle w:val="TableText"/>
            </w:pPr>
            <w:r w:rsidRPr="008A3CD6">
              <w:t>OIA requests</w:t>
            </w:r>
          </w:p>
        </w:tc>
        <w:tc>
          <w:tcPr>
            <w:tcW w:w="2132" w:type="dxa"/>
            <w:tcBorders>
              <w:top w:val="nil"/>
              <w:bottom w:val="single" w:sz="4" w:space="0" w:color="A6A6A6" w:themeColor="background1" w:themeShade="A6"/>
            </w:tcBorders>
          </w:tcPr>
          <w:p w14:paraId="1BE5CD0E" w14:textId="77777777" w:rsidR="008A3CD6" w:rsidRPr="008A3CD6" w:rsidRDefault="008A3CD6" w:rsidP="008A3CD6">
            <w:pPr>
              <w:pStyle w:val="TableText"/>
            </w:pPr>
            <w:r w:rsidRPr="008A3CD6">
              <w:t>10</w:t>
            </w:r>
          </w:p>
        </w:tc>
        <w:tc>
          <w:tcPr>
            <w:tcW w:w="1842" w:type="dxa"/>
            <w:tcBorders>
              <w:top w:val="nil"/>
              <w:bottom w:val="single" w:sz="4" w:space="0" w:color="A6A6A6" w:themeColor="background1" w:themeShade="A6"/>
            </w:tcBorders>
          </w:tcPr>
          <w:p w14:paraId="59F8633B" w14:textId="77777777" w:rsidR="008A3CD6" w:rsidRPr="008A3CD6" w:rsidRDefault="008A3CD6" w:rsidP="008A3CD6">
            <w:pPr>
              <w:pStyle w:val="TableText"/>
            </w:pPr>
            <w:r w:rsidRPr="008A3CD6">
              <w:t>14</w:t>
            </w:r>
          </w:p>
        </w:tc>
      </w:tr>
      <w:tr w:rsidR="008A3CD6" w14:paraId="51599A44" w14:textId="77777777" w:rsidTr="008A3CD6">
        <w:trPr>
          <w:trHeight w:val="335"/>
        </w:trPr>
        <w:tc>
          <w:tcPr>
            <w:tcW w:w="3964" w:type="dxa"/>
            <w:tcBorders>
              <w:top w:val="single" w:sz="4" w:space="0" w:color="A6A6A6" w:themeColor="background1" w:themeShade="A6"/>
              <w:bottom w:val="single" w:sz="4" w:space="0" w:color="A6A6A6" w:themeColor="background1" w:themeShade="A6"/>
            </w:tcBorders>
          </w:tcPr>
          <w:p w14:paraId="107A47A4" w14:textId="77777777" w:rsidR="008A3CD6" w:rsidRPr="008A3CD6" w:rsidRDefault="008A3CD6" w:rsidP="008A3CD6">
            <w:pPr>
              <w:pStyle w:val="TableText"/>
            </w:pPr>
            <w:r w:rsidRPr="008A3CD6">
              <w:t xml:space="preserve">Media requests </w:t>
            </w:r>
          </w:p>
        </w:tc>
        <w:tc>
          <w:tcPr>
            <w:tcW w:w="2132" w:type="dxa"/>
            <w:tcBorders>
              <w:top w:val="single" w:sz="4" w:space="0" w:color="A6A6A6" w:themeColor="background1" w:themeShade="A6"/>
              <w:bottom w:val="single" w:sz="4" w:space="0" w:color="A6A6A6" w:themeColor="background1" w:themeShade="A6"/>
            </w:tcBorders>
          </w:tcPr>
          <w:p w14:paraId="3E1B27B5" w14:textId="77777777" w:rsidR="008A3CD6" w:rsidRPr="008A3CD6" w:rsidRDefault="008A3CD6" w:rsidP="008A3CD6">
            <w:pPr>
              <w:pStyle w:val="TableText"/>
            </w:pPr>
            <w:r w:rsidRPr="008A3CD6">
              <w:t>25</w:t>
            </w:r>
          </w:p>
        </w:tc>
        <w:tc>
          <w:tcPr>
            <w:tcW w:w="1842" w:type="dxa"/>
            <w:tcBorders>
              <w:top w:val="single" w:sz="4" w:space="0" w:color="A6A6A6" w:themeColor="background1" w:themeShade="A6"/>
              <w:bottom w:val="single" w:sz="4" w:space="0" w:color="A6A6A6" w:themeColor="background1" w:themeShade="A6"/>
            </w:tcBorders>
          </w:tcPr>
          <w:p w14:paraId="32CF2F62" w14:textId="77777777" w:rsidR="008A3CD6" w:rsidRPr="008A3CD6" w:rsidRDefault="008A3CD6" w:rsidP="008A3CD6">
            <w:pPr>
              <w:pStyle w:val="TableText"/>
            </w:pPr>
            <w:r w:rsidRPr="008A3CD6">
              <w:t>30</w:t>
            </w:r>
          </w:p>
        </w:tc>
      </w:tr>
      <w:tr w:rsidR="008A3CD6" w14:paraId="36D61840" w14:textId="77777777" w:rsidTr="008A3CD6">
        <w:trPr>
          <w:trHeight w:val="400"/>
        </w:trPr>
        <w:tc>
          <w:tcPr>
            <w:tcW w:w="3964" w:type="dxa"/>
            <w:tcBorders>
              <w:top w:val="single" w:sz="4" w:space="0" w:color="A6A6A6" w:themeColor="background1" w:themeShade="A6"/>
              <w:bottom w:val="single" w:sz="4" w:space="0" w:color="A6A6A6" w:themeColor="background1" w:themeShade="A6"/>
            </w:tcBorders>
          </w:tcPr>
          <w:p w14:paraId="75801078" w14:textId="77777777" w:rsidR="008A3CD6" w:rsidRPr="008A3CD6" w:rsidRDefault="008A3CD6" w:rsidP="008A3CD6">
            <w:pPr>
              <w:pStyle w:val="TableText"/>
            </w:pPr>
            <w:r w:rsidRPr="008A3CD6">
              <w:t>Written Parliamentary Questions</w:t>
            </w:r>
          </w:p>
        </w:tc>
        <w:tc>
          <w:tcPr>
            <w:tcW w:w="2132" w:type="dxa"/>
            <w:tcBorders>
              <w:top w:val="single" w:sz="4" w:space="0" w:color="A6A6A6" w:themeColor="background1" w:themeShade="A6"/>
              <w:bottom w:val="single" w:sz="4" w:space="0" w:color="A6A6A6" w:themeColor="background1" w:themeShade="A6"/>
            </w:tcBorders>
          </w:tcPr>
          <w:p w14:paraId="4D04CFC4" w14:textId="77777777" w:rsidR="008A3CD6" w:rsidRPr="008A3CD6" w:rsidRDefault="008A3CD6" w:rsidP="008A3CD6">
            <w:pPr>
              <w:pStyle w:val="TableText"/>
            </w:pPr>
            <w:r w:rsidRPr="008A3CD6">
              <w:t>12</w:t>
            </w:r>
          </w:p>
        </w:tc>
        <w:tc>
          <w:tcPr>
            <w:tcW w:w="1842" w:type="dxa"/>
            <w:tcBorders>
              <w:top w:val="single" w:sz="4" w:space="0" w:color="A6A6A6" w:themeColor="background1" w:themeShade="A6"/>
              <w:bottom w:val="single" w:sz="4" w:space="0" w:color="A6A6A6" w:themeColor="background1" w:themeShade="A6"/>
            </w:tcBorders>
          </w:tcPr>
          <w:p w14:paraId="4CA37BED" w14:textId="77777777" w:rsidR="008A3CD6" w:rsidRPr="008A3CD6" w:rsidRDefault="008A3CD6" w:rsidP="008A3CD6">
            <w:pPr>
              <w:pStyle w:val="TableText"/>
            </w:pPr>
            <w:r w:rsidRPr="008A3CD6">
              <w:t>0</w:t>
            </w:r>
          </w:p>
        </w:tc>
      </w:tr>
    </w:tbl>
    <w:p w14:paraId="4E6D3155" w14:textId="77777777" w:rsidR="008A3CD6" w:rsidRDefault="008A3CD6" w:rsidP="008A3CD6">
      <w:pPr>
        <w:pStyle w:val="Heading2"/>
      </w:pPr>
      <w:bookmarkStart w:id="126" w:name="_Toc106611891"/>
      <w:bookmarkStart w:id="127" w:name="_Toc138428967"/>
      <w:r>
        <w:t>Concluding Remarks</w:t>
      </w:r>
      <w:bookmarkEnd w:id="126"/>
      <w:bookmarkEnd w:id="127"/>
    </w:p>
    <w:p w14:paraId="4E0A5ACD" w14:textId="40D425B3" w:rsidR="008A3CD6" w:rsidRDefault="008A3CD6" w:rsidP="008A3CD6">
      <w:r>
        <w:t xml:space="preserve">I am pleased to be able to share </w:t>
      </w:r>
      <w:r w:rsidR="00D712F6">
        <w:t xml:space="preserve">some of </w:t>
      </w:r>
      <w:r>
        <w:t>the success</w:t>
      </w:r>
      <w:r w:rsidR="00D712F6">
        <w:t>es</w:t>
      </w:r>
      <w:r>
        <w:t xml:space="preserve"> of the first full year of service provision and the knowledge that New Zealanders can access a safe and trusted service. The assisted dying service continues to mature. We will continue to grow our collaborative relationship with </w:t>
      </w:r>
      <w:proofErr w:type="spellStart"/>
      <w:r>
        <w:t>Te</w:t>
      </w:r>
      <w:proofErr w:type="spellEnd"/>
      <w:r>
        <w:t xml:space="preserve"> </w:t>
      </w:r>
      <w:proofErr w:type="spellStart"/>
      <w:r>
        <w:t>Whatu</w:t>
      </w:r>
      <w:proofErr w:type="spellEnd"/>
      <w:r>
        <w:t xml:space="preserve"> Ora as the operational arm of the service. I look forward to the next year with our continued focus on regulation, monitoring and improvement to ensure patients are receiving a safe, equitable and accessible assisted dying service.  </w:t>
      </w:r>
    </w:p>
    <w:p w14:paraId="7E4A4AE7" w14:textId="77777777" w:rsidR="008A3CD6" w:rsidRDefault="008A3CD6" w:rsidP="008A3CD6"/>
    <w:p w14:paraId="03AD94CB" w14:textId="77777777" w:rsidR="00AA2D21" w:rsidRDefault="00AA2D21" w:rsidP="00AA2D21">
      <w:pPr>
        <w:pStyle w:val="Table"/>
        <w:rPr>
          <w:rFonts w:cs="Segoe UI"/>
          <w:bCs/>
        </w:rPr>
      </w:pPr>
    </w:p>
    <w:p w14:paraId="003B6267" w14:textId="28AFD8F4" w:rsidR="009E489C" w:rsidRDefault="009E489C" w:rsidP="009E489C"/>
    <w:sectPr w:rsidR="009E489C" w:rsidSect="009E489C">
      <w:pgSz w:w="11907" w:h="16834" w:code="9"/>
      <w:pgMar w:top="1418" w:right="1701" w:bottom="1134" w:left="1843" w:header="284" w:footer="425" w:gutter="28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35E38" w14:textId="77777777" w:rsidR="00161918" w:rsidRDefault="00161918">
      <w:r>
        <w:separator/>
      </w:r>
    </w:p>
    <w:p w14:paraId="6D6263B1" w14:textId="77777777" w:rsidR="00161918" w:rsidRDefault="00161918"/>
  </w:endnote>
  <w:endnote w:type="continuationSeparator" w:id="0">
    <w:p w14:paraId="3954A893" w14:textId="77777777" w:rsidR="00161918" w:rsidRDefault="00161918">
      <w:r>
        <w:continuationSeparator/>
      </w:r>
    </w:p>
    <w:p w14:paraId="7FD3D3F5" w14:textId="77777777" w:rsidR="00161918" w:rsidRDefault="001619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Mäori">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18357" w14:textId="79904173" w:rsidR="008A3CD6" w:rsidRPr="00581136" w:rsidRDefault="008A3CD6" w:rsidP="005A79E5">
    <w:pPr>
      <w:pStyle w:val="Footer"/>
      <w:pBdr>
        <w:bottom w:val="single" w:sz="4" w:space="1" w:color="auto"/>
      </w:pBdr>
      <w:tabs>
        <w:tab w:val="right" w:pos="9639"/>
      </w:tabs>
      <w:rPr>
        <w:b/>
      </w:rPr>
    </w:pPr>
    <w:r w:rsidRPr="00581136">
      <w:rPr>
        <w:b/>
      </w:rPr>
      <w:t>Released 20</w:t>
    </w:r>
    <w:r>
      <w:rPr>
        <w:b/>
      </w:rPr>
      <w:t>23</w:t>
    </w:r>
    <w:r w:rsidRPr="00581136">
      <w:rPr>
        <w:b/>
      </w:rPr>
      <w:tab/>
      <w:t>health.govt.nz</w:t>
    </w:r>
  </w:p>
  <w:p w14:paraId="524869F6" w14:textId="77777777" w:rsidR="008A3CD6" w:rsidRPr="005A79E5" w:rsidRDefault="008A3CD6">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DA70" w14:textId="77777777" w:rsidR="008A3CD6" w:rsidRDefault="008A3CD6"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0E96" w14:textId="77777777" w:rsidR="008A3CD6" w:rsidRDefault="008A3C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46"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
    </w:tblGrid>
    <w:tr w:rsidR="008A3CD6" w14:paraId="41B9FD17" w14:textId="77777777" w:rsidTr="00571223">
      <w:tc>
        <w:tcPr>
          <w:tcW w:w="1146" w:type="dxa"/>
          <w:vAlign w:val="center"/>
        </w:tcPr>
        <w:p w14:paraId="392E5685" w14:textId="77777777" w:rsidR="008A3CD6" w:rsidRPr="00931466" w:rsidRDefault="008A3CD6" w:rsidP="00571223">
          <w:pPr>
            <w:pStyle w:val="Footer"/>
            <w:rPr>
              <w:sz w:val="15"/>
              <w:szCs w:val="15"/>
            </w:rPr>
          </w:pPr>
          <w:r w:rsidRPr="00931466">
            <w:rPr>
              <w:rFonts w:eastAsia="Arial Unicode MS"/>
              <w:noProof/>
              <w:sz w:val="15"/>
              <w:szCs w:val="15"/>
              <w:lang w:eastAsia="en-NZ"/>
            </w:rPr>
            <w:drawing>
              <wp:inline distT="0" distB="0" distL="0" distR="0" wp14:anchorId="075272BC" wp14:editId="1F96B316">
                <wp:extent cx="582612" cy="117475"/>
                <wp:effectExtent l="0" t="0" r="8255" b="0"/>
                <wp:docPr id="1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a:extLst>
                            <a:ext uri="{C183D7F6-B498-43B3-948B-1728B52AA6E4}">
                              <adec:decorative xmlns:adec="http://schemas.microsoft.com/office/drawing/2017/decorative" val="1"/>
                            </a:ext>
                          </a:extLst>
                        </pic:cNvPr>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82612" cy="117475"/>
                        </a:xfrm>
                        <a:prstGeom prst="rect">
                          <a:avLst/>
                        </a:prstGeom>
                        <a:noFill/>
                      </pic:spPr>
                    </pic:pic>
                  </a:graphicData>
                </a:graphic>
              </wp:inline>
            </w:drawing>
          </w:r>
        </w:p>
      </w:tc>
    </w:tr>
  </w:tbl>
  <w:p w14:paraId="172F2DDB" w14:textId="77777777" w:rsidR="008A3CD6" w:rsidRPr="00571223" w:rsidRDefault="008A3CD6"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8A3CD6" w14:paraId="71F3685B" w14:textId="77777777" w:rsidTr="00D662F8">
      <w:trPr>
        <w:cantSplit/>
      </w:trPr>
      <w:tc>
        <w:tcPr>
          <w:tcW w:w="8080" w:type="dxa"/>
          <w:vAlign w:val="center"/>
        </w:tcPr>
        <w:p w14:paraId="5784B1D8" w14:textId="4273540D" w:rsidR="008A3CD6" w:rsidRDefault="008A3CD6" w:rsidP="00926083">
          <w:pPr>
            <w:pStyle w:val="RectoFooter"/>
          </w:pPr>
          <w:r w:rsidRPr="00D953A0">
            <w:t xml:space="preserve">Assisted Dying Service –  Ngā Ratonga Mate Whakaahuru. </w:t>
          </w:r>
          <w:r>
            <w:br/>
          </w:r>
          <w:r w:rsidRPr="00D953A0">
            <w:t>Registrar (assisted dying) Annual Report to the Minister of Health</w:t>
          </w:r>
        </w:p>
      </w:tc>
      <w:tc>
        <w:tcPr>
          <w:tcW w:w="709" w:type="dxa"/>
          <w:vAlign w:val="center"/>
        </w:tcPr>
        <w:p w14:paraId="18A7A1B5" w14:textId="77777777" w:rsidR="008A3CD6" w:rsidRPr="00931466" w:rsidRDefault="008A3CD6"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iii</w:t>
          </w:r>
          <w:r w:rsidRPr="00931466">
            <w:rPr>
              <w:rStyle w:val="PageNumber"/>
            </w:rPr>
            <w:fldChar w:fldCharType="end"/>
          </w:r>
        </w:p>
      </w:tc>
    </w:tr>
  </w:tbl>
  <w:p w14:paraId="21F74F77" w14:textId="77777777" w:rsidR="008A3CD6" w:rsidRPr="00581EB8" w:rsidRDefault="008A3CD6"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8A3CD6" w14:paraId="4C3A3BF7" w14:textId="77777777" w:rsidTr="00D662F8">
      <w:trPr>
        <w:cantSplit/>
      </w:trPr>
      <w:tc>
        <w:tcPr>
          <w:tcW w:w="709" w:type="dxa"/>
          <w:vAlign w:val="center"/>
        </w:tcPr>
        <w:p w14:paraId="28F87ED7" w14:textId="77777777" w:rsidR="008A3CD6" w:rsidRPr="00931466" w:rsidRDefault="008A3CD6"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w:t>
          </w:r>
          <w:r w:rsidRPr="00931466">
            <w:rPr>
              <w:rStyle w:val="PageNumber"/>
            </w:rPr>
            <w:fldChar w:fldCharType="end"/>
          </w:r>
        </w:p>
      </w:tc>
      <w:tc>
        <w:tcPr>
          <w:tcW w:w="8080" w:type="dxa"/>
          <w:vAlign w:val="center"/>
        </w:tcPr>
        <w:p w14:paraId="10069DEB" w14:textId="1CABB2D3" w:rsidR="008A3CD6" w:rsidRDefault="008A3CD6" w:rsidP="00D953A0">
          <w:pPr>
            <w:pStyle w:val="RectoFooter"/>
            <w:jc w:val="left"/>
          </w:pPr>
          <w:r>
            <w:t>ASSISTED DYING SERVICE –  NGĀ RATONGA MATE WHAKAAHURU</w:t>
          </w:r>
        </w:p>
        <w:p w14:paraId="6026D159" w14:textId="38C1C843" w:rsidR="008A3CD6" w:rsidRDefault="008A3CD6" w:rsidP="00D953A0">
          <w:pPr>
            <w:pStyle w:val="RectoFooter"/>
            <w:jc w:val="left"/>
          </w:pPr>
          <w:r>
            <w:t>REGISTRAR (ASSISTED DYING) ANNUAL REPORT TO THE MINISTER OF HEALTH</w:t>
          </w:r>
        </w:p>
      </w:tc>
    </w:tr>
  </w:tbl>
  <w:p w14:paraId="711B5D80" w14:textId="77777777" w:rsidR="008A3CD6" w:rsidRPr="00571223" w:rsidRDefault="008A3CD6"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8A3CD6" w14:paraId="58AAB149" w14:textId="77777777" w:rsidTr="00D662F8">
      <w:trPr>
        <w:cantSplit/>
      </w:trPr>
      <w:tc>
        <w:tcPr>
          <w:tcW w:w="8080" w:type="dxa"/>
          <w:vAlign w:val="center"/>
        </w:tcPr>
        <w:p w14:paraId="79775805" w14:textId="266A17CB" w:rsidR="004961AE" w:rsidRDefault="004961AE" w:rsidP="004961AE">
          <w:pPr>
            <w:pStyle w:val="RectoFooter"/>
          </w:pPr>
          <w:r>
            <w:t xml:space="preserve">ASSISTED DYING SERVICE –  NGĀ RATONGA MATE WHAKAAHURU </w:t>
          </w:r>
        </w:p>
        <w:p w14:paraId="20E2F0CC" w14:textId="7D2C8B47" w:rsidR="008A3CD6" w:rsidRDefault="004961AE" w:rsidP="004961AE">
          <w:pPr>
            <w:pStyle w:val="RectoFooter"/>
          </w:pPr>
          <w:r>
            <w:t xml:space="preserve">REGISTRAR (ASSISTED DYING) ANNUAL REPORT TO THE MINISTER OF HEALTH </w:t>
          </w:r>
        </w:p>
      </w:tc>
      <w:tc>
        <w:tcPr>
          <w:tcW w:w="709" w:type="dxa"/>
          <w:vAlign w:val="center"/>
        </w:tcPr>
        <w:p w14:paraId="3D3C9847" w14:textId="77777777" w:rsidR="008A3CD6" w:rsidRPr="00931466" w:rsidRDefault="008A3CD6"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w:t>
          </w:r>
          <w:r w:rsidRPr="00931466">
            <w:rPr>
              <w:rStyle w:val="PageNumber"/>
            </w:rPr>
            <w:fldChar w:fldCharType="end"/>
          </w:r>
        </w:p>
      </w:tc>
    </w:tr>
  </w:tbl>
  <w:p w14:paraId="27602107" w14:textId="77777777" w:rsidR="008A3CD6" w:rsidRPr="00581EB8" w:rsidRDefault="008A3CD6" w:rsidP="00581EB8">
    <w:pPr>
      <w:pStyle w:val="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8A3CD6" w14:paraId="7E34FA6B" w14:textId="77777777" w:rsidTr="00D662F8">
      <w:trPr>
        <w:cantSplit/>
      </w:trPr>
      <w:tc>
        <w:tcPr>
          <w:tcW w:w="675" w:type="dxa"/>
          <w:vAlign w:val="center"/>
        </w:tcPr>
        <w:p w14:paraId="6281C317" w14:textId="77777777" w:rsidR="008A3CD6" w:rsidRPr="00931466" w:rsidRDefault="008A3CD6"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w:t>
          </w:r>
          <w:r w:rsidRPr="00931466">
            <w:rPr>
              <w:rStyle w:val="PageNumber"/>
            </w:rPr>
            <w:fldChar w:fldCharType="end"/>
          </w:r>
        </w:p>
      </w:tc>
      <w:tc>
        <w:tcPr>
          <w:tcW w:w="9072" w:type="dxa"/>
          <w:vAlign w:val="center"/>
        </w:tcPr>
        <w:p w14:paraId="09BB8C07" w14:textId="4A92E871" w:rsidR="008A3CD6" w:rsidRDefault="008A3CD6" w:rsidP="00D953A0">
          <w:pPr>
            <w:pStyle w:val="RectoFooter"/>
            <w:jc w:val="left"/>
          </w:pPr>
          <w:r>
            <w:t>ASSISTED DYING SERVICE –  NGĀ RATONGA MATE WHAKAAHURU</w:t>
          </w:r>
        </w:p>
        <w:p w14:paraId="27262A64" w14:textId="52519C74" w:rsidR="008A3CD6" w:rsidRDefault="008A3CD6" w:rsidP="00D953A0">
          <w:pPr>
            <w:pStyle w:val="RectoFooter"/>
            <w:jc w:val="left"/>
          </w:pPr>
          <w:r>
            <w:t xml:space="preserve">REGISTRAR (ASSISTED DYING) ANNUAL REPORT TO THE MINISTER OF HEALTH </w:t>
          </w:r>
        </w:p>
      </w:tc>
    </w:tr>
  </w:tbl>
  <w:p w14:paraId="5177CEA2" w14:textId="77777777" w:rsidR="008A3CD6" w:rsidRPr="00571223" w:rsidRDefault="008A3CD6" w:rsidP="00571223">
    <w:pPr>
      <w:pStyle w:val="VersoFoote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8A3CD6" w14:paraId="47337729" w14:textId="77777777" w:rsidTr="00D662F8">
      <w:trPr>
        <w:cantSplit/>
      </w:trPr>
      <w:tc>
        <w:tcPr>
          <w:tcW w:w="8080" w:type="dxa"/>
          <w:vAlign w:val="center"/>
        </w:tcPr>
        <w:p w14:paraId="52D30A4F" w14:textId="08F95ED9" w:rsidR="008A3CD6" w:rsidRDefault="008A3CD6" w:rsidP="00D953A0">
          <w:pPr>
            <w:pStyle w:val="RectoFooter"/>
          </w:pPr>
          <w:r>
            <w:t xml:space="preserve">ASSISTED DYING SERVICE –  NGĀ RATONGA MATE WHAKAAHURU </w:t>
          </w:r>
        </w:p>
        <w:p w14:paraId="1A33CBD1" w14:textId="30E813F0" w:rsidR="008A3CD6" w:rsidRDefault="008A3CD6" w:rsidP="00D953A0">
          <w:pPr>
            <w:pStyle w:val="RectoFooter"/>
          </w:pPr>
          <w:r>
            <w:t xml:space="preserve">REGISTRAR (ASSISTED DYING) ANNUAL REPORT TO THE MINISTER OF HEALTH </w:t>
          </w:r>
        </w:p>
      </w:tc>
      <w:tc>
        <w:tcPr>
          <w:tcW w:w="709" w:type="dxa"/>
          <w:vAlign w:val="center"/>
        </w:tcPr>
        <w:p w14:paraId="501EC334" w14:textId="77777777" w:rsidR="008A3CD6" w:rsidRPr="00931466" w:rsidRDefault="008A3CD6"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w:t>
          </w:r>
          <w:r w:rsidRPr="00931466">
            <w:rPr>
              <w:rStyle w:val="PageNumber"/>
            </w:rPr>
            <w:fldChar w:fldCharType="end"/>
          </w:r>
        </w:p>
      </w:tc>
    </w:tr>
  </w:tbl>
  <w:p w14:paraId="1C6F2E7F" w14:textId="77777777" w:rsidR="008A3CD6" w:rsidRPr="00581EB8" w:rsidRDefault="008A3CD6"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3C616" w14:textId="77777777" w:rsidR="00161918" w:rsidRPr="00A26E6B" w:rsidRDefault="00161918" w:rsidP="00A26E6B"/>
  </w:footnote>
  <w:footnote w:type="continuationSeparator" w:id="0">
    <w:p w14:paraId="1EE709BF" w14:textId="77777777" w:rsidR="00161918" w:rsidRDefault="00161918">
      <w:r>
        <w:continuationSeparator/>
      </w:r>
    </w:p>
    <w:p w14:paraId="206DA1AE" w14:textId="77777777" w:rsidR="00161918" w:rsidRDefault="001619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656A1" w14:textId="7D925874" w:rsidR="00817115" w:rsidRDefault="0081711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22E4F" w14:textId="57902FE4" w:rsidR="008A3CD6" w:rsidRDefault="008A3CD6" w:rsidP="00533B90"/>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17B0" w14:textId="518A2754" w:rsidR="008A3CD6" w:rsidRDefault="008A3CD6" w:rsidP="0090019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09A45" w14:textId="5180DC4C" w:rsidR="00817115" w:rsidRDefault="0081711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6E4A3" w14:textId="55CBD448" w:rsidR="00817115" w:rsidRDefault="0081711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3EC00" w14:textId="079BC452" w:rsidR="008A3CD6" w:rsidRDefault="008A3CD6"/>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314D2" w14:textId="3C1391C4" w:rsidR="00817115" w:rsidRDefault="008171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8A3CD6" w14:paraId="11530A0D" w14:textId="77777777" w:rsidTr="008F2B72">
      <w:trPr>
        <w:cantSplit/>
      </w:trPr>
      <w:tc>
        <w:tcPr>
          <w:tcW w:w="5210" w:type="dxa"/>
          <w:vAlign w:val="center"/>
        </w:tcPr>
        <w:p w14:paraId="2BDE3162" w14:textId="4C7EC3F9" w:rsidR="008A3CD6" w:rsidRDefault="008A3CD6" w:rsidP="00B26F0F">
          <w:pPr>
            <w:pStyle w:val="Header"/>
          </w:pPr>
          <w:bookmarkStart w:id="0" w:name="_Hlk110933925"/>
        </w:p>
      </w:tc>
      <w:tc>
        <w:tcPr>
          <w:tcW w:w="4429" w:type="dxa"/>
          <w:vAlign w:val="center"/>
        </w:tcPr>
        <w:p w14:paraId="06193D58" w14:textId="36310019" w:rsidR="008A3CD6" w:rsidRDefault="008A3CD6" w:rsidP="008A3CD6">
          <w:pPr>
            <w:pStyle w:val="Header"/>
            <w:jc w:val="right"/>
          </w:pPr>
        </w:p>
      </w:tc>
    </w:tr>
    <w:bookmarkEnd w:id="0"/>
  </w:tbl>
  <w:p w14:paraId="4AC8EC99" w14:textId="72584F2D" w:rsidR="008A3CD6" w:rsidRDefault="008A3C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D069D" w14:textId="0C60EDE0" w:rsidR="00817115" w:rsidRDefault="008171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7DAED" w14:textId="48989213" w:rsidR="00817115" w:rsidRDefault="0081711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18054" w14:textId="2028C4C3" w:rsidR="00817115" w:rsidRDefault="008171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07F5E" w14:textId="40E2670F" w:rsidR="00817115" w:rsidRDefault="0081711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B5B58" w14:textId="4859465B" w:rsidR="008A3CD6" w:rsidRDefault="008A3CD6" w:rsidP="00533B9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F34B1" w14:textId="23ECE102" w:rsidR="008A3CD6" w:rsidRDefault="008A3CD6" w:rsidP="0090019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D83F8" w14:textId="571128DB" w:rsidR="00817115" w:rsidRDefault="008171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15:restartNumberingAfterBreak="0">
    <w:nsid w:val="052041F9"/>
    <w:multiLevelType w:val="hybridMultilevel"/>
    <w:tmpl w:val="ABAC7CB8"/>
    <w:lvl w:ilvl="0" w:tplc="614058B0">
      <w:start w:val="1"/>
      <w:numFmt w:val="decimal"/>
      <w:lvlText w:val="%1."/>
      <w:lvlJc w:val="left"/>
      <w:pPr>
        <w:ind w:left="840" w:hanging="360"/>
      </w:pPr>
      <w:rPr>
        <w:rFonts w:hint="default"/>
      </w:rPr>
    </w:lvl>
    <w:lvl w:ilvl="1" w:tplc="14090019">
      <w:start w:val="1"/>
      <w:numFmt w:val="lowerLetter"/>
      <w:lvlText w:val="%2."/>
      <w:lvlJc w:val="left"/>
      <w:pPr>
        <w:ind w:left="1560" w:hanging="360"/>
      </w:pPr>
    </w:lvl>
    <w:lvl w:ilvl="2" w:tplc="1409001B">
      <w:start w:val="1"/>
      <w:numFmt w:val="lowerRoman"/>
      <w:lvlText w:val="%3."/>
      <w:lvlJc w:val="right"/>
      <w:pPr>
        <w:ind w:left="2280" w:hanging="180"/>
      </w:pPr>
    </w:lvl>
    <w:lvl w:ilvl="3" w:tplc="1409000F" w:tentative="1">
      <w:start w:val="1"/>
      <w:numFmt w:val="decimal"/>
      <w:lvlText w:val="%4."/>
      <w:lvlJc w:val="left"/>
      <w:pPr>
        <w:ind w:left="3000" w:hanging="360"/>
      </w:pPr>
    </w:lvl>
    <w:lvl w:ilvl="4" w:tplc="14090019" w:tentative="1">
      <w:start w:val="1"/>
      <w:numFmt w:val="lowerLetter"/>
      <w:lvlText w:val="%5."/>
      <w:lvlJc w:val="left"/>
      <w:pPr>
        <w:ind w:left="3720" w:hanging="360"/>
      </w:pPr>
    </w:lvl>
    <w:lvl w:ilvl="5" w:tplc="1409001B" w:tentative="1">
      <w:start w:val="1"/>
      <w:numFmt w:val="lowerRoman"/>
      <w:lvlText w:val="%6."/>
      <w:lvlJc w:val="right"/>
      <w:pPr>
        <w:ind w:left="4440" w:hanging="180"/>
      </w:pPr>
    </w:lvl>
    <w:lvl w:ilvl="6" w:tplc="1409000F" w:tentative="1">
      <w:start w:val="1"/>
      <w:numFmt w:val="decimal"/>
      <w:lvlText w:val="%7."/>
      <w:lvlJc w:val="left"/>
      <w:pPr>
        <w:ind w:left="5160" w:hanging="360"/>
      </w:pPr>
    </w:lvl>
    <w:lvl w:ilvl="7" w:tplc="14090019" w:tentative="1">
      <w:start w:val="1"/>
      <w:numFmt w:val="lowerLetter"/>
      <w:lvlText w:val="%8."/>
      <w:lvlJc w:val="left"/>
      <w:pPr>
        <w:ind w:left="5880" w:hanging="360"/>
      </w:pPr>
    </w:lvl>
    <w:lvl w:ilvl="8" w:tplc="1409001B" w:tentative="1">
      <w:start w:val="1"/>
      <w:numFmt w:val="lowerRoman"/>
      <w:lvlText w:val="%9."/>
      <w:lvlJc w:val="right"/>
      <w:pPr>
        <w:ind w:left="6600" w:hanging="180"/>
      </w:pPr>
    </w:lvl>
  </w:abstractNum>
  <w:abstractNum w:abstractNumId="2" w15:restartNumberingAfterBreak="0">
    <w:nsid w:val="07BA0EC1"/>
    <w:multiLevelType w:val="hybridMultilevel"/>
    <w:tmpl w:val="0FDE2E92"/>
    <w:lvl w:ilvl="0" w:tplc="9B36D550">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F487000"/>
    <w:multiLevelType w:val="hybridMultilevel"/>
    <w:tmpl w:val="D1508736"/>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4" w15:restartNumberingAfterBreak="0">
    <w:nsid w:val="11023BAD"/>
    <w:multiLevelType w:val="hybridMultilevel"/>
    <w:tmpl w:val="4830DBB8"/>
    <w:lvl w:ilvl="0" w:tplc="AEE29EB8">
      <w:start w:val="1"/>
      <w:numFmt w:val="bullet"/>
      <w:lvlText w:val="•"/>
      <w:lvlJc w:val="left"/>
      <w:pPr>
        <w:ind w:left="246" w:hanging="134"/>
      </w:pPr>
      <w:rPr>
        <w:rFonts w:ascii="Arial Unicode MS" w:eastAsia="Arial Unicode MS" w:hAnsi="Arial Unicode MS" w:hint="default"/>
        <w:w w:val="107"/>
        <w:sz w:val="21"/>
        <w:szCs w:val="21"/>
      </w:rPr>
    </w:lvl>
    <w:lvl w:ilvl="1" w:tplc="A89C032A">
      <w:start w:val="1"/>
      <w:numFmt w:val="bullet"/>
      <w:lvlText w:val="•"/>
      <w:lvlJc w:val="left"/>
      <w:pPr>
        <w:ind w:left="464" w:hanging="134"/>
      </w:pPr>
      <w:rPr>
        <w:rFonts w:hint="default"/>
      </w:rPr>
    </w:lvl>
    <w:lvl w:ilvl="2" w:tplc="AFB65F98">
      <w:start w:val="1"/>
      <w:numFmt w:val="bullet"/>
      <w:lvlText w:val="•"/>
      <w:lvlJc w:val="left"/>
      <w:pPr>
        <w:ind w:left="682" w:hanging="134"/>
      </w:pPr>
      <w:rPr>
        <w:rFonts w:hint="default"/>
      </w:rPr>
    </w:lvl>
    <w:lvl w:ilvl="3" w:tplc="A148FA04">
      <w:start w:val="1"/>
      <w:numFmt w:val="bullet"/>
      <w:lvlText w:val="•"/>
      <w:lvlJc w:val="left"/>
      <w:pPr>
        <w:ind w:left="900" w:hanging="134"/>
      </w:pPr>
      <w:rPr>
        <w:rFonts w:hint="default"/>
      </w:rPr>
    </w:lvl>
    <w:lvl w:ilvl="4" w:tplc="F490CA92">
      <w:start w:val="1"/>
      <w:numFmt w:val="bullet"/>
      <w:lvlText w:val="•"/>
      <w:lvlJc w:val="left"/>
      <w:pPr>
        <w:ind w:left="1118" w:hanging="134"/>
      </w:pPr>
      <w:rPr>
        <w:rFonts w:hint="default"/>
      </w:rPr>
    </w:lvl>
    <w:lvl w:ilvl="5" w:tplc="B9903E90">
      <w:start w:val="1"/>
      <w:numFmt w:val="bullet"/>
      <w:lvlText w:val="•"/>
      <w:lvlJc w:val="left"/>
      <w:pPr>
        <w:ind w:left="1336" w:hanging="134"/>
      </w:pPr>
      <w:rPr>
        <w:rFonts w:hint="default"/>
      </w:rPr>
    </w:lvl>
    <w:lvl w:ilvl="6" w:tplc="811ED8BC">
      <w:start w:val="1"/>
      <w:numFmt w:val="bullet"/>
      <w:lvlText w:val="•"/>
      <w:lvlJc w:val="left"/>
      <w:pPr>
        <w:ind w:left="1554" w:hanging="134"/>
      </w:pPr>
      <w:rPr>
        <w:rFonts w:hint="default"/>
      </w:rPr>
    </w:lvl>
    <w:lvl w:ilvl="7" w:tplc="20BC151E">
      <w:start w:val="1"/>
      <w:numFmt w:val="bullet"/>
      <w:lvlText w:val="•"/>
      <w:lvlJc w:val="left"/>
      <w:pPr>
        <w:ind w:left="1771" w:hanging="134"/>
      </w:pPr>
      <w:rPr>
        <w:rFonts w:hint="default"/>
      </w:rPr>
    </w:lvl>
    <w:lvl w:ilvl="8" w:tplc="80AA897C">
      <w:start w:val="1"/>
      <w:numFmt w:val="bullet"/>
      <w:lvlText w:val="•"/>
      <w:lvlJc w:val="left"/>
      <w:pPr>
        <w:ind w:left="1989" w:hanging="134"/>
      </w:pPr>
      <w:rPr>
        <w:rFonts w:hint="default"/>
      </w:rPr>
    </w:lvl>
  </w:abstractNum>
  <w:abstractNum w:abstractNumId="5" w15:restartNumberingAfterBreak="0">
    <w:nsid w:val="1915754A"/>
    <w:multiLevelType w:val="hybridMultilevel"/>
    <w:tmpl w:val="BE16CB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A6C6694"/>
    <w:multiLevelType w:val="hybridMultilevel"/>
    <w:tmpl w:val="27DA59F2"/>
    <w:lvl w:ilvl="0" w:tplc="F6EEA218">
      <w:start w:val="1"/>
      <w:numFmt w:val="bullet"/>
      <w:lvlText w:val="•"/>
      <w:lvlJc w:val="left"/>
      <w:pPr>
        <w:ind w:left="559" w:hanging="134"/>
      </w:pPr>
      <w:rPr>
        <w:rFonts w:ascii="Lucida Sans Unicode" w:eastAsia="Lucida Sans Unicode" w:hAnsi="Lucida Sans Unicode" w:hint="default"/>
        <w:w w:val="59"/>
        <w:sz w:val="21"/>
        <w:szCs w:val="21"/>
      </w:rPr>
    </w:lvl>
    <w:lvl w:ilvl="1" w:tplc="002E3EAE">
      <w:start w:val="1"/>
      <w:numFmt w:val="bullet"/>
      <w:lvlText w:val="•"/>
      <w:lvlJc w:val="left"/>
      <w:pPr>
        <w:ind w:left="808" w:hanging="134"/>
      </w:pPr>
      <w:rPr>
        <w:rFonts w:hint="default"/>
      </w:rPr>
    </w:lvl>
    <w:lvl w:ilvl="2" w:tplc="2D64B7B0">
      <w:start w:val="1"/>
      <w:numFmt w:val="bullet"/>
      <w:lvlText w:val="•"/>
      <w:lvlJc w:val="left"/>
      <w:pPr>
        <w:ind w:left="1057" w:hanging="134"/>
      </w:pPr>
      <w:rPr>
        <w:rFonts w:hint="default"/>
      </w:rPr>
    </w:lvl>
    <w:lvl w:ilvl="3" w:tplc="82F22056">
      <w:start w:val="1"/>
      <w:numFmt w:val="bullet"/>
      <w:lvlText w:val="•"/>
      <w:lvlJc w:val="left"/>
      <w:pPr>
        <w:ind w:left="1306" w:hanging="134"/>
      </w:pPr>
      <w:rPr>
        <w:rFonts w:hint="default"/>
      </w:rPr>
    </w:lvl>
    <w:lvl w:ilvl="4" w:tplc="D920647A">
      <w:start w:val="1"/>
      <w:numFmt w:val="bullet"/>
      <w:lvlText w:val="•"/>
      <w:lvlJc w:val="left"/>
      <w:pPr>
        <w:ind w:left="1556" w:hanging="134"/>
      </w:pPr>
      <w:rPr>
        <w:rFonts w:hint="default"/>
      </w:rPr>
    </w:lvl>
    <w:lvl w:ilvl="5" w:tplc="24E6088C">
      <w:start w:val="1"/>
      <w:numFmt w:val="bullet"/>
      <w:lvlText w:val="•"/>
      <w:lvlJc w:val="left"/>
      <w:pPr>
        <w:ind w:left="1805" w:hanging="134"/>
      </w:pPr>
      <w:rPr>
        <w:rFonts w:hint="default"/>
      </w:rPr>
    </w:lvl>
    <w:lvl w:ilvl="6" w:tplc="273217BC">
      <w:start w:val="1"/>
      <w:numFmt w:val="bullet"/>
      <w:lvlText w:val="•"/>
      <w:lvlJc w:val="left"/>
      <w:pPr>
        <w:ind w:left="2054" w:hanging="134"/>
      </w:pPr>
      <w:rPr>
        <w:rFonts w:hint="default"/>
      </w:rPr>
    </w:lvl>
    <w:lvl w:ilvl="7" w:tplc="FCFE4A4A">
      <w:start w:val="1"/>
      <w:numFmt w:val="bullet"/>
      <w:lvlText w:val="•"/>
      <w:lvlJc w:val="left"/>
      <w:pPr>
        <w:ind w:left="2303" w:hanging="134"/>
      </w:pPr>
      <w:rPr>
        <w:rFonts w:hint="default"/>
      </w:rPr>
    </w:lvl>
    <w:lvl w:ilvl="8" w:tplc="47085256">
      <w:start w:val="1"/>
      <w:numFmt w:val="bullet"/>
      <w:lvlText w:val="•"/>
      <w:lvlJc w:val="left"/>
      <w:pPr>
        <w:ind w:left="2552" w:hanging="134"/>
      </w:pPr>
      <w:rPr>
        <w:rFonts w:hint="default"/>
      </w:rPr>
    </w:lvl>
  </w:abstractNum>
  <w:abstractNum w:abstractNumId="7" w15:restartNumberingAfterBreak="0">
    <w:nsid w:val="1AD22446"/>
    <w:multiLevelType w:val="hybridMultilevel"/>
    <w:tmpl w:val="82B031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BF65D06"/>
    <w:multiLevelType w:val="hybridMultilevel"/>
    <w:tmpl w:val="0C0C9346"/>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1E2C3CC1"/>
    <w:multiLevelType w:val="hybridMultilevel"/>
    <w:tmpl w:val="EEF8345E"/>
    <w:lvl w:ilvl="0" w:tplc="5B960B98">
      <w:start w:val="1"/>
      <w:numFmt w:val="bullet"/>
      <w:lvlText w:val="•"/>
      <w:lvlJc w:val="left"/>
      <w:pPr>
        <w:ind w:left="1984" w:hanging="284"/>
      </w:pPr>
      <w:rPr>
        <w:rFonts w:ascii="Lucida Sans Unicode" w:eastAsia="Lucida Sans Unicode" w:hAnsi="Lucida Sans Unicode" w:hint="default"/>
        <w:w w:val="59"/>
        <w:sz w:val="21"/>
        <w:szCs w:val="21"/>
      </w:rPr>
    </w:lvl>
    <w:lvl w:ilvl="1" w:tplc="3A3EAE6C">
      <w:start w:val="1"/>
      <w:numFmt w:val="bullet"/>
      <w:lvlText w:val="•"/>
      <w:lvlJc w:val="left"/>
      <w:pPr>
        <w:ind w:left="2808" w:hanging="284"/>
      </w:pPr>
      <w:rPr>
        <w:rFonts w:hint="default"/>
      </w:rPr>
    </w:lvl>
    <w:lvl w:ilvl="2" w:tplc="0E4E143C">
      <w:start w:val="1"/>
      <w:numFmt w:val="bullet"/>
      <w:lvlText w:val="•"/>
      <w:lvlJc w:val="left"/>
      <w:pPr>
        <w:ind w:left="3632" w:hanging="284"/>
      </w:pPr>
      <w:rPr>
        <w:rFonts w:hint="default"/>
      </w:rPr>
    </w:lvl>
    <w:lvl w:ilvl="3" w:tplc="B79A0BDC">
      <w:start w:val="1"/>
      <w:numFmt w:val="bullet"/>
      <w:lvlText w:val="•"/>
      <w:lvlJc w:val="left"/>
      <w:pPr>
        <w:ind w:left="4456" w:hanging="284"/>
      </w:pPr>
      <w:rPr>
        <w:rFonts w:hint="default"/>
      </w:rPr>
    </w:lvl>
    <w:lvl w:ilvl="4" w:tplc="53B018D4">
      <w:start w:val="1"/>
      <w:numFmt w:val="bullet"/>
      <w:lvlText w:val="•"/>
      <w:lvlJc w:val="left"/>
      <w:pPr>
        <w:ind w:left="5280" w:hanging="284"/>
      </w:pPr>
      <w:rPr>
        <w:rFonts w:hint="default"/>
      </w:rPr>
    </w:lvl>
    <w:lvl w:ilvl="5" w:tplc="E0EC6604">
      <w:start w:val="1"/>
      <w:numFmt w:val="bullet"/>
      <w:lvlText w:val="•"/>
      <w:lvlJc w:val="left"/>
      <w:pPr>
        <w:ind w:left="6104" w:hanging="284"/>
      </w:pPr>
      <w:rPr>
        <w:rFonts w:hint="default"/>
      </w:rPr>
    </w:lvl>
    <w:lvl w:ilvl="6" w:tplc="400A10A6">
      <w:start w:val="1"/>
      <w:numFmt w:val="bullet"/>
      <w:lvlText w:val="•"/>
      <w:lvlJc w:val="left"/>
      <w:pPr>
        <w:ind w:left="6929" w:hanging="284"/>
      </w:pPr>
      <w:rPr>
        <w:rFonts w:hint="default"/>
      </w:rPr>
    </w:lvl>
    <w:lvl w:ilvl="7" w:tplc="153C0546">
      <w:start w:val="1"/>
      <w:numFmt w:val="bullet"/>
      <w:lvlText w:val="•"/>
      <w:lvlJc w:val="left"/>
      <w:pPr>
        <w:ind w:left="7753" w:hanging="284"/>
      </w:pPr>
      <w:rPr>
        <w:rFonts w:hint="default"/>
      </w:rPr>
    </w:lvl>
    <w:lvl w:ilvl="8" w:tplc="90B4C0C6">
      <w:start w:val="1"/>
      <w:numFmt w:val="bullet"/>
      <w:lvlText w:val="•"/>
      <w:lvlJc w:val="left"/>
      <w:pPr>
        <w:ind w:left="8577" w:hanging="284"/>
      </w:pPr>
      <w:rPr>
        <w:rFonts w:hint="default"/>
      </w:rPr>
    </w:lvl>
  </w:abstractNum>
  <w:abstractNum w:abstractNumId="10"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6B82D6F"/>
    <w:multiLevelType w:val="hybridMultilevel"/>
    <w:tmpl w:val="6C186060"/>
    <w:lvl w:ilvl="0" w:tplc="C15451FC">
      <w:start w:val="1"/>
      <w:numFmt w:val="bullet"/>
      <w:lvlText w:val="•"/>
      <w:lvlJc w:val="left"/>
      <w:pPr>
        <w:ind w:left="2267" w:hanging="284"/>
      </w:pPr>
      <w:rPr>
        <w:rFonts w:ascii="Lucida Sans Unicode" w:eastAsia="Lucida Sans Unicode" w:hAnsi="Lucida Sans Unicode" w:hint="default"/>
        <w:w w:val="59"/>
        <w:sz w:val="21"/>
        <w:szCs w:val="21"/>
      </w:rPr>
    </w:lvl>
    <w:lvl w:ilvl="1" w:tplc="C2804FC4">
      <w:start w:val="1"/>
      <w:numFmt w:val="bullet"/>
      <w:lvlText w:val="•"/>
      <w:lvlJc w:val="left"/>
      <w:pPr>
        <w:ind w:left="3231" w:hanging="284"/>
      </w:pPr>
      <w:rPr>
        <w:rFonts w:hint="default"/>
      </w:rPr>
    </w:lvl>
    <w:lvl w:ilvl="2" w:tplc="7B56FBF2">
      <w:start w:val="1"/>
      <w:numFmt w:val="bullet"/>
      <w:lvlText w:val="•"/>
      <w:lvlJc w:val="left"/>
      <w:pPr>
        <w:ind w:left="4195" w:hanging="284"/>
      </w:pPr>
      <w:rPr>
        <w:rFonts w:hint="default"/>
      </w:rPr>
    </w:lvl>
    <w:lvl w:ilvl="3" w:tplc="FF5C1366">
      <w:start w:val="1"/>
      <w:numFmt w:val="bullet"/>
      <w:lvlText w:val="•"/>
      <w:lvlJc w:val="left"/>
      <w:pPr>
        <w:ind w:left="5159" w:hanging="284"/>
      </w:pPr>
      <w:rPr>
        <w:rFonts w:hint="default"/>
      </w:rPr>
    </w:lvl>
    <w:lvl w:ilvl="4" w:tplc="B2CA8238">
      <w:start w:val="1"/>
      <w:numFmt w:val="bullet"/>
      <w:lvlText w:val="•"/>
      <w:lvlJc w:val="left"/>
      <w:pPr>
        <w:ind w:left="6122" w:hanging="284"/>
      </w:pPr>
      <w:rPr>
        <w:rFonts w:hint="default"/>
      </w:rPr>
    </w:lvl>
    <w:lvl w:ilvl="5" w:tplc="3378E1CC">
      <w:start w:val="1"/>
      <w:numFmt w:val="bullet"/>
      <w:lvlText w:val="•"/>
      <w:lvlJc w:val="left"/>
      <w:pPr>
        <w:ind w:left="7086" w:hanging="284"/>
      </w:pPr>
      <w:rPr>
        <w:rFonts w:hint="default"/>
      </w:rPr>
    </w:lvl>
    <w:lvl w:ilvl="6" w:tplc="DDFA6B44">
      <w:start w:val="1"/>
      <w:numFmt w:val="bullet"/>
      <w:lvlText w:val="•"/>
      <w:lvlJc w:val="left"/>
      <w:pPr>
        <w:ind w:left="8050" w:hanging="284"/>
      </w:pPr>
      <w:rPr>
        <w:rFonts w:hint="default"/>
      </w:rPr>
    </w:lvl>
    <w:lvl w:ilvl="7" w:tplc="7CA08396">
      <w:start w:val="1"/>
      <w:numFmt w:val="bullet"/>
      <w:lvlText w:val="•"/>
      <w:lvlJc w:val="left"/>
      <w:pPr>
        <w:ind w:left="9014" w:hanging="284"/>
      </w:pPr>
      <w:rPr>
        <w:rFonts w:hint="default"/>
      </w:rPr>
    </w:lvl>
    <w:lvl w:ilvl="8" w:tplc="A386EF5E">
      <w:start w:val="1"/>
      <w:numFmt w:val="bullet"/>
      <w:lvlText w:val="•"/>
      <w:lvlJc w:val="left"/>
      <w:pPr>
        <w:ind w:left="9977" w:hanging="284"/>
      </w:pPr>
      <w:rPr>
        <w:rFonts w:hint="default"/>
      </w:rPr>
    </w:lvl>
  </w:abstractNum>
  <w:abstractNum w:abstractNumId="12" w15:restartNumberingAfterBreak="0">
    <w:nsid w:val="28F57520"/>
    <w:multiLevelType w:val="singleLevel"/>
    <w:tmpl w:val="F3FE0FEA"/>
    <w:lvl w:ilvl="0">
      <w:start w:val="1"/>
      <w:numFmt w:val="bullet"/>
      <w:lvlText w:val="–"/>
      <w:lvlJc w:val="left"/>
      <w:pPr>
        <w:tabs>
          <w:tab w:val="num" w:pos="644"/>
        </w:tabs>
        <w:ind w:left="567" w:hanging="283"/>
      </w:pPr>
      <w:rPr>
        <w:rFonts w:ascii="Times New Roman" w:hAnsi="Times New Roman" w:hint="default"/>
        <w:sz w:val="20"/>
      </w:rPr>
    </w:lvl>
  </w:abstractNum>
  <w:abstractNum w:abstractNumId="13" w15:restartNumberingAfterBreak="0">
    <w:nsid w:val="2BB91E62"/>
    <w:multiLevelType w:val="hybridMultilevel"/>
    <w:tmpl w:val="B8E6DA5A"/>
    <w:lvl w:ilvl="0" w:tplc="45984B28">
      <w:start w:val="1"/>
      <w:numFmt w:val="decimal"/>
      <w:lvlText w:val="%1."/>
      <w:lvlJc w:val="left"/>
      <w:pPr>
        <w:ind w:left="924" w:hanging="56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D94347D"/>
    <w:multiLevelType w:val="hybridMultilevel"/>
    <w:tmpl w:val="CDC0E688"/>
    <w:lvl w:ilvl="0" w:tplc="AAE49842">
      <w:start w:val="1"/>
      <w:numFmt w:val="bullet"/>
      <w:lvlText w:val="•"/>
      <w:lvlJc w:val="left"/>
      <w:pPr>
        <w:ind w:left="1984" w:hanging="284"/>
      </w:pPr>
      <w:rPr>
        <w:rFonts w:ascii="Lucida Sans Unicode" w:eastAsia="Lucida Sans Unicode" w:hAnsi="Lucida Sans Unicode" w:hint="default"/>
        <w:w w:val="59"/>
        <w:sz w:val="21"/>
        <w:szCs w:val="21"/>
      </w:rPr>
    </w:lvl>
    <w:lvl w:ilvl="1" w:tplc="A3103622">
      <w:start w:val="1"/>
      <w:numFmt w:val="bullet"/>
      <w:lvlText w:val="•"/>
      <w:lvlJc w:val="left"/>
      <w:pPr>
        <w:ind w:left="2808" w:hanging="284"/>
      </w:pPr>
      <w:rPr>
        <w:rFonts w:hint="default"/>
      </w:rPr>
    </w:lvl>
    <w:lvl w:ilvl="2" w:tplc="2CC6F326">
      <w:start w:val="1"/>
      <w:numFmt w:val="bullet"/>
      <w:lvlText w:val="•"/>
      <w:lvlJc w:val="left"/>
      <w:pPr>
        <w:ind w:left="3632" w:hanging="284"/>
      </w:pPr>
      <w:rPr>
        <w:rFonts w:hint="default"/>
      </w:rPr>
    </w:lvl>
    <w:lvl w:ilvl="3" w:tplc="C026F318">
      <w:start w:val="1"/>
      <w:numFmt w:val="bullet"/>
      <w:lvlText w:val="•"/>
      <w:lvlJc w:val="left"/>
      <w:pPr>
        <w:ind w:left="4456" w:hanging="284"/>
      </w:pPr>
      <w:rPr>
        <w:rFonts w:hint="default"/>
      </w:rPr>
    </w:lvl>
    <w:lvl w:ilvl="4" w:tplc="8E1C6BD0">
      <w:start w:val="1"/>
      <w:numFmt w:val="bullet"/>
      <w:lvlText w:val="•"/>
      <w:lvlJc w:val="left"/>
      <w:pPr>
        <w:ind w:left="5280" w:hanging="284"/>
      </w:pPr>
      <w:rPr>
        <w:rFonts w:hint="default"/>
      </w:rPr>
    </w:lvl>
    <w:lvl w:ilvl="5" w:tplc="96EA3796">
      <w:start w:val="1"/>
      <w:numFmt w:val="bullet"/>
      <w:lvlText w:val="•"/>
      <w:lvlJc w:val="left"/>
      <w:pPr>
        <w:ind w:left="6104" w:hanging="284"/>
      </w:pPr>
      <w:rPr>
        <w:rFonts w:hint="default"/>
      </w:rPr>
    </w:lvl>
    <w:lvl w:ilvl="6" w:tplc="DF52DE2A">
      <w:start w:val="1"/>
      <w:numFmt w:val="bullet"/>
      <w:lvlText w:val="•"/>
      <w:lvlJc w:val="left"/>
      <w:pPr>
        <w:ind w:left="6929" w:hanging="284"/>
      </w:pPr>
      <w:rPr>
        <w:rFonts w:hint="default"/>
      </w:rPr>
    </w:lvl>
    <w:lvl w:ilvl="7" w:tplc="7D3E5354">
      <w:start w:val="1"/>
      <w:numFmt w:val="bullet"/>
      <w:lvlText w:val="•"/>
      <w:lvlJc w:val="left"/>
      <w:pPr>
        <w:ind w:left="7753" w:hanging="284"/>
      </w:pPr>
      <w:rPr>
        <w:rFonts w:hint="default"/>
      </w:rPr>
    </w:lvl>
    <w:lvl w:ilvl="8" w:tplc="0FE8A7AA">
      <w:start w:val="1"/>
      <w:numFmt w:val="bullet"/>
      <w:lvlText w:val="•"/>
      <w:lvlJc w:val="left"/>
      <w:pPr>
        <w:ind w:left="8577" w:hanging="284"/>
      </w:pPr>
      <w:rPr>
        <w:rFonts w:hint="default"/>
      </w:rPr>
    </w:lvl>
  </w:abstractNum>
  <w:abstractNum w:abstractNumId="15" w15:restartNumberingAfterBreak="0">
    <w:nsid w:val="31430E4A"/>
    <w:multiLevelType w:val="hybridMultilevel"/>
    <w:tmpl w:val="C4BE4BD4"/>
    <w:lvl w:ilvl="0" w:tplc="54ACCB78">
      <w:start w:val="1"/>
      <w:numFmt w:val="bullet"/>
      <w:lvlText w:val="•"/>
      <w:lvlJc w:val="left"/>
      <w:pPr>
        <w:ind w:left="623" w:hanging="284"/>
      </w:pPr>
      <w:rPr>
        <w:rFonts w:ascii="Arial Unicode MS" w:eastAsia="Arial Unicode MS" w:hAnsi="Arial Unicode MS" w:hint="default"/>
        <w:color w:val="FFFFFF"/>
        <w:w w:val="107"/>
        <w:sz w:val="21"/>
        <w:szCs w:val="21"/>
      </w:rPr>
    </w:lvl>
    <w:lvl w:ilvl="1" w:tplc="6EE81F12">
      <w:start w:val="1"/>
      <w:numFmt w:val="bullet"/>
      <w:lvlText w:val="•"/>
      <w:lvlJc w:val="left"/>
      <w:pPr>
        <w:ind w:left="926" w:hanging="284"/>
      </w:pPr>
      <w:rPr>
        <w:rFonts w:hint="default"/>
      </w:rPr>
    </w:lvl>
    <w:lvl w:ilvl="2" w:tplc="3D880680">
      <w:start w:val="1"/>
      <w:numFmt w:val="bullet"/>
      <w:lvlText w:val="•"/>
      <w:lvlJc w:val="left"/>
      <w:pPr>
        <w:ind w:left="1230" w:hanging="284"/>
      </w:pPr>
      <w:rPr>
        <w:rFonts w:hint="default"/>
      </w:rPr>
    </w:lvl>
    <w:lvl w:ilvl="3" w:tplc="B010C610">
      <w:start w:val="1"/>
      <w:numFmt w:val="bullet"/>
      <w:lvlText w:val="•"/>
      <w:lvlJc w:val="left"/>
      <w:pPr>
        <w:ind w:left="1533" w:hanging="284"/>
      </w:pPr>
      <w:rPr>
        <w:rFonts w:hint="default"/>
      </w:rPr>
    </w:lvl>
    <w:lvl w:ilvl="4" w:tplc="E6120074">
      <w:start w:val="1"/>
      <w:numFmt w:val="bullet"/>
      <w:lvlText w:val="•"/>
      <w:lvlJc w:val="left"/>
      <w:pPr>
        <w:ind w:left="1836" w:hanging="284"/>
      </w:pPr>
      <w:rPr>
        <w:rFonts w:hint="default"/>
      </w:rPr>
    </w:lvl>
    <w:lvl w:ilvl="5" w:tplc="CBC8627C">
      <w:start w:val="1"/>
      <w:numFmt w:val="bullet"/>
      <w:lvlText w:val="•"/>
      <w:lvlJc w:val="left"/>
      <w:pPr>
        <w:ind w:left="2140" w:hanging="284"/>
      </w:pPr>
      <w:rPr>
        <w:rFonts w:hint="default"/>
      </w:rPr>
    </w:lvl>
    <w:lvl w:ilvl="6" w:tplc="B9380D56">
      <w:start w:val="1"/>
      <w:numFmt w:val="bullet"/>
      <w:lvlText w:val="•"/>
      <w:lvlJc w:val="left"/>
      <w:pPr>
        <w:ind w:left="2443" w:hanging="284"/>
      </w:pPr>
      <w:rPr>
        <w:rFonts w:hint="default"/>
      </w:rPr>
    </w:lvl>
    <w:lvl w:ilvl="7" w:tplc="21BEC842">
      <w:start w:val="1"/>
      <w:numFmt w:val="bullet"/>
      <w:lvlText w:val="•"/>
      <w:lvlJc w:val="left"/>
      <w:pPr>
        <w:ind w:left="2746" w:hanging="284"/>
      </w:pPr>
      <w:rPr>
        <w:rFonts w:hint="default"/>
      </w:rPr>
    </w:lvl>
    <w:lvl w:ilvl="8" w:tplc="43B03AC2">
      <w:start w:val="1"/>
      <w:numFmt w:val="bullet"/>
      <w:lvlText w:val="•"/>
      <w:lvlJc w:val="left"/>
      <w:pPr>
        <w:ind w:left="3050" w:hanging="284"/>
      </w:pPr>
      <w:rPr>
        <w:rFonts w:hint="default"/>
      </w:rPr>
    </w:lvl>
  </w:abstractNum>
  <w:abstractNum w:abstractNumId="16"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E85661"/>
    <w:multiLevelType w:val="hybridMultilevel"/>
    <w:tmpl w:val="0CA6B6B8"/>
    <w:lvl w:ilvl="0" w:tplc="53CE766E">
      <w:numFmt w:val="bullet"/>
      <w:lvlText w:val="-"/>
      <w:lvlJc w:val="left"/>
      <w:pPr>
        <w:ind w:left="720" w:hanging="360"/>
      </w:pPr>
      <w:rPr>
        <w:rFonts w:ascii="Calibri" w:eastAsiaTheme="minorHAns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AFB4939"/>
    <w:multiLevelType w:val="hybridMultilevel"/>
    <w:tmpl w:val="B560C9E0"/>
    <w:lvl w:ilvl="0" w:tplc="5358D1F4">
      <w:start w:val="1"/>
      <w:numFmt w:val="bullet"/>
      <w:lvlText w:val="–"/>
      <w:lvlJc w:val="left"/>
      <w:pPr>
        <w:ind w:left="701" w:hanging="284"/>
      </w:pPr>
      <w:rPr>
        <w:rFonts w:ascii="Arial Black" w:eastAsia="Arial Black" w:hAnsi="Arial Black" w:hint="default"/>
        <w:b/>
        <w:bCs/>
        <w:sz w:val="21"/>
        <w:szCs w:val="21"/>
      </w:rPr>
    </w:lvl>
    <w:lvl w:ilvl="1" w:tplc="2D0A247C">
      <w:start w:val="1"/>
      <w:numFmt w:val="bullet"/>
      <w:lvlText w:val="•"/>
      <w:lvlJc w:val="left"/>
      <w:pPr>
        <w:ind w:left="1149" w:hanging="284"/>
      </w:pPr>
      <w:rPr>
        <w:rFonts w:hint="default"/>
      </w:rPr>
    </w:lvl>
    <w:lvl w:ilvl="2" w:tplc="014E8A48">
      <w:start w:val="1"/>
      <w:numFmt w:val="bullet"/>
      <w:lvlText w:val="•"/>
      <w:lvlJc w:val="left"/>
      <w:pPr>
        <w:ind w:left="1596" w:hanging="284"/>
      </w:pPr>
      <w:rPr>
        <w:rFonts w:hint="default"/>
      </w:rPr>
    </w:lvl>
    <w:lvl w:ilvl="3" w:tplc="62E68792">
      <w:start w:val="1"/>
      <w:numFmt w:val="bullet"/>
      <w:lvlText w:val="•"/>
      <w:lvlJc w:val="left"/>
      <w:pPr>
        <w:ind w:left="2044" w:hanging="284"/>
      </w:pPr>
      <w:rPr>
        <w:rFonts w:hint="default"/>
      </w:rPr>
    </w:lvl>
    <w:lvl w:ilvl="4" w:tplc="6BC03800">
      <w:start w:val="1"/>
      <w:numFmt w:val="bullet"/>
      <w:lvlText w:val="•"/>
      <w:lvlJc w:val="left"/>
      <w:pPr>
        <w:ind w:left="2492" w:hanging="284"/>
      </w:pPr>
      <w:rPr>
        <w:rFonts w:hint="default"/>
      </w:rPr>
    </w:lvl>
    <w:lvl w:ilvl="5" w:tplc="D62CF1AE">
      <w:start w:val="1"/>
      <w:numFmt w:val="bullet"/>
      <w:lvlText w:val="•"/>
      <w:lvlJc w:val="left"/>
      <w:pPr>
        <w:ind w:left="2940" w:hanging="284"/>
      </w:pPr>
      <w:rPr>
        <w:rFonts w:hint="default"/>
      </w:rPr>
    </w:lvl>
    <w:lvl w:ilvl="6" w:tplc="4AF656FE">
      <w:start w:val="1"/>
      <w:numFmt w:val="bullet"/>
      <w:lvlText w:val="•"/>
      <w:lvlJc w:val="left"/>
      <w:pPr>
        <w:ind w:left="3388" w:hanging="284"/>
      </w:pPr>
      <w:rPr>
        <w:rFonts w:hint="default"/>
      </w:rPr>
    </w:lvl>
    <w:lvl w:ilvl="7" w:tplc="B11C28E0">
      <w:start w:val="1"/>
      <w:numFmt w:val="bullet"/>
      <w:lvlText w:val="•"/>
      <w:lvlJc w:val="left"/>
      <w:pPr>
        <w:ind w:left="3836" w:hanging="284"/>
      </w:pPr>
      <w:rPr>
        <w:rFonts w:hint="default"/>
      </w:rPr>
    </w:lvl>
    <w:lvl w:ilvl="8" w:tplc="A2F2C1E6">
      <w:start w:val="1"/>
      <w:numFmt w:val="bullet"/>
      <w:lvlText w:val="•"/>
      <w:lvlJc w:val="left"/>
      <w:pPr>
        <w:ind w:left="4284" w:hanging="284"/>
      </w:pPr>
      <w:rPr>
        <w:rFonts w:hint="default"/>
      </w:rPr>
    </w:lvl>
  </w:abstractNum>
  <w:abstractNum w:abstractNumId="20" w15:restartNumberingAfterBreak="0">
    <w:nsid w:val="4D6856C8"/>
    <w:multiLevelType w:val="hybridMultilevel"/>
    <w:tmpl w:val="0338F8C0"/>
    <w:lvl w:ilvl="0" w:tplc="73FE36DE">
      <w:start w:val="1"/>
      <w:numFmt w:val="bullet"/>
      <w:lvlText w:val="•"/>
      <w:lvlJc w:val="left"/>
      <w:pPr>
        <w:ind w:left="245" w:hanging="134"/>
      </w:pPr>
      <w:rPr>
        <w:rFonts w:ascii="Arial Unicode MS" w:eastAsia="Arial Unicode MS" w:hAnsi="Arial Unicode MS" w:hint="default"/>
        <w:w w:val="107"/>
        <w:sz w:val="21"/>
        <w:szCs w:val="21"/>
      </w:rPr>
    </w:lvl>
    <w:lvl w:ilvl="1" w:tplc="3F32CFCA">
      <w:start w:val="1"/>
      <w:numFmt w:val="bullet"/>
      <w:lvlText w:val="•"/>
      <w:lvlJc w:val="left"/>
      <w:pPr>
        <w:ind w:left="494" w:hanging="134"/>
      </w:pPr>
      <w:rPr>
        <w:rFonts w:hint="default"/>
      </w:rPr>
    </w:lvl>
    <w:lvl w:ilvl="2" w:tplc="025CEB60">
      <w:start w:val="1"/>
      <w:numFmt w:val="bullet"/>
      <w:lvlText w:val="•"/>
      <w:lvlJc w:val="left"/>
      <w:pPr>
        <w:ind w:left="743" w:hanging="134"/>
      </w:pPr>
      <w:rPr>
        <w:rFonts w:hint="default"/>
      </w:rPr>
    </w:lvl>
    <w:lvl w:ilvl="3" w:tplc="5E0EC12A">
      <w:start w:val="1"/>
      <w:numFmt w:val="bullet"/>
      <w:lvlText w:val="•"/>
      <w:lvlJc w:val="left"/>
      <w:pPr>
        <w:ind w:left="993" w:hanging="134"/>
      </w:pPr>
      <w:rPr>
        <w:rFonts w:hint="default"/>
      </w:rPr>
    </w:lvl>
    <w:lvl w:ilvl="4" w:tplc="E8B04864">
      <w:start w:val="1"/>
      <w:numFmt w:val="bullet"/>
      <w:lvlText w:val="•"/>
      <w:lvlJc w:val="left"/>
      <w:pPr>
        <w:ind w:left="1242" w:hanging="134"/>
      </w:pPr>
      <w:rPr>
        <w:rFonts w:hint="default"/>
      </w:rPr>
    </w:lvl>
    <w:lvl w:ilvl="5" w:tplc="7EF0585E">
      <w:start w:val="1"/>
      <w:numFmt w:val="bullet"/>
      <w:lvlText w:val="•"/>
      <w:lvlJc w:val="left"/>
      <w:pPr>
        <w:ind w:left="1491" w:hanging="134"/>
      </w:pPr>
      <w:rPr>
        <w:rFonts w:hint="default"/>
      </w:rPr>
    </w:lvl>
    <w:lvl w:ilvl="6" w:tplc="7EC6F446">
      <w:start w:val="1"/>
      <w:numFmt w:val="bullet"/>
      <w:lvlText w:val="•"/>
      <w:lvlJc w:val="left"/>
      <w:pPr>
        <w:ind w:left="1740" w:hanging="134"/>
      </w:pPr>
      <w:rPr>
        <w:rFonts w:hint="default"/>
      </w:rPr>
    </w:lvl>
    <w:lvl w:ilvl="7" w:tplc="B4E0707E">
      <w:start w:val="1"/>
      <w:numFmt w:val="bullet"/>
      <w:lvlText w:val="•"/>
      <w:lvlJc w:val="left"/>
      <w:pPr>
        <w:ind w:left="1989" w:hanging="134"/>
      </w:pPr>
      <w:rPr>
        <w:rFonts w:hint="default"/>
      </w:rPr>
    </w:lvl>
    <w:lvl w:ilvl="8" w:tplc="30DCDC0C">
      <w:start w:val="1"/>
      <w:numFmt w:val="bullet"/>
      <w:lvlText w:val="•"/>
      <w:lvlJc w:val="left"/>
      <w:pPr>
        <w:ind w:left="2239" w:hanging="134"/>
      </w:pPr>
      <w:rPr>
        <w:rFonts w:hint="default"/>
      </w:rPr>
    </w:lvl>
  </w:abstractNum>
  <w:abstractNum w:abstractNumId="21" w15:restartNumberingAfterBreak="0">
    <w:nsid w:val="535B2A0D"/>
    <w:multiLevelType w:val="hybridMultilevel"/>
    <w:tmpl w:val="FFFFFFFF"/>
    <w:lvl w:ilvl="0" w:tplc="6B2CEF04">
      <w:start w:val="1"/>
      <w:numFmt w:val="bullet"/>
      <w:lvlText w:val=""/>
      <w:lvlJc w:val="left"/>
      <w:pPr>
        <w:ind w:left="720" w:hanging="360"/>
      </w:pPr>
      <w:rPr>
        <w:rFonts w:ascii="Symbol" w:hAnsi="Symbol" w:hint="default"/>
      </w:rPr>
    </w:lvl>
    <w:lvl w:ilvl="1" w:tplc="FD146D26">
      <w:start w:val="1"/>
      <w:numFmt w:val="bullet"/>
      <w:lvlText w:val="o"/>
      <w:lvlJc w:val="left"/>
      <w:pPr>
        <w:ind w:left="1440" w:hanging="360"/>
      </w:pPr>
      <w:rPr>
        <w:rFonts w:ascii="Courier New" w:hAnsi="Courier New" w:hint="default"/>
      </w:rPr>
    </w:lvl>
    <w:lvl w:ilvl="2" w:tplc="CC522098">
      <w:start w:val="1"/>
      <w:numFmt w:val="bullet"/>
      <w:lvlText w:val=""/>
      <w:lvlJc w:val="left"/>
      <w:pPr>
        <w:ind w:left="2160" w:hanging="360"/>
      </w:pPr>
      <w:rPr>
        <w:rFonts w:ascii="Wingdings" w:hAnsi="Wingdings" w:hint="default"/>
      </w:rPr>
    </w:lvl>
    <w:lvl w:ilvl="3" w:tplc="DE20096E">
      <w:start w:val="1"/>
      <w:numFmt w:val="bullet"/>
      <w:lvlText w:val=""/>
      <w:lvlJc w:val="left"/>
      <w:pPr>
        <w:ind w:left="2880" w:hanging="360"/>
      </w:pPr>
      <w:rPr>
        <w:rFonts w:ascii="Symbol" w:hAnsi="Symbol" w:hint="default"/>
      </w:rPr>
    </w:lvl>
    <w:lvl w:ilvl="4" w:tplc="0CD6C674">
      <w:start w:val="1"/>
      <w:numFmt w:val="bullet"/>
      <w:lvlText w:val="o"/>
      <w:lvlJc w:val="left"/>
      <w:pPr>
        <w:ind w:left="3600" w:hanging="360"/>
      </w:pPr>
      <w:rPr>
        <w:rFonts w:ascii="Courier New" w:hAnsi="Courier New" w:hint="default"/>
      </w:rPr>
    </w:lvl>
    <w:lvl w:ilvl="5" w:tplc="D1D42B7E">
      <w:start w:val="1"/>
      <w:numFmt w:val="bullet"/>
      <w:lvlText w:val=""/>
      <w:lvlJc w:val="left"/>
      <w:pPr>
        <w:ind w:left="4320" w:hanging="360"/>
      </w:pPr>
      <w:rPr>
        <w:rFonts w:ascii="Wingdings" w:hAnsi="Wingdings" w:hint="default"/>
      </w:rPr>
    </w:lvl>
    <w:lvl w:ilvl="6" w:tplc="D1261AF6">
      <w:start w:val="1"/>
      <w:numFmt w:val="bullet"/>
      <w:lvlText w:val=""/>
      <w:lvlJc w:val="left"/>
      <w:pPr>
        <w:ind w:left="5040" w:hanging="360"/>
      </w:pPr>
      <w:rPr>
        <w:rFonts w:ascii="Symbol" w:hAnsi="Symbol" w:hint="default"/>
      </w:rPr>
    </w:lvl>
    <w:lvl w:ilvl="7" w:tplc="ACF25D90">
      <w:start w:val="1"/>
      <w:numFmt w:val="bullet"/>
      <w:lvlText w:val="o"/>
      <w:lvlJc w:val="left"/>
      <w:pPr>
        <w:ind w:left="5760" w:hanging="360"/>
      </w:pPr>
      <w:rPr>
        <w:rFonts w:ascii="Courier New" w:hAnsi="Courier New" w:hint="default"/>
      </w:rPr>
    </w:lvl>
    <w:lvl w:ilvl="8" w:tplc="BFD6292A">
      <w:start w:val="1"/>
      <w:numFmt w:val="bullet"/>
      <w:lvlText w:val=""/>
      <w:lvlJc w:val="left"/>
      <w:pPr>
        <w:ind w:left="6480" w:hanging="360"/>
      </w:pPr>
      <w:rPr>
        <w:rFonts w:ascii="Wingdings" w:hAnsi="Wingdings" w:hint="default"/>
      </w:rPr>
    </w:lvl>
  </w:abstractNum>
  <w:abstractNum w:abstractNumId="22" w15:restartNumberingAfterBreak="0">
    <w:nsid w:val="5B09314A"/>
    <w:multiLevelType w:val="multilevel"/>
    <w:tmpl w:val="7720957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567"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C724B65"/>
    <w:multiLevelType w:val="hybridMultilevel"/>
    <w:tmpl w:val="46E4FFEE"/>
    <w:lvl w:ilvl="0" w:tplc="EB0A854E">
      <w:start w:val="1"/>
      <w:numFmt w:val="bullet"/>
      <w:lvlText w:val="•"/>
      <w:lvlJc w:val="left"/>
      <w:pPr>
        <w:ind w:left="559" w:hanging="134"/>
      </w:pPr>
      <w:rPr>
        <w:rFonts w:ascii="Arial Unicode MS" w:eastAsia="Arial Unicode MS" w:hAnsi="Arial Unicode MS" w:hint="default"/>
        <w:w w:val="107"/>
        <w:sz w:val="21"/>
        <w:szCs w:val="21"/>
      </w:rPr>
    </w:lvl>
    <w:lvl w:ilvl="1" w:tplc="85E65D22">
      <w:start w:val="1"/>
      <w:numFmt w:val="bullet"/>
      <w:lvlText w:val="•"/>
      <w:lvlJc w:val="left"/>
      <w:pPr>
        <w:ind w:left="808" w:hanging="134"/>
      </w:pPr>
      <w:rPr>
        <w:rFonts w:hint="default"/>
      </w:rPr>
    </w:lvl>
    <w:lvl w:ilvl="2" w:tplc="69460D26">
      <w:start w:val="1"/>
      <w:numFmt w:val="bullet"/>
      <w:lvlText w:val="•"/>
      <w:lvlJc w:val="left"/>
      <w:pPr>
        <w:ind w:left="1058" w:hanging="134"/>
      </w:pPr>
      <w:rPr>
        <w:rFonts w:hint="default"/>
      </w:rPr>
    </w:lvl>
    <w:lvl w:ilvl="3" w:tplc="CD6AEA72">
      <w:start w:val="1"/>
      <w:numFmt w:val="bullet"/>
      <w:lvlText w:val="•"/>
      <w:lvlJc w:val="left"/>
      <w:pPr>
        <w:ind w:left="1307" w:hanging="134"/>
      </w:pPr>
      <w:rPr>
        <w:rFonts w:hint="default"/>
      </w:rPr>
    </w:lvl>
    <w:lvl w:ilvl="4" w:tplc="DCE6E408">
      <w:start w:val="1"/>
      <w:numFmt w:val="bullet"/>
      <w:lvlText w:val="•"/>
      <w:lvlJc w:val="left"/>
      <w:pPr>
        <w:ind w:left="1556" w:hanging="134"/>
      </w:pPr>
      <w:rPr>
        <w:rFonts w:hint="default"/>
      </w:rPr>
    </w:lvl>
    <w:lvl w:ilvl="5" w:tplc="C3182234">
      <w:start w:val="1"/>
      <w:numFmt w:val="bullet"/>
      <w:lvlText w:val="•"/>
      <w:lvlJc w:val="left"/>
      <w:pPr>
        <w:ind w:left="1805" w:hanging="134"/>
      </w:pPr>
      <w:rPr>
        <w:rFonts w:hint="default"/>
      </w:rPr>
    </w:lvl>
    <w:lvl w:ilvl="6" w:tplc="85C2C604">
      <w:start w:val="1"/>
      <w:numFmt w:val="bullet"/>
      <w:lvlText w:val="•"/>
      <w:lvlJc w:val="left"/>
      <w:pPr>
        <w:ind w:left="2054" w:hanging="134"/>
      </w:pPr>
      <w:rPr>
        <w:rFonts w:hint="default"/>
      </w:rPr>
    </w:lvl>
    <w:lvl w:ilvl="7" w:tplc="3B5A4DA6">
      <w:start w:val="1"/>
      <w:numFmt w:val="bullet"/>
      <w:lvlText w:val="•"/>
      <w:lvlJc w:val="left"/>
      <w:pPr>
        <w:ind w:left="2303" w:hanging="134"/>
      </w:pPr>
      <w:rPr>
        <w:rFonts w:hint="default"/>
      </w:rPr>
    </w:lvl>
    <w:lvl w:ilvl="8" w:tplc="37AAE036">
      <w:start w:val="1"/>
      <w:numFmt w:val="bullet"/>
      <w:lvlText w:val="•"/>
      <w:lvlJc w:val="left"/>
      <w:pPr>
        <w:ind w:left="2552" w:hanging="134"/>
      </w:pPr>
      <w:rPr>
        <w:rFonts w:hint="default"/>
      </w:rPr>
    </w:lvl>
  </w:abstractNum>
  <w:abstractNum w:abstractNumId="24" w15:restartNumberingAfterBreak="0">
    <w:nsid w:val="5D9A15C3"/>
    <w:multiLevelType w:val="hybridMultilevel"/>
    <w:tmpl w:val="1E9823CC"/>
    <w:lvl w:ilvl="0" w:tplc="AA18F162">
      <w:start w:val="1"/>
      <w:numFmt w:val="bullet"/>
      <w:lvlText w:val="•"/>
      <w:lvlJc w:val="left"/>
      <w:pPr>
        <w:ind w:left="245" w:hanging="134"/>
      </w:pPr>
      <w:rPr>
        <w:rFonts w:ascii="Arial Unicode MS" w:eastAsia="Arial Unicode MS" w:hAnsi="Arial Unicode MS" w:hint="default"/>
        <w:w w:val="107"/>
        <w:sz w:val="21"/>
        <w:szCs w:val="21"/>
      </w:rPr>
    </w:lvl>
    <w:lvl w:ilvl="1" w:tplc="D886110C">
      <w:start w:val="1"/>
      <w:numFmt w:val="bullet"/>
      <w:lvlText w:val="•"/>
      <w:lvlJc w:val="left"/>
      <w:pPr>
        <w:ind w:left="494" w:hanging="134"/>
      </w:pPr>
      <w:rPr>
        <w:rFonts w:hint="default"/>
      </w:rPr>
    </w:lvl>
    <w:lvl w:ilvl="2" w:tplc="5C048F26">
      <w:start w:val="1"/>
      <w:numFmt w:val="bullet"/>
      <w:lvlText w:val="•"/>
      <w:lvlJc w:val="left"/>
      <w:pPr>
        <w:ind w:left="744" w:hanging="134"/>
      </w:pPr>
      <w:rPr>
        <w:rFonts w:hint="default"/>
      </w:rPr>
    </w:lvl>
    <w:lvl w:ilvl="3" w:tplc="44DACB5A">
      <w:start w:val="1"/>
      <w:numFmt w:val="bullet"/>
      <w:lvlText w:val="•"/>
      <w:lvlJc w:val="left"/>
      <w:pPr>
        <w:ind w:left="993" w:hanging="134"/>
      </w:pPr>
      <w:rPr>
        <w:rFonts w:hint="default"/>
      </w:rPr>
    </w:lvl>
    <w:lvl w:ilvl="4" w:tplc="B8B465F0">
      <w:start w:val="1"/>
      <w:numFmt w:val="bullet"/>
      <w:lvlText w:val="•"/>
      <w:lvlJc w:val="left"/>
      <w:pPr>
        <w:ind w:left="1242" w:hanging="134"/>
      </w:pPr>
      <w:rPr>
        <w:rFonts w:hint="default"/>
      </w:rPr>
    </w:lvl>
    <w:lvl w:ilvl="5" w:tplc="1FDCA722">
      <w:start w:val="1"/>
      <w:numFmt w:val="bullet"/>
      <w:lvlText w:val="•"/>
      <w:lvlJc w:val="left"/>
      <w:pPr>
        <w:ind w:left="1491" w:hanging="134"/>
      </w:pPr>
      <w:rPr>
        <w:rFonts w:hint="default"/>
      </w:rPr>
    </w:lvl>
    <w:lvl w:ilvl="6" w:tplc="62501116">
      <w:start w:val="1"/>
      <w:numFmt w:val="bullet"/>
      <w:lvlText w:val="•"/>
      <w:lvlJc w:val="left"/>
      <w:pPr>
        <w:ind w:left="1740" w:hanging="134"/>
      </w:pPr>
      <w:rPr>
        <w:rFonts w:hint="default"/>
      </w:rPr>
    </w:lvl>
    <w:lvl w:ilvl="7" w:tplc="EA9AA01C">
      <w:start w:val="1"/>
      <w:numFmt w:val="bullet"/>
      <w:lvlText w:val="•"/>
      <w:lvlJc w:val="left"/>
      <w:pPr>
        <w:ind w:left="1989" w:hanging="134"/>
      </w:pPr>
      <w:rPr>
        <w:rFonts w:hint="default"/>
      </w:rPr>
    </w:lvl>
    <w:lvl w:ilvl="8" w:tplc="005E787C">
      <w:start w:val="1"/>
      <w:numFmt w:val="bullet"/>
      <w:lvlText w:val="•"/>
      <w:lvlJc w:val="left"/>
      <w:pPr>
        <w:ind w:left="2239" w:hanging="134"/>
      </w:pPr>
      <w:rPr>
        <w:rFonts w:hint="default"/>
      </w:rPr>
    </w:lvl>
  </w:abstractNum>
  <w:abstractNum w:abstractNumId="25" w15:restartNumberingAfterBreak="0">
    <w:nsid w:val="5DD57E71"/>
    <w:multiLevelType w:val="hybridMultilevel"/>
    <w:tmpl w:val="36C80F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88D2C9E"/>
    <w:multiLevelType w:val="singleLevel"/>
    <w:tmpl w:val="976C8326"/>
    <w:lvl w:ilvl="0">
      <w:start w:val="1"/>
      <w:numFmt w:val="bullet"/>
      <w:lvlText w:val=""/>
      <w:lvlJc w:val="left"/>
      <w:pPr>
        <w:tabs>
          <w:tab w:val="num" w:pos="360"/>
        </w:tabs>
        <w:ind w:left="284" w:hanging="284"/>
      </w:pPr>
      <w:rPr>
        <w:rFonts w:ascii="Symbol" w:hAnsi="Symbol" w:hint="default"/>
        <w:sz w:val="18"/>
      </w:rPr>
    </w:lvl>
  </w:abstractNum>
  <w:abstractNum w:abstractNumId="27" w15:restartNumberingAfterBreak="0">
    <w:nsid w:val="6A493BA7"/>
    <w:multiLevelType w:val="hybridMultilevel"/>
    <w:tmpl w:val="54A49246"/>
    <w:lvl w:ilvl="0" w:tplc="32401D94">
      <w:start w:val="1"/>
      <w:numFmt w:val="bullet"/>
      <w:lvlText w:val="–"/>
      <w:lvlJc w:val="left"/>
      <w:pPr>
        <w:ind w:left="701" w:hanging="284"/>
      </w:pPr>
      <w:rPr>
        <w:rFonts w:ascii="Arial Black" w:eastAsia="Arial Black" w:hAnsi="Arial Black" w:hint="default"/>
        <w:b/>
        <w:bCs/>
        <w:sz w:val="21"/>
        <w:szCs w:val="21"/>
      </w:rPr>
    </w:lvl>
    <w:lvl w:ilvl="1" w:tplc="2702D4F0">
      <w:start w:val="1"/>
      <w:numFmt w:val="bullet"/>
      <w:lvlText w:val="•"/>
      <w:lvlJc w:val="left"/>
      <w:pPr>
        <w:ind w:left="1149" w:hanging="284"/>
      </w:pPr>
      <w:rPr>
        <w:rFonts w:hint="default"/>
      </w:rPr>
    </w:lvl>
    <w:lvl w:ilvl="2" w:tplc="7E12EC3E">
      <w:start w:val="1"/>
      <w:numFmt w:val="bullet"/>
      <w:lvlText w:val="•"/>
      <w:lvlJc w:val="left"/>
      <w:pPr>
        <w:ind w:left="1596" w:hanging="284"/>
      </w:pPr>
      <w:rPr>
        <w:rFonts w:hint="default"/>
      </w:rPr>
    </w:lvl>
    <w:lvl w:ilvl="3" w:tplc="8AE0534C">
      <w:start w:val="1"/>
      <w:numFmt w:val="bullet"/>
      <w:lvlText w:val="•"/>
      <w:lvlJc w:val="left"/>
      <w:pPr>
        <w:ind w:left="2044" w:hanging="284"/>
      </w:pPr>
      <w:rPr>
        <w:rFonts w:hint="default"/>
      </w:rPr>
    </w:lvl>
    <w:lvl w:ilvl="4" w:tplc="23967D3A">
      <w:start w:val="1"/>
      <w:numFmt w:val="bullet"/>
      <w:lvlText w:val="•"/>
      <w:lvlJc w:val="left"/>
      <w:pPr>
        <w:ind w:left="2492" w:hanging="284"/>
      </w:pPr>
      <w:rPr>
        <w:rFonts w:hint="default"/>
      </w:rPr>
    </w:lvl>
    <w:lvl w:ilvl="5" w:tplc="A1105360">
      <w:start w:val="1"/>
      <w:numFmt w:val="bullet"/>
      <w:lvlText w:val="•"/>
      <w:lvlJc w:val="left"/>
      <w:pPr>
        <w:ind w:left="2940" w:hanging="284"/>
      </w:pPr>
      <w:rPr>
        <w:rFonts w:hint="default"/>
      </w:rPr>
    </w:lvl>
    <w:lvl w:ilvl="6" w:tplc="1D5A8006">
      <w:start w:val="1"/>
      <w:numFmt w:val="bullet"/>
      <w:lvlText w:val="•"/>
      <w:lvlJc w:val="left"/>
      <w:pPr>
        <w:ind w:left="3388" w:hanging="284"/>
      </w:pPr>
      <w:rPr>
        <w:rFonts w:hint="default"/>
      </w:rPr>
    </w:lvl>
    <w:lvl w:ilvl="7" w:tplc="CAD8527E">
      <w:start w:val="1"/>
      <w:numFmt w:val="bullet"/>
      <w:lvlText w:val="•"/>
      <w:lvlJc w:val="left"/>
      <w:pPr>
        <w:ind w:left="3836" w:hanging="284"/>
      </w:pPr>
      <w:rPr>
        <w:rFonts w:hint="default"/>
      </w:rPr>
    </w:lvl>
    <w:lvl w:ilvl="8" w:tplc="2DAA237C">
      <w:start w:val="1"/>
      <w:numFmt w:val="bullet"/>
      <w:lvlText w:val="•"/>
      <w:lvlJc w:val="left"/>
      <w:pPr>
        <w:ind w:left="4284" w:hanging="284"/>
      </w:pPr>
      <w:rPr>
        <w:rFonts w:hint="default"/>
      </w:rPr>
    </w:lvl>
  </w:abstractNum>
  <w:abstractNum w:abstractNumId="28" w15:restartNumberingAfterBreak="0">
    <w:nsid w:val="6A871412"/>
    <w:multiLevelType w:val="hybridMultilevel"/>
    <w:tmpl w:val="679EAFA2"/>
    <w:lvl w:ilvl="0" w:tplc="59822F40">
      <w:start w:val="1"/>
      <w:numFmt w:val="bullet"/>
      <w:lvlText w:val="•"/>
      <w:lvlJc w:val="left"/>
      <w:pPr>
        <w:ind w:left="1984" w:hanging="284"/>
      </w:pPr>
      <w:rPr>
        <w:rFonts w:ascii="Lucida Sans Unicode" w:eastAsia="Lucida Sans Unicode" w:hAnsi="Lucida Sans Unicode" w:hint="default"/>
        <w:w w:val="59"/>
        <w:sz w:val="21"/>
        <w:szCs w:val="21"/>
      </w:rPr>
    </w:lvl>
    <w:lvl w:ilvl="1" w:tplc="0298ED54">
      <w:start w:val="1"/>
      <w:numFmt w:val="bullet"/>
      <w:lvlText w:val="•"/>
      <w:lvlJc w:val="left"/>
      <w:pPr>
        <w:ind w:left="2808" w:hanging="284"/>
      </w:pPr>
      <w:rPr>
        <w:rFonts w:hint="default"/>
      </w:rPr>
    </w:lvl>
    <w:lvl w:ilvl="2" w:tplc="3ACE3B56">
      <w:start w:val="1"/>
      <w:numFmt w:val="bullet"/>
      <w:lvlText w:val="•"/>
      <w:lvlJc w:val="left"/>
      <w:pPr>
        <w:ind w:left="3632" w:hanging="284"/>
      </w:pPr>
      <w:rPr>
        <w:rFonts w:hint="default"/>
      </w:rPr>
    </w:lvl>
    <w:lvl w:ilvl="3" w:tplc="AA96C0BE">
      <w:start w:val="1"/>
      <w:numFmt w:val="bullet"/>
      <w:lvlText w:val="•"/>
      <w:lvlJc w:val="left"/>
      <w:pPr>
        <w:ind w:left="4456" w:hanging="284"/>
      </w:pPr>
      <w:rPr>
        <w:rFonts w:hint="default"/>
      </w:rPr>
    </w:lvl>
    <w:lvl w:ilvl="4" w:tplc="CA98A634">
      <w:start w:val="1"/>
      <w:numFmt w:val="bullet"/>
      <w:lvlText w:val="•"/>
      <w:lvlJc w:val="left"/>
      <w:pPr>
        <w:ind w:left="5280" w:hanging="284"/>
      </w:pPr>
      <w:rPr>
        <w:rFonts w:hint="default"/>
      </w:rPr>
    </w:lvl>
    <w:lvl w:ilvl="5" w:tplc="AA4A5076">
      <w:start w:val="1"/>
      <w:numFmt w:val="bullet"/>
      <w:lvlText w:val="•"/>
      <w:lvlJc w:val="left"/>
      <w:pPr>
        <w:ind w:left="6104" w:hanging="284"/>
      </w:pPr>
      <w:rPr>
        <w:rFonts w:hint="default"/>
      </w:rPr>
    </w:lvl>
    <w:lvl w:ilvl="6" w:tplc="44422EEC">
      <w:start w:val="1"/>
      <w:numFmt w:val="bullet"/>
      <w:lvlText w:val="•"/>
      <w:lvlJc w:val="left"/>
      <w:pPr>
        <w:ind w:left="6929" w:hanging="284"/>
      </w:pPr>
      <w:rPr>
        <w:rFonts w:hint="default"/>
      </w:rPr>
    </w:lvl>
    <w:lvl w:ilvl="7" w:tplc="91644454">
      <w:start w:val="1"/>
      <w:numFmt w:val="bullet"/>
      <w:lvlText w:val="•"/>
      <w:lvlJc w:val="left"/>
      <w:pPr>
        <w:ind w:left="7753" w:hanging="284"/>
      </w:pPr>
      <w:rPr>
        <w:rFonts w:hint="default"/>
      </w:rPr>
    </w:lvl>
    <w:lvl w:ilvl="8" w:tplc="99B2DCF6">
      <w:start w:val="1"/>
      <w:numFmt w:val="bullet"/>
      <w:lvlText w:val="•"/>
      <w:lvlJc w:val="left"/>
      <w:pPr>
        <w:ind w:left="8577" w:hanging="284"/>
      </w:pPr>
      <w:rPr>
        <w:rFonts w:hint="default"/>
      </w:rPr>
    </w:lvl>
  </w:abstractNum>
  <w:abstractNum w:abstractNumId="29" w15:restartNumberingAfterBreak="0">
    <w:nsid w:val="6AB61074"/>
    <w:multiLevelType w:val="hybridMultilevel"/>
    <w:tmpl w:val="E9D8A206"/>
    <w:lvl w:ilvl="0" w:tplc="32DEC6B8">
      <w:start w:val="1"/>
      <w:numFmt w:val="bullet"/>
      <w:lvlText w:val="–"/>
      <w:lvlJc w:val="left"/>
      <w:pPr>
        <w:ind w:left="662" w:hanging="284"/>
      </w:pPr>
      <w:rPr>
        <w:rFonts w:ascii="Arial Black" w:eastAsia="Arial Black" w:hAnsi="Arial Black" w:hint="default"/>
        <w:b/>
        <w:bCs/>
        <w:sz w:val="21"/>
        <w:szCs w:val="21"/>
      </w:rPr>
    </w:lvl>
    <w:lvl w:ilvl="1" w:tplc="040C801C">
      <w:start w:val="1"/>
      <w:numFmt w:val="bullet"/>
      <w:lvlText w:val="•"/>
      <w:lvlJc w:val="left"/>
      <w:pPr>
        <w:ind w:left="1109" w:hanging="284"/>
      </w:pPr>
      <w:rPr>
        <w:rFonts w:hint="default"/>
      </w:rPr>
    </w:lvl>
    <w:lvl w:ilvl="2" w:tplc="1250F1EE">
      <w:start w:val="1"/>
      <w:numFmt w:val="bullet"/>
      <w:lvlText w:val="•"/>
      <w:lvlJc w:val="left"/>
      <w:pPr>
        <w:ind w:left="1557" w:hanging="284"/>
      </w:pPr>
      <w:rPr>
        <w:rFonts w:hint="default"/>
      </w:rPr>
    </w:lvl>
    <w:lvl w:ilvl="3" w:tplc="EED03DEA">
      <w:start w:val="1"/>
      <w:numFmt w:val="bullet"/>
      <w:lvlText w:val="•"/>
      <w:lvlJc w:val="left"/>
      <w:pPr>
        <w:ind w:left="2005" w:hanging="284"/>
      </w:pPr>
      <w:rPr>
        <w:rFonts w:hint="default"/>
      </w:rPr>
    </w:lvl>
    <w:lvl w:ilvl="4" w:tplc="C2526822">
      <w:start w:val="1"/>
      <w:numFmt w:val="bullet"/>
      <w:lvlText w:val="•"/>
      <w:lvlJc w:val="left"/>
      <w:pPr>
        <w:ind w:left="2453" w:hanging="284"/>
      </w:pPr>
      <w:rPr>
        <w:rFonts w:hint="default"/>
      </w:rPr>
    </w:lvl>
    <w:lvl w:ilvl="5" w:tplc="3B98B002">
      <w:start w:val="1"/>
      <w:numFmt w:val="bullet"/>
      <w:lvlText w:val="•"/>
      <w:lvlJc w:val="left"/>
      <w:pPr>
        <w:ind w:left="2901" w:hanging="284"/>
      </w:pPr>
      <w:rPr>
        <w:rFonts w:hint="default"/>
      </w:rPr>
    </w:lvl>
    <w:lvl w:ilvl="6" w:tplc="E2B4B88C">
      <w:start w:val="1"/>
      <w:numFmt w:val="bullet"/>
      <w:lvlText w:val="•"/>
      <w:lvlJc w:val="left"/>
      <w:pPr>
        <w:ind w:left="3349" w:hanging="284"/>
      </w:pPr>
      <w:rPr>
        <w:rFonts w:hint="default"/>
      </w:rPr>
    </w:lvl>
    <w:lvl w:ilvl="7" w:tplc="716A8E58">
      <w:start w:val="1"/>
      <w:numFmt w:val="bullet"/>
      <w:lvlText w:val="•"/>
      <w:lvlJc w:val="left"/>
      <w:pPr>
        <w:ind w:left="3797" w:hanging="284"/>
      </w:pPr>
      <w:rPr>
        <w:rFonts w:hint="default"/>
      </w:rPr>
    </w:lvl>
    <w:lvl w:ilvl="8" w:tplc="31BAFC90">
      <w:start w:val="1"/>
      <w:numFmt w:val="bullet"/>
      <w:lvlText w:val="•"/>
      <w:lvlJc w:val="left"/>
      <w:pPr>
        <w:ind w:left="4245" w:hanging="284"/>
      </w:pPr>
      <w:rPr>
        <w:rFonts w:hint="default"/>
      </w:rPr>
    </w:lvl>
  </w:abstractNum>
  <w:abstractNum w:abstractNumId="30" w15:restartNumberingAfterBreak="0">
    <w:nsid w:val="756F0448"/>
    <w:multiLevelType w:val="hybridMultilevel"/>
    <w:tmpl w:val="C50621DA"/>
    <w:lvl w:ilvl="0" w:tplc="53CE766E">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61C54D3"/>
    <w:multiLevelType w:val="hybridMultilevel"/>
    <w:tmpl w:val="6F1E4EBE"/>
    <w:lvl w:ilvl="0" w:tplc="14090001">
      <w:start w:val="1"/>
      <w:numFmt w:val="bullet"/>
      <w:lvlText w:val=""/>
      <w:lvlJc w:val="left"/>
      <w:pPr>
        <w:tabs>
          <w:tab w:val="num" w:pos="360"/>
        </w:tabs>
        <w:ind w:left="360" w:hanging="360"/>
      </w:pPr>
      <w:rPr>
        <w:rFonts w:ascii="Symbol" w:hAnsi="Symbol" w:hint="default"/>
      </w:rPr>
    </w:lvl>
    <w:lvl w:ilvl="1" w:tplc="1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790B609F"/>
    <w:multiLevelType w:val="hybridMultilevel"/>
    <w:tmpl w:val="DADE0218"/>
    <w:lvl w:ilvl="0" w:tplc="B80C461A">
      <w:start w:val="1"/>
      <w:numFmt w:val="bullet"/>
      <w:lvlText w:val="•"/>
      <w:lvlJc w:val="left"/>
      <w:pPr>
        <w:ind w:left="587" w:hanging="284"/>
      </w:pPr>
      <w:rPr>
        <w:rFonts w:ascii="Lucida Sans Unicode" w:eastAsia="Lucida Sans Unicode" w:hAnsi="Lucida Sans Unicode" w:hint="default"/>
        <w:w w:val="59"/>
        <w:sz w:val="21"/>
        <w:szCs w:val="21"/>
      </w:rPr>
    </w:lvl>
    <w:lvl w:ilvl="1" w:tplc="DA12774A">
      <w:start w:val="1"/>
      <w:numFmt w:val="bullet"/>
      <w:lvlText w:val="•"/>
      <w:lvlJc w:val="left"/>
      <w:pPr>
        <w:ind w:left="2267" w:hanging="284"/>
      </w:pPr>
      <w:rPr>
        <w:rFonts w:ascii="Lucida Sans Unicode" w:eastAsia="Lucida Sans Unicode" w:hAnsi="Lucida Sans Unicode" w:hint="default"/>
        <w:w w:val="59"/>
        <w:sz w:val="21"/>
        <w:szCs w:val="21"/>
      </w:rPr>
    </w:lvl>
    <w:lvl w:ilvl="2" w:tplc="C6E244EC">
      <w:start w:val="1"/>
      <w:numFmt w:val="bullet"/>
      <w:lvlText w:val="•"/>
      <w:lvlJc w:val="left"/>
      <w:pPr>
        <w:ind w:left="2689" w:hanging="284"/>
      </w:pPr>
      <w:rPr>
        <w:rFonts w:hint="default"/>
      </w:rPr>
    </w:lvl>
    <w:lvl w:ilvl="3" w:tplc="8ADA74DA">
      <w:start w:val="1"/>
      <w:numFmt w:val="bullet"/>
      <w:lvlText w:val="•"/>
      <w:lvlJc w:val="left"/>
      <w:pPr>
        <w:ind w:left="3111" w:hanging="284"/>
      </w:pPr>
      <w:rPr>
        <w:rFonts w:hint="default"/>
      </w:rPr>
    </w:lvl>
    <w:lvl w:ilvl="4" w:tplc="4FC0E628">
      <w:start w:val="1"/>
      <w:numFmt w:val="bullet"/>
      <w:lvlText w:val="•"/>
      <w:lvlJc w:val="left"/>
      <w:pPr>
        <w:ind w:left="3532" w:hanging="284"/>
      </w:pPr>
      <w:rPr>
        <w:rFonts w:hint="default"/>
      </w:rPr>
    </w:lvl>
    <w:lvl w:ilvl="5" w:tplc="531CD59C">
      <w:start w:val="1"/>
      <w:numFmt w:val="bullet"/>
      <w:lvlText w:val="•"/>
      <w:lvlJc w:val="left"/>
      <w:pPr>
        <w:ind w:left="3954" w:hanging="284"/>
      </w:pPr>
      <w:rPr>
        <w:rFonts w:hint="default"/>
      </w:rPr>
    </w:lvl>
    <w:lvl w:ilvl="6" w:tplc="53CAE810">
      <w:start w:val="1"/>
      <w:numFmt w:val="bullet"/>
      <w:lvlText w:val="•"/>
      <w:lvlJc w:val="left"/>
      <w:pPr>
        <w:ind w:left="4376" w:hanging="284"/>
      </w:pPr>
      <w:rPr>
        <w:rFonts w:hint="default"/>
      </w:rPr>
    </w:lvl>
    <w:lvl w:ilvl="7" w:tplc="4F583E0A">
      <w:start w:val="1"/>
      <w:numFmt w:val="bullet"/>
      <w:lvlText w:val="•"/>
      <w:lvlJc w:val="left"/>
      <w:pPr>
        <w:ind w:left="4798" w:hanging="284"/>
      </w:pPr>
      <w:rPr>
        <w:rFonts w:hint="default"/>
      </w:rPr>
    </w:lvl>
    <w:lvl w:ilvl="8" w:tplc="4E8A9C6C">
      <w:start w:val="1"/>
      <w:numFmt w:val="bullet"/>
      <w:lvlText w:val="•"/>
      <w:lvlJc w:val="left"/>
      <w:pPr>
        <w:ind w:left="5219" w:hanging="284"/>
      </w:pPr>
      <w:rPr>
        <w:rFonts w:hint="default"/>
      </w:rPr>
    </w:lvl>
  </w:abstractNum>
  <w:abstractNum w:abstractNumId="33" w15:restartNumberingAfterBreak="0">
    <w:nsid w:val="7A46122C"/>
    <w:multiLevelType w:val="hybridMultilevel"/>
    <w:tmpl w:val="5888C120"/>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4"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abstractNum w:abstractNumId="35" w15:restartNumberingAfterBreak="0">
    <w:nsid w:val="7C970E9C"/>
    <w:multiLevelType w:val="hybridMultilevel"/>
    <w:tmpl w:val="4384984A"/>
    <w:lvl w:ilvl="0" w:tplc="C93A288C">
      <w:start w:val="1"/>
      <w:numFmt w:val="bullet"/>
      <w:lvlText w:val="•"/>
      <w:lvlJc w:val="left"/>
      <w:pPr>
        <w:ind w:left="246" w:hanging="134"/>
      </w:pPr>
      <w:rPr>
        <w:rFonts w:ascii="Arial Unicode MS" w:eastAsia="Arial Unicode MS" w:hAnsi="Arial Unicode MS" w:hint="default"/>
        <w:w w:val="107"/>
        <w:sz w:val="21"/>
        <w:szCs w:val="21"/>
      </w:rPr>
    </w:lvl>
    <w:lvl w:ilvl="1" w:tplc="DA5E0414">
      <w:start w:val="1"/>
      <w:numFmt w:val="bullet"/>
      <w:lvlText w:val="•"/>
      <w:lvlJc w:val="left"/>
      <w:pPr>
        <w:ind w:left="464" w:hanging="134"/>
      </w:pPr>
      <w:rPr>
        <w:rFonts w:hint="default"/>
      </w:rPr>
    </w:lvl>
    <w:lvl w:ilvl="2" w:tplc="E29E55C8">
      <w:start w:val="1"/>
      <w:numFmt w:val="bullet"/>
      <w:lvlText w:val="•"/>
      <w:lvlJc w:val="left"/>
      <w:pPr>
        <w:ind w:left="682" w:hanging="134"/>
      </w:pPr>
      <w:rPr>
        <w:rFonts w:hint="default"/>
      </w:rPr>
    </w:lvl>
    <w:lvl w:ilvl="3" w:tplc="38AA3A8C">
      <w:start w:val="1"/>
      <w:numFmt w:val="bullet"/>
      <w:lvlText w:val="•"/>
      <w:lvlJc w:val="left"/>
      <w:pPr>
        <w:ind w:left="900" w:hanging="134"/>
      </w:pPr>
      <w:rPr>
        <w:rFonts w:hint="default"/>
      </w:rPr>
    </w:lvl>
    <w:lvl w:ilvl="4" w:tplc="6280268C">
      <w:start w:val="1"/>
      <w:numFmt w:val="bullet"/>
      <w:lvlText w:val="•"/>
      <w:lvlJc w:val="left"/>
      <w:pPr>
        <w:ind w:left="1118" w:hanging="134"/>
      </w:pPr>
      <w:rPr>
        <w:rFonts w:hint="default"/>
      </w:rPr>
    </w:lvl>
    <w:lvl w:ilvl="5" w:tplc="41CA4FC0">
      <w:start w:val="1"/>
      <w:numFmt w:val="bullet"/>
      <w:lvlText w:val="•"/>
      <w:lvlJc w:val="left"/>
      <w:pPr>
        <w:ind w:left="1336" w:hanging="134"/>
      </w:pPr>
      <w:rPr>
        <w:rFonts w:hint="default"/>
      </w:rPr>
    </w:lvl>
    <w:lvl w:ilvl="6" w:tplc="F828CB0C">
      <w:start w:val="1"/>
      <w:numFmt w:val="bullet"/>
      <w:lvlText w:val="•"/>
      <w:lvlJc w:val="left"/>
      <w:pPr>
        <w:ind w:left="1554" w:hanging="134"/>
      </w:pPr>
      <w:rPr>
        <w:rFonts w:hint="default"/>
      </w:rPr>
    </w:lvl>
    <w:lvl w:ilvl="7" w:tplc="21BEBEB6">
      <w:start w:val="1"/>
      <w:numFmt w:val="bullet"/>
      <w:lvlText w:val="•"/>
      <w:lvlJc w:val="left"/>
      <w:pPr>
        <w:ind w:left="1771" w:hanging="134"/>
      </w:pPr>
      <w:rPr>
        <w:rFonts w:hint="default"/>
      </w:rPr>
    </w:lvl>
    <w:lvl w:ilvl="8" w:tplc="D11CBA8E">
      <w:start w:val="1"/>
      <w:numFmt w:val="bullet"/>
      <w:lvlText w:val="•"/>
      <w:lvlJc w:val="left"/>
      <w:pPr>
        <w:ind w:left="1989" w:hanging="134"/>
      </w:pPr>
      <w:rPr>
        <w:rFonts w:hint="default"/>
      </w:rPr>
    </w:lvl>
  </w:abstractNum>
  <w:abstractNum w:abstractNumId="36" w15:restartNumberingAfterBreak="0">
    <w:nsid w:val="7CC72B21"/>
    <w:multiLevelType w:val="multilevel"/>
    <w:tmpl w:val="273EF2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4"/>
  </w:num>
  <w:num w:numId="2">
    <w:abstractNumId w:val="26"/>
  </w:num>
  <w:num w:numId="3">
    <w:abstractNumId w:val="16"/>
  </w:num>
  <w:num w:numId="4">
    <w:abstractNumId w:val="17"/>
  </w:num>
  <w:num w:numId="5">
    <w:abstractNumId w:val="0"/>
  </w:num>
  <w:num w:numId="6">
    <w:abstractNumId w:val="36"/>
  </w:num>
  <w:num w:numId="7">
    <w:abstractNumId w:val="12"/>
  </w:num>
  <w:num w:numId="8">
    <w:abstractNumId w:val="2"/>
  </w:num>
  <w:num w:numId="9">
    <w:abstractNumId w:val="33"/>
  </w:num>
  <w:num w:numId="10">
    <w:abstractNumId w:val="1"/>
  </w:num>
  <w:num w:numId="11">
    <w:abstractNumId w:val="31"/>
  </w:num>
  <w:num w:numId="12">
    <w:abstractNumId w:val="3"/>
  </w:num>
  <w:num w:numId="13">
    <w:abstractNumId w:val="7"/>
  </w:num>
  <w:num w:numId="14">
    <w:abstractNumId w:val="5"/>
  </w:num>
  <w:num w:numId="15">
    <w:abstractNumId w:val="8"/>
  </w:num>
  <w:num w:numId="16">
    <w:abstractNumId w:val="22"/>
  </w:num>
  <w:num w:numId="17">
    <w:abstractNumId w:val="10"/>
  </w:num>
  <w:num w:numId="18">
    <w:abstractNumId w:val="28"/>
  </w:num>
  <w:num w:numId="19">
    <w:abstractNumId w:val="11"/>
  </w:num>
  <w:num w:numId="20">
    <w:abstractNumId w:val="20"/>
  </w:num>
  <w:num w:numId="21">
    <w:abstractNumId w:val="6"/>
  </w:num>
  <w:num w:numId="22">
    <w:abstractNumId w:val="4"/>
  </w:num>
  <w:num w:numId="23">
    <w:abstractNumId w:val="24"/>
  </w:num>
  <w:num w:numId="24">
    <w:abstractNumId w:val="23"/>
  </w:num>
  <w:num w:numId="25">
    <w:abstractNumId w:val="35"/>
  </w:num>
  <w:num w:numId="26">
    <w:abstractNumId w:val="14"/>
  </w:num>
  <w:num w:numId="27">
    <w:abstractNumId w:val="29"/>
  </w:num>
  <w:num w:numId="28">
    <w:abstractNumId w:val="27"/>
  </w:num>
  <w:num w:numId="29">
    <w:abstractNumId w:val="19"/>
  </w:num>
  <w:num w:numId="30">
    <w:abstractNumId w:val="9"/>
  </w:num>
  <w:num w:numId="31">
    <w:abstractNumId w:val="32"/>
  </w:num>
  <w:num w:numId="32">
    <w:abstractNumId w:val="15"/>
  </w:num>
  <w:num w:numId="33">
    <w:abstractNumId w:val="21"/>
  </w:num>
  <w:num w:numId="34">
    <w:abstractNumId w:val="18"/>
  </w:num>
  <w:num w:numId="35">
    <w:abstractNumId w:val="25"/>
  </w:num>
  <w:num w:numId="36">
    <w:abstractNumId w:val="13"/>
  </w:num>
  <w:num w:numId="37">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0619A"/>
    <w:rsid w:val="00025A6F"/>
    <w:rsid w:val="0002618D"/>
    <w:rsid w:val="00030B26"/>
    <w:rsid w:val="00030E84"/>
    <w:rsid w:val="00032C0A"/>
    <w:rsid w:val="00035257"/>
    <w:rsid w:val="00035D68"/>
    <w:rsid w:val="00054B44"/>
    <w:rsid w:val="0006228D"/>
    <w:rsid w:val="0007253E"/>
    <w:rsid w:val="00072BD6"/>
    <w:rsid w:val="00075B78"/>
    <w:rsid w:val="000763E9"/>
    <w:rsid w:val="000802C5"/>
    <w:rsid w:val="00082CD6"/>
    <w:rsid w:val="0008437D"/>
    <w:rsid w:val="00085AFE"/>
    <w:rsid w:val="00090143"/>
    <w:rsid w:val="00094800"/>
    <w:rsid w:val="000A41ED"/>
    <w:rsid w:val="000B0730"/>
    <w:rsid w:val="000C3D9B"/>
    <w:rsid w:val="000D19F4"/>
    <w:rsid w:val="000D58DD"/>
    <w:rsid w:val="000E6CF1"/>
    <w:rsid w:val="000F2AE2"/>
    <w:rsid w:val="000F2BFF"/>
    <w:rsid w:val="00102063"/>
    <w:rsid w:val="0010541C"/>
    <w:rsid w:val="00106F93"/>
    <w:rsid w:val="00111D50"/>
    <w:rsid w:val="00113B8E"/>
    <w:rsid w:val="0012053C"/>
    <w:rsid w:val="00122363"/>
    <w:rsid w:val="001342C7"/>
    <w:rsid w:val="0013585C"/>
    <w:rsid w:val="00142261"/>
    <w:rsid w:val="00142954"/>
    <w:rsid w:val="001460E0"/>
    <w:rsid w:val="001472F0"/>
    <w:rsid w:val="00147F71"/>
    <w:rsid w:val="00150A6E"/>
    <w:rsid w:val="00161918"/>
    <w:rsid w:val="0016304B"/>
    <w:rsid w:val="0016468A"/>
    <w:rsid w:val="0018662D"/>
    <w:rsid w:val="00197427"/>
    <w:rsid w:val="001A21B4"/>
    <w:rsid w:val="001A2A72"/>
    <w:rsid w:val="001A4B83"/>
    <w:rsid w:val="001A5CF5"/>
    <w:rsid w:val="001B39D2"/>
    <w:rsid w:val="001B4BF8"/>
    <w:rsid w:val="001C4326"/>
    <w:rsid w:val="001C665E"/>
    <w:rsid w:val="001D3541"/>
    <w:rsid w:val="001D3E4E"/>
    <w:rsid w:val="001E254A"/>
    <w:rsid w:val="001E7386"/>
    <w:rsid w:val="001E74AE"/>
    <w:rsid w:val="001F45A7"/>
    <w:rsid w:val="001F67DF"/>
    <w:rsid w:val="00201A01"/>
    <w:rsid w:val="0020754B"/>
    <w:rsid w:val="002104D3"/>
    <w:rsid w:val="00213A33"/>
    <w:rsid w:val="0021763B"/>
    <w:rsid w:val="0022591C"/>
    <w:rsid w:val="00246DB1"/>
    <w:rsid w:val="002476B5"/>
    <w:rsid w:val="002520CC"/>
    <w:rsid w:val="00253ECF"/>
    <w:rsid w:val="002546A1"/>
    <w:rsid w:val="002628F4"/>
    <w:rsid w:val="00275D08"/>
    <w:rsid w:val="002858E3"/>
    <w:rsid w:val="00286A2A"/>
    <w:rsid w:val="0029190A"/>
    <w:rsid w:val="00292C5A"/>
    <w:rsid w:val="00295241"/>
    <w:rsid w:val="002A4DFC"/>
    <w:rsid w:val="002B047D"/>
    <w:rsid w:val="002B732B"/>
    <w:rsid w:val="002B76A7"/>
    <w:rsid w:val="002C2219"/>
    <w:rsid w:val="002C2552"/>
    <w:rsid w:val="002C303B"/>
    <w:rsid w:val="002C380A"/>
    <w:rsid w:val="002D0DF2"/>
    <w:rsid w:val="002D23BD"/>
    <w:rsid w:val="002E0B47"/>
    <w:rsid w:val="002F4685"/>
    <w:rsid w:val="002F65E4"/>
    <w:rsid w:val="002F7213"/>
    <w:rsid w:val="0030382F"/>
    <w:rsid w:val="0030408D"/>
    <w:rsid w:val="003060E4"/>
    <w:rsid w:val="003160E7"/>
    <w:rsid w:val="0031739E"/>
    <w:rsid w:val="003309CA"/>
    <w:rsid w:val="003325AB"/>
    <w:rsid w:val="003332D1"/>
    <w:rsid w:val="0033412B"/>
    <w:rsid w:val="00341161"/>
    <w:rsid w:val="00343365"/>
    <w:rsid w:val="003445F4"/>
    <w:rsid w:val="00353501"/>
    <w:rsid w:val="00353734"/>
    <w:rsid w:val="003606F8"/>
    <w:rsid w:val="003648EF"/>
    <w:rsid w:val="003673E6"/>
    <w:rsid w:val="00372AD7"/>
    <w:rsid w:val="003748C8"/>
    <w:rsid w:val="00377264"/>
    <w:rsid w:val="003779D2"/>
    <w:rsid w:val="00385E38"/>
    <w:rsid w:val="003A26A5"/>
    <w:rsid w:val="003A3761"/>
    <w:rsid w:val="003A512D"/>
    <w:rsid w:val="003A5FEA"/>
    <w:rsid w:val="003B1D10"/>
    <w:rsid w:val="003C76D4"/>
    <w:rsid w:val="003D137D"/>
    <w:rsid w:val="003D2CC5"/>
    <w:rsid w:val="003E04C1"/>
    <w:rsid w:val="003E0887"/>
    <w:rsid w:val="003E74C8"/>
    <w:rsid w:val="003E7C46"/>
    <w:rsid w:val="003F2106"/>
    <w:rsid w:val="003F44DB"/>
    <w:rsid w:val="003F52A7"/>
    <w:rsid w:val="003F5D1F"/>
    <w:rsid w:val="003F7013"/>
    <w:rsid w:val="0040240C"/>
    <w:rsid w:val="00413021"/>
    <w:rsid w:val="00424283"/>
    <w:rsid w:val="004274DD"/>
    <w:rsid w:val="004301C6"/>
    <w:rsid w:val="0043478F"/>
    <w:rsid w:val="0043602B"/>
    <w:rsid w:val="00440BE0"/>
    <w:rsid w:val="00442C1C"/>
    <w:rsid w:val="0044584B"/>
    <w:rsid w:val="00447CB7"/>
    <w:rsid w:val="00455CC9"/>
    <w:rsid w:val="00456BE8"/>
    <w:rsid w:val="00460826"/>
    <w:rsid w:val="00460EA7"/>
    <w:rsid w:val="0046195B"/>
    <w:rsid w:val="0046362D"/>
    <w:rsid w:val="0046596D"/>
    <w:rsid w:val="00487C04"/>
    <w:rsid w:val="004907E1"/>
    <w:rsid w:val="004961AE"/>
    <w:rsid w:val="004A035B"/>
    <w:rsid w:val="004A2108"/>
    <w:rsid w:val="004A38D7"/>
    <w:rsid w:val="004A6C30"/>
    <w:rsid w:val="004A778C"/>
    <w:rsid w:val="004B48C7"/>
    <w:rsid w:val="004B53F1"/>
    <w:rsid w:val="004C2E6A"/>
    <w:rsid w:val="004C64B8"/>
    <w:rsid w:val="004D089F"/>
    <w:rsid w:val="004D2A2D"/>
    <w:rsid w:val="004D479F"/>
    <w:rsid w:val="004D6689"/>
    <w:rsid w:val="004E1D1D"/>
    <w:rsid w:val="004E38C6"/>
    <w:rsid w:val="004E7AC8"/>
    <w:rsid w:val="004F0C94"/>
    <w:rsid w:val="005019AE"/>
    <w:rsid w:val="00503749"/>
    <w:rsid w:val="00504CF4"/>
    <w:rsid w:val="0050635B"/>
    <w:rsid w:val="005151C2"/>
    <w:rsid w:val="0053199F"/>
    <w:rsid w:val="00531E12"/>
    <w:rsid w:val="00533B90"/>
    <w:rsid w:val="0053743C"/>
    <w:rsid w:val="005410F8"/>
    <w:rsid w:val="005448EC"/>
    <w:rsid w:val="00545963"/>
    <w:rsid w:val="00550256"/>
    <w:rsid w:val="00553165"/>
    <w:rsid w:val="00553958"/>
    <w:rsid w:val="00556BB7"/>
    <w:rsid w:val="0055763D"/>
    <w:rsid w:val="00561516"/>
    <w:rsid w:val="005621F2"/>
    <w:rsid w:val="005665FD"/>
    <w:rsid w:val="00567B58"/>
    <w:rsid w:val="00571223"/>
    <w:rsid w:val="005763E0"/>
    <w:rsid w:val="00581136"/>
    <w:rsid w:val="00581EB8"/>
    <w:rsid w:val="005A27CA"/>
    <w:rsid w:val="005A43BD"/>
    <w:rsid w:val="005A79E5"/>
    <w:rsid w:val="005D034C"/>
    <w:rsid w:val="005E226E"/>
    <w:rsid w:val="005E2636"/>
    <w:rsid w:val="005E5160"/>
    <w:rsid w:val="005F77FC"/>
    <w:rsid w:val="006015D7"/>
    <w:rsid w:val="00601B21"/>
    <w:rsid w:val="006041F0"/>
    <w:rsid w:val="00605C6D"/>
    <w:rsid w:val="006120CA"/>
    <w:rsid w:val="00624174"/>
    <w:rsid w:val="00626CF8"/>
    <w:rsid w:val="006314AF"/>
    <w:rsid w:val="00634ED8"/>
    <w:rsid w:val="00636D7D"/>
    <w:rsid w:val="00637408"/>
    <w:rsid w:val="00642868"/>
    <w:rsid w:val="00647AFE"/>
    <w:rsid w:val="006512BC"/>
    <w:rsid w:val="00651CC6"/>
    <w:rsid w:val="00653A5A"/>
    <w:rsid w:val="006554AC"/>
    <w:rsid w:val="006575F4"/>
    <w:rsid w:val="006579E6"/>
    <w:rsid w:val="00660682"/>
    <w:rsid w:val="00660F74"/>
    <w:rsid w:val="00663EDC"/>
    <w:rsid w:val="00667E20"/>
    <w:rsid w:val="00671078"/>
    <w:rsid w:val="006758CA"/>
    <w:rsid w:val="0067720E"/>
    <w:rsid w:val="00680A04"/>
    <w:rsid w:val="00686D80"/>
    <w:rsid w:val="00694895"/>
    <w:rsid w:val="00697165"/>
    <w:rsid w:val="00697E2E"/>
    <w:rsid w:val="006A25A2"/>
    <w:rsid w:val="006A3B87"/>
    <w:rsid w:val="006B0E73"/>
    <w:rsid w:val="006B1E3D"/>
    <w:rsid w:val="006B4A4D"/>
    <w:rsid w:val="006B5695"/>
    <w:rsid w:val="006B7B2E"/>
    <w:rsid w:val="006C1F38"/>
    <w:rsid w:val="006C78EB"/>
    <w:rsid w:val="006D1660"/>
    <w:rsid w:val="006D63E5"/>
    <w:rsid w:val="006E1753"/>
    <w:rsid w:val="006E3911"/>
    <w:rsid w:val="006F1B67"/>
    <w:rsid w:val="006F4D9C"/>
    <w:rsid w:val="0070091D"/>
    <w:rsid w:val="00702854"/>
    <w:rsid w:val="007165EC"/>
    <w:rsid w:val="0071741C"/>
    <w:rsid w:val="00742B90"/>
    <w:rsid w:val="0074434D"/>
    <w:rsid w:val="007570C4"/>
    <w:rsid w:val="007605B8"/>
    <w:rsid w:val="00771B1E"/>
    <w:rsid w:val="00773C95"/>
    <w:rsid w:val="0078171E"/>
    <w:rsid w:val="00785031"/>
    <w:rsid w:val="0078658E"/>
    <w:rsid w:val="007920E2"/>
    <w:rsid w:val="0079566E"/>
    <w:rsid w:val="00795B34"/>
    <w:rsid w:val="0079783D"/>
    <w:rsid w:val="007A067F"/>
    <w:rsid w:val="007A41AD"/>
    <w:rsid w:val="007B1770"/>
    <w:rsid w:val="007B4D3E"/>
    <w:rsid w:val="007B7C70"/>
    <w:rsid w:val="007B7DEB"/>
    <w:rsid w:val="007C0449"/>
    <w:rsid w:val="007D2151"/>
    <w:rsid w:val="007D3B90"/>
    <w:rsid w:val="007D42CC"/>
    <w:rsid w:val="007D5DE4"/>
    <w:rsid w:val="007D7C3A"/>
    <w:rsid w:val="007E0777"/>
    <w:rsid w:val="007E1341"/>
    <w:rsid w:val="007E1B41"/>
    <w:rsid w:val="007E1EC4"/>
    <w:rsid w:val="007E30B9"/>
    <w:rsid w:val="007E74F1"/>
    <w:rsid w:val="007F0F0C"/>
    <w:rsid w:val="007F1288"/>
    <w:rsid w:val="00800A8A"/>
    <w:rsid w:val="0080155C"/>
    <w:rsid w:val="008052E1"/>
    <w:rsid w:val="00817115"/>
    <w:rsid w:val="00822F2C"/>
    <w:rsid w:val="00823DEE"/>
    <w:rsid w:val="008305E8"/>
    <w:rsid w:val="00836165"/>
    <w:rsid w:val="00837D7B"/>
    <w:rsid w:val="0084640C"/>
    <w:rsid w:val="0084738D"/>
    <w:rsid w:val="00856088"/>
    <w:rsid w:val="00860826"/>
    <w:rsid w:val="00860E21"/>
    <w:rsid w:val="00863117"/>
    <w:rsid w:val="0086388B"/>
    <w:rsid w:val="008642E5"/>
    <w:rsid w:val="00864488"/>
    <w:rsid w:val="00870A36"/>
    <w:rsid w:val="00872D93"/>
    <w:rsid w:val="00880470"/>
    <w:rsid w:val="00880D94"/>
    <w:rsid w:val="00886F64"/>
    <w:rsid w:val="008924DE"/>
    <w:rsid w:val="008A3755"/>
    <w:rsid w:val="008A3CD6"/>
    <w:rsid w:val="008B19DC"/>
    <w:rsid w:val="008B264F"/>
    <w:rsid w:val="008B6F83"/>
    <w:rsid w:val="008B7FD8"/>
    <w:rsid w:val="008C1108"/>
    <w:rsid w:val="008C2973"/>
    <w:rsid w:val="008C6324"/>
    <w:rsid w:val="008C64C4"/>
    <w:rsid w:val="008C769F"/>
    <w:rsid w:val="008D2CDD"/>
    <w:rsid w:val="008D74D5"/>
    <w:rsid w:val="008E0ED1"/>
    <w:rsid w:val="008E3A07"/>
    <w:rsid w:val="008E537B"/>
    <w:rsid w:val="008F29BE"/>
    <w:rsid w:val="008F2B72"/>
    <w:rsid w:val="008F4AE5"/>
    <w:rsid w:val="008F51EB"/>
    <w:rsid w:val="00900197"/>
    <w:rsid w:val="00902F55"/>
    <w:rsid w:val="0090582B"/>
    <w:rsid w:val="009060C0"/>
    <w:rsid w:val="009114A2"/>
    <w:rsid w:val="009133F5"/>
    <w:rsid w:val="00915855"/>
    <w:rsid w:val="0091756F"/>
    <w:rsid w:val="00920A27"/>
    <w:rsid w:val="00921216"/>
    <w:rsid w:val="009216CC"/>
    <w:rsid w:val="00926083"/>
    <w:rsid w:val="00930D08"/>
    <w:rsid w:val="00931466"/>
    <w:rsid w:val="00932D69"/>
    <w:rsid w:val="00935589"/>
    <w:rsid w:val="00940E43"/>
    <w:rsid w:val="00944647"/>
    <w:rsid w:val="009450D7"/>
    <w:rsid w:val="0095565C"/>
    <w:rsid w:val="00964AB6"/>
    <w:rsid w:val="00966F9A"/>
    <w:rsid w:val="00977B8A"/>
    <w:rsid w:val="00982971"/>
    <w:rsid w:val="009845AD"/>
    <w:rsid w:val="00984835"/>
    <w:rsid w:val="0098639B"/>
    <w:rsid w:val="009933EF"/>
    <w:rsid w:val="00995BA0"/>
    <w:rsid w:val="009A418B"/>
    <w:rsid w:val="009A426F"/>
    <w:rsid w:val="009A42D5"/>
    <w:rsid w:val="009A4473"/>
    <w:rsid w:val="009B05C9"/>
    <w:rsid w:val="009B286C"/>
    <w:rsid w:val="009C151C"/>
    <w:rsid w:val="009C37B2"/>
    <w:rsid w:val="009C440A"/>
    <w:rsid w:val="009C5FD7"/>
    <w:rsid w:val="009D5125"/>
    <w:rsid w:val="009D60B8"/>
    <w:rsid w:val="009D7D4B"/>
    <w:rsid w:val="009E36ED"/>
    <w:rsid w:val="009E3C8C"/>
    <w:rsid w:val="009E489C"/>
    <w:rsid w:val="009E6B77"/>
    <w:rsid w:val="009F460A"/>
    <w:rsid w:val="00A043FB"/>
    <w:rsid w:val="00A06BE4"/>
    <w:rsid w:val="00A0729C"/>
    <w:rsid w:val="00A07779"/>
    <w:rsid w:val="00A1166A"/>
    <w:rsid w:val="00A20062"/>
    <w:rsid w:val="00A2057C"/>
    <w:rsid w:val="00A20B2E"/>
    <w:rsid w:val="00A23971"/>
    <w:rsid w:val="00A24F33"/>
    <w:rsid w:val="00A25069"/>
    <w:rsid w:val="00A26E6B"/>
    <w:rsid w:val="00A3068F"/>
    <w:rsid w:val="00A3145B"/>
    <w:rsid w:val="00A339D0"/>
    <w:rsid w:val="00A345F8"/>
    <w:rsid w:val="00A35830"/>
    <w:rsid w:val="00A41002"/>
    <w:rsid w:val="00A4201A"/>
    <w:rsid w:val="00A5465D"/>
    <w:rsid w:val="00A553CE"/>
    <w:rsid w:val="00A5677A"/>
    <w:rsid w:val="00A56DCC"/>
    <w:rsid w:val="00A625E8"/>
    <w:rsid w:val="00A63DFF"/>
    <w:rsid w:val="00A6490D"/>
    <w:rsid w:val="00A7415D"/>
    <w:rsid w:val="00A80363"/>
    <w:rsid w:val="00A80939"/>
    <w:rsid w:val="00A83E9D"/>
    <w:rsid w:val="00A87C05"/>
    <w:rsid w:val="00A9169D"/>
    <w:rsid w:val="00AA240C"/>
    <w:rsid w:val="00AA2D21"/>
    <w:rsid w:val="00AC101C"/>
    <w:rsid w:val="00AC16D6"/>
    <w:rsid w:val="00AD4CF1"/>
    <w:rsid w:val="00AD5988"/>
    <w:rsid w:val="00AD6293"/>
    <w:rsid w:val="00AF1BA8"/>
    <w:rsid w:val="00AF7800"/>
    <w:rsid w:val="00B00CF5"/>
    <w:rsid w:val="00B072E0"/>
    <w:rsid w:val="00B1007E"/>
    <w:rsid w:val="00B253F6"/>
    <w:rsid w:val="00B26675"/>
    <w:rsid w:val="00B26F0F"/>
    <w:rsid w:val="00B305DB"/>
    <w:rsid w:val="00B332F8"/>
    <w:rsid w:val="00B3492B"/>
    <w:rsid w:val="00B443E4"/>
    <w:rsid w:val="00B4646F"/>
    <w:rsid w:val="00B55C7D"/>
    <w:rsid w:val="00B5766E"/>
    <w:rsid w:val="00B63038"/>
    <w:rsid w:val="00B64BD8"/>
    <w:rsid w:val="00B701D1"/>
    <w:rsid w:val="00B71442"/>
    <w:rsid w:val="00B71546"/>
    <w:rsid w:val="00B73AF2"/>
    <w:rsid w:val="00B7551A"/>
    <w:rsid w:val="00B773F1"/>
    <w:rsid w:val="00B86AB1"/>
    <w:rsid w:val="00B97F07"/>
    <w:rsid w:val="00BA5F65"/>
    <w:rsid w:val="00BA7BB9"/>
    <w:rsid w:val="00BA7EBA"/>
    <w:rsid w:val="00BB2A06"/>
    <w:rsid w:val="00BB2CBB"/>
    <w:rsid w:val="00BB4198"/>
    <w:rsid w:val="00BC03EE"/>
    <w:rsid w:val="00BC574F"/>
    <w:rsid w:val="00BC59F1"/>
    <w:rsid w:val="00BE77CD"/>
    <w:rsid w:val="00BF3DE1"/>
    <w:rsid w:val="00BF3FA6"/>
    <w:rsid w:val="00BF4843"/>
    <w:rsid w:val="00BF5205"/>
    <w:rsid w:val="00C05132"/>
    <w:rsid w:val="00C12508"/>
    <w:rsid w:val="00C23728"/>
    <w:rsid w:val="00C3026C"/>
    <w:rsid w:val="00C30A88"/>
    <w:rsid w:val="00C313A9"/>
    <w:rsid w:val="00C441CF"/>
    <w:rsid w:val="00C45AA2"/>
    <w:rsid w:val="00C4792C"/>
    <w:rsid w:val="00C55BEF"/>
    <w:rsid w:val="00C601AF"/>
    <w:rsid w:val="00C61A63"/>
    <w:rsid w:val="00C66296"/>
    <w:rsid w:val="00C7394D"/>
    <w:rsid w:val="00C77282"/>
    <w:rsid w:val="00C84DE5"/>
    <w:rsid w:val="00C86248"/>
    <w:rsid w:val="00C90B31"/>
    <w:rsid w:val="00CA0D6F"/>
    <w:rsid w:val="00CA4C33"/>
    <w:rsid w:val="00CA6F4A"/>
    <w:rsid w:val="00CB6427"/>
    <w:rsid w:val="00CC0FBE"/>
    <w:rsid w:val="00CD2119"/>
    <w:rsid w:val="00CD237A"/>
    <w:rsid w:val="00CD36AC"/>
    <w:rsid w:val="00CE13A3"/>
    <w:rsid w:val="00CE36BC"/>
    <w:rsid w:val="00CF1747"/>
    <w:rsid w:val="00CF60ED"/>
    <w:rsid w:val="00D05D74"/>
    <w:rsid w:val="00D20C59"/>
    <w:rsid w:val="00D23323"/>
    <w:rsid w:val="00D2392A"/>
    <w:rsid w:val="00D25FFE"/>
    <w:rsid w:val="00D30BBE"/>
    <w:rsid w:val="00D335B2"/>
    <w:rsid w:val="00D37D80"/>
    <w:rsid w:val="00D4476F"/>
    <w:rsid w:val="00D50573"/>
    <w:rsid w:val="00D53818"/>
    <w:rsid w:val="00D54D50"/>
    <w:rsid w:val="00D553DC"/>
    <w:rsid w:val="00D560B4"/>
    <w:rsid w:val="00D662F8"/>
    <w:rsid w:val="00D66797"/>
    <w:rsid w:val="00D7074B"/>
    <w:rsid w:val="00D7087C"/>
    <w:rsid w:val="00D70C3C"/>
    <w:rsid w:val="00D712F6"/>
    <w:rsid w:val="00D71DF7"/>
    <w:rsid w:val="00D72BE5"/>
    <w:rsid w:val="00D81462"/>
    <w:rsid w:val="00D82F26"/>
    <w:rsid w:val="00D863D0"/>
    <w:rsid w:val="00D86B00"/>
    <w:rsid w:val="00D86FB9"/>
    <w:rsid w:val="00D87C87"/>
    <w:rsid w:val="00D90BB4"/>
    <w:rsid w:val="00D90E07"/>
    <w:rsid w:val="00D932C2"/>
    <w:rsid w:val="00D953A0"/>
    <w:rsid w:val="00DB39CF"/>
    <w:rsid w:val="00DB7256"/>
    <w:rsid w:val="00DC0401"/>
    <w:rsid w:val="00DC20BD"/>
    <w:rsid w:val="00DD0BCD"/>
    <w:rsid w:val="00DD447A"/>
    <w:rsid w:val="00DE3B20"/>
    <w:rsid w:val="00DE6C94"/>
    <w:rsid w:val="00DE6FD7"/>
    <w:rsid w:val="00E06C69"/>
    <w:rsid w:val="00E23271"/>
    <w:rsid w:val="00E24F80"/>
    <w:rsid w:val="00E259F3"/>
    <w:rsid w:val="00E30985"/>
    <w:rsid w:val="00E33238"/>
    <w:rsid w:val="00E376B7"/>
    <w:rsid w:val="00E42F5D"/>
    <w:rsid w:val="00E4486C"/>
    <w:rsid w:val="00E460B6"/>
    <w:rsid w:val="00E511D5"/>
    <w:rsid w:val="00E522AB"/>
    <w:rsid w:val="00E53A9F"/>
    <w:rsid w:val="00E60249"/>
    <w:rsid w:val="00E65269"/>
    <w:rsid w:val="00E76D66"/>
    <w:rsid w:val="00EA796A"/>
    <w:rsid w:val="00EB1856"/>
    <w:rsid w:val="00EC50CE"/>
    <w:rsid w:val="00EC5B34"/>
    <w:rsid w:val="00ED021E"/>
    <w:rsid w:val="00ED323C"/>
    <w:rsid w:val="00EE2D5C"/>
    <w:rsid w:val="00EE4ADE"/>
    <w:rsid w:val="00EE4DE8"/>
    <w:rsid w:val="00EE5CB7"/>
    <w:rsid w:val="00F024FE"/>
    <w:rsid w:val="00F05AD4"/>
    <w:rsid w:val="00F10EB6"/>
    <w:rsid w:val="00F13F07"/>
    <w:rsid w:val="00F140B2"/>
    <w:rsid w:val="00F25970"/>
    <w:rsid w:val="00F311A9"/>
    <w:rsid w:val="00F5180D"/>
    <w:rsid w:val="00F541FB"/>
    <w:rsid w:val="00F63781"/>
    <w:rsid w:val="00F67496"/>
    <w:rsid w:val="00F801BA"/>
    <w:rsid w:val="00F9366A"/>
    <w:rsid w:val="00F946C9"/>
    <w:rsid w:val="00FA0EA5"/>
    <w:rsid w:val="00FA74EE"/>
    <w:rsid w:val="00FC3711"/>
    <w:rsid w:val="00FC46E7"/>
    <w:rsid w:val="00FC5D25"/>
    <w:rsid w:val="00FD0D7E"/>
    <w:rsid w:val="00FD4FFB"/>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EEEB9C"/>
  <w15:docId w15:val="{76CBE254-8ACF-4B34-B292-E8559124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1"/>
    <w:qFormat/>
    <w:rsid w:val="009E489C"/>
    <w:pPr>
      <w:keepNext/>
      <w:spacing w:before="600" w:after="360"/>
      <w:outlineLvl w:val="0"/>
    </w:pPr>
    <w:rPr>
      <w:rFonts w:cs="Segoe UI"/>
      <w:b/>
      <w:color w:val="23305D"/>
      <w:spacing w:val="-10"/>
      <w:sz w:val="68"/>
      <w:szCs w:val="68"/>
    </w:rPr>
  </w:style>
  <w:style w:type="paragraph" w:styleId="Heading2">
    <w:name w:val="heading 2"/>
    <w:basedOn w:val="Normal"/>
    <w:next w:val="Normal"/>
    <w:link w:val="Heading2Char"/>
    <w:uiPriority w:val="1"/>
    <w:qFormat/>
    <w:rsid w:val="009E489C"/>
    <w:pPr>
      <w:keepNext/>
      <w:spacing w:before="480" w:after="180"/>
      <w:outlineLvl w:val="1"/>
    </w:pPr>
    <w:rPr>
      <w:b/>
      <w:color w:val="0A6AB4"/>
      <w:spacing w:val="-5"/>
      <w:sz w:val="44"/>
    </w:rPr>
  </w:style>
  <w:style w:type="paragraph" w:styleId="Heading3">
    <w:name w:val="heading 3"/>
    <w:basedOn w:val="Normal"/>
    <w:next w:val="Normal"/>
    <w:link w:val="Heading3Char"/>
    <w:uiPriority w:val="1"/>
    <w:qFormat/>
    <w:rsid w:val="00030E84"/>
    <w:pPr>
      <w:keepNext/>
      <w:spacing w:before="360" w:after="180"/>
      <w:outlineLvl w:val="2"/>
    </w:pPr>
    <w:rPr>
      <w:color w:val="0A6AB4"/>
      <w:spacing w:val="-5"/>
      <w:sz w:val="36"/>
    </w:rPr>
  </w:style>
  <w:style w:type="paragraph" w:styleId="Heading4">
    <w:name w:val="heading 4"/>
    <w:basedOn w:val="Normal"/>
    <w:next w:val="Normal"/>
    <w:link w:val="Heading4Char"/>
    <w:uiPriority w:val="1"/>
    <w:qFormat/>
    <w:rsid w:val="00030E84"/>
    <w:pPr>
      <w:keepNext/>
      <w:spacing w:before="240" w:after="120"/>
      <w:outlineLvl w:val="3"/>
    </w:pPr>
    <w:rPr>
      <w:color w:val="0A6AB4"/>
      <w:sz w:val="28"/>
    </w:rPr>
  </w:style>
  <w:style w:type="paragraph" w:styleId="Heading5">
    <w:name w:val="heading 5"/>
    <w:basedOn w:val="Normal"/>
    <w:next w:val="Normal"/>
    <w:link w:val="Heading5Char"/>
    <w:uiPriority w:val="1"/>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1D3E4E"/>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2B76A7"/>
    <w:pPr>
      <w:tabs>
        <w:tab w:val="right" w:pos="8080"/>
      </w:tabs>
      <w:spacing w:before="60"/>
      <w:ind w:left="284" w:right="567"/>
    </w:pPr>
    <w:rPr>
      <w:sz w:val="22"/>
    </w:rPr>
  </w:style>
  <w:style w:type="paragraph" w:styleId="TOC3">
    <w:name w:val="toc 3"/>
    <w:basedOn w:val="Normal"/>
    <w:next w:val="Normal"/>
    <w:uiPriority w:val="39"/>
    <w:rsid w:val="002B76A7"/>
    <w:pPr>
      <w:tabs>
        <w:tab w:val="right" w:pos="8080"/>
      </w:tabs>
      <w:spacing w:before="120"/>
      <w:ind w:left="1276" w:right="567" w:hanging="1276"/>
    </w:pPr>
  </w:style>
  <w:style w:type="paragraph" w:customStyle="1" w:styleId="Bullet">
    <w:name w:val="Bullet"/>
    <w:basedOn w:val="Normal"/>
    <w:link w:val="BulletChar"/>
    <w:qFormat/>
    <w:rsid w:val="00FA0EA5"/>
    <w:pPr>
      <w:numPr>
        <w:numId w:val="1"/>
      </w:numPr>
      <w:tabs>
        <w:tab w:val="clear" w:pos="284"/>
      </w:tabs>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rsid w:val="00A7415D"/>
    <w:pPr>
      <w:spacing w:before="60" w:line="228" w:lineRule="auto"/>
      <w:ind w:left="284" w:hanging="284"/>
    </w:pPr>
    <w:rPr>
      <w:sz w:val="17"/>
    </w:rPr>
  </w:style>
  <w:style w:type="paragraph" w:styleId="Header">
    <w:name w:val="header"/>
    <w:basedOn w:val="Normal"/>
    <w:link w:val="HeaderChar"/>
    <w:qFormat/>
    <w:rsid w:val="00D25FFE"/>
  </w:style>
  <w:style w:type="paragraph" w:styleId="Title">
    <w:name w:val="Title"/>
    <w:basedOn w:val="Normal"/>
    <w:next w:val="Normal"/>
    <w:link w:val="TitleChar"/>
    <w:uiPriority w:val="99"/>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9C440A"/>
    <w:pPr>
      <w:spacing w:before="60" w:after="60"/>
    </w:pPr>
    <w:rPr>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spacing w:before="0"/>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rsid w:val="00A7415D"/>
    <w:rPr>
      <w:rFonts w:ascii="Segoe UI" w:hAnsi="Segoe UI"/>
      <w:sz w:val="17"/>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rsid w:val="007A067F"/>
    <w:rPr>
      <w:rFonts w:ascii="Segoe UI" w:hAnsi="Segoe UI"/>
      <w:sz w:val="21"/>
      <w:lang w:eastAsia="en-GB"/>
    </w:rPr>
  </w:style>
  <w:style w:type="character" w:customStyle="1" w:styleId="Heading1Char">
    <w:name w:val="Heading 1 Char"/>
    <w:link w:val="Heading1"/>
    <w:uiPriority w:val="1"/>
    <w:rsid w:val="009E489C"/>
    <w:rPr>
      <w:rFonts w:ascii="Segoe UI" w:hAnsi="Segoe UI" w:cs="Segoe UI"/>
      <w:b/>
      <w:color w:val="23305D"/>
      <w:spacing w:val="-10"/>
      <w:sz w:val="68"/>
      <w:szCs w:val="68"/>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1"/>
    <w:rsid w:val="009E489C"/>
    <w:rPr>
      <w:rFonts w:ascii="Segoe UI" w:hAnsi="Segoe UI"/>
      <w:b/>
      <w:color w:val="0A6AB4"/>
      <w:spacing w:val="-5"/>
      <w:sz w:val="44"/>
      <w:lang w:eastAsia="en-GB"/>
    </w:rPr>
  </w:style>
  <w:style w:type="character" w:customStyle="1" w:styleId="Heading3Char">
    <w:name w:val="Heading 3 Char"/>
    <w:link w:val="Heading3"/>
    <w:uiPriority w:val="1"/>
    <w:rsid w:val="00030E84"/>
    <w:rPr>
      <w:rFonts w:ascii="Segoe UI" w:hAnsi="Segoe UI"/>
      <w:color w:val="0A6AB4"/>
      <w:spacing w:val="-5"/>
      <w:sz w:val="36"/>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Number">
    <w:name w:val="Number"/>
    <w:basedOn w:val="Normal"/>
    <w:rsid w:val="00F140B2"/>
    <w:pPr>
      <w:numPr>
        <w:numId w:val="17"/>
      </w:numPr>
      <w:spacing w:before="180"/>
    </w:pPr>
    <w:rPr>
      <w:szCs w:val="24"/>
    </w:rPr>
  </w:style>
  <w:style w:type="paragraph" w:customStyle="1" w:styleId="Letter">
    <w:name w:val="Letter"/>
    <w:basedOn w:val="Normal"/>
    <w:qFormat/>
    <w:rsid w:val="00F140B2"/>
    <w:pPr>
      <w:numPr>
        <w:ilvl w:val="1"/>
        <w:numId w:val="17"/>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2"/>
        <w:numId w:val="17"/>
      </w:numPr>
      <w:spacing w:before="90"/>
    </w:pPr>
    <w:rPr>
      <w:rFonts w:eastAsia="Arial Unicode MS"/>
    </w:rPr>
  </w:style>
  <w:style w:type="character" w:customStyle="1" w:styleId="BulletChar">
    <w:name w:val="Bullet Char"/>
    <w:link w:val="Bullet"/>
    <w:locked/>
    <w:rsid w:val="009E489C"/>
    <w:rPr>
      <w:rFonts w:ascii="Segoe UI" w:hAnsi="Segoe UI"/>
      <w:sz w:val="21"/>
      <w:lang w:eastAsia="en-GB"/>
    </w:rPr>
  </w:style>
  <w:style w:type="paragraph" w:styleId="ListParagraph">
    <w:name w:val="List Paragraph"/>
    <w:aliases w:val="SJ No.Paras,Bullet Normal,List Paragraph1,Recommendation,standard lewis,Level 3,Bullet Heading,Colorful List - Accent 11,AP Bullet Normal,List Paragraph numbered,List Bullet indent,List 1,Other List,Unordered List Paragraph,Rec para,L,lp1"/>
    <w:basedOn w:val="Normal"/>
    <w:link w:val="ListParagraphChar"/>
    <w:uiPriority w:val="34"/>
    <w:qFormat/>
    <w:rsid w:val="009E489C"/>
    <w:pPr>
      <w:ind w:left="720"/>
      <w:contextualSpacing/>
    </w:pPr>
    <w:rPr>
      <w:sz w:val="22"/>
    </w:rPr>
  </w:style>
  <w:style w:type="character" w:customStyle="1" w:styleId="ListParagraphChar">
    <w:name w:val="List Paragraph Char"/>
    <w:aliases w:val="SJ No.Paras Char,Bullet Normal Char,List Paragraph1 Char,Recommendation Char,standard lewis Char,Level 3 Char,Bullet Heading Char,Colorful List - Accent 11 Char,AP Bullet Normal Char,List Paragraph numbered Char,List 1 Char,L Char"/>
    <w:link w:val="ListParagraph"/>
    <w:uiPriority w:val="34"/>
    <w:qFormat/>
    <w:rsid w:val="009E489C"/>
    <w:rPr>
      <w:rFonts w:ascii="Segoe UI" w:hAnsi="Segoe UI"/>
      <w:sz w:val="22"/>
      <w:lang w:eastAsia="en-GB"/>
    </w:rPr>
  </w:style>
  <w:style w:type="character" w:customStyle="1" w:styleId="FigureChar">
    <w:name w:val="Figure Char"/>
    <w:link w:val="Figure"/>
    <w:locked/>
    <w:rsid w:val="00BF3FA6"/>
    <w:rPr>
      <w:rFonts w:ascii="Segoe UI" w:hAnsi="Segoe UI"/>
      <w:b/>
      <w:lang w:eastAsia="en-GB"/>
    </w:rPr>
  </w:style>
  <w:style w:type="paragraph" w:styleId="Caption">
    <w:name w:val="caption"/>
    <w:basedOn w:val="Normal"/>
    <w:next w:val="Normal"/>
    <w:unhideWhenUsed/>
    <w:qFormat/>
    <w:rsid w:val="00BF3FA6"/>
    <w:pPr>
      <w:spacing w:after="200"/>
    </w:pPr>
    <w:rPr>
      <w:i/>
      <w:iCs/>
      <w:color w:val="1F497D" w:themeColor="text2"/>
      <w:sz w:val="18"/>
      <w:szCs w:val="18"/>
    </w:rPr>
  </w:style>
  <w:style w:type="character" w:customStyle="1" w:styleId="TableChar">
    <w:name w:val="Table Char"/>
    <w:link w:val="Table"/>
    <w:locked/>
    <w:rsid w:val="00AA2D21"/>
    <w:rPr>
      <w:rFonts w:ascii="Segoe UI" w:hAnsi="Segoe UI"/>
      <w:b/>
      <w:lang w:eastAsia="en-GB"/>
    </w:rPr>
  </w:style>
  <w:style w:type="table" w:customStyle="1" w:styleId="TableGrid1">
    <w:name w:val="Table Grid1"/>
    <w:basedOn w:val="TableNormal"/>
    <w:next w:val="TableGrid"/>
    <w:uiPriority w:val="39"/>
    <w:rsid w:val="008A3CD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74AE"/>
    <w:rPr>
      <w:sz w:val="16"/>
      <w:szCs w:val="16"/>
    </w:rPr>
  </w:style>
  <w:style w:type="paragraph" w:styleId="CommentText">
    <w:name w:val="annotation text"/>
    <w:basedOn w:val="Normal"/>
    <w:link w:val="CommentTextChar"/>
    <w:uiPriority w:val="99"/>
    <w:semiHidden/>
    <w:unhideWhenUsed/>
    <w:rsid w:val="001E74AE"/>
    <w:rPr>
      <w:sz w:val="20"/>
    </w:rPr>
  </w:style>
  <w:style w:type="character" w:customStyle="1" w:styleId="CommentTextChar">
    <w:name w:val="Comment Text Char"/>
    <w:basedOn w:val="DefaultParagraphFont"/>
    <w:link w:val="CommentText"/>
    <w:uiPriority w:val="99"/>
    <w:semiHidden/>
    <w:rsid w:val="001E74AE"/>
    <w:rPr>
      <w:rFonts w:ascii="Segoe UI" w:hAnsi="Segoe UI"/>
      <w:lang w:eastAsia="en-GB"/>
    </w:rPr>
  </w:style>
  <w:style w:type="paragraph" w:styleId="CommentSubject">
    <w:name w:val="annotation subject"/>
    <w:basedOn w:val="CommentText"/>
    <w:next w:val="CommentText"/>
    <w:link w:val="CommentSubjectChar"/>
    <w:uiPriority w:val="99"/>
    <w:semiHidden/>
    <w:unhideWhenUsed/>
    <w:rsid w:val="001E74AE"/>
    <w:rPr>
      <w:b/>
      <w:bCs/>
    </w:rPr>
  </w:style>
  <w:style w:type="character" w:customStyle="1" w:styleId="CommentSubjectChar">
    <w:name w:val="Comment Subject Char"/>
    <w:basedOn w:val="CommentTextChar"/>
    <w:link w:val="CommentSubject"/>
    <w:uiPriority w:val="99"/>
    <w:semiHidden/>
    <w:rsid w:val="001E74AE"/>
    <w:rPr>
      <w:rFonts w:ascii="Segoe UI" w:hAnsi="Segoe UI"/>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5.xml"/><Relationship Id="rId39" Type="http://schemas.openxmlformats.org/officeDocument/2006/relationships/hyperlink" Target="https://www.health.govt.nz/our-work/regulation-health-and-disability-system/certification-health-care-services/services-standard/resources-nga-paerewa-health-and-disability-services-standard/te-aparangi-maori-partnership-alliance" TargetMode="External"/><Relationship Id="rId21" Type="http://schemas.openxmlformats.org/officeDocument/2006/relationships/footer" Target="footer3.xml"/><Relationship Id="rId34" Type="http://schemas.openxmlformats.org/officeDocument/2006/relationships/hyperlink" Target="https://www.legislation.govt.nz/act/public/2019/0067/latest/DLM7285905.html" TargetMode="External"/><Relationship Id="rId42" Type="http://schemas.openxmlformats.org/officeDocument/2006/relationships/header" Target="header13.xml"/><Relationship Id="rId47" Type="http://schemas.openxmlformats.org/officeDocument/2006/relationships/hyperlink" Target="https://www.health.govt.nz/our-work/life-stages/assisted-dying-service/assisted-dying-service-data-and-reporting/assisted-dying-service-yearly-report-2021-2022" TargetMode="External"/><Relationship Id="rId50" Type="http://schemas.openxmlformats.org/officeDocument/2006/relationships/hyperlink" Target="https://www.health.govt.nz/our-work/life-stages/assisted-dying-service/assisted-dying-information-public/assisted-dying-eligibility-and-access" TargetMode="External"/><Relationship Id="rId55" Type="http://schemas.openxmlformats.org/officeDocument/2006/relationships/hyperlink" Target="https://www.health.govt.nz/our-work/life-stages/assisted-dying-service/assisted-dying-service-complaints-process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footer" Target="footer4.xml"/><Relationship Id="rId33" Type="http://schemas.openxmlformats.org/officeDocument/2006/relationships/hyperlink" Target="https://www.health.govt.nz/publication/registrar-assisted-dying-annual-report" TargetMode="External"/><Relationship Id="rId38" Type="http://schemas.openxmlformats.org/officeDocument/2006/relationships/hyperlink" Target="https://www.health.govt.nz/our-work/life-stages/assisted-dying-service/end-life-review-committee" TargetMode="External"/><Relationship Id="rId46" Type="http://schemas.openxmlformats.org/officeDocument/2006/relationships/header" Target="header15.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oter" Target="footer2.xml"/><Relationship Id="rId29" Type="http://schemas.openxmlformats.org/officeDocument/2006/relationships/header" Target="header11.xml"/><Relationship Id="rId41" Type="http://schemas.openxmlformats.org/officeDocument/2006/relationships/hyperlink" Target="https://www.health.govt.nz/publication/registrar-assisted-dying-annual-report" TargetMode="External"/><Relationship Id="rId54" Type="http://schemas.openxmlformats.org/officeDocument/2006/relationships/hyperlink" Target="https://www.health.govt.nz/our-work/life-stages/assisted-dying-service/assisted-dying-service-feedback-proces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hyperlink" Target="https://www.health.govt.nz/our-work/life-stages/assisted-dying-service/support-and-consultation-end-life-new-zealand-scenz-group" TargetMode="External"/><Relationship Id="rId40" Type="http://schemas.openxmlformats.org/officeDocument/2006/relationships/hyperlink" Target="https://www.health.govt.nz/publication/whakamaua-maori-health-action-plan-2020-2025" TargetMode="External"/><Relationship Id="rId45" Type="http://schemas.openxmlformats.org/officeDocument/2006/relationships/footer" Target="footer9.xml"/><Relationship Id="rId53" Type="http://schemas.openxmlformats.org/officeDocument/2006/relationships/hyperlink" Target="mailto:AssistedDying@health.govt.nz"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hyperlink" Target="https://www.health.govt.nz/our-work/regulation-health-and-disability-system/certification-health-care-services/services-standard/resources-nga-paerewa-health-and-disability-services-standard/te-aparangi-maori-partnership-alliance" TargetMode="External"/><Relationship Id="rId49" Type="http://schemas.openxmlformats.org/officeDocument/2006/relationships/hyperlink" Target="https://www.health.govt.nz/our-work/life-stages/assisted-dying-service/information-health-professionals/roles-delivery-service" TargetMode="Externa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7.xml"/><Relationship Id="rId44" Type="http://schemas.openxmlformats.org/officeDocument/2006/relationships/footer" Target="footer8.xml"/><Relationship Id="rId52" Type="http://schemas.openxmlformats.org/officeDocument/2006/relationships/hyperlink" Target="https://www.health.govt.nz/our-work/life-stages/assisted-dying-service/support-and-consultation-end-life-new-zealand-scenz-grou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footer" Target="footer6.xml"/><Relationship Id="rId35" Type="http://schemas.openxmlformats.org/officeDocument/2006/relationships/hyperlink" Target="https://www.health.govt.nz/publication/standard-care-administering-assisted-dying-medication-new-zealand-aotearoa" TargetMode="External"/><Relationship Id="rId43" Type="http://schemas.openxmlformats.org/officeDocument/2006/relationships/header" Target="header14.xml"/><Relationship Id="rId48" Type="http://schemas.openxmlformats.org/officeDocument/2006/relationships/image" Target="media/image5.png"/><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hdc.org.nz/your-rights/about-the-code/code-of-health-and-disability-services-consumers-rights/" TargetMode="External"/><Relationship Id="rId3" Type="http://schemas.openxmlformats.org/officeDocument/2006/relationships/customXml" Target="../customXml/item3.xml"/></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50DEC7542E1342A5F58102D7DD24B5" ma:contentTypeVersion="13" ma:contentTypeDescription="Create a new document." ma:contentTypeScope="" ma:versionID="f9a598124e655cc727472d5fdc614d6e">
  <xsd:schema xmlns:xsd="http://www.w3.org/2001/XMLSchema" xmlns:xs="http://www.w3.org/2001/XMLSchema" xmlns:p="http://schemas.microsoft.com/office/2006/metadata/properties" xmlns:ns3="bceb9309-8f47-415f-aa59-4677cf6ce37d" xmlns:ns4="72ee7631-8705-4e4e-a159-243698bf6794" targetNamespace="http://schemas.microsoft.com/office/2006/metadata/properties" ma:root="true" ma:fieldsID="ecb36d03ba81bea19d1a7f9ed6507fe5" ns3:_="" ns4:_="">
    <xsd:import namespace="bceb9309-8f47-415f-aa59-4677cf6ce37d"/>
    <xsd:import namespace="72ee7631-8705-4e4e-a159-243698bf67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b9309-8f47-415f-aa59-4677cf6ce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ee7631-8705-4e4e-a159-243698bf67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47F67D-389C-427D-8AD9-389F83D09EF9}">
  <ds:schemaRefs>
    <ds:schemaRef ds:uri="http://schemas.openxmlformats.org/officeDocument/2006/bibliography"/>
  </ds:schemaRefs>
</ds:datastoreItem>
</file>

<file path=customXml/itemProps2.xml><?xml version="1.0" encoding="utf-8"?>
<ds:datastoreItem xmlns:ds="http://schemas.openxmlformats.org/officeDocument/2006/customXml" ds:itemID="{4577FFB0-260E-4BEB-AB23-5A43F0263A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DE10D4-B04D-46BB-8458-050322E51106}">
  <ds:schemaRefs>
    <ds:schemaRef ds:uri="http://schemas.microsoft.com/sharepoint/v3/contenttype/forms"/>
  </ds:schemaRefs>
</ds:datastoreItem>
</file>

<file path=customXml/itemProps4.xml><?xml version="1.0" encoding="utf-8"?>
<ds:datastoreItem xmlns:ds="http://schemas.openxmlformats.org/officeDocument/2006/customXml" ds:itemID="{0920E4DC-08ED-4FF1-8625-A35284D2B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b9309-8f47-415f-aa59-4677cf6ce37d"/>
    <ds:schemaRef ds:uri="72ee7631-8705-4e4e-a159-243698bf6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TotalTime>
  <Pages>28</Pages>
  <Words>7161</Words>
  <Characters>40824</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Assisted Dying Service –  Ngā Ratonga Mate Whakaahuru. Registrar (assisted dying) Annual Report to the Minister of Health</vt:lpstr>
    </vt:vector>
  </TitlesOfParts>
  <Company>Microsoft</Company>
  <LinksUpToDate>false</LinksUpToDate>
  <CharactersWithSpaces>47890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Assisted Dying Service –  Ngā Ratonga Mate Whakaahuru. Registrar (assisted dying) Annual Report to the Minister of Health</dc:title>
  <dc:creator>Ministry of Health</dc:creator>
  <cp:lastModifiedBy>Ministry of Health</cp:lastModifiedBy>
  <cp:revision>4</cp:revision>
  <cp:lastPrinted>2023-07-12T22:15:00Z</cp:lastPrinted>
  <dcterms:created xsi:type="dcterms:W3CDTF">2023-07-12T22:14:00Z</dcterms:created>
  <dcterms:modified xsi:type="dcterms:W3CDTF">2023-07-12T22:15:00Z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0x0101005050DEC7542E1342A5F58102D7DD24B5</vt:lpwstr>
  </property>
</Properties>
</file>