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3DC8646C" w:rsidR="00C86248" w:rsidRPr="00926083" w:rsidRDefault="00136EB3" w:rsidP="00136EB3">
      <w:pPr>
        <w:pStyle w:val="Title"/>
      </w:pPr>
      <w:r>
        <w:t>Aotearoa New Zealand Strategic Framework for Managing COVID-19</w:t>
      </w:r>
    </w:p>
    <w:p w14:paraId="2A961E80" w14:textId="4B327D4F" w:rsidR="00531E12" w:rsidRPr="00531E12" w:rsidRDefault="00136EB3" w:rsidP="00531E12">
      <w:pPr>
        <w:pStyle w:val="Year"/>
      </w:pPr>
      <w:r>
        <w:t>2023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211F5E03"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136EB3">
        <w:rPr>
          <w:rFonts w:cs="Segoe UI"/>
        </w:rPr>
        <w:t>2023</w:t>
      </w:r>
      <w:r w:rsidR="00442C1C" w:rsidRPr="00C05132">
        <w:rPr>
          <w:rFonts w:cs="Segoe UI"/>
        </w:rPr>
        <w:t xml:space="preserve">. </w:t>
      </w:r>
      <w:r w:rsidR="00136EB3" w:rsidRPr="00136EB3">
        <w:rPr>
          <w:rFonts w:cs="Segoe UI"/>
          <w:i/>
        </w:rPr>
        <w:t>Aotearoa New Zealand Strategic Framework for Managing COVID-19</w:t>
      </w:r>
      <w:r w:rsidR="00442C1C" w:rsidRPr="00C05132">
        <w:rPr>
          <w:rFonts w:cs="Segoe UI"/>
        </w:rPr>
        <w:t>. Wellington: Ministry of Health.</w:t>
      </w:r>
    </w:p>
    <w:p w14:paraId="7909192E" w14:textId="5CC4A3BF" w:rsidR="00C86248" w:rsidRDefault="00C86248">
      <w:pPr>
        <w:pStyle w:val="Imprint"/>
      </w:pPr>
      <w:r>
        <w:t xml:space="preserve">Published in </w:t>
      </w:r>
      <w:r w:rsidR="00C7683E">
        <w:t>September</w:t>
      </w:r>
      <w:r w:rsidR="009A42D5">
        <w:t xml:space="preserve"> </w:t>
      </w:r>
      <w:r w:rsidR="00136EB3">
        <w:t>2023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00BDE96B" w:rsidR="00082CD6" w:rsidRPr="009C0F2D" w:rsidRDefault="009A42D5" w:rsidP="00082CD6">
      <w:pPr>
        <w:pStyle w:val="Imprint"/>
      </w:pPr>
      <w:r w:rsidRPr="00C7683E">
        <w:t xml:space="preserve">ISBN </w:t>
      </w:r>
      <w:r w:rsidR="00F640C9" w:rsidRPr="00F640C9">
        <w:t>978-1-991075-54-3</w:t>
      </w:r>
      <w:r w:rsidRPr="00C7683E">
        <w:t xml:space="preserve"> </w:t>
      </w:r>
      <w:r w:rsidR="00D863D0" w:rsidRPr="00C7683E">
        <w:t>(</w:t>
      </w:r>
      <w:r w:rsidR="00442C1C" w:rsidRPr="00C7683E">
        <w:t>online</w:t>
      </w:r>
      <w:r w:rsidR="00D863D0" w:rsidRPr="00C7683E">
        <w:t>)</w:t>
      </w:r>
      <w:r w:rsidR="00082CD6" w:rsidRPr="00C7683E">
        <w:br/>
        <w:t xml:space="preserve">HP </w:t>
      </w:r>
      <w:r w:rsidR="00C473AD">
        <w:t>8827</w:t>
      </w:r>
    </w:p>
    <w:p w14:paraId="48DBDA36" w14:textId="77777777" w:rsidR="00C86248" w:rsidRDefault="008C64C4" w:rsidP="00A63DFF">
      <w:r>
        <w:rPr>
          <w:noProof/>
          <w:lang w:eastAsia="en-NZ"/>
        </w:rPr>
        <w:drawing>
          <wp:inline distT="0" distB="0" distL="0" distR="0" wp14:anchorId="6EF4539D" wp14:editId="01132B0F">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headerReference w:type="even" r:id="rId15"/>
          <w:footerReference w:type="even" r:id="rId16"/>
          <w:footerReference w:type="default" r:id="rId17"/>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7B0429CD" w14:textId="4DDFAC6B" w:rsidR="00AE7DBE" w:rsidRDefault="00AE7DBE">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44448500" w:history="1">
        <w:r w:rsidRPr="00EC0258">
          <w:rPr>
            <w:rStyle w:val="Hyperlink"/>
            <w:noProof/>
          </w:rPr>
          <w:t>Foreword</w:t>
        </w:r>
        <w:r>
          <w:rPr>
            <w:noProof/>
            <w:webHidden/>
          </w:rPr>
          <w:tab/>
        </w:r>
        <w:r>
          <w:rPr>
            <w:noProof/>
            <w:webHidden/>
          </w:rPr>
          <w:fldChar w:fldCharType="begin"/>
        </w:r>
        <w:r>
          <w:rPr>
            <w:noProof/>
            <w:webHidden/>
          </w:rPr>
          <w:instrText xml:space="preserve"> PAGEREF _Toc144448500 \h </w:instrText>
        </w:r>
        <w:r>
          <w:rPr>
            <w:noProof/>
            <w:webHidden/>
          </w:rPr>
        </w:r>
        <w:r>
          <w:rPr>
            <w:noProof/>
            <w:webHidden/>
          </w:rPr>
          <w:fldChar w:fldCharType="separate"/>
        </w:r>
        <w:r w:rsidR="00580465">
          <w:rPr>
            <w:noProof/>
            <w:webHidden/>
          </w:rPr>
          <w:t>1</w:t>
        </w:r>
        <w:r>
          <w:rPr>
            <w:noProof/>
            <w:webHidden/>
          </w:rPr>
          <w:fldChar w:fldCharType="end"/>
        </w:r>
      </w:hyperlink>
    </w:p>
    <w:p w14:paraId="69C493EF" w14:textId="6F713FB6" w:rsidR="00AE7DBE" w:rsidRDefault="00AE7DBE">
      <w:pPr>
        <w:pStyle w:val="TOC1"/>
        <w:rPr>
          <w:rFonts w:asciiTheme="minorHAnsi" w:eastAsiaTheme="minorEastAsia" w:hAnsiTheme="minorHAnsi" w:cstheme="minorBidi"/>
          <w:noProof/>
          <w:sz w:val="22"/>
          <w:szCs w:val="22"/>
          <w:lang w:eastAsia="en-NZ"/>
        </w:rPr>
      </w:pPr>
      <w:hyperlink w:anchor="_Toc144448501" w:history="1">
        <w:r w:rsidRPr="00EC0258">
          <w:rPr>
            <w:rStyle w:val="Hyperlink"/>
            <w:noProof/>
          </w:rPr>
          <w:t>Introduction</w:t>
        </w:r>
        <w:r>
          <w:rPr>
            <w:noProof/>
            <w:webHidden/>
          </w:rPr>
          <w:tab/>
        </w:r>
        <w:r>
          <w:rPr>
            <w:noProof/>
            <w:webHidden/>
          </w:rPr>
          <w:fldChar w:fldCharType="begin"/>
        </w:r>
        <w:r>
          <w:rPr>
            <w:noProof/>
            <w:webHidden/>
          </w:rPr>
          <w:instrText xml:space="preserve"> PAGEREF _Toc144448501 \h </w:instrText>
        </w:r>
        <w:r>
          <w:rPr>
            <w:noProof/>
            <w:webHidden/>
          </w:rPr>
        </w:r>
        <w:r>
          <w:rPr>
            <w:noProof/>
            <w:webHidden/>
          </w:rPr>
          <w:fldChar w:fldCharType="separate"/>
        </w:r>
        <w:r w:rsidR="00580465">
          <w:rPr>
            <w:noProof/>
            <w:webHidden/>
          </w:rPr>
          <w:t>2</w:t>
        </w:r>
        <w:r>
          <w:rPr>
            <w:noProof/>
            <w:webHidden/>
          </w:rPr>
          <w:fldChar w:fldCharType="end"/>
        </w:r>
      </w:hyperlink>
    </w:p>
    <w:p w14:paraId="356C1868" w14:textId="0C7B43EC" w:rsidR="00AE7DBE" w:rsidRDefault="00AE7DBE">
      <w:pPr>
        <w:pStyle w:val="TOC2"/>
        <w:rPr>
          <w:rFonts w:asciiTheme="minorHAnsi" w:eastAsiaTheme="minorEastAsia" w:hAnsiTheme="minorHAnsi" w:cstheme="minorBidi"/>
          <w:noProof/>
          <w:szCs w:val="22"/>
          <w:lang w:eastAsia="en-NZ"/>
        </w:rPr>
      </w:pPr>
      <w:hyperlink w:anchor="_Toc144448502" w:history="1">
        <w:r w:rsidRPr="00EC0258">
          <w:rPr>
            <w:rStyle w:val="Hyperlink"/>
            <w:noProof/>
          </w:rPr>
          <w:t>Most likely trajectory of COVID-19 for Aotearoa New Zealand</w:t>
        </w:r>
        <w:r>
          <w:rPr>
            <w:noProof/>
            <w:webHidden/>
          </w:rPr>
          <w:tab/>
        </w:r>
        <w:r>
          <w:rPr>
            <w:noProof/>
            <w:webHidden/>
          </w:rPr>
          <w:fldChar w:fldCharType="begin"/>
        </w:r>
        <w:r>
          <w:rPr>
            <w:noProof/>
            <w:webHidden/>
          </w:rPr>
          <w:instrText xml:space="preserve"> PAGEREF _Toc144448502 \h </w:instrText>
        </w:r>
        <w:r>
          <w:rPr>
            <w:noProof/>
            <w:webHidden/>
          </w:rPr>
        </w:r>
        <w:r>
          <w:rPr>
            <w:noProof/>
            <w:webHidden/>
          </w:rPr>
          <w:fldChar w:fldCharType="separate"/>
        </w:r>
        <w:r w:rsidR="00580465">
          <w:rPr>
            <w:noProof/>
            <w:webHidden/>
          </w:rPr>
          <w:t>2</w:t>
        </w:r>
        <w:r>
          <w:rPr>
            <w:noProof/>
            <w:webHidden/>
          </w:rPr>
          <w:fldChar w:fldCharType="end"/>
        </w:r>
      </w:hyperlink>
    </w:p>
    <w:p w14:paraId="0EF12CCB" w14:textId="667566A0" w:rsidR="00AE7DBE" w:rsidRDefault="00AE7DBE">
      <w:pPr>
        <w:pStyle w:val="TOC2"/>
        <w:rPr>
          <w:rFonts w:asciiTheme="minorHAnsi" w:eastAsiaTheme="minorEastAsia" w:hAnsiTheme="minorHAnsi" w:cstheme="minorBidi"/>
          <w:noProof/>
          <w:szCs w:val="22"/>
          <w:lang w:eastAsia="en-NZ"/>
        </w:rPr>
      </w:pPr>
      <w:hyperlink w:anchor="_Toc144448503" w:history="1">
        <w:r w:rsidRPr="00EC0258">
          <w:rPr>
            <w:rStyle w:val="Hyperlink"/>
            <w:noProof/>
          </w:rPr>
          <w:t>Purpose of this strategic framework</w:t>
        </w:r>
        <w:r>
          <w:rPr>
            <w:noProof/>
            <w:webHidden/>
          </w:rPr>
          <w:tab/>
        </w:r>
        <w:r>
          <w:rPr>
            <w:noProof/>
            <w:webHidden/>
          </w:rPr>
          <w:fldChar w:fldCharType="begin"/>
        </w:r>
        <w:r>
          <w:rPr>
            <w:noProof/>
            <w:webHidden/>
          </w:rPr>
          <w:instrText xml:space="preserve"> PAGEREF _Toc144448503 \h </w:instrText>
        </w:r>
        <w:r>
          <w:rPr>
            <w:noProof/>
            <w:webHidden/>
          </w:rPr>
        </w:r>
        <w:r>
          <w:rPr>
            <w:noProof/>
            <w:webHidden/>
          </w:rPr>
          <w:fldChar w:fldCharType="separate"/>
        </w:r>
        <w:r w:rsidR="00580465">
          <w:rPr>
            <w:noProof/>
            <w:webHidden/>
          </w:rPr>
          <w:t>3</w:t>
        </w:r>
        <w:r>
          <w:rPr>
            <w:noProof/>
            <w:webHidden/>
          </w:rPr>
          <w:fldChar w:fldCharType="end"/>
        </w:r>
      </w:hyperlink>
    </w:p>
    <w:p w14:paraId="55502782" w14:textId="2B7BA312" w:rsidR="00AE7DBE" w:rsidRDefault="00AE7DBE">
      <w:pPr>
        <w:pStyle w:val="TOC2"/>
        <w:rPr>
          <w:rFonts w:asciiTheme="minorHAnsi" w:eastAsiaTheme="minorEastAsia" w:hAnsiTheme="minorHAnsi" w:cstheme="minorBidi"/>
          <w:noProof/>
          <w:szCs w:val="22"/>
          <w:lang w:eastAsia="en-NZ"/>
        </w:rPr>
      </w:pPr>
      <w:hyperlink w:anchor="_Toc144448504" w:history="1">
        <w:r w:rsidRPr="00EC0258">
          <w:rPr>
            <w:rStyle w:val="Hyperlink"/>
            <w:noProof/>
          </w:rPr>
          <w:t>Drawing on a strengthened health system</w:t>
        </w:r>
        <w:r>
          <w:rPr>
            <w:noProof/>
            <w:webHidden/>
          </w:rPr>
          <w:tab/>
        </w:r>
        <w:r>
          <w:rPr>
            <w:noProof/>
            <w:webHidden/>
          </w:rPr>
          <w:fldChar w:fldCharType="begin"/>
        </w:r>
        <w:r>
          <w:rPr>
            <w:noProof/>
            <w:webHidden/>
          </w:rPr>
          <w:instrText xml:space="preserve"> PAGEREF _Toc144448504 \h </w:instrText>
        </w:r>
        <w:r>
          <w:rPr>
            <w:noProof/>
            <w:webHidden/>
          </w:rPr>
        </w:r>
        <w:r>
          <w:rPr>
            <w:noProof/>
            <w:webHidden/>
          </w:rPr>
          <w:fldChar w:fldCharType="separate"/>
        </w:r>
        <w:r w:rsidR="00580465">
          <w:rPr>
            <w:noProof/>
            <w:webHidden/>
          </w:rPr>
          <w:t>4</w:t>
        </w:r>
        <w:r>
          <w:rPr>
            <w:noProof/>
            <w:webHidden/>
          </w:rPr>
          <w:fldChar w:fldCharType="end"/>
        </w:r>
      </w:hyperlink>
    </w:p>
    <w:p w14:paraId="7F08962A" w14:textId="451047A3" w:rsidR="00AE7DBE" w:rsidRDefault="00AE7DBE">
      <w:pPr>
        <w:pStyle w:val="TOC2"/>
        <w:rPr>
          <w:rFonts w:asciiTheme="minorHAnsi" w:eastAsiaTheme="minorEastAsia" w:hAnsiTheme="minorHAnsi" w:cstheme="minorBidi"/>
          <w:noProof/>
          <w:szCs w:val="22"/>
          <w:lang w:eastAsia="en-NZ"/>
        </w:rPr>
      </w:pPr>
      <w:hyperlink w:anchor="_Toc144448505" w:history="1">
        <w:r w:rsidRPr="00EC0258">
          <w:rPr>
            <w:rStyle w:val="Hyperlink"/>
            <w:noProof/>
          </w:rPr>
          <w:t>Broader emergency management context</w:t>
        </w:r>
        <w:r>
          <w:rPr>
            <w:noProof/>
            <w:webHidden/>
          </w:rPr>
          <w:tab/>
        </w:r>
        <w:r>
          <w:rPr>
            <w:noProof/>
            <w:webHidden/>
          </w:rPr>
          <w:fldChar w:fldCharType="begin"/>
        </w:r>
        <w:r>
          <w:rPr>
            <w:noProof/>
            <w:webHidden/>
          </w:rPr>
          <w:instrText xml:space="preserve"> PAGEREF _Toc144448505 \h </w:instrText>
        </w:r>
        <w:r>
          <w:rPr>
            <w:noProof/>
            <w:webHidden/>
          </w:rPr>
        </w:r>
        <w:r>
          <w:rPr>
            <w:noProof/>
            <w:webHidden/>
          </w:rPr>
          <w:fldChar w:fldCharType="separate"/>
        </w:r>
        <w:r w:rsidR="00580465">
          <w:rPr>
            <w:noProof/>
            <w:webHidden/>
          </w:rPr>
          <w:t>5</w:t>
        </w:r>
        <w:r>
          <w:rPr>
            <w:noProof/>
            <w:webHidden/>
          </w:rPr>
          <w:fldChar w:fldCharType="end"/>
        </w:r>
      </w:hyperlink>
    </w:p>
    <w:p w14:paraId="0775D7B3" w14:textId="378A326E" w:rsidR="00AE7DBE" w:rsidRDefault="00AE7DBE">
      <w:pPr>
        <w:pStyle w:val="TOC1"/>
        <w:rPr>
          <w:rFonts w:asciiTheme="minorHAnsi" w:eastAsiaTheme="minorEastAsia" w:hAnsiTheme="minorHAnsi" w:cstheme="minorBidi"/>
          <w:noProof/>
          <w:sz w:val="22"/>
          <w:szCs w:val="22"/>
          <w:lang w:eastAsia="en-NZ"/>
        </w:rPr>
      </w:pPr>
      <w:hyperlink w:anchor="_Toc144448506" w:history="1">
        <w:r w:rsidRPr="00EC0258">
          <w:rPr>
            <w:rStyle w:val="Hyperlink"/>
            <w:noProof/>
          </w:rPr>
          <w:t>Te Tiriti o Waitangi</w:t>
        </w:r>
        <w:r>
          <w:rPr>
            <w:noProof/>
            <w:webHidden/>
          </w:rPr>
          <w:tab/>
        </w:r>
        <w:r>
          <w:rPr>
            <w:noProof/>
            <w:webHidden/>
          </w:rPr>
          <w:fldChar w:fldCharType="begin"/>
        </w:r>
        <w:r>
          <w:rPr>
            <w:noProof/>
            <w:webHidden/>
          </w:rPr>
          <w:instrText xml:space="preserve"> PAGEREF _Toc144448506 \h </w:instrText>
        </w:r>
        <w:r>
          <w:rPr>
            <w:noProof/>
            <w:webHidden/>
          </w:rPr>
        </w:r>
        <w:r>
          <w:rPr>
            <w:noProof/>
            <w:webHidden/>
          </w:rPr>
          <w:fldChar w:fldCharType="separate"/>
        </w:r>
        <w:r w:rsidR="00580465">
          <w:rPr>
            <w:noProof/>
            <w:webHidden/>
          </w:rPr>
          <w:t>6</w:t>
        </w:r>
        <w:r>
          <w:rPr>
            <w:noProof/>
            <w:webHidden/>
          </w:rPr>
          <w:fldChar w:fldCharType="end"/>
        </w:r>
      </w:hyperlink>
    </w:p>
    <w:p w14:paraId="4EE0AD0B" w14:textId="402D2986" w:rsidR="00AE7DBE" w:rsidRDefault="00AE7DBE">
      <w:pPr>
        <w:pStyle w:val="TOC1"/>
        <w:rPr>
          <w:rFonts w:asciiTheme="minorHAnsi" w:eastAsiaTheme="minorEastAsia" w:hAnsiTheme="minorHAnsi" w:cstheme="minorBidi"/>
          <w:noProof/>
          <w:sz w:val="22"/>
          <w:szCs w:val="22"/>
          <w:lang w:eastAsia="en-NZ"/>
        </w:rPr>
      </w:pPr>
      <w:hyperlink w:anchor="_Toc144448507" w:history="1">
        <w:r w:rsidRPr="00EC0258">
          <w:rPr>
            <w:rStyle w:val="Hyperlink"/>
            <w:noProof/>
          </w:rPr>
          <w:t>Principles guiding our approach</w:t>
        </w:r>
        <w:r>
          <w:rPr>
            <w:noProof/>
            <w:webHidden/>
          </w:rPr>
          <w:tab/>
        </w:r>
        <w:r>
          <w:rPr>
            <w:noProof/>
            <w:webHidden/>
          </w:rPr>
          <w:fldChar w:fldCharType="begin"/>
        </w:r>
        <w:r>
          <w:rPr>
            <w:noProof/>
            <w:webHidden/>
          </w:rPr>
          <w:instrText xml:space="preserve"> PAGEREF _Toc144448507 \h </w:instrText>
        </w:r>
        <w:r>
          <w:rPr>
            <w:noProof/>
            <w:webHidden/>
          </w:rPr>
        </w:r>
        <w:r>
          <w:rPr>
            <w:noProof/>
            <w:webHidden/>
          </w:rPr>
          <w:fldChar w:fldCharType="separate"/>
        </w:r>
        <w:r w:rsidR="00580465">
          <w:rPr>
            <w:noProof/>
            <w:webHidden/>
          </w:rPr>
          <w:t>8</w:t>
        </w:r>
        <w:r>
          <w:rPr>
            <w:noProof/>
            <w:webHidden/>
          </w:rPr>
          <w:fldChar w:fldCharType="end"/>
        </w:r>
      </w:hyperlink>
    </w:p>
    <w:p w14:paraId="1C5B4F9F" w14:textId="2B08A848" w:rsidR="00AE7DBE" w:rsidRDefault="00AE7DBE">
      <w:pPr>
        <w:pStyle w:val="TOC2"/>
        <w:rPr>
          <w:rFonts w:asciiTheme="minorHAnsi" w:eastAsiaTheme="minorEastAsia" w:hAnsiTheme="minorHAnsi" w:cstheme="minorBidi"/>
          <w:noProof/>
          <w:szCs w:val="22"/>
          <w:lang w:eastAsia="en-NZ"/>
        </w:rPr>
      </w:pPr>
      <w:hyperlink w:anchor="_Toc144448508" w:history="1">
        <w:r w:rsidRPr="00EC0258">
          <w:rPr>
            <w:rStyle w:val="Hyperlink"/>
            <w:noProof/>
          </w:rPr>
          <w:t>Equitable: Equity is embedded throughout</w:t>
        </w:r>
        <w:r>
          <w:rPr>
            <w:noProof/>
            <w:webHidden/>
          </w:rPr>
          <w:tab/>
        </w:r>
        <w:r>
          <w:rPr>
            <w:noProof/>
            <w:webHidden/>
          </w:rPr>
          <w:fldChar w:fldCharType="begin"/>
        </w:r>
        <w:r>
          <w:rPr>
            <w:noProof/>
            <w:webHidden/>
          </w:rPr>
          <w:instrText xml:space="preserve"> PAGEREF _Toc144448508 \h </w:instrText>
        </w:r>
        <w:r>
          <w:rPr>
            <w:noProof/>
            <w:webHidden/>
          </w:rPr>
        </w:r>
        <w:r>
          <w:rPr>
            <w:noProof/>
            <w:webHidden/>
          </w:rPr>
          <w:fldChar w:fldCharType="separate"/>
        </w:r>
        <w:r w:rsidR="00580465">
          <w:rPr>
            <w:noProof/>
            <w:webHidden/>
          </w:rPr>
          <w:t>8</w:t>
        </w:r>
        <w:r>
          <w:rPr>
            <w:noProof/>
            <w:webHidden/>
          </w:rPr>
          <w:fldChar w:fldCharType="end"/>
        </w:r>
      </w:hyperlink>
    </w:p>
    <w:p w14:paraId="760A4B51" w14:textId="7B2B232B" w:rsidR="00AE7DBE" w:rsidRDefault="00AE7DBE">
      <w:pPr>
        <w:pStyle w:val="TOC2"/>
        <w:rPr>
          <w:rFonts w:asciiTheme="minorHAnsi" w:eastAsiaTheme="minorEastAsia" w:hAnsiTheme="minorHAnsi" w:cstheme="minorBidi"/>
          <w:noProof/>
          <w:szCs w:val="22"/>
          <w:lang w:eastAsia="en-NZ"/>
        </w:rPr>
      </w:pPr>
      <w:hyperlink w:anchor="_Toc144448509" w:history="1">
        <w:r w:rsidRPr="00EC0258">
          <w:rPr>
            <w:rStyle w:val="Hyperlink"/>
            <w:noProof/>
          </w:rPr>
          <w:t>Proportionate: Our response is proportionate</w:t>
        </w:r>
        <w:r>
          <w:rPr>
            <w:noProof/>
            <w:webHidden/>
          </w:rPr>
          <w:tab/>
        </w:r>
        <w:r>
          <w:rPr>
            <w:noProof/>
            <w:webHidden/>
          </w:rPr>
          <w:fldChar w:fldCharType="begin"/>
        </w:r>
        <w:r>
          <w:rPr>
            <w:noProof/>
            <w:webHidden/>
          </w:rPr>
          <w:instrText xml:space="preserve"> PAGEREF _Toc144448509 \h </w:instrText>
        </w:r>
        <w:r>
          <w:rPr>
            <w:noProof/>
            <w:webHidden/>
          </w:rPr>
        </w:r>
        <w:r>
          <w:rPr>
            <w:noProof/>
            <w:webHidden/>
          </w:rPr>
          <w:fldChar w:fldCharType="separate"/>
        </w:r>
        <w:r w:rsidR="00580465">
          <w:rPr>
            <w:noProof/>
            <w:webHidden/>
          </w:rPr>
          <w:t>8</w:t>
        </w:r>
        <w:r>
          <w:rPr>
            <w:noProof/>
            <w:webHidden/>
          </w:rPr>
          <w:fldChar w:fldCharType="end"/>
        </w:r>
      </w:hyperlink>
    </w:p>
    <w:p w14:paraId="03F86A5A" w14:textId="7C22D624" w:rsidR="00AE7DBE" w:rsidRDefault="00AE7DBE">
      <w:pPr>
        <w:pStyle w:val="TOC1"/>
        <w:rPr>
          <w:rFonts w:asciiTheme="minorHAnsi" w:eastAsiaTheme="minorEastAsia" w:hAnsiTheme="minorHAnsi" w:cstheme="minorBidi"/>
          <w:noProof/>
          <w:sz w:val="22"/>
          <w:szCs w:val="22"/>
          <w:lang w:eastAsia="en-NZ"/>
        </w:rPr>
      </w:pPr>
      <w:hyperlink w:anchor="_Toc144448510" w:history="1">
        <w:r w:rsidRPr="00EC0258">
          <w:rPr>
            <w:rStyle w:val="Hyperlink"/>
            <w:noProof/>
          </w:rPr>
          <w:t>Strategic framework overview</w:t>
        </w:r>
        <w:r>
          <w:rPr>
            <w:noProof/>
            <w:webHidden/>
          </w:rPr>
          <w:tab/>
        </w:r>
        <w:r>
          <w:rPr>
            <w:noProof/>
            <w:webHidden/>
          </w:rPr>
          <w:fldChar w:fldCharType="begin"/>
        </w:r>
        <w:r>
          <w:rPr>
            <w:noProof/>
            <w:webHidden/>
          </w:rPr>
          <w:instrText xml:space="preserve"> PAGEREF _Toc144448510 \h </w:instrText>
        </w:r>
        <w:r>
          <w:rPr>
            <w:noProof/>
            <w:webHidden/>
          </w:rPr>
        </w:r>
        <w:r>
          <w:rPr>
            <w:noProof/>
            <w:webHidden/>
          </w:rPr>
          <w:fldChar w:fldCharType="separate"/>
        </w:r>
        <w:r w:rsidR="00580465">
          <w:rPr>
            <w:noProof/>
            <w:webHidden/>
          </w:rPr>
          <w:t>10</w:t>
        </w:r>
        <w:r>
          <w:rPr>
            <w:noProof/>
            <w:webHidden/>
          </w:rPr>
          <w:fldChar w:fldCharType="end"/>
        </w:r>
      </w:hyperlink>
    </w:p>
    <w:p w14:paraId="6C149EFD" w14:textId="04673AFB" w:rsidR="00AE7DBE" w:rsidRDefault="00AE7DBE">
      <w:pPr>
        <w:pStyle w:val="TOC2"/>
        <w:rPr>
          <w:rFonts w:asciiTheme="minorHAnsi" w:eastAsiaTheme="minorEastAsia" w:hAnsiTheme="minorHAnsi" w:cstheme="minorBidi"/>
          <w:noProof/>
          <w:szCs w:val="22"/>
          <w:lang w:eastAsia="en-NZ"/>
        </w:rPr>
      </w:pPr>
      <w:hyperlink w:anchor="_Toc144448511" w:history="1">
        <w:r w:rsidRPr="00EC0258">
          <w:rPr>
            <w:rStyle w:val="Hyperlink"/>
            <w:noProof/>
          </w:rPr>
          <w:t>Overarching goal</w:t>
        </w:r>
        <w:r>
          <w:rPr>
            <w:noProof/>
            <w:webHidden/>
          </w:rPr>
          <w:tab/>
        </w:r>
        <w:r>
          <w:rPr>
            <w:noProof/>
            <w:webHidden/>
          </w:rPr>
          <w:fldChar w:fldCharType="begin"/>
        </w:r>
        <w:r>
          <w:rPr>
            <w:noProof/>
            <w:webHidden/>
          </w:rPr>
          <w:instrText xml:space="preserve"> PAGEREF _Toc144448511 \h </w:instrText>
        </w:r>
        <w:r>
          <w:rPr>
            <w:noProof/>
            <w:webHidden/>
          </w:rPr>
        </w:r>
        <w:r>
          <w:rPr>
            <w:noProof/>
            <w:webHidden/>
          </w:rPr>
          <w:fldChar w:fldCharType="separate"/>
        </w:r>
        <w:r w:rsidR="00580465">
          <w:rPr>
            <w:noProof/>
            <w:webHidden/>
          </w:rPr>
          <w:t>11</w:t>
        </w:r>
        <w:r>
          <w:rPr>
            <w:noProof/>
            <w:webHidden/>
          </w:rPr>
          <w:fldChar w:fldCharType="end"/>
        </w:r>
      </w:hyperlink>
    </w:p>
    <w:p w14:paraId="6E2434C3" w14:textId="63C46F3B" w:rsidR="00AE7DBE" w:rsidRDefault="00AE7DBE">
      <w:pPr>
        <w:pStyle w:val="TOC2"/>
        <w:rPr>
          <w:rFonts w:asciiTheme="minorHAnsi" w:eastAsiaTheme="minorEastAsia" w:hAnsiTheme="minorHAnsi" w:cstheme="minorBidi"/>
          <w:noProof/>
          <w:szCs w:val="22"/>
          <w:lang w:eastAsia="en-NZ"/>
        </w:rPr>
      </w:pPr>
      <w:hyperlink w:anchor="_Toc144448512" w:history="1">
        <w:r w:rsidRPr="00EC0258">
          <w:rPr>
            <w:rStyle w:val="Hyperlink"/>
            <w:noProof/>
          </w:rPr>
          <w:t>Strategic outcomes and objectives</w:t>
        </w:r>
        <w:r>
          <w:rPr>
            <w:noProof/>
            <w:webHidden/>
          </w:rPr>
          <w:tab/>
        </w:r>
        <w:r>
          <w:rPr>
            <w:noProof/>
            <w:webHidden/>
          </w:rPr>
          <w:fldChar w:fldCharType="begin"/>
        </w:r>
        <w:r>
          <w:rPr>
            <w:noProof/>
            <w:webHidden/>
          </w:rPr>
          <w:instrText xml:space="preserve"> PAGEREF _Toc144448512 \h </w:instrText>
        </w:r>
        <w:r>
          <w:rPr>
            <w:noProof/>
            <w:webHidden/>
          </w:rPr>
        </w:r>
        <w:r>
          <w:rPr>
            <w:noProof/>
            <w:webHidden/>
          </w:rPr>
          <w:fldChar w:fldCharType="separate"/>
        </w:r>
        <w:r w:rsidR="00580465">
          <w:rPr>
            <w:noProof/>
            <w:webHidden/>
          </w:rPr>
          <w:t>11</w:t>
        </w:r>
        <w:r>
          <w:rPr>
            <w:noProof/>
            <w:webHidden/>
          </w:rPr>
          <w:fldChar w:fldCharType="end"/>
        </w:r>
      </w:hyperlink>
    </w:p>
    <w:p w14:paraId="7E09098F" w14:textId="58D1078E" w:rsidR="00AE7DBE" w:rsidRDefault="00AE7DBE">
      <w:pPr>
        <w:pStyle w:val="TOC1"/>
        <w:rPr>
          <w:rFonts w:asciiTheme="minorHAnsi" w:eastAsiaTheme="minorEastAsia" w:hAnsiTheme="minorHAnsi" w:cstheme="minorBidi"/>
          <w:noProof/>
          <w:sz w:val="22"/>
          <w:szCs w:val="22"/>
          <w:lang w:eastAsia="en-NZ"/>
        </w:rPr>
      </w:pPr>
      <w:hyperlink w:anchor="_Toc144448513" w:history="1">
        <w:r w:rsidRPr="00EC0258">
          <w:rPr>
            <w:rStyle w:val="Hyperlink"/>
            <w:noProof/>
          </w:rPr>
          <w:t>Toolkit of measures to manage COVID-19</w:t>
        </w:r>
        <w:r>
          <w:rPr>
            <w:noProof/>
            <w:webHidden/>
          </w:rPr>
          <w:tab/>
        </w:r>
        <w:r>
          <w:rPr>
            <w:noProof/>
            <w:webHidden/>
          </w:rPr>
          <w:fldChar w:fldCharType="begin"/>
        </w:r>
        <w:r>
          <w:rPr>
            <w:noProof/>
            <w:webHidden/>
          </w:rPr>
          <w:instrText xml:space="preserve"> PAGEREF _Toc144448513 \h </w:instrText>
        </w:r>
        <w:r>
          <w:rPr>
            <w:noProof/>
            <w:webHidden/>
          </w:rPr>
        </w:r>
        <w:r>
          <w:rPr>
            <w:noProof/>
            <w:webHidden/>
          </w:rPr>
          <w:fldChar w:fldCharType="separate"/>
        </w:r>
        <w:r w:rsidR="00580465">
          <w:rPr>
            <w:noProof/>
            <w:webHidden/>
          </w:rPr>
          <w:t>15</w:t>
        </w:r>
        <w:r>
          <w:rPr>
            <w:noProof/>
            <w:webHidden/>
          </w:rPr>
          <w:fldChar w:fldCharType="end"/>
        </w:r>
      </w:hyperlink>
    </w:p>
    <w:p w14:paraId="3BC0A25E" w14:textId="4F50D329" w:rsidR="00AE7DBE" w:rsidRDefault="00AE7DBE">
      <w:pPr>
        <w:pStyle w:val="TOC2"/>
        <w:rPr>
          <w:rFonts w:asciiTheme="minorHAnsi" w:eastAsiaTheme="minorEastAsia" w:hAnsiTheme="minorHAnsi" w:cstheme="minorBidi"/>
          <w:noProof/>
          <w:szCs w:val="22"/>
          <w:lang w:eastAsia="en-NZ"/>
        </w:rPr>
      </w:pPr>
      <w:hyperlink w:anchor="_Toc144448514" w:history="1">
        <w:r w:rsidRPr="00EC0258">
          <w:rPr>
            <w:rStyle w:val="Hyperlink"/>
            <w:noProof/>
          </w:rPr>
          <w:t>Community public health measures</w:t>
        </w:r>
        <w:r>
          <w:rPr>
            <w:noProof/>
            <w:webHidden/>
          </w:rPr>
          <w:tab/>
        </w:r>
        <w:r>
          <w:rPr>
            <w:noProof/>
            <w:webHidden/>
          </w:rPr>
          <w:fldChar w:fldCharType="begin"/>
        </w:r>
        <w:r>
          <w:rPr>
            <w:noProof/>
            <w:webHidden/>
          </w:rPr>
          <w:instrText xml:space="preserve"> PAGEREF _Toc144448514 \h </w:instrText>
        </w:r>
        <w:r>
          <w:rPr>
            <w:noProof/>
            <w:webHidden/>
          </w:rPr>
        </w:r>
        <w:r>
          <w:rPr>
            <w:noProof/>
            <w:webHidden/>
          </w:rPr>
          <w:fldChar w:fldCharType="separate"/>
        </w:r>
        <w:r w:rsidR="00580465">
          <w:rPr>
            <w:noProof/>
            <w:webHidden/>
          </w:rPr>
          <w:t>15</w:t>
        </w:r>
        <w:r>
          <w:rPr>
            <w:noProof/>
            <w:webHidden/>
          </w:rPr>
          <w:fldChar w:fldCharType="end"/>
        </w:r>
      </w:hyperlink>
    </w:p>
    <w:p w14:paraId="6821CDE2" w14:textId="2119F951" w:rsidR="00AE7DBE" w:rsidRDefault="00AE7DBE">
      <w:pPr>
        <w:pStyle w:val="TOC2"/>
        <w:rPr>
          <w:rFonts w:asciiTheme="minorHAnsi" w:eastAsiaTheme="minorEastAsia" w:hAnsiTheme="minorHAnsi" w:cstheme="minorBidi"/>
          <w:noProof/>
          <w:szCs w:val="22"/>
          <w:lang w:eastAsia="en-NZ"/>
        </w:rPr>
      </w:pPr>
      <w:hyperlink w:anchor="_Toc144448515" w:history="1">
        <w:r w:rsidRPr="00EC0258">
          <w:rPr>
            <w:rStyle w:val="Hyperlink"/>
            <w:noProof/>
          </w:rPr>
          <w:t>Border measures (air and maritime)</w:t>
        </w:r>
        <w:r>
          <w:rPr>
            <w:noProof/>
            <w:webHidden/>
          </w:rPr>
          <w:tab/>
        </w:r>
        <w:r>
          <w:rPr>
            <w:noProof/>
            <w:webHidden/>
          </w:rPr>
          <w:fldChar w:fldCharType="begin"/>
        </w:r>
        <w:r>
          <w:rPr>
            <w:noProof/>
            <w:webHidden/>
          </w:rPr>
          <w:instrText xml:space="preserve"> PAGEREF _Toc144448515 \h </w:instrText>
        </w:r>
        <w:r>
          <w:rPr>
            <w:noProof/>
            <w:webHidden/>
          </w:rPr>
        </w:r>
        <w:r>
          <w:rPr>
            <w:noProof/>
            <w:webHidden/>
          </w:rPr>
          <w:fldChar w:fldCharType="separate"/>
        </w:r>
        <w:r w:rsidR="00580465">
          <w:rPr>
            <w:noProof/>
            <w:webHidden/>
          </w:rPr>
          <w:t>15</w:t>
        </w:r>
        <w:r>
          <w:rPr>
            <w:noProof/>
            <w:webHidden/>
          </w:rPr>
          <w:fldChar w:fldCharType="end"/>
        </w:r>
      </w:hyperlink>
    </w:p>
    <w:p w14:paraId="73E439DB" w14:textId="178B480E" w:rsidR="00AE7DBE" w:rsidRDefault="00AE7DBE">
      <w:pPr>
        <w:pStyle w:val="TOC2"/>
        <w:rPr>
          <w:rFonts w:asciiTheme="minorHAnsi" w:eastAsiaTheme="minorEastAsia" w:hAnsiTheme="minorHAnsi" w:cstheme="minorBidi"/>
          <w:noProof/>
          <w:szCs w:val="22"/>
          <w:lang w:eastAsia="en-NZ"/>
        </w:rPr>
      </w:pPr>
      <w:hyperlink w:anchor="_Toc144448516" w:history="1">
        <w:r w:rsidRPr="00EC0258">
          <w:rPr>
            <w:rStyle w:val="Hyperlink"/>
            <w:noProof/>
          </w:rPr>
          <w:t>Support for individuals and communities</w:t>
        </w:r>
        <w:r>
          <w:rPr>
            <w:noProof/>
            <w:webHidden/>
          </w:rPr>
          <w:tab/>
        </w:r>
        <w:r>
          <w:rPr>
            <w:noProof/>
            <w:webHidden/>
          </w:rPr>
          <w:fldChar w:fldCharType="begin"/>
        </w:r>
        <w:r>
          <w:rPr>
            <w:noProof/>
            <w:webHidden/>
          </w:rPr>
          <w:instrText xml:space="preserve"> PAGEREF _Toc144448516 \h </w:instrText>
        </w:r>
        <w:r>
          <w:rPr>
            <w:noProof/>
            <w:webHidden/>
          </w:rPr>
        </w:r>
        <w:r>
          <w:rPr>
            <w:noProof/>
            <w:webHidden/>
          </w:rPr>
          <w:fldChar w:fldCharType="separate"/>
        </w:r>
        <w:r w:rsidR="00580465">
          <w:rPr>
            <w:noProof/>
            <w:webHidden/>
          </w:rPr>
          <w:t>16</w:t>
        </w:r>
        <w:r>
          <w:rPr>
            <w:noProof/>
            <w:webHidden/>
          </w:rPr>
          <w:fldChar w:fldCharType="end"/>
        </w:r>
      </w:hyperlink>
    </w:p>
    <w:p w14:paraId="158C6FD6" w14:textId="2A2B8B8A" w:rsidR="00AE7DBE" w:rsidRDefault="00AE7DBE">
      <w:pPr>
        <w:pStyle w:val="TOC2"/>
        <w:rPr>
          <w:rFonts w:asciiTheme="minorHAnsi" w:eastAsiaTheme="minorEastAsia" w:hAnsiTheme="minorHAnsi" w:cstheme="minorBidi"/>
          <w:noProof/>
          <w:szCs w:val="22"/>
          <w:lang w:eastAsia="en-NZ"/>
        </w:rPr>
      </w:pPr>
      <w:hyperlink w:anchor="_Toc144448517" w:history="1">
        <w:r w:rsidRPr="00EC0258">
          <w:rPr>
            <w:rStyle w:val="Hyperlink"/>
            <w:noProof/>
          </w:rPr>
          <w:t>System enablers</w:t>
        </w:r>
        <w:r>
          <w:rPr>
            <w:noProof/>
            <w:webHidden/>
          </w:rPr>
          <w:tab/>
        </w:r>
        <w:r>
          <w:rPr>
            <w:noProof/>
            <w:webHidden/>
          </w:rPr>
          <w:fldChar w:fldCharType="begin"/>
        </w:r>
        <w:r>
          <w:rPr>
            <w:noProof/>
            <w:webHidden/>
          </w:rPr>
          <w:instrText xml:space="preserve"> PAGEREF _Toc144448517 \h </w:instrText>
        </w:r>
        <w:r>
          <w:rPr>
            <w:noProof/>
            <w:webHidden/>
          </w:rPr>
        </w:r>
        <w:r>
          <w:rPr>
            <w:noProof/>
            <w:webHidden/>
          </w:rPr>
          <w:fldChar w:fldCharType="separate"/>
        </w:r>
        <w:r w:rsidR="00580465">
          <w:rPr>
            <w:noProof/>
            <w:webHidden/>
          </w:rPr>
          <w:t>16</w:t>
        </w:r>
        <w:r>
          <w:rPr>
            <w:noProof/>
            <w:webHidden/>
          </w:rPr>
          <w:fldChar w:fldCharType="end"/>
        </w:r>
      </w:hyperlink>
    </w:p>
    <w:p w14:paraId="47AB2029" w14:textId="6311BFFA" w:rsidR="00AE7DBE" w:rsidRDefault="00AE7DBE">
      <w:pPr>
        <w:pStyle w:val="TOC1"/>
        <w:rPr>
          <w:rFonts w:asciiTheme="minorHAnsi" w:eastAsiaTheme="minorEastAsia" w:hAnsiTheme="minorHAnsi" w:cstheme="minorBidi"/>
          <w:noProof/>
          <w:sz w:val="22"/>
          <w:szCs w:val="22"/>
          <w:lang w:eastAsia="en-NZ"/>
        </w:rPr>
      </w:pPr>
      <w:hyperlink w:anchor="_Toc144448518" w:history="1">
        <w:r w:rsidRPr="00EC0258">
          <w:rPr>
            <w:rStyle w:val="Hyperlink"/>
            <w:noProof/>
          </w:rPr>
          <w:t>Determining which measures to apply</w:t>
        </w:r>
        <w:r>
          <w:rPr>
            <w:noProof/>
            <w:webHidden/>
          </w:rPr>
          <w:tab/>
        </w:r>
        <w:r>
          <w:rPr>
            <w:noProof/>
            <w:webHidden/>
          </w:rPr>
          <w:fldChar w:fldCharType="begin"/>
        </w:r>
        <w:r>
          <w:rPr>
            <w:noProof/>
            <w:webHidden/>
          </w:rPr>
          <w:instrText xml:space="preserve"> PAGEREF _Toc144448518 \h </w:instrText>
        </w:r>
        <w:r>
          <w:rPr>
            <w:noProof/>
            <w:webHidden/>
          </w:rPr>
        </w:r>
        <w:r>
          <w:rPr>
            <w:noProof/>
            <w:webHidden/>
          </w:rPr>
          <w:fldChar w:fldCharType="separate"/>
        </w:r>
        <w:r w:rsidR="00580465">
          <w:rPr>
            <w:noProof/>
            <w:webHidden/>
          </w:rPr>
          <w:t>17</w:t>
        </w:r>
        <w:r>
          <w:rPr>
            <w:noProof/>
            <w:webHidden/>
          </w:rPr>
          <w:fldChar w:fldCharType="end"/>
        </w:r>
      </w:hyperlink>
    </w:p>
    <w:p w14:paraId="0AFDA050" w14:textId="5C77FB70" w:rsidR="00AE7DBE" w:rsidRDefault="00AE7DBE">
      <w:pPr>
        <w:pStyle w:val="TOC2"/>
        <w:rPr>
          <w:rFonts w:asciiTheme="minorHAnsi" w:eastAsiaTheme="minorEastAsia" w:hAnsiTheme="minorHAnsi" w:cstheme="minorBidi"/>
          <w:noProof/>
          <w:szCs w:val="22"/>
          <w:lang w:eastAsia="en-NZ"/>
        </w:rPr>
      </w:pPr>
      <w:hyperlink w:anchor="_Toc144448519" w:history="1">
        <w:r w:rsidRPr="00EC0258">
          <w:rPr>
            <w:rStyle w:val="Hyperlink"/>
            <w:noProof/>
          </w:rPr>
          <w:t>Legal framework</w:t>
        </w:r>
        <w:r>
          <w:rPr>
            <w:noProof/>
            <w:webHidden/>
          </w:rPr>
          <w:tab/>
        </w:r>
        <w:r>
          <w:rPr>
            <w:noProof/>
            <w:webHidden/>
          </w:rPr>
          <w:fldChar w:fldCharType="begin"/>
        </w:r>
        <w:r>
          <w:rPr>
            <w:noProof/>
            <w:webHidden/>
          </w:rPr>
          <w:instrText xml:space="preserve"> PAGEREF _Toc144448519 \h </w:instrText>
        </w:r>
        <w:r>
          <w:rPr>
            <w:noProof/>
            <w:webHidden/>
          </w:rPr>
        </w:r>
        <w:r>
          <w:rPr>
            <w:noProof/>
            <w:webHidden/>
          </w:rPr>
          <w:fldChar w:fldCharType="separate"/>
        </w:r>
        <w:r w:rsidR="00580465">
          <w:rPr>
            <w:noProof/>
            <w:webHidden/>
          </w:rPr>
          <w:t>17</w:t>
        </w:r>
        <w:r>
          <w:rPr>
            <w:noProof/>
            <w:webHidden/>
          </w:rPr>
          <w:fldChar w:fldCharType="end"/>
        </w:r>
      </w:hyperlink>
    </w:p>
    <w:p w14:paraId="3EFBC141" w14:textId="51E39224" w:rsidR="00AE7DBE" w:rsidRDefault="00AE7DBE">
      <w:pPr>
        <w:pStyle w:val="TOC2"/>
        <w:rPr>
          <w:rFonts w:asciiTheme="minorHAnsi" w:eastAsiaTheme="minorEastAsia" w:hAnsiTheme="minorHAnsi" w:cstheme="minorBidi"/>
          <w:noProof/>
          <w:szCs w:val="22"/>
          <w:lang w:eastAsia="en-NZ"/>
        </w:rPr>
      </w:pPr>
      <w:hyperlink w:anchor="_Toc144448520" w:history="1">
        <w:r w:rsidRPr="00EC0258">
          <w:rPr>
            <w:rStyle w:val="Hyperlink"/>
            <w:noProof/>
          </w:rPr>
          <w:t>Factors determining which tools and measures we use</w:t>
        </w:r>
        <w:r>
          <w:rPr>
            <w:noProof/>
            <w:webHidden/>
          </w:rPr>
          <w:tab/>
        </w:r>
        <w:r>
          <w:rPr>
            <w:noProof/>
            <w:webHidden/>
          </w:rPr>
          <w:fldChar w:fldCharType="begin"/>
        </w:r>
        <w:r>
          <w:rPr>
            <w:noProof/>
            <w:webHidden/>
          </w:rPr>
          <w:instrText xml:space="preserve"> PAGEREF _Toc144448520 \h </w:instrText>
        </w:r>
        <w:r>
          <w:rPr>
            <w:noProof/>
            <w:webHidden/>
          </w:rPr>
        </w:r>
        <w:r>
          <w:rPr>
            <w:noProof/>
            <w:webHidden/>
          </w:rPr>
          <w:fldChar w:fldCharType="separate"/>
        </w:r>
        <w:r w:rsidR="00580465">
          <w:rPr>
            <w:noProof/>
            <w:webHidden/>
          </w:rPr>
          <w:t>18</w:t>
        </w:r>
        <w:r>
          <w:rPr>
            <w:noProof/>
            <w:webHidden/>
          </w:rPr>
          <w:fldChar w:fldCharType="end"/>
        </w:r>
      </w:hyperlink>
    </w:p>
    <w:p w14:paraId="5B31AA30" w14:textId="6328C049" w:rsidR="00AE7DBE" w:rsidRDefault="00AE7DBE">
      <w:pPr>
        <w:pStyle w:val="TOC1"/>
        <w:rPr>
          <w:rFonts w:asciiTheme="minorHAnsi" w:eastAsiaTheme="minorEastAsia" w:hAnsiTheme="minorHAnsi" w:cstheme="minorBidi"/>
          <w:noProof/>
          <w:sz w:val="22"/>
          <w:szCs w:val="22"/>
          <w:lang w:eastAsia="en-NZ"/>
        </w:rPr>
      </w:pPr>
      <w:hyperlink w:anchor="_Toc144448521" w:history="1">
        <w:r w:rsidRPr="00EC0258">
          <w:rPr>
            <w:rStyle w:val="Hyperlink"/>
            <w:noProof/>
          </w:rPr>
          <w:t>Implementation</w:t>
        </w:r>
        <w:r>
          <w:rPr>
            <w:noProof/>
            <w:webHidden/>
          </w:rPr>
          <w:tab/>
        </w:r>
        <w:r>
          <w:rPr>
            <w:noProof/>
            <w:webHidden/>
          </w:rPr>
          <w:fldChar w:fldCharType="begin"/>
        </w:r>
        <w:r>
          <w:rPr>
            <w:noProof/>
            <w:webHidden/>
          </w:rPr>
          <w:instrText xml:space="preserve"> PAGEREF _Toc144448521 \h </w:instrText>
        </w:r>
        <w:r>
          <w:rPr>
            <w:noProof/>
            <w:webHidden/>
          </w:rPr>
        </w:r>
        <w:r>
          <w:rPr>
            <w:noProof/>
            <w:webHidden/>
          </w:rPr>
          <w:fldChar w:fldCharType="separate"/>
        </w:r>
        <w:r w:rsidR="00580465">
          <w:rPr>
            <w:noProof/>
            <w:webHidden/>
          </w:rPr>
          <w:t>21</w:t>
        </w:r>
        <w:r>
          <w:rPr>
            <w:noProof/>
            <w:webHidden/>
          </w:rPr>
          <w:fldChar w:fldCharType="end"/>
        </w:r>
      </w:hyperlink>
    </w:p>
    <w:p w14:paraId="1B5AC988" w14:textId="2D3D08CB" w:rsidR="00AE7DBE" w:rsidRDefault="00AE7DBE">
      <w:pPr>
        <w:pStyle w:val="TOC1"/>
        <w:rPr>
          <w:rFonts w:asciiTheme="minorHAnsi" w:eastAsiaTheme="minorEastAsia" w:hAnsiTheme="minorHAnsi" w:cstheme="minorBidi"/>
          <w:noProof/>
          <w:sz w:val="22"/>
          <w:szCs w:val="22"/>
          <w:lang w:eastAsia="en-NZ"/>
        </w:rPr>
      </w:pPr>
      <w:hyperlink w:anchor="_Toc144448522" w:history="1">
        <w:r w:rsidRPr="00EC0258">
          <w:rPr>
            <w:rStyle w:val="Hyperlink"/>
            <w:noProof/>
          </w:rPr>
          <w:t>Appendix: Description of measures to manage COVID-19</w:t>
        </w:r>
        <w:r>
          <w:rPr>
            <w:noProof/>
            <w:webHidden/>
          </w:rPr>
          <w:tab/>
        </w:r>
        <w:r>
          <w:rPr>
            <w:noProof/>
            <w:webHidden/>
          </w:rPr>
          <w:fldChar w:fldCharType="begin"/>
        </w:r>
        <w:r>
          <w:rPr>
            <w:noProof/>
            <w:webHidden/>
          </w:rPr>
          <w:instrText xml:space="preserve"> PAGEREF _Toc144448522 \h </w:instrText>
        </w:r>
        <w:r>
          <w:rPr>
            <w:noProof/>
            <w:webHidden/>
          </w:rPr>
        </w:r>
        <w:r>
          <w:rPr>
            <w:noProof/>
            <w:webHidden/>
          </w:rPr>
          <w:fldChar w:fldCharType="separate"/>
        </w:r>
        <w:r w:rsidR="00580465">
          <w:rPr>
            <w:noProof/>
            <w:webHidden/>
          </w:rPr>
          <w:t>22</w:t>
        </w:r>
        <w:r>
          <w:rPr>
            <w:noProof/>
            <w:webHidden/>
          </w:rPr>
          <w:fldChar w:fldCharType="end"/>
        </w:r>
      </w:hyperlink>
    </w:p>
    <w:p w14:paraId="133A9219" w14:textId="04F234EF" w:rsidR="00C86248" w:rsidRDefault="00AE7DBE">
      <w:r>
        <w:rPr>
          <w:rFonts w:ascii="Segoe UI Semibold" w:hAnsi="Segoe UI Semibold"/>
          <w:b/>
          <w:sz w:val="24"/>
        </w:rPr>
        <w:fldChar w:fldCharType="end"/>
      </w:r>
    </w:p>
    <w:p w14:paraId="05CC63FD" w14:textId="0E268CBC" w:rsidR="003A5FEA" w:rsidRDefault="003A5FEA" w:rsidP="003A5FEA"/>
    <w:p w14:paraId="0D248541" w14:textId="77777777" w:rsidR="002B76A7" w:rsidRDefault="002B76A7" w:rsidP="002B76A7">
      <w:pPr>
        <w:pStyle w:val="TOC1"/>
        <w:keepNext/>
      </w:pPr>
      <w:r>
        <w:t>List of Tables</w:t>
      </w:r>
    </w:p>
    <w:p w14:paraId="6414422A" w14:textId="5B93F7E1" w:rsidR="00F35AD7" w:rsidRDefault="002B76A7">
      <w:pPr>
        <w:pStyle w:val="TOC3"/>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F35AD7">
        <w:rPr>
          <w:noProof/>
        </w:rPr>
        <w:t>Table 1: Considerations for deciding which tools and measures to apply</w:t>
      </w:r>
      <w:r w:rsidR="00F35AD7">
        <w:rPr>
          <w:noProof/>
        </w:rPr>
        <w:tab/>
      </w:r>
      <w:r w:rsidR="00F35AD7">
        <w:rPr>
          <w:noProof/>
        </w:rPr>
        <w:fldChar w:fldCharType="begin"/>
      </w:r>
      <w:r w:rsidR="00F35AD7">
        <w:rPr>
          <w:noProof/>
        </w:rPr>
        <w:instrText xml:space="preserve"> PAGEREF _Toc144389650 \h </w:instrText>
      </w:r>
      <w:r w:rsidR="00F35AD7">
        <w:rPr>
          <w:noProof/>
        </w:rPr>
      </w:r>
      <w:r w:rsidR="00F35AD7">
        <w:rPr>
          <w:noProof/>
        </w:rPr>
        <w:fldChar w:fldCharType="separate"/>
      </w:r>
      <w:r w:rsidR="00580465">
        <w:rPr>
          <w:noProof/>
        </w:rPr>
        <w:t>18</w:t>
      </w:r>
      <w:r w:rsidR="00F35AD7">
        <w:rPr>
          <w:noProof/>
        </w:rPr>
        <w:fldChar w:fldCharType="end"/>
      </w:r>
    </w:p>
    <w:p w14:paraId="783B2E61" w14:textId="5399EA3C" w:rsidR="00F35AD7" w:rsidRDefault="00F35AD7">
      <w:pPr>
        <w:pStyle w:val="TOC3"/>
        <w:rPr>
          <w:rFonts w:asciiTheme="minorHAnsi" w:eastAsiaTheme="minorEastAsia" w:hAnsiTheme="minorHAnsi" w:cstheme="minorBidi"/>
          <w:noProof/>
          <w:sz w:val="22"/>
          <w:szCs w:val="22"/>
          <w:lang w:val="en-AU" w:eastAsia="en-AU"/>
        </w:rPr>
      </w:pPr>
      <w:r>
        <w:rPr>
          <w:noProof/>
        </w:rPr>
        <w:t>Table 2: How we calibrate the response according to the potential impact of the outbreak</w:t>
      </w:r>
      <w:r>
        <w:rPr>
          <w:noProof/>
        </w:rPr>
        <w:tab/>
      </w:r>
      <w:r>
        <w:rPr>
          <w:noProof/>
        </w:rPr>
        <w:fldChar w:fldCharType="begin"/>
      </w:r>
      <w:r>
        <w:rPr>
          <w:noProof/>
        </w:rPr>
        <w:instrText xml:space="preserve"> PAGEREF _Toc144389651 \h </w:instrText>
      </w:r>
      <w:r>
        <w:rPr>
          <w:noProof/>
        </w:rPr>
      </w:r>
      <w:r>
        <w:rPr>
          <w:noProof/>
        </w:rPr>
        <w:fldChar w:fldCharType="separate"/>
      </w:r>
      <w:r w:rsidR="00580465">
        <w:rPr>
          <w:noProof/>
        </w:rPr>
        <w:t>20</w:t>
      </w:r>
      <w:r>
        <w:rPr>
          <w:noProof/>
        </w:rPr>
        <w:fldChar w:fldCharType="end"/>
      </w:r>
    </w:p>
    <w:p w14:paraId="4A6797B1" w14:textId="116F3960" w:rsidR="002B76A7" w:rsidRDefault="002B76A7" w:rsidP="003A5FEA">
      <w:r>
        <w:fldChar w:fldCharType="end"/>
      </w:r>
    </w:p>
    <w:p w14:paraId="03333094" w14:textId="77777777" w:rsidR="001D3E4E" w:rsidRDefault="001D3E4E" w:rsidP="003A5FEA">
      <w:pPr>
        <w:sectPr w:rsidR="001D3E4E"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6889BC0F" w14:textId="77777777" w:rsidR="009A42D5" w:rsidRPr="0043478F" w:rsidRDefault="009A42D5" w:rsidP="0008437D">
      <w:pPr>
        <w:ind w:left="-2268" w:right="-1701"/>
      </w:pPr>
    </w:p>
    <w:p w14:paraId="39BE2591" w14:textId="07786716" w:rsidR="008C2973" w:rsidRDefault="00136EB3" w:rsidP="00136EB3">
      <w:pPr>
        <w:pStyle w:val="Heading1"/>
        <w:spacing w:before="0"/>
      </w:pPr>
      <w:bookmarkStart w:id="3" w:name="_Toc144448500"/>
      <w:r w:rsidRPr="00136EB3">
        <w:t>Foreword</w:t>
      </w:r>
      <w:bookmarkEnd w:id="3"/>
    </w:p>
    <w:p w14:paraId="495101CA" w14:textId="3B72620A" w:rsidR="00136EB3" w:rsidRDefault="00136EB3" w:rsidP="00136EB3">
      <w:r>
        <w:t>The</w:t>
      </w:r>
      <w:r w:rsidRPr="00D97871">
        <w:t xml:space="preserve"> </w:t>
      </w:r>
      <w:r w:rsidRPr="007B37FA">
        <w:rPr>
          <w:i/>
          <w:iCs/>
        </w:rPr>
        <w:t>Aotearoa New Zealand Strategic Framework for Managing COVID-19</w:t>
      </w:r>
      <w:r>
        <w:t xml:space="preserve"> </w:t>
      </w:r>
      <w:r w:rsidRPr="00D97871">
        <w:t xml:space="preserve">sets out the direction for the </w:t>
      </w:r>
      <w:r>
        <w:t>long-term</w:t>
      </w:r>
      <w:r w:rsidRPr="00D97871">
        <w:t xml:space="preserve"> management of COVID-19</w:t>
      </w:r>
      <w:r>
        <w:t xml:space="preserve"> for our country. </w:t>
      </w:r>
    </w:p>
    <w:p w14:paraId="2E27F712" w14:textId="77777777" w:rsidR="00136EB3" w:rsidRPr="00D97871" w:rsidRDefault="00136EB3" w:rsidP="00136EB3"/>
    <w:p w14:paraId="43BE7D45" w14:textId="4E3E346C" w:rsidR="00136EB3" w:rsidRDefault="00136EB3" w:rsidP="00136EB3">
      <w:r>
        <w:t xml:space="preserve">The COVID-19 virus continues to evolve, as will its impact and our response. This strategic framework </w:t>
      </w:r>
      <w:r w:rsidRPr="000B7CFE">
        <w:t>build</w:t>
      </w:r>
      <w:r>
        <w:t>s</w:t>
      </w:r>
      <w:r w:rsidRPr="00D97871">
        <w:t xml:space="preserve"> on and replace</w:t>
      </w:r>
      <w:r>
        <w:t>s</w:t>
      </w:r>
      <w:r w:rsidRPr="00D97871">
        <w:t xml:space="preserve"> </w:t>
      </w:r>
      <w:r w:rsidRPr="000B7CFE">
        <w:t xml:space="preserve">the </w:t>
      </w:r>
      <w:r w:rsidRPr="00270555">
        <w:rPr>
          <w:i/>
          <w:iCs/>
        </w:rPr>
        <w:t xml:space="preserve">National </w:t>
      </w:r>
      <w:r>
        <w:rPr>
          <w:i/>
          <w:iCs/>
        </w:rPr>
        <w:t>Action</w:t>
      </w:r>
      <w:r w:rsidRPr="00270555">
        <w:rPr>
          <w:i/>
          <w:iCs/>
        </w:rPr>
        <w:t xml:space="preserve"> Plan</w:t>
      </w:r>
      <w:r>
        <w:rPr>
          <w:i/>
          <w:iCs/>
        </w:rPr>
        <w:t xml:space="preserve"> 3</w:t>
      </w:r>
      <w:r>
        <w:rPr>
          <w:rStyle w:val="FootnoteReference"/>
          <w:rFonts w:cs="Segoe UI"/>
          <w:i/>
          <w:iCs/>
        </w:rPr>
        <w:footnoteReference w:id="1"/>
      </w:r>
      <w:r w:rsidRPr="00D97871">
        <w:t xml:space="preserve"> and the </w:t>
      </w:r>
      <w:r>
        <w:rPr>
          <w:i/>
          <w:iCs/>
        </w:rPr>
        <w:t xml:space="preserve">Summary of Aotearoa New Zealand’s Strategic </w:t>
      </w:r>
      <w:r w:rsidRPr="00270555">
        <w:rPr>
          <w:i/>
          <w:iCs/>
        </w:rPr>
        <w:t>Framework</w:t>
      </w:r>
      <w:r>
        <w:rPr>
          <w:i/>
          <w:iCs/>
        </w:rPr>
        <w:t xml:space="preserve"> for</w:t>
      </w:r>
      <w:r w:rsidRPr="00270555">
        <w:rPr>
          <w:i/>
          <w:iCs/>
        </w:rPr>
        <w:t xml:space="preserve"> COVID-19 Variants of Concern</w:t>
      </w:r>
      <w:r>
        <w:rPr>
          <w:i/>
          <w:iCs/>
        </w:rPr>
        <w:t xml:space="preserve"> – Summary for Cabinet</w:t>
      </w:r>
      <w:r>
        <w:rPr>
          <w:rStyle w:val="FootnoteReference"/>
          <w:rFonts w:cs="Segoe UI"/>
          <w:i/>
          <w:iCs/>
        </w:rPr>
        <w:footnoteReference w:id="2"/>
      </w:r>
      <w:r w:rsidRPr="00D97871">
        <w:t xml:space="preserve">. </w:t>
      </w:r>
      <w:r>
        <w:t>It is a single framework that outlines the outcomes we seek, and the priorities which will get us there, as we work together on the long</w:t>
      </w:r>
      <w:r w:rsidRPr="000B7CFE">
        <w:t>-</w:t>
      </w:r>
      <w:r>
        <w:t>term management of COVID-19.</w:t>
      </w:r>
    </w:p>
    <w:p w14:paraId="436DE6A1" w14:textId="77777777" w:rsidR="00136EB3" w:rsidRPr="00D97871" w:rsidRDefault="00136EB3" w:rsidP="00136EB3"/>
    <w:p w14:paraId="7DD8A691" w14:textId="6A358EB2" w:rsidR="00136EB3" w:rsidRDefault="00136EB3" w:rsidP="00136EB3">
      <w:r w:rsidRPr="00D97871">
        <w:t>COVID-19 is likely to represent a challenge to public health for some time. While there is inherent uncertainty with a virus that continues to mutate, we have better tools and are better placed to respond</w:t>
      </w:r>
      <w:r>
        <w:t xml:space="preserve"> than when the virus first emerged</w:t>
      </w:r>
      <w:r w:rsidRPr="00D97871">
        <w:t xml:space="preserve">. </w:t>
      </w:r>
    </w:p>
    <w:p w14:paraId="23B02532" w14:textId="77777777" w:rsidR="00136EB3" w:rsidRDefault="00136EB3" w:rsidP="00136EB3"/>
    <w:p w14:paraId="7B7AF518" w14:textId="378FC389" w:rsidR="00136EB3" w:rsidRDefault="00136EB3" w:rsidP="00136EB3">
      <w:r>
        <w:t>Immunity resulting from the cumulative effects of vaccination and previous infection is reducing the severity of the illness in our population. And for those at greater risk, antivirals are protecting against severe disease.</w:t>
      </w:r>
    </w:p>
    <w:p w14:paraId="214D267A" w14:textId="77777777" w:rsidR="00136EB3" w:rsidRDefault="00136EB3" w:rsidP="00136EB3"/>
    <w:p w14:paraId="371993A1" w14:textId="27C9E9A4" w:rsidR="00136EB3" w:rsidRDefault="00136EB3" w:rsidP="00136EB3">
      <w:r>
        <w:t>Our reformed public health system</w:t>
      </w:r>
      <w:r w:rsidRPr="00D97871">
        <w:t xml:space="preserve"> put</w:t>
      </w:r>
      <w:r>
        <w:t>s</w:t>
      </w:r>
      <w:r w:rsidRPr="00D97871">
        <w:t xml:space="preserve"> us in </w:t>
      </w:r>
      <w:r>
        <w:t>the best stead to deliver an integrated service, and our</w:t>
      </w:r>
      <w:r w:rsidRPr="00D97871">
        <w:t xml:space="preserve"> </w:t>
      </w:r>
      <w:r>
        <w:t>strong</w:t>
      </w:r>
      <w:r w:rsidRPr="00D97871">
        <w:t xml:space="preserve"> public health focus </w:t>
      </w:r>
      <w:r>
        <w:t xml:space="preserve">will serve everyone equally. </w:t>
      </w:r>
      <w:r w:rsidRPr="00D97871">
        <w:t xml:space="preserve"> </w:t>
      </w:r>
    </w:p>
    <w:p w14:paraId="081511D2" w14:textId="77777777" w:rsidR="00136EB3" w:rsidRPr="00D97871" w:rsidRDefault="00136EB3" w:rsidP="00136EB3"/>
    <w:p w14:paraId="6B414F58" w14:textId="2B596594" w:rsidR="00136EB3" w:rsidRDefault="00136EB3" w:rsidP="00136EB3">
      <w:r>
        <w:t xml:space="preserve">Now that the last remaining mandatory COVID-19 measures have been removed, we are shifting our management of </w:t>
      </w:r>
      <w:r w:rsidRPr="00D97871">
        <w:t xml:space="preserve">COVID-19 </w:t>
      </w:r>
      <w:r>
        <w:t xml:space="preserve">from an emergency response, and focusing on </w:t>
      </w:r>
      <w:r w:rsidRPr="00D97871">
        <w:t xml:space="preserve"> </w:t>
      </w:r>
      <w:r>
        <w:t xml:space="preserve">improving our </w:t>
      </w:r>
      <w:r w:rsidRPr="00D97871">
        <w:t xml:space="preserve">resilience </w:t>
      </w:r>
      <w:r>
        <w:t>to</w:t>
      </w:r>
      <w:r w:rsidRPr="00D97871">
        <w:t xml:space="preserve"> future pandemics and </w:t>
      </w:r>
      <w:r>
        <w:t xml:space="preserve">our management of other </w:t>
      </w:r>
      <w:r w:rsidRPr="00D97871">
        <w:t>infectious diseases.  </w:t>
      </w:r>
    </w:p>
    <w:p w14:paraId="1F9AB2C3" w14:textId="77777777" w:rsidR="00136EB3" w:rsidRPr="00D97871" w:rsidRDefault="00136EB3" w:rsidP="00136EB3"/>
    <w:p w14:paraId="438DC43A" w14:textId="77777777" w:rsidR="00136EB3" w:rsidRPr="0097276C" w:rsidRDefault="00136EB3" w:rsidP="00136EB3">
      <w:r w:rsidRPr="00D97871">
        <w:t xml:space="preserve">This </w:t>
      </w:r>
      <w:r>
        <w:t>strategic</w:t>
      </w:r>
      <w:r w:rsidRPr="00D97871">
        <w:t xml:space="preserve"> framework support</w:t>
      </w:r>
      <w:r>
        <w:t>s</w:t>
      </w:r>
      <w:r w:rsidRPr="00D97871">
        <w:t xml:space="preserve"> this shift and </w:t>
      </w:r>
      <w:r>
        <w:t xml:space="preserve">will harness our efforts toward </w:t>
      </w:r>
      <w:r w:rsidRPr="00D97871">
        <w:t xml:space="preserve">the high-level goal </w:t>
      </w:r>
      <w:r w:rsidRPr="0097276C">
        <w:t xml:space="preserve">of </w:t>
      </w:r>
      <w:r>
        <w:t>pae ora</w:t>
      </w:r>
      <w:r w:rsidRPr="0097276C">
        <w:t xml:space="preserve"> – healthy futures</w:t>
      </w:r>
      <w:r>
        <w:t>,</w:t>
      </w:r>
      <w:r w:rsidRPr="0097276C">
        <w:t xml:space="preserve"> by protecting Aotearoa New Zealand and the individual and collective wellbeing of </w:t>
      </w:r>
      <w:r>
        <w:t>our</w:t>
      </w:r>
      <w:r w:rsidRPr="0097276C">
        <w:t xml:space="preserve"> people from the impacts of COVID-19.</w:t>
      </w:r>
    </w:p>
    <w:p w14:paraId="30ADB638" w14:textId="77777777" w:rsidR="00136EB3" w:rsidRDefault="00136EB3" w:rsidP="00136EB3">
      <w:pPr>
        <w:spacing w:after="120"/>
        <w:rPr>
          <w:rFonts w:cs="Segoe UI"/>
        </w:rPr>
      </w:pPr>
    </w:p>
    <w:p w14:paraId="13345152" w14:textId="77777777" w:rsidR="00136EB3" w:rsidRPr="0097276C" w:rsidRDefault="00136EB3" w:rsidP="00136EB3">
      <w:pPr>
        <w:spacing w:after="120"/>
        <w:rPr>
          <w:rFonts w:cs="Segoe UI"/>
        </w:rPr>
      </w:pPr>
    </w:p>
    <w:p w14:paraId="11C9C376" w14:textId="77777777" w:rsidR="00136EB3" w:rsidRDefault="00136EB3" w:rsidP="00136EB3">
      <w:pPr>
        <w:rPr>
          <w:rFonts w:cs="Segoe UI"/>
        </w:rPr>
        <w:sectPr w:rsidR="00136EB3" w:rsidSect="003309CA">
          <w:headerReference w:type="default" r:id="rId22"/>
          <w:footerReference w:type="even" r:id="rId23"/>
          <w:footerReference w:type="default" r:id="rId24"/>
          <w:pgSz w:w="11907" w:h="16834" w:code="9"/>
          <w:pgMar w:top="1418" w:right="1701" w:bottom="1134" w:left="1843" w:header="284" w:footer="425" w:gutter="284"/>
          <w:pgNumType w:start="1"/>
          <w:cols w:space="720"/>
        </w:sectPr>
      </w:pPr>
      <w:r w:rsidRPr="00FD4E6A">
        <w:rPr>
          <w:rFonts w:cs="Segoe UI"/>
        </w:rPr>
        <w:t xml:space="preserve">Dr Diana Sarfati </w:t>
      </w:r>
      <w:r w:rsidRPr="00F45DF6">
        <w:rPr>
          <w:rFonts w:cs="Segoe UI"/>
          <w:szCs w:val="21"/>
          <w:lang w:eastAsia="en-NZ"/>
        </w:rPr>
        <w:br/>
      </w:r>
      <w:r w:rsidRPr="00F45DF6">
        <w:rPr>
          <w:rFonts w:cs="Segoe UI"/>
        </w:rPr>
        <w:t>Te Tumu Whakarae mō te Hauora</w:t>
      </w:r>
      <w:r w:rsidRPr="00F45DF6">
        <w:rPr>
          <w:rFonts w:cs="Segoe UI"/>
        </w:rPr>
        <w:br/>
        <w:t>Director-General of Health</w:t>
      </w:r>
    </w:p>
    <w:p w14:paraId="59207B7F" w14:textId="77777777" w:rsidR="00136EB3" w:rsidRPr="00F45DF6" w:rsidRDefault="00136EB3" w:rsidP="00136EB3">
      <w:pPr>
        <w:pStyle w:val="Heading1"/>
        <w:spacing w:before="0"/>
      </w:pPr>
      <w:bookmarkStart w:id="4" w:name="_Toc144448501"/>
      <w:r w:rsidRPr="00136EB3">
        <w:lastRenderedPageBreak/>
        <w:t>Introduction</w:t>
      </w:r>
      <w:bookmarkEnd w:id="4"/>
    </w:p>
    <w:p w14:paraId="6DF50743" w14:textId="5ABAE575" w:rsidR="00136EB3" w:rsidRDefault="00136EB3" w:rsidP="00136EB3">
      <w:bookmarkStart w:id="5" w:name="_Toc127912538"/>
      <w:r w:rsidRPr="36D92851">
        <w:t>The COVID-19 pandemic has been one of the most significant global events in a generation. It has had far</w:t>
      </w:r>
      <w:r>
        <w:t>-</w:t>
      </w:r>
      <w:r w:rsidRPr="36D92851">
        <w:t xml:space="preserve">reaching social, health and economic impacts, well beyond the acute impact on human health. Lives and livelihoods have been disrupted, millions have died worldwide, and for many, the way we work, learn, travel and socialise has changed. </w:t>
      </w:r>
    </w:p>
    <w:p w14:paraId="4F01B01D" w14:textId="77777777" w:rsidR="00136EB3" w:rsidRPr="0002444D" w:rsidRDefault="00136EB3" w:rsidP="00136EB3"/>
    <w:p w14:paraId="6C248E46" w14:textId="0ECE36FC" w:rsidR="00136EB3" w:rsidRDefault="00136EB3" w:rsidP="00136EB3">
      <w:r w:rsidRPr="2EAF913A">
        <w:t xml:space="preserve">Internationally, and here in Aotearoa New Zealand, the pandemic has </w:t>
      </w:r>
      <w:r>
        <w:t>highlighted</w:t>
      </w:r>
      <w:r w:rsidRPr="2EAF913A">
        <w:t xml:space="preserve"> the need for better overall pandemic preparedness. We need more resilient systems with the agility to surge during crises and mitigate the shocks of public health emergencies. </w:t>
      </w:r>
    </w:p>
    <w:p w14:paraId="18200AFC" w14:textId="77777777" w:rsidR="00136EB3" w:rsidRPr="0002444D" w:rsidRDefault="00136EB3" w:rsidP="00136EB3"/>
    <w:p w14:paraId="5172F3DD" w14:textId="20522A2F" w:rsidR="00136EB3" w:rsidRDefault="00136EB3" w:rsidP="00136EB3">
      <w:r w:rsidRPr="00133522">
        <w:t xml:space="preserve">Despite significant efforts, COVID-19 has exacerbated existing inequities, with </w:t>
      </w:r>
      <w:r>
        <w:t>its</w:t>
      </w:r>
      <w:r w:rsidRPr="00133522">
        <w:t xml:space="preserve"> direct and indirect impacts in Aotearoa New Zealand falling more heavily on Māori, Pacific peoples, those with pre-existing health conditions, disabled people, </w:t>
      </w:r>
      <w:r>
        <w:t xml:space="preserve">ethnic communities </w:t>
      </w:r>
      <w:r w:rsidRPr="00133522">
        <w:t>and those with lower incomes.</w:t>
      </w:r>
      <w:r>
        <w:t xml:space="preserve"> </w:t>
      </w:r>
    </w:p>
    <w:p w14:paraId="0B290F3D" w14:textId="77777777" w:rsidR="00136EB3" w:rsidRDefault="00136EB3" w:rsidP="00136EB3"/>
    <w:p w14:paraId="4202366F" w14:textId="413A598C" w:rsidR="00136EB3" w:rsidRDefault="00136EB3" w:rsidP="00136EB3">
      <w:r w:rsidRPr="00FC5E84">
        <w:t xml:space="preserve">The long-term impacts of COVID-19 are also becoming clearer, including </w:t>
      </w:r>
      <w:r>
        <w:t xml:space="preserve">persistent </w:t>
      </w:r>
      <w:r w:rsidRPr="00FC5E84">
        <w:t xml:space="preserve">post-acute sequalae (long COVID), delayed and deferred </w:t>
      </w:r>
      <w:r>
        <w:t xml:space="preserve">health </w:t>
      </w:r>
      <w:r w:rsidRPr="00FC5E84">
        <w:t>care, workforce impacts and changes in societal trust and behaviour</w:t>
      </w:r>
      <w:r>
        <w:t>s</w:t>
      </w:r>
      <w:r w:rsidRPr="00FC5E84">
        <w:t xml:space="preserve">. </w:t>
      </w:r>
    </w:p>
    <w:p w14:paraId="768A2726" w14:textId="77777777" w:rsidR="00136EB3" w:rsidRPr="00FC5E84" w:rsidRDefault="00136EB3" w:rsidP="00136EB3"/>
    <w:p w14:paraId="69EF0F4C" w14:textId="77777777" w:rsidR="00136EB3" w:rsidRDefault="00136EB3" w:rsidP="00136EB3">
      <w:r w:rsidRPr="0C48B928">
        <w:t xml:space="preserve">All indications are that COVID-19 will be with us for the foreseeable future. We need to ensure we are well positioned to manage COVID-19 </w:t>
      </w:r>
      <w:r>
        <w:t>over</w:t>
      </w:r>
      <w:r w:rsidRPr="0C48B928">
        <w:t xml:space="preserve"> the long term. We need to build on the gains we have made and have confidence that our systems and communities will be better prepared to respond to future waves of COVID-19, as well as other infectious agents with pandemic potential.</w:t>
      </w:r>
      <w:r>
        <w:t xml:space="preserve"> </w:t>
      </w:r>
    </w:p>
    <w:p w14:paraId="132AC1AF" w14:textId="77777777" w:rsidR="00136EB3" w:rsidRPr="00136EB3" w:rsidRDefault="00136EB3" w:rsidP="00136EB3">
      <w:pPr>
        <w:pStyle w:val="Heading2"/>
      </w:pPr>
      <w:bookmarkStart w:id="6" w:name="_Toc144448502"/>
      <w:r w:rsidRPr="00136EB3">
        <w:t>Most likely trajectory of COVID-19 for Aotearoa New Zealand</w:t>
      </w:r>
      <w:bookmarkEnd w:id="6"/>
    </w:p>
    <w:p w14:paraId="6A551FB4" w14:textId="2D0CCE19" w:rsidR="00136EB3" w:rsidRDefault="00136EB3" w:rsidP="00136EB3">
      <w:r w:rsidRPr="00744D54">
        <w:t>Based on the behaviour of the virus to date, we can expect emergent variants displaying increased ‘immune evasion</w:t>
      </w:r>
      <w:r>
        <w:rPr>
          <w:rStyle w:val="FootnoteReference"/>
          <w:rFonts w:cs="Segoe UI"/>
          <w:color w:val="000000" w:themeColor="text1"/>
        </w:rPr>
        <w:footnoteReference w:id="3"/>
      </w:r>
      <w:r w:rsidRPr="00744D54">
        <w:t>’ and/or transmissibility. In combination with waning immunity, these will lead to a consistent base level of new COVID-19 infections with several outbreaks or waves each year.</w:t>
      </w:r>
    </w:p>
    <w:p w14:paraId="5F4B6122" w14:textId="77777777" w:rsidR="00136EB3" w:rsidRPr="00744D54" w:rsidRDefault="00136EB3" w:rsidP="00136EB3"/>
    <w:p w14:paraId="5EAE2105" w14:textId="69DA3D33" w:rsidR="00136EB3" w:rsidRDefault="00136EB3" w:rsidP="00136EB3">
      <w:r w:rsidRPr="00744D54">
        <w:t>The changing patterns of circulating subvariants with immune evasive properties mean that reinfections will be common. While the combined effect of vaccination and previous exposure to COVID-19 is reducing the severity of infection, all infections carry a risk of illness, hospitalisation, death and disability from long COVID.</w:t>
      </w:r>
    </w:p>
    <w:p w14:paraId="746AC449" w14:textId="77777777" w:rsidR="00136EB3" w:rsidRPr="00744D54" w:rsidRDefault="00136EB3" w:rsidP="00136EB3"/>
    <w:p w14:paraId="5935947B" w14:textId="629E7DAB" w:rsidR="00136EB3" w:rsidRDefault="00136EB3" w:rsidP="00571968">
      <w:r w:rsidRPr="00744D54">
        <w:t xml:space="preserve">COVID-19 infections do not currently follow a seasonal pattern like other respiratory infections. However, infection rates are likely </w:t>
      </w:r>
      <w:r w:rsidRPr="00744D54" w:rsidDel="0013735F">
        <w:t xml:space="preserve">to </w:t>
      </w:r>
      <w:r w:rsidRPr="00744D54">
        <w:t xml:space="preserve">increase as immunity wanes and at </w:t>
      </w:r>
      <w:r w:rsidRPr="00744D54">
        <w:lastRenderedPageBreak/>
        <w:t>times of the year (for example, winter) when people are more likely to gather indoors, which increases the risk of transmission.</w:t>
      </w:r>
    </w:p>
    <w:p w14:paraId="7547F264" w14:textId="77777777" w:rsidR="00571968" w:rsidRPr="00744D54" w:rsidRDefault="00571968" w:rsidP="00571968"/>
    <w:p w14:paraId="778E2073" w14:textId="0A0F642E" w:rsidR="00136EB3" w:rsidRDefault="00136EB3" w:rsidP="00571968">
      <w:pPr>
        <w:rPr>
          <w:rFonts w:cs="Segoe UI"/>
          <w:color w:val="000000" w:themeColor="text1"/>
        </w:rPr>
      </w:pPr>
      <w:r w:rsidRPr="00744D54">
        <w:rPr>
          <w:rFonts w:cs="Segoe UI"/>
          <w:color w:val="000000" w:themeColor="text1"/>
        </w:rPr>
        <w:t>The size, timing and duration of the peaks and baseline trends of cases, hospitalisations and mortality is uncertain due to the current and future variant mix in the community. A complex mixture of sub-variants co-circulating at the same time, as seen in 2023, is likely to continue. At this stage, an increase in severity is unlikely but remains a possibility.</w:t>
      </w:r>
    </w:p>
    <w:p w14:paraId="0B82E18D" w14:textId="77777777" w:rsidR="00571968" w:rsidRPr="00744D54" w:rsidRDefault="00571968" w:rsidP="00571968">
      <w:pPr>
        <w:rPr>
          <w:rFonts w:cs="Segoe UI"/>
          <w:color w:val="000000" w:themeColor="text1"/>
        </w:rPr>
      </w:pPr>
    </w:p>
    <w:p w14:paraId="227FDFF4" w14:textId="77777777" w:rsidR="00136EB3" w:rsidRPr="00744D54" w:rsidRDefault="00136EB3" w:rsidP="00571968">
      <w:pPr>
        <w:rPr>
          <w:rFonts w:cs="Segoe UI"/>
          <w:color w:val="000000" w:themeColor="text1"/>
        </w:rPr>
      </w:pPr>
      <w:r w:rsidRPr="00744D54">
        <w:rPr>
          <w:rFonts w:cs="Segoe UI"/>
          <w:color w:val="000000" w:themeColor="text1"/>
        </w:rPr>
        <w:t>The emergence (or re-emergence) of a new non-Omicron variant (most likely from a zoonotic reservoir or chronic infection from an immunocompromised case, somewhere locally or globally) leading to significant increases in cases and severe disease is less likely, but this too, remains a possibility.</w:t>
      </w:r>
    </w:p>
    <w:p w14:paraId="1EBF5701" w14:textId="77777777" w:rsidR="00136EB3" w:rsidRPr="0002444D" w:rsidRDefault="00136EB3" w:rsidP="00136EB3">
      <w:pPr>
        <w:pStyle w:val="Heading2"/>
      </w:pPr>
      <w:bookmarkStart w:id="7" w:name="_Toc130374263"/>
      <w:bookmarkStart w:id="8" w:name="_Toc144448503"/>
      <w:r w:rsidRPr="0C48B928">
        <w:t xml:space="preserve">Purpose of this </w:t>
      </w:r>
      <w:r w:rsidRPr="00095725">
        <w:t>strategic</w:t>
      </w:r>
      <w:r w:rsidRPr="0C48B928">
        <w:t xml:space="preserve"> framework</w:t>
      </w:r>
      <w:bookmarkEnd w:id="7"/>
      <w:bookmarkEnd w:id="8"/>
    </w:p>
    <w:p w14:paraId="2D798028" w14:textId="77777777" w:rsidR="00136EB3" w:rsidRDefault="00136EB3" w:rsidP="00571968">
      <w:r w:rsidRPr="0C48B928">
        <w:t xml:space="preserve">This strategic framework </w:t>
      </w:r>
      <w:r>
        <w:t>responds to the changing context, managing COVID-19 as part of ‘business as usual’ for the health system rather than through an extraordinary all-of-government emergency management crisis response</w:t>
      </w:r>
      <w:r>
        <w:rPr>
          <w:rStyle w:val="CommentReference"/>
        </w:rPr>
        <w:t>.</w:t>
      </w:r>
      <w:r>
        <w:t xml:space="preserve"> It does this by providing a clear, coherent and coordinated approach to government action on COVID-19. </w:t>
      </w:r>
    </w:p>
    <w:p w14:paraId="04C0B217" w14:textId="77777777" w:rsidR="00571968" w:rsidRDefault="00571968" w:rsidP="00571968"/>
    <w:p w14:paraId="29363A40" w14:textId="37139179" w:rsidR="00136EB3" w:rsidRDefault="00136EB3" w:rsidP="00571968">
      <w:r>
        <w:t>Specifically, the framework:</w:t>
      </w:r>
    </w:p>
    <w:p w14:paraId="20657A2D" w14:textId="77777777" w:rsidR="00136EB3" w:rsidRPr="00133A99" w:rsidRDefault="00136EB3" w:rsidP="00571968">
      <w:pPr>
        <w:pStyle w:val="Bullet"/>
        <w:rPr>
          <w:b/>
          <w:bCs/>
        </w:rPr>
      </w:pPr>
      <w:r w:rsidRPr="00133A99">
        <w:rPr>
          <w:b/>
          <w:bCs/>
        </w:rPr>
        <w:t xml:space="preserve">provides a single source of direction for all government actions on COVID-19 </w:t>
      </w:r>
      <w:r w:rsidRPr="00133A99">
        <w:t>(This allows agencies greater coordination and focus, ensuring: tools and measures support each other effectively, agencies can be as effective possible with limited resources and agencies address the determinants and impacts of COVID-19.)</w:t>
      </w:r>
    </w:p>
    <w:p w14:paraId="35BE3BF2" w14:textId="77777777" w:rsidR="00136EB3" w:rsidRPr="00DB6557" w:rsidRDefault="00136EB3" w:rsidP="00571968">
      <w:pPr>
        <w:pStyle w:val="Bullet"/>
        <w:rPr>
          <w:color w:val="000000" w:themeColor="text1"/>
        </w:rPr>
      </w:pPr>
      <w:r w:rsidRPr="00133A99">
        <w:rPr>
          <w:b/>
          <w:bCs/>
        </w:rPr>
        <w:t xml:space="preserve">provides clarity and transparency around what the government’s priorities are for COVID-19 </w:t>
      </w:r>
      <w:r w:rsidRPr="00133A99">
        <w:t>(This helps individuals, communities, businesses, providers, researchers and other interested parties understand what the government is doing and why, with the increased certainty helping individuals and communities better protect themselves against COVID-19.)</w:t>
      </w:r>
    </w:p>
    <w:p w14:paraId="6C94384E" w14:textId="77777777" w:rsidR="00136EB3" w:rsidRPr="005244E3" w:rsidRDefault="00136EB3" w:rsidP="00571968">
      <w:pPr>
        <w:pStyle w:val="Bullet"/>
        <w:rPr>
          <w:color w:val="000000" w:themeColor="text1"/>
        </w:rPr>
      </w:pPr>
      <w:r>
        <w:rPr>
          <w:b/>
          <w:bCs/>
        </w:rPr>
        <w:t>e</w:t>
      </w:r>
      <w:r w:rsidRPr="00BE6721">
        <w:rPr>
          <w:b/>
          <w:bCs/>
        </w:rPr>
        <w:t>nsure</w:t>
      </w:r>
      <w:r>
        <w:rPr>
          <w:b/>
          <w:bCs/>
        </w:rPr>
        <w:t>s</w:t>
      </w:r>
      <w:r w:rsidRPr="00BE6721">
        <w:rPr>
          <w:b/>
          <w:bCs/>
        </w:rPr>
        <w:t xml:space="preserve"> an effective transition to the new business</w:t>
      </w:r>
      <w:r>
        <w:rPr>
          <w:b/>
          <w:bCs/>
        </w:rPr>
        <w:t>-</w:t>
      </w:r>
      <w:r w:rsidRPr="00BE6721">
        <w:rPr>
          <w:b/>
          <w:bCs/>
        </w:rPr>
        <w:t>as</w:t>
      </w:r>
      <w:r>
        <w:rPr>
          <w:b/>
          <w:bCs/>
        </w:rPr>
        <w:t>-</w:t>
      </w:r>
      <w:r w:rsidRPr="00BE6721">
        <w:rPr>
          <w:b/>
          <w:bCs/>
        </w:rPr>
        <w:t>usual</w:t>
      </w:r>
      <w:r>
        <w:rPr>
          <w:b/>
          <w:bCs/>
        </w:rPr>
        <w:t xml:space="preserve"> system for managing COVID-19</w:t>
      </w:r>
      <w:r w:rsidRPr="00BE6721">
        <w:t xml:space="preserve"> </w:t>
      </w:r>
      <w:r>
        <w:t>(</w:t>
      </w:r>
      <w:r>
        <w:rPr>
          <w:lang w:eastAsia="en-NZ"/>
        </w:rPr>
        <w:t>This helps build</w:t>
      </w:r>
      <w:r w:rsidRPr="00BE6721">
        <w:rPr>
          <w:lang w:eastAsia="en-NZ"/>
        </w:rPr>
        <w:t xml:space="preserve"> a more resilient </w:t>
      </w:r>
      <w:r>
        <w:rPr>
          <w:lang w:eastAsia="en-NZ"/>
        </w:rPr>
        <w:t xml:space="preserve">and coordinated </w:t>
      </w:r>
      <w:r w:rsidRPr="00BE6721">
        <w:rPr>
          <w:lang w:eastAsia="en-NZ"/>
        </w:rPr>
        <w:t>response</w:t>
      </w:r>
      <w:r>
        <w:rPr>
          <w:lang w:eastAsia="en-NZ"/>
        </w:rPr>
        <w:t xml:space="preserve"> to pandemic events, allowing</w:t>
      </w:r>
      <w:r w:rsidRPr="00BE6721">
        <w:rPr>
          <w:lang w:eastAsia="en-NZ"/>
        </w:rPr>
        <w:t xml:space="preserve"> </w:t>
      </w:r>
      <w:r w:rsidRPr="00104A2F">
        <w:rPr>
          <w:lang w:eastAsia="en-NZ"/>
        </w:rPr>
        <w:t>COVID-19</w:t>
      </w:r>
      <w:r w:rsidRPr="00BE6721">
        <w:rPr>
          <w:lang w:eastAsia="en-NZ"/>
        </w:rPr>
        <w:t xml:space="preserve"> </w:t>
      </w:r>
      <w:r>
        <w:rPr>
          <w:lang w:eastAsia="en-NZ"/>
        </w:rPr>
        <w:t xml:space="preserve">to be managed </w:t>
      </w:r>
      <w:r w:rsidRPr="00BE6721">
        <w:rPr>
          <w:lang w:eastAsia="en-NZ"/>
        </w:rPr>
        <w:t>alongside other communicable disease</w:t>
      </w:r>
      <w:r>
        <w:rPr>
          <w:lang w:eastAsia="en-NZ"/>
        </w:rPr>
        <w:t>s</w:t>
      </w:r>
      <w:r w:rsidRPr="005E03EE">
        <w:rPr>
          <w:lang w:eastAsia="en-NZ"/>
        </w:rPr>
        <w:t>,</w:t>
      </w:r>
      <w:r w:rsidRPr="00BE6721">
        <w:rPr>
          <w:lang w:eastAsia="en-NZ"/>
        </w:rPr>
        <w:t xml:space="preserve"> </w:t>
      </w:r>
      <w:r>
        <w:rPr>
          <w:lang w:eastAsia="en-NZ"/>
        </w:rPr>
        <w:t xml:space="preserve">ensuring lessons are properly applied and our overall health system </w:t>
      </w:r>
      <w:r w:rsidRPr="00EB7C13">
        <w:rPr>
          <w:lang w:eastAsia="en-NZ"/>
        </w:rPr>
        <w:t>comes out of this period stronger overall.</w:t>
      </w:r>
      <w:r>
        <w:rPr>
          <w:lang w:eastAsia="en-NZ"/>
        </w:rPr>
        <w:t>)</w:t>
      </w:r>
    </w:p>
    <w:p w14:paraId="2406FB7D" w14:textId="77777777" w:rsidR="00571968" w:rsidRDefault="00571968" w:rsidP="00136EB3">
      <w:pPr>
        <w:spacing w:after="120"/>
        <w:rPr>
          <w:rFonts w:cs="Segoe UI"/>
          <w:color w:val="000000" w:themeColor="text1"/>
        </w:rPr>
      </w:pPr>
    </w:p>
    <w:p w14:paraId="0D40EF37" w14:textId="6F7CDBBE" w:rsidR="00136EB3" w:rsidRDefault="00136EB3" w:rsidP="00571968">
      <w:r>
        <w:t xml:space="preserve">The framework also recognises that, while we transition our management of COVID-19 to a business-as-usual state, the virus still presents unique challenges that demand a targeted approach. This is because: </w:t>
      </w:r>
    </w:p>
    <w:p w14:paraId="0F25D398" w14:textId="77777777" w:rsidR="00136EB3" w:rsidRDefault="00136EB3" w:rsidP="00571968">
      <w:pPr>
        <w:pStyle w:val="Bullet"/>
      </w:pPr>
      <w:r w:rsidRPr="00AA2F50">
        <w:t>COVID-19 has specific characteristics that distinguish it from other influen</w:t>
      </w:r>
      <w:r>
        <w:t>za</w:t>
      </w:r>
      <w:r w:rsidRPr="00AA2F50">
        <w:t>-like</w:t>
      </w:r>
      <w:r>
        <w:t xml:space="preserve"> </w:t>
      </w:r>
      <w:r w:rsidRPr="00AA2F50">
        <w:t xml:space="preserve">illnesses in treatment and care, </w:t>
      </w:r>
      <w:r>
        <w:t>including post-infection conditions, such as long COVID, and the potential for major impacts on our health system</w:t>
      </w:r>
    </w:p>
    <w:p w14:paraId="3933340D" w14:textId="77777777" w:rsidR="00136EB3" w:rsidRPr="00AA2F50" w:rsidRDefault="00136EB3" w:rsidP="00571968">
      <w:pPr>
        <w:pStyle w:val="Bullet"/>
      </w:pPr>
      <w:r>
        <w:t>frequent mutations in the SARS-CoV-2 virus result in variants with immune evasion properties, which means we will need to maintain a focus o</w:t>
      </w:r>
      <w:r w:rsidRPr="00AA2F50">
        <w:t xml:space="preserve">n vaccine and antiviral </w:t>
      </w:r>
      <w:r>
        <w:t>research and developments</w:t>
      </w:r>
    </w:p>
    <w:p w14:paraId="7C60BBA6" w14:textId="77777777" w:rsidR="00136EB3" w:rsidRPr="00AA2F50" w:rsidRDefault="00136EB3" w:rsidP="00571968">
      <w:pPr>
        <w:pStyle w:val="Bullet"/>
      </w:pPr>
      <w:r>
        <w:lastRenderedPageBreak/>
        <w:t>t</w:t>
      </w:r>
      <w:r w:rsidRPr="00AA2F50">
        <w:t xml:space="preserve">he impacts of COVID-19 remain very uneven across communities, </w:t>
      </w:r>
      <w:r>
        <w:t>requiring</w:t>
      </w:r>
      <w:r w:rsidRPr="00AA2F50">
        <w:t xml:space="preserve"> targeted action</w:t>
      </w:r>
      <w:r>
        <w:t>s</w:t>
      </w:r>
    </w:p>
    <w:p w14:paraId="260BC2D9" w14:textId="77777777" w:rsidR="00136EB3" w:rsidRPr="007C515A" w:rsidRDefault="00136EB3" w:rsidP="00571968">
      <w:pPr>
        <w:pStyle w:val="Bullet"/>
      </w:pPr>
      <w:r>
        <w:t>w</w:t>
      </w:r>
      <w:r w:rsidRPr="00AA2F50">
        <w:t>e have a legacy of managing COVID-19 through emergency powers and legislation</w:t>
      </w:r>
      <w:r>
        <w:t>,</w:t>
      </w:r>
      <w:r w:rsidRPr="00AA2F50">
        <w:t xml:space="preserve"> and </w:t>
      </w:r>
      <w:r>
        <w:t>this</w:t>
      </w:r>
      <w:r w:rsidRPr="00AA2F50">
        <w:t xml:space="preserve"> requires deliberate work to transition to a more mainstreamed approach.</w:t>
      </w:r>
    </w:p>
    <w:p w14:paraId="2C3EB5E8" w14:textId="77777777" w:rsidR="00136EB3" w:rsidRPr="0035008E" w:rsidRDefault="00136EB3" w:rsidP="00136EB3">
      <w:pPr>
        <w:pStyle w:val="Heading2"/>
        <w:rPr>
          <w:color w:val="000000"/>
        </w:rPr>
      </w:pPr>
      <w:bookmarkStart w:id="9" w:name="_Toc144448504"/>
      <w:r w:rsidRPr="0035008E">
        <w:t xml:space="preserve">Drawing on a strengthened </w:t>
      </w:r>
      <w:r>
        <w:t xml:space="preserve">health </w:t>
      </w:r>
      <w:r w:rsidRPr="0035008E">
        <w:t>system</w:t>
      </w:r>
      <w:bookmarkEnd w:id="5"/>
      <w:bookmarkEnd w:id="9"/>
    </w:p>
    <w:p w14:paraId="7CD54C29" w14:textId="77777777" w:rsidR="00136EB3" w:rsidRDefault="00136EB3" w:rsidP="00571968">
      <w:r>
        <w:t xml:space="preserve">The impact of COVID-19 on our society has highlighted the need for a strengthened and resilient health system to deal with pandemic </w:t>
      </w:r>
      <w:r w:rsidRPr="00C32166">
        <w:t>prevention, preparedness, response and recovery</w:t>
      </w:r>
      <w:r>
        <w:t xml:space="preserve">. </w:t>
      </w:r>
      <w:r w:rsidRPr="00223974">
        <w:t>The 2022 health system reform</w:t>
      </w:r>
      <w:r>
        <w:t>s</w:t>
      </w:r>
      <w:r w:rsidRPr="00223974">
        <w:t xml:space="preserve"> provide us with a key opportunity</w:t>
      </w:r>
      <w:r>
        <w:t xml:space="preserve"> to deliver this. The overall outcome from these changes is a </w:t>
      </w:r>
      <w:r w:rsidRPr="000B5DC9">
        <w:t xml:space="preserve">health system that protects, promotes and improves the health of all New Zealanders, across the continuum of need and throughout their lives. </w:t>
      </w:r>
      <w:r>
        <w:t xml:space="preserve">Achieving equity </w:t>
      </w:r>
      <w:r w:rsidRPr="00D14D99">
        <w:t>in access, quality of care and outcomes</w:t>
      </w:r>
      <w:r>
        <w:t xml:space="preserve"> is fundamental to achieve this. Key elements in the reforms include:</w:t>
      </w:r>
    </w:p>
    <w:p w14:paraId="1DD7BAA8" w14:textId="77777777" w:rsidR="00136EB3" w:rsidRDefault="00136EB3" w:rsidP="00571968">
      <w:pPr>
        <w:pStyle w:val="Bullet"/>
      </w:pPr>
      <w:r w:rsidRPr="00444C84">
        <w:t>longer-term planning</w:t>
      </w:r>
    </w:p>
    <w:p w14:paraId="782078F3" w14:textId="77777777" w:rsidR="00136EB3" w:rsidRDefault="00136EB3" w:rsidP="00571968">
      <w:pPr>
        <w:pStyle w:val="Bullet"/>
      </w:pPr>
      <w:r w:rsidRPr="00444C84">
        <w:t>clearer decision</w:t>
      </w:r>
      <w:r>
        <w:t>-</w:t>
      </w:r>
      <w:r w:rsidRPr="00444C84">
        <w:t xml:space="preserve">making and accountabilities </w:t>
      </w:r>
    </w:p>
    <w:p w14:paraId="10CCEBC8" w14:textId="77777777" w:rsidR="00136EB3" w:rsidRPr="00DA767E" w:rsidRDefault="00136EB3" w:rsidP="00571968">
      <w:pPr>
        <w:pStyle w:val="Bullet"/>
      </w:pPr>
      <w:r w:rsidRPr="00DA767E">
        <w:t>working collectively and in partnership with communities and other organisations</w:t>
      </w:r>
    </w:p>
    <w:p w14:paraId="207E018B" w14:textId="77777777" w:rsidR="00136EB3" w:rsidRPr="00DA767E" w:rsidRDefault="00136EB3" w:rsidP="00571968">
      <w:pPr>
        <w:pStyle w:val="Bullet"/>
      </w:pPr>
      <w:r w:rsidRPr="00DA767E">
        <w:t xml:space="preserve">consumer, whānau and community voices reflected in the </w:t>
      </w:r>
      <w:r>
        <w:t xml:space="preserve">health </w:t>
      </w:r>
      <w:r w:rsidRPr="00DA767E">
        <w:t>system</w:t>
      </w:r>
    </w:p>
    <w:p w14:paraId="1D0DF994" w14:textId="77777777" w:rsidR="00136EB3" w:rsidRDefault="00136EB3" w:rsidP="00571968">
      <w:pPr>
        <w:pStyle w:val="Bullet"/>
      </w:pPr>
      <w:r w:rsidRPr="00444C84">
        <w:t xml:space="preserve">strengthened public health </w:t>
      </w:r>
      <w:r>
        <w:t>capability</w:t>
      </w:r>
    </w:p>
    <w:p w14:paraId="3C2C7291" w14:textId="77777777" w:rsidR="00136EB3" w:rsidRPr="00444C84" w:rsidRDefault="00136EB3" w:rsidP="00571968">
      <w:pPr>
        <w:pStyle w:val="Bullet"/>
      </w:pPr>
      <w:r w:rsidRPr="00444C84">
        <w:t xml:space="preserve">clarity over decisions and services that should be delivered nationally, regionally or locally. </w:t>
      </w:r>
    </w:p>
    <w:p w14:paraId="5AF362DF" w14:textId="77777777" w:rsidR="00571968" w:rsidRDefault="00571968" w:rsidP="00571968"/>
    <w:p w14:paraId="1033E950" w14:textId="4624DC27" w:rsidR="00136EB3" w:rsidRDefault="00136EB3" w:rsidP="00571968">
      <w:r>
        <w:t xml:space="preserve">The COVID-19 response has also helped model elements of this approach, with integrated health and welfare response at the community level, decentralised funding and decision-making in a high-trust model and use of technologies to improve access and outreach. </w:t>
      </w:r>
    </w:p>
    <w:p w14:paraId="0F1EA787" w14:textId="77777777" w:rsidR="00571968" w:rsidRDefault="00571968" w:rsidP="00571968"/>
    <w:p w14:paraId="328A643A" w14:textId="03B9AB65" w:rsidR="00136EB3" w:rsidRDefault="00136EB3" w:rsidP="00571968">
      <w:r>
        <w:t>The health reforms also seek to better fulfil the Crown’s obligations under Te Tiriti o Waitangi (Te Tiriti) and to drive improvements in hauora Māori. This means Māori</w:t>
      </w:r>
      <w:r w:rsidRPr="0015047F">
        <w:t xml:space="preserve"> authority </w:t>
      </w:r>
      <w:r>
        <w:t xml:space="preserve">on </w:t>
      </w:r>
      <w:r w:rsidRPr="0015047F">
        <w:t>decision-making matters of importance to Māori</w:t>
      </w:r>
      <w:r>
        <w:t>, as well as e</w:t>
      </w:r>
      <w:r w:rsidRPr="0015047F">
        <w:t xml:space="preserve">ngaging with Māori to develop and deliver services and programmes that reflect </w:t>
      </w:r>
      <w:r>
        <w:t>Māori</w:t>
      </w:r>
      <w:r w:rsidRPr="0015047F">
        <w:t xml:space="preserve"> needs and aspirations. </w:t>
      </w:r>
      <w:r>
        <w:t>Our experience to date has proved that COVID-19 services and programmes designed and led by Māori do just this.</w:t>
      </w:r>
    </w:p>
    <w:p w14:paraId="04F0F446" w14:textId="77777777" w:rsidR="00571968" w:rsidRDefault="00571968" w:rsidP="00571968"/>
    <w:p w14:paraId="0233C776" w14:textId="2AD7C5D9" w:rsidR="00136EB3" w:rsidRDefault="00136EB3" w:rsidP="00571968">
      <w:r>
        <w:t>COVID-19 also required us to look at the broader determinants of health to address those factors that increase the risk of poor outcomes for those infected with the virus and to build greater resilience within our various communities.</w:t>
      </w:r>
    </w:p>
    <w:p w14:paraId="32CDD3F3" w14:textId="77777777" w:rsidR="00571968" w:rsidRDefault="00571968" w:rsidP="00571968"/>
    <w:p w14:paraId="1777AACC" w14:textId="77777777" w:rsidR="00136EB3" w:rsidRDefault="00136EB3" w:rsidP="00571968">
      <w:r>
        <w:t xml:space="preserve">The threat of a new pandemic remains a possibility for which we need to be prepared. Our experience with COVID-19 gives us the opportunity to build a more resilient, connected and equitable health system, transforming the way we prepare for and respond to public health threats and work towards better health and wellbeing outcomes for all. </w:t>
      </w:r>
    </w:p>
    <w:p w14:paraId="64E01F0A" w14:textId="77777777" w:rsidR="00136EB3" w:rsidRPr="00B50594" w:rsidRDefault="00136EB3" w:rsidP="00136EB3">
      <w:pPr>
        <w:pStyle w:val="Heading2"/>
      </w:pPr>
      <w:bookmarkStart w:id="10" w:name="_Toc130374264"/>
      <w:bookmarkStart w:id="11" w:name="_Toc144448505"/>
      <w:r w:rsidRPr="00B50594">
        <w:lastRenderedPageBreak/>
        <w:t xml:space="preserve">Broader emergency management </w:t>
      </w:r>
      <w:r>
        <w:t>context</w:t>
      </w:r>
      <w:bookmarkEnd w:id="10"/>
      <w:bookmarkEnd w:id="11"/>
    </w:p>
    <w:p w14:paraId="0513A5B1" w14:textId="1D48DB02" w:rsidR="00136EB3" w:rsidRDefault="00136EB3" w:rsidP="00571968">
      <w:r>
        <w:t xml:space="preserve">This strategic framework is nested within a broader architecture of emergency management documents. The overarching framework is provided by the </w:t>
      </w:r>
      <w:r w:rsidRPr="005B0980">
        <w:rPr>
          <w:i/>
          <w:iCs/>
        </w:rPr>
        <w:t>National Civil Defence Emergency Management Plan</w:t>
      </w:r>
      <w:r>
        <w:rPr>
          <w:rStyle w:val="FootnoteReference"/>
          <w:rFonts w:cs="Segoe UI"/>
          <w:i/>
          <w:iCs/>
          <w:color w:val="000000"/>
        </w:rPr>
        <w:footnoteReference w:id="4"/>
      </w:r>
      <w:r>
        <w:t xml:space="preserve">. </w:t>
      </w:r>
    </w:p>
    <w:p w14:paraId="0F06AB61" w14:textId="77777777" w:rsidR="00571968" w:rsidRDefault="00571968" w:rsidP="00571968"/>
    <w:p w14:paraId="5DC82FB8" w14:textId="77777777" w:rsidR="00136EB3" w:rsidRDefault="00136EB3" w:rsidP="00571968">
      <w:r>
        <w:t xml:space="preserve">Sitting under that plan is the </w:t>
      </w:r>
      <w:r w:rsidRPr="00E525A8">
        <w:rPr>
          <w:i/>
          <w:iCs/>
        </w:rPr>
        <w:t>National Health Emergency Plan</w:t>
      </w:r>
      <w:r>
        <w:rPr>
          <w:rStyle w:val="FootnoteReference"/>
          <w:rFonts w:cs="Segoe UI"/>
          <w:i/>
          <w:iCs/>
          <w:color w:val="000000"/>
        </w:rPr>
        <w:footnoteReference w:id="5"/>
      </w:r>
      <w:r>
        <w:t xml:space="preserve">, which creates the framework to guide the health and disability sector in its approach to preparing for, responding to and recovering from health-related risks and hazards. This COVID-19 strategic framework is one of the sub-strategies and plans that sit under the </w:t>
      </w:r>
      <w:r w:rsidRPr="009020AE">
        <w:rPr>
          <w:i/>
          <w:iCs/>
        </w:rPr>
        <w:t>National Health Emergency Plan</w:t>
      </w:r>
      <w:r>
        <w:t xml:space="preserve">.  </w:t>
      </w:r>
    </w:p>
    <w:p w14:paraId="144F7E67" w14:textId="77777777" w:rsidR="00571968" w:rsidRDefault="00571968" w:rsidP="00136EB3">
      <w:pPr>
        <w:pStyle w:val="Heading1"/>
        <w:sectPr w:rsidR="00571968" w:rsidSect="00136EB3">
          <w:headerReference w:type="default" r:id="rId25"/>
          <w:footerReference w:type="default" r:id="rId26"/>
          <w:headerReference w:type="first" r:id="rId27"/>
          <w:footerReference w:type="first" r:id="rId28"/>
          <w:pgSz w:w="11906" w:h="16838"/>
          <w:pgMar w:top="1418" w:right="1701" w:bottom="1134" w:left="1843" w:header="708" w:footer="425" w:gutter="284"/>
          <w:cols w:space="708"/>
          <w:docGrid w:linePitch="360"/>
        </w:sectPr>
      </w:pPr>
      <w:bookmarkStart w:id="12" w:name="_Toc127912541"/>
      <w:bookmarkStart w:id="13" w:name="_Toc130374265"/>
      <w:bookmarkStart w:id="14" w:name="_Toc127912540"/>
    </w:p>
    <w:p w14:paraId="63DB9D6D" w14:textId="7722FCF7" w:rsidR="00136EB3" w:rsidRPr="00571968" w:rsidRDefault="00136EB3" w:rsidP="00571968">
      <w:pPr>
        <w:pStyle w:val="Heading1"/>
        <w:spacing w:before="0"/>
      </w:pPr>
      <w:bookmarkStart w:id="15" w:name="_Toc144448506"/>
      <w:r w:rsidRPr="00571968">
        <w:lastRenderedPageBreak/>
        <w:t>Te Tiriti o Waitangi</w:t>
      </w:r>
      <w:bookmarkEnd w:id="12"/>
      <w:bookmarkEnd w:id="13"/>
      <w:bookmarkEnd w:id="15"/>
    </w:p>
    <w:p w14:paraId="7B335AE7" w14:textId="56C291F7" w:rsidR="00136EB3" w:rsidRDefault="00136EB3" w:rsidP="00571968">
      <w:r w:rsidRPr="006B39AB">
        <w:t>Te Tiriti confers on the Crown a responsibility to protect Māori and all that is important to Māori</w:t>
      </w:r>
      <w:r>
        <w:t>. It</w:t>
      </w:r>
      <w:r w:rsidRPr="006B39AB">
        <w:t xml:space="preserve"> requires the Crown to engage with Māori in good faith and be well informed of the views of iwi and Māori communities. It obliges the Crown to take all steps practicable to protect and support Māori health and wellbeing. This includes efforts to counteract inequitable health outcomes and prevent COVID-19 impact</w:t>
      </w:r>
      <w:r>
        <w:t>s</w:t>
      </w:r>
      <w:r w:rsidRPr="006B39AB">
        <w:t xml:space="preserve"> (</w:t>
      </w:r>
      <w:r>
        <w:t xml:space="preserve">both </w:t>
      </w:r>
      <w:r w:rsidRPr="006B39AB">
        <w:t xml:space="preserve">direct and indirect) from falling disproportionately on Māori. </w:t>
      </w:r>
    </w:p>
    <w:p w14:paraId="016682EE" w14:textId="77777777" w:rsidR="00571968" w:rsidRPr="006B39AB" w:rsidRDefault="00571968" w:rsidP="00571968"/>
    <w:p w14:paraId="7C3336DE" w14:textId="77777777" w:rsidR="00136EB3" w:rsidRPr="0027271C" w:rsidRDefault="00136EB3" w:rsidP="00571968">
      <w:r w:rsidRPr="0027271C">
        <w:t xml:space="preserve">The Pae Ora (Healthy Futures) Act 2022 </w:t>
      </w:r>
      <w:r>
        <w:t xml:space="preserve">outlines </w:t>
      </w:r>
      <w:r w:rsidRPr="0027271C">
        <w:t>principles</w:t>
      </w:r>
      <w:r>
        <w:t xml:space="preserve"> </w:t>
      </w:r>
      <w:r w:rsidRPr="0027271C">
        <w:t>for improving equity in health outcomes for Māori</w:t>
      </w:r>
      <w:r>
        <w:t>. H</w:t>
      </w:r>
      <w:r w:rsidRPr="005C7E0A">
        <w:t>ealth entities must be guided by these principles as far as reasonably practicable, having regard to all the circumstances, including any resource constraints, and to the extent applicable to them.</w:t>
      </w:r>
      <w:r w:rsidRPr="0027271C">
        <w:t xml:space="preserve"> At a high level, these principles are</w:t>
      </w:r>
      <w:r>
        <w:t xml:space="preserve"> that the health sector should</w:t>
      </w:r>
      <w:r w:rsidRPr="0027271C">
        <w:t>: </w:t>
      </w:r>
    </w:p>
    <w:p w14:paraId="53CCD2AA" w14:textId="77777777" w:rsidR="00136EB3" w:rsidRDefault="00136EB3" w:rsidP="00571968">
      <w:pPr>
        <w:pStyle w:val="Bullet"/>
      </w:pPr>
      <w:r w:rsidRPr="0027271C">
        <w:t>be equitable </w:t>
      </w:r>
    </w:p>
    <w:p w14:paraId="73BAB2E0" w14:textId="77777777" w:rsidR="00136EB3" w:rsidRDefault="00136EB3" w:rsidP="00571968">
      <w:pPr>
        <w:pStyle w:val="Bullet"/>
      </w:pPr>
      <w:r w:rsidRPr="0026086F">
        <w:t xml:space="preserve">engage with Māori, other population groups and other people to develop and deliver services and programmes that reflect </w:t>
      </w:r>
      <w:r>
        <w:t>the</w:t>
      </w:r>
      <w:r w:rsidRPr="0026086F">
        <w:t xml:space="preserve"> needs and aspirations</w:t>
      </w:r>
      <w:r>
        <w:t xml:space="preserve"> of those groups</w:t>
      </w:r>
    </w:p>
    <w:p w14:paraId="5C6D2386" w14:textId="77777777" w:rsidR="00136EB3" w:rsidRDefault="00136EB3" w:rsidP="00571968">
      <w:pPr>
        <w:pStyle w:val="Bullet"/>
      </w:pPr>
      <w:r w:rsidRPr="0026086F">
        <w:t>provide opportunities for Māori to exercise decision-making authority on matters of importance to Māori</w:t>
      </w:r>
    </w:p>
    <w:p w14:paraId="61F8B819" w14:textId="77777777" w:rsidR="00136EB3" w:rsidRDefault="00136EB3" w:rsidP="00571968">
      <w:pPr>
        <w:pStyle w:val="Bullet"/>
      </w:pPr>
      <w:r w:rsidRPr="0026086F">
        <w:t>provide choice of quality services to Māori</w:t>
      </w:r>
    </w:p>
    <w:p w14:paraId="1DBB90EB" w14:textId="77777777" w:rsidR="00136EB3" w:rsidRPr="0026086F" w:rsidRDefault="00136EB3" w:rsidP="00571968">
      <w:pPr>
        <w:pStyle w:val="Bullet"/>
      </w:pPr>
      <w:r w:rsidRPr="0026086F">
        <w:t xml:space="preserve">protect and promote people’s health and wellbeing, particularly </w:t>
      </w:r>
      <w:r>
        <w:t>the health and wellbeing of</w:t>
      </w:r>
      <w:r w:rsidRPr="0026086F">
        <w:t xml:space="preserve"> Māori.</w:t>
      </w:r>
    </w:p>
    <w:p w14:paraId="7084F2A8" w14:textId="77777777" w:rsidR="00571968" w:rsidRDefault="00571968" w:rsidP="00571968"/>
    <w:p w14:paraId="3FB3482F" w14:textId="375E173C" w:rsidR="00136EB3" w:rsidRDefault="00136EB3" w:rsidP="00571968">
      <w:r>
        <w:t xml:space="preserve">In addition, </w:t>
      </w:r>
      <w:r w:rsidRPr="00D97871">
        <w:t xml:space="preserve">the </w:t>
      </w:r>
      <w:r w:rsidRPr="00571968">
        <w:rPr>
          <w:i/>
          <w:iCs/>
        </w:rPr>
        <w:t>COVID-19 Māori Health Protection Plan</w:t>
      </w:r>
      <w:r w:rsidRPr="00571968">
        <w:rPr>
          <w:rStyle w:val="FootnoteReference"/>
          <w:rFonts w:cs="Segoe UI"/>
          <w:i/>
          <w:iCs/>
        </w:rPr>
        <w:footnoteReference w:id="6"/>
      </w:r>
      <w:r w:rsidRPr="00571968">
        <w:rPr>
          <w:i/>
          <w:iCs/>
        </w:rPr>
        <w:t>, Whakamaua: Māori Health Action Plan 2020–2025</w:t>
      </w:r>
      <w:r w:rsidRPr="00571968">
        <w:rPr>
          <w:rStyle w:val="FootnoteReference"/>
          <w:rFonts w:cs="Segoe UI"/>
          <w:i/>
          <w:iCs/>
        </w:rPr>
        <w:footnoteReference w:id="7"/>
      </w:r>
      <w:r>
        <w:t xml:space="preserve"> and </w:t>
      </w:r>
      <w:r w:rsidRPr="00571968">
        <w:rPr>
          <w:i/>
          <w:iCs/>
        </w:rPr>
        <w:t>Te Pae Tata Interim New Zealand Health Plan 2022</w:t>
      </w:r>
      <w:r>
        <w:rPr>
          <w:rStyle w:val="FootnoteReference"/>
          <w:rFonts w:cs="Segoe UI"/>
          <w:i/>
          <w:iCs/>
        </w:rPr>
        <w:footnoteReference w:id="8"/>
      </w:r>
      <w:r>
        <w:t xml:space="preserve"> all inform government activities in giving effect to Te Tiriti in the health sector. </w:t>
      </w:r>
    </w:p>
    <w:p w14:paraId="2FAE2A8C" w14:textId="77777777" w:rsidR="00571968" w:rsidRPr="00D97871" w:rsidRDefault="00571968" w:rsidP="00571968"/>
    <w:p w14:paraId="5BE5117C" w14:textId="77777777" w:rsidR="00136EB3" w:rsidRPr="00D97871" w:rsidRDefault="00136EB3" w:rsidP="00571968">
      <w:r w:rsidRPr="00D97871">
        <w:t xml:space="preserve">This </w:t>
      </w:r>
      <w:r>
        <w:t>strategic framework</w:t>
      </w:r>
      <w:r w:rsidRPr="00D97871">
        <w:t xml:space="preserve"> embeds these </w:t>
      </w:r>
      <w:r>
        <w:t>principles</w:t>
      </w:r>
      <w:r w:rsidRPr="00D97871">
        <w:t xml:space="preserve"> across all elements.</w:t>
      </w:r>
      <w:r>
        <w:t xml:space="preserve"> </w:t>
      </w:r>
      <w:r w:rsidRPr="00D97871">
        <w:t>Specifically</w:t>
      </w:r>
      <w:r>
        <w:t>, the framework:</w:t>
      </w:r>
    </w:p>
    <w:p w14:paraId="7DDC96CA" w14:textId="77777777" w:rsidR="00136EB3" w:rsidRDefault="00136EB3" w:rsidP="00571968">
      <w:pPr>
        <w:pStyle w:val="Bullet"/>
      </w:pPr>
      <w:r>
        <w:t>commits to working in partnership with Māori in preparing for and managing COVID-19 and integrating COVID-19 management into a strengthened health system</w:t>
      </w:r>
    </w:p>
    <w:p w14:paraId="1291ADEF" w14:textId="77777777" w:rsidR="00136EB3" w:rsidRDefault="00136EB3" w:rsidP="00571968">
      <w:pPr>
        <w:pStyle w:val="Bullet"/>
      </w:pPr>
      <w:r>
        <w:t>includes Māori tino rangatiratanga in the COVID-19 response</w:t>
      </w:r>
    </w:p>
    <w:p w14:paraId="79CA68B0" w14:textId="77777777" w:rsidR="00136EB3" w:rsidRPr="00D97871" w:rsidRDefault="00136EB3" w:rsidP="00571968">
      <w:pPr>
        <w:pStyle w:val="Bullet"/>
      </w:pPr>
      <w:r w:rsidRPr="00D97871">
        <w:t xml:space="preserve">reinforces the value of providing </w:t>
      </w:r>
      <w:r>
        <w:t xml:space="preserve">meaningful options: </w:t>
      </w:r>
      <w:r w:rsidRPr="00D97871">
        <w:t xml:space="preserve">the choice of targeted and tailored services and community-led programmes that reflect the needs and aspirations of Māori </w:t>
      </w:r>
    </w:p>
    <w:p w14:paraId="651F10FC" w14:textId="77777777" w:rsidR="00136EB3" w:rsidRPr="00D97871" w:rsidRDefault="00136EB3" w:rsidP="00571968">
      <w:pPr>
        <w:pStyle w:val="Bullet"/>
      </w:pPr>
      <w:r>
        <w:lastRenderedPageBreak/>
        <w:t xml:space="preserve">emphasises the importance of </w:t>
      </w:r>
      <w:r w:rsidRPr="00D97871">
        <w:t>understanding and resolving inequities in our management of COVID-19, including addressing the determinants of inequity</w:t>
      </w:r>
    </w:p>
    <w:p w14:paraId="73DB86DC" w14:textId="77777777" w:rsidR="00136EB3" w:rsidRPr="00D97871" w:rsidRDefault="00136EB3" w:rsidP="00571968">
      <w:pPr>
        <w:pStyle w:val="Bullet"/>
      </w:pPr>
      <w:r w:rsidRPr="00D97871">
        <w:t xml:space="preserve">treats wellbeing </w:t>
      </w:r>
      <w:r>
        <w:t>by</w:t>
      </w:r>
      <w:r w:rsidRPr="00D97871">
        <w:t xml:space="preserve"> seek</w:t>
      </w:r>
      <w:r>
        <w:t>ing</w:t>
      </w:r>
      <w:r w:rsidRPr="00D97871">
        <w:t xml:space="preserve"> to minimise the health impacts of COVID-19</w:t>
      </w:r>
      <w:r>
        <w:t xml:space="preserve">, and </w:t>
      </w:r>
      <w:r w:rsidRPr="00D97871">
        <w:t>embed COVID-19 services and supports as part of health care</w:t>
      </w:r>
      <w:r>
        <w:t xml:space="preserve"> centred on whānau</w:t>
      </w:r>
    </w:p>
    <w:p w14:paraId="47D194AA" w14:textId="77777777" w:rsidR="00136EB3" w:rsidRDefault="00136EB3" w:rsidP="00571968">
      <w:pPr>
        <w:pStyle w:val="Bullet"/>
      </w:pPr>
      <w:r w:rsidRPr="00D97871">
        <w:t xml:space="preserve">applies </w:t>
      </w:r>
      <w:r>
        <w:t xml:space="preserve">past </w:t>
      </w:r>
      <w:r w:rsidRPr="00D97871">
        <w:t>experience in transitioning to a new and strengthened business</w:t>
      </w:r>
      <w:r>
        <w:t>-</w:t>
      </w:r>
      <w:r w:rsidRPr="00D97871">
        <w:t>as</w:t>
      </w:r>
      <w:r>
        <w:t>-</w:t>
      </w:r>
      <w:r w:rsidRPr="00D97871">
        <w:t xml:space="preserve">usual </w:t>
      </w:r>
      <w:r>
        <w:t xml:space="preserve">approach </w:t>
      </w:r>
      <w:r w:rsidRPr="00D97871">
        <w:t>that integrates equity into our way of managing not just COVID-19 but health service provision overall</w:t>
      </w:r>
    </w:p>
    <w:p w14:paraId="4E412994" w14:textId="77777777" w:rsidR="00136EB3" w:rsidRDefault="00136EB3" w:rsidP="00571968">
      <w:pPr>
        <w:pStyle w:val="Bullet"/>
      </w:pPr>
      <w:r w:rsidRPr="00D97871">
        <w:t>emphasises the value of data and information</w:t>
      </w:r>
      <w:r>
        <w:t xml:space="preserve"> for Māori communities and providers.</w:t>
      </w:r>
    </w:p>
    <w:p w14:paraId="22E8597C" w14:textId="77777777" w:rsidR="00571968" w:rsidRDefault="00571968" w:rsidP="00136EB3">
      <w:pPr>
        <w:pStyle w:val="Heading1"/>
        <w:sectPr w:rsidR="00571968" w:rsidSect="00136EB3">
          <w:pgSz w:w="11906" w:h="16838"/>
          <w:pgMar w:top="1418" w:right="1701" w:bottom="1134" w:left="1843" w:header="708" w:footer="425" w:gutter="284"/>
          <w:cols w:space="708"/>
          <w:docGrid w:linePitch="360"/>
        </w:sectPr>
      </w:pPr>
      <w:bookmarkStart w:id="16" w:name="_Toc130374266"/>
    </w:p>
    <w:p w14:paraId="34E4FB37" w14:textId="31765003" w:rsidR="00136EB3" w:rsidRPr="00B66BC7" w:rsidRDefault="00136EB3" w:rsidP="00571968">
      <w:pPr>
        <w:pStyle w:val="Heading1"/>
        <w:spacing w:before="0"/>
      </w:pPr>
      <w:bookmarkStart w:id="17" w:name="_Toc144448507"/>
      <w:r w:rsidRPr="00B66BC7">
        <w:lastRenderedPageBreak/>
        <w:t>Principles guid</w:t>
      </w:r>
      <w:r>
        <w:t>ing</w:t>
      </w:r>
      <w:r w:rsidRPr="00B66BC7">
        <w:t xml:space="preserve"> our approach</w:t>
      </w:r>
      <w:bookmarkEnd w:id="14"/>
      <w:bookmarkEnd w:id="16"/>
      <w:bookmarkEnd w:id="17"/>
    </w:p>
    <w:p w14:paraId="4F864EC3" w14:textId="77777777" w:rsidR="00136EB3" w:rsidRPr="00D97871" w:rsidRDefault="00136EB3" w:rsidP="00571968">
      <w:r w:rsidRPr="00D97871">
        <w:t xml:space="preserve">Our approach to managing COVID-19 is guided by </w:t>
      </w:r>
      <w:r>
        <w:t>two key</w:t>
      </w:r>
      <w:r w:rsidRPr="00D97871">
        <w:t xml:space="preserve"> principles. These principles inform how the </w:t>
      </w:r>
      <w:r>
        <w:t>g</w:t>
      </w:r>
      <w:r w:rsidRPr="00D97871">
        <w:t>overnment prioritises its activit</w:t>
      </w:r>
      <w:r>
        <w:t>ies</w:t>
      </w:r>
      <w:r w:rsidRPr="00D97871">
        <w:t>, how services are delivered and</w:t>
      </w:r>
      <w:r>
        <w:t>,</w:t>
      </w:r>
      <w:r w:rsidRPr="00D97871">
        <w:t xml:space="preserve"> ultimately</w:t>
      </w:r>
      <w:r>
        <w:t>,</w:t>
      </w:r>
      <w:r w:rsidRPr="00D97871">
        <w:t xml:space="preserve"> how we act to achieve our goal</w:t>
      </w:r>
      <w:r>
        <w:t xml:space="preserve"> of protecting individual and collective health and wellbeing from the impacts of COVID-19</w:t>
      </w:r>
      <w:r w:rsidRPr="00D97871">
        <w:t xml:space="preserve">. </w:t>
      </w:r>
    </w:p>
    <w:p w14:paraId="6E886A40" w14:textId="77777777" w:rsidR="00136EB3" w:rsidRPr="00095725" w:rsidRDefault="00136EB3" w:rsidP="00136EB3">
      <w:pPr>
        <w:pStyle w:val="Heading2"/>
      </w:pPr>
      <w:bookmarkStart w:id="18" w:name="_Toc144448508"/>
      <w:r w:rsidRPr="00095725">
        <w:t xml:space="preserve">Equitable: </w:t>
      </w:r>
      <w:r w:rsidRPr="00187C0F">
        <w:t>Equity is embedded throughout</w:t>
      </w:r>
      <w:bookmarkEnd w:id="18"/>
    </w:p>
    <w:p w14:paraId="02610A2C" w14:textId="46BDAE15" w:rsidR="00136EB3" w:rsidRDefault="00136EB3" w:rsidP="00571968">
      <w:r w:rsidRPr="00D97871">
        <w:t xml:space="preserve">Our approach must </w:t>
      </w:r>
      <w:r>
        <w:t>actively reduce health disparities, to achieve</w:t>
      </w:r>
      <w:r w:rsidRPr="00D97871">
        <w:t xml:space="preserve"> equity</w:t>
      </w:r>
      <w:r>
        <w:t xml:space="preserve"> in health outcomes</w:t>
      </w:r>
      <w:r w:rsidRPr="00D97871">
        <w:t xml:space="preserve">. The COVID-19 pandemic and the response </w:t>
      </w:r>
      <w:r>
        <w:t>so far</w:t>
      </w:r>
      <w:r w:rsidRPr="00D97871">
        <w:t xml:space="preserve"> has</w:t>
      </w:r>
      <w:r>
        <w:t>,</w:t>
      </w:r>
      <w:r w:rsidRPr="00D97871">
        <w:t xml:space="preserve"> </w:t>
      </w:r>
      <w:r>
        <w:t xml:space="preserve">at times, </w:t>
      </w:r>
      <w:r w:rsidRPr="00D97871">
        <w:t>had a</w:t>
      </w:r>
      <w:r>
        <w:t xml:space="preserve"> disproportionate </w:t>
      </w:r>
      <w:r w:rsidRPr="00D97871">
        <w:t>impact on some population</w:t>
      </w:r>
      <w:r>
        <w:t xml:space="preserve"> groups</w:t>
      </w:r>
      <w:r w:rsidRPr="00D97871">
        <w:t xml:space="preserve"> and has highlighted and exacerbated existing social, economic and health inequities. </w:t>
      </w:r>
      <w:r>
        <w:t xml:space="preserve">Our response to date has shown that </w:t>
      </w:r>
      <w:r w:rsidRPr="007E6FCA">
        <w:t xml:space="preserve">a tailored </w:t>
      </w:r>
      <w:r>
        <w:t xml:space="preserve">and targeted </w:t>
      </w:r>
      <w:r w:rsidRPr="007E6FCA">
        <w:t xml:space="preserve">response for </w:t>
      </w:r>
      <w:r>
        <w:t>at-risk</w:t>
      </w:r>
      <w:r w:rsidRPr="007E6FCA">
        <w:t xml:space="preserve"> populations </w:t>
      </w:r>
      <w:r>
        <w:t>i</w:t>
      </w:r>
      <w:r w:rsidRPr="007E6FCA">
        <w:t>s appropriate</w:t>
      </w:r>
      <w:r>
        <w:t xml:space="preserve"> and </w:t>
      </w:r>
      <w:r w:rsidRPr="007E6FCA">
        <w:t>necessary</w:t>
      </w:r>
      <w:r>
        <w:t>.</w:t>
      </w:r>
      <w:r w:rsidRPr="00D97871">
        <w:t xml:space="preserve"> </w:t>
      </w:r>
    </w:p>
    <w:p w14:paraId="75CC32C4" w14:textId="77777777" w:rsidR="00571968" w:rsidRDefault="00571968" w:rsidP="00571968"/>
    <w:p w14:paraId="5FCFE345" w14:textId="35C492EC" w:rsidR="00136EB3" w:rsidRDefault="00136EB3" w:rsidP="00571968">
      <w:r w:rsidRPr="00D97871">
        <w:t>A</w:t>
      </w:r>
      <w:r>
        <w:t>n</w:t>
      </w:r>
      <w:r w:rsidRPr="00D97871">
        <w:t xml:space="preserve"> </w:t>
      </w:r>
      <w:r>
        <w:t>e</w:t>
      </w:r>
      <w:r w:rsidRPr="00D97871">
        <w:t>quit</w:t>
      </w:r>
      <w:r>
        <w:t>able</w:t>
      </w:r>
      <w:r w:rsidRPr="00D97871">
        <w:t xml:space="preserve"> approach recognises and embeds actions to address unfair, avoidable or remediable differences to achieve equitable outcomes. </w:t>
      </w:r>
      <w:r>
        <w:t xml:space="preserve">It encompasses a targeted approach to at-risk populations. It also supports the Crown’s efforts in meeting its obligations to Māori under Te Tiriti. </w:t>
      </w:r>
    </w:p>
    <w:p w14:paraId="51453C2E" w14:textId="77777777" w:rsidR="00571968" w:rsidRDefault="00571968" w:rsidP="00571968"/>
    <w:p w14:paraId="454EAB21" w14:textId="77777777" w:rsidR="00136EB3" w:rsidRPr="00D97871" w:rsidRDefault="00136EB3" w:rsidP="00571968">
      <w:r>
        <w:t>An actively pro-equity approach also implies the need to address the determinants of health and those underlying factors that make some populations more vulnerable to poor outcomes from COVID-19.</w:t>
      </w:r>
    </w:p>
    <w:p w14:paraId="7607F264" w14:textId="77777777" w:rsidR="00136EB3" w:rsidRPr="00095725" w:rsidRDefault="00136EB3" w:rsidP="00136EB3">
      <w:pPr>
        <w:pStyle w:val="Heading2"/>
      </w:pPr>
      <w:bookmarkStart w:id="19" w:name="_Toc144448509"/>
      <w:r w:rsidRPr="00095725">
        <w:t xml:space="preserve">Proportionate: </w:t>
      </w:r>
      <w:r w:rsidRPr="00187C0F">
        <w:t>Our response is proportionate</w:t>
      </w:r>
      <w:bookmarkEnd w:id="19"/>
    </w:p>
    <w:p w14:paraId="29EAEBA1" w14:textId="0A2FA918" w:rsidR="00136EB3" w:rsidRDefault="00136EB3" w:rsidP="00136EB3">
      <w:pPr>
        <w:rPr>
          <w:rFonts w:cs="Segoe UI"/>
        </w:rPr>
      </w:pPr>
      <w:r w:rsidRPr="00D97871">
        <w:rPr>
          <w:rFonts w:cs="Segoe UI"/>
        </w:rPr>
        <w:t xml:space="preserve">Our response to COVID-19 must be </w:t>
      </w:r>
      <w:r>
        <w:rPr>
          <w:rFonts w:cs="Segoe UI"/>
        </w:rPr>
        <w:t xml:space="preserve">effective yet </w:t>
      </w:r>
      <w:r w:rsidRPr="00D97871">
        <w:rPr>
          <w:rFonts w:cs="Segoe UI"/>
        </w:rPr>
        <w:t>proportionate</w:t>
      </w:r>
      <w:r>
        <w:rPr>
          <w:rFonts w:cs="Segoe UI"/>
        </w:rPr>
        <w:t>.</w:t>
      </w:r>
      <w:r w:rsidRPr="00D97871">
        <w:rPr>
          <w:rFonts w:cs="Segoe UI"/>
        </w:rPr>
        <w:t xml:space="preserve"> </w:t>
      </w:r>
      <w:r>
        <w:rPr>
          <w:rFonts w:cs="Segoe UI"/>
        </w:rPr>
        <w:t>This requires basing our interventions on the best available evidence and broad-based insights from communities and stakeholders. It also requires an ongoing commitment to measuring and reviewing the effectiveness and impact of our COVID-19 response and taking prompt action to recalibrate and update that response as required.</w:t>
      </w:r>
    </w:p>
    <w:p w14:paraId="6176B949" w14:textId="22AF0EDF" w:rsidR="00571968" w:rsidRDefault="00571968" w:rsidP="00136EB3">
      <w:pPr>
        <w:rPr>
          <w:rFonts w:cs="Segoe UI"/>
        </w:rPr>
      </w:pPr>
    </w:p>
    <w:p w14:paraId="30DA4353" w14:textId="4055977A" w:rsidR="00571968" w:rsidRDefault="00571968" w:rsidP="00136EB3">
      <w:pPr>
        <w:rPr>
          <w:rFonts w:cs="Segoe UI"/>
        </w:rPr>
      </w:pPr>
    </w:p>
    <w:p w14:paraId="2EA0F25F" w14:textId="6F7EF230" w:rsidR="00571968" w:rsidRDefault="00571968" w:rsidP="00136EB3">
      <w:pPr>
        <w:rPr>
          <w:rFonts w:cs="Segoe UI"/>
        </w:rPr>
      </w:pPr>
    </w:p>
    <w:p w14:paraId="741E06CF" w14:textId="77777777" w:rsidR="00571968" w:rsidRDefault="00571968" w:rsidP="00136EB3">
      <w:pPr>
        <w:rPr>
          <w:rFonts w:cs="Segoe UI"/>
        </w:rPr>
      </w:pPr>
    </w:p>
    <w:p w14:paraId="345E385C" w14:textId="77777777" w:rsidR="00136EB3" w:rsidRPr="00D97871" w:rsidRDefault="00136EB3" w:rsidP="00136EB3">
      <w:pPr>
        <w:rPr>
          <w:rFonts w:cs="Segoe UI"/>
        </w:rPr>
      </w:pPr>
      <w:r w:rsidRPr="00D97871">
        <w:rPr>
          <w:rFonts w:cs="Segoe UI"/>
        </w:rPr>
        <w:lastRenderedPageBreak/>
        <w:t>When determining which measures to use, we will seek to minimise or mitigate any social, economic and</w:t>
      </w:r>
      <w:r>
        <w:rPr>
          <w:rFonts w:cs="Segoe UI"/>
        </w:rPr>
        <w:t>/or</w:t>
      </w:r>
      <w:r w:rsidRPr="00D97871">
        <w:rPr>
          <w:rFonts w:cs="Segoe UI"/>
        </w:rPr>
        <w:t xml:space="preserve"> health impact</w:t>
      </w:r>
      <w:r>
        <w:rPr>
          <w:rFonts w:cs="Segoe UI"/>
        </w:rPr>
        <w:t>s</w:t>
      </w:r>
      <w:r w:rsidRPr="00D97871">
        <w:rPr>
          <w:rFonts w:cs="Segoe UI"/>
        </w:rPr>
        <w:t xml:space="preserve"> that result from our response. </w:t>
      </w:r>
      <w:r>
        <w:rPr>
          <w:rFonts w:cs="Segoe UI"/>
        </w:rPr>
        <w:t xml:space="preserve">Efforts </w:t>
      </w:r>
      <w:r w:rsidRPr="00D97871">
        <w:rPr>
          <w:rFonts w:cs="Segoe UI"/>
        </w:rPr>
        <w:t xml:space="preserve">to manage the public health risk </w:t>
      </w:r>
      <w:r>
        <w:rPr>
          <w:rFonts w:cs="Segoe UI"/>
        </w:rPr>
        <w:t xml:space="preserve">that COVID-19 </w:t>
      </w:r>
      <w:r w:rsidRPr="00D97871">
        <w:rPr>
          <w:rFonts w:cs="Segoe UI"/>
        </w:rPr>
        <w:t xml:space="preserve">presents need to also consider proportionality to a range of other competing challenges that need addressing at any one time, such as </w:t>
      </w:r>
      <w:r>
        <w:rPr>
          <w:rFonts w:cs="Segoe UI"/>
        </w:rPr>
        <w:t>other health emergencies</w:t>
      </w:r>
      <w:r w:rsidRPr="00D97871">
        <w:rPr>
          <w:rFonts w:cs="Segoe UI"/>
        </w:rPr>
        <w:t xml:space="preserve">, other infectious diseases </w:t>
      </w:r>
      <w:r>
        <w:rPr>
          <w:rFonts w:cs="Segoe UI"/>
        </w:rPr>
        <w:t>and</w:t>
      </w:r>
      <w:r w:rsidRPr="00D97871">
        <w:rPr>
          <w:rFonts w:cs="Segoe UI"/>
        </w:rPr>
        <w:t xml:space="preserve"> other long</w:t>
      </w:r>
      <w:r>
        <w:rPr>
          <w:rFonts w:cs="Segoe UI"/>
        </w:rPr>
        <w:t>-</w:t>
      </w:r>
      <w:r w:rsidRPr="00D97871">
        <w:rPr>
          <w:rFonts w:cs="Segoe UI"/>
        </w:rPr>
        <w:t xml:space="preserve">term public health challenges and pressures. </w:t>
      </w:r>
    </w:p>
    <w:p w14:paraId="1DA4F618" w14:textId="77777777" w:rsidR="00136EB3" w:rsidRDefault="00136EB3" w:rsidP="00136EB3">
      <w:pPr>
        <w:rPr>
          <w:rFonts w:cs="Segoe UI"/>
        </w:rPr>
      </w:pPr>
      <w:r>
        <w:rPr>
          <w:rFonts w:cs="Segoe UI"/>
        </w:rPr>
        <w:br w:type="page"/>
      </w:r>
    </w:p>
    <w:p w14:paraId="5C81B3EF" w14:textId="77777777" w:rsidR="00136EB3" w:rsidRDefault="00136EB3" w:rsidP="00136EB3">
      <w:pPr>
        <w:rPr>
          <w:rFonts w:cs="Segoe UI"/>
        </w:rPr>
        <w:sectPr w:rsidR="00136EB3" w:rsidSect="00136EB3">
          <w:pgSz w:w="11906" w:h="16838"/>
          <w:pgMar w:top="1418" w:right="1701" w:bottom="1134" w:left="1843" w:header="708" w:footer="425" w:gutter="284"/>
          <w:cols w:space="708"/>
          <w:docGrid w:linePitch="360"/>
        </w:sectPr>
      </w:pPr>
    </w:p>
    <w:p w14:paraId="76E0C105" w14:textId="49D2C7FA" w:rsidR="00136EB3" w:rsidRPr="00B66BC7" w:rsidRDefault="00136EB3" w:rsidP="00571968">
      <w:pPr>
        <w:pStyle w:val="Heading1"/>
        <w:spacing w:before="0"/>
        <w:ind w:left="-284"/>
      </w:pPr>
      <w:bookmarkStart w:id="20" w:name="_Toc127912542"/>
      <w:bookmarkStart w:id="21" w:name="_Toc130374267"/>
      <w:bookmarkStart w:id="22" w:name="_Toc144448510"/>
      <w:r w:rsidRPr="00B66BC7">
        <w:lastRenderedPageBreak/>
        <w:t>Strategic framework</w:t>
      </w:r>
      <w:bookmarkEnd w:id="20"/>
      <w:r w:rsidRPr="00B66BC7">
        <w:t xml:space="preserve"> </w:t>
      </w:r>
      <w:r>
        <w:t>overview</w:t>
      </w:r>
      <w:bookmarkEnd w:id="21"/>
      <w:bookmarkEnd w:id="22"/>
    </w:p>
    <w:p w14:paraId="2759DDEB" w14:textId="77777777" w:rsidR="00136EB3" w:rsidRPr="00E15D59" w:rsidRDefault="00136EB3" w:rsidP="00571968">
      <w:pPr>
        <w:ind w:left="-284"/>
        <w:rPr>
          <w:rFonts w:cs="Segoe UI"/>
        </w:rPr>
      </w:pPr>
      <w:r w:rsidRPr="00571968">
        <w:t>This framework outlines an overall goal, the outcomes we are aiming to achieve, the objectives that will help us achieve those outcomes, the role of communications and the principles, including those of Te Tiriti, that underpin all elements of our approach</w:t>
      </w:r>
      <w:r>
        <w:rPr>
          <w:rFonts w:cs="Segoe UI"/>
        </w:rPr>
        <w:t>.</w:t>
      </w:r>
      <w:r w:rsidRPr="000C12D1">
        <w:rPr>
          <w:rFonts w:cs="Segoe UI"/>
          <w:b/>
          <w:bCs/>
        </w:rPr>
        <w:t xml:space="preserve"> </w:t>
      </w:r>
      <w:r>
        <w:rPr>
          <w:rFonts w:cs="Segoe UI"/>
          <w:noProof/>
        </w:rPr>
        <w:drawing>
          <wp:inline distT="0" distB="0" distL="0" distR="0" wp14:anchorId="6431D522" wp14:editId="2683CE12">
            <wp:extent cx="8504234" cy="4359349"/>
            <wp:effectExtent l="0" t="0" r="0" b="31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8527087" cy="4371064"/>
                    </a:xfrm>
                    <a:prstGeom prst="rect">
                      <a:avLst/>
                    </a:prstGeom>
                  </pic:spPr>
                </pic:pic>
              </a:graphicData>
            </a:graphic>
          </wp:inline>
        </w:drawing>
      </w:r>
    </w:p>
    <w:p w14:paraId="3DA35903" w14:textId="77777777" w:rsidR="00136EB3" w:rsidRDefault="00136EB3" w:rsidP="00571968">
      <w:pPr>
        <w:ind w:left="-284"/>
        <w:rPr>
          <w:rFonts w:cs="Segoe UI"/>
        </w:rPr>
        <w:sectPr w:rsidR="00136EB3" w:rsidSect="00571968">
          <w:pgSz w:w="16838" w:h="11906" w:orient="landscape"/>
          <w:pgMar w:top="993" w:right="1701" w:bottom="1134" w:left="1843" w:header="708" w:footer="425" w:gutter="284"/>
          <w:cols w:space="708"/>
          <w:docGrid w:linePitch="360"/>
        </w:sectPr>
      </w:pPr>
    </w:p>
    <w:p w14:paraId="3E9A9D5C" w14:textId="77777777" w:rsidR="00136EB3" w:rsidRPr="00CA238A" w:rsidRDefault="00136EB3" w:rsidP="00571968">
      <w:pPr>
        <w:pStyle w:val="Heading2"/>
        <w:spacing w:before="0"/>
      </w:pPr>
      <w:bookmarkStart w:id="23" w:name="_Toc127912543"/>
      <w:bookmarkStart w:id="24" w:name="_Toc144448511"/>
      <w:r w:rsidRPr="00CA238A">
        <w:lastRenderedPageBreak/>
        <w:t xml:space="preserve">Overarching </w:t>
      </w:r>
      <w:r>
        <w:t>g</w:t>
      </w:r>
      <w:r w:rsidRPr="00CA238A">
        <w:t>oal</w:t>
      </w:r>
      <w:bookmarkEnd w:id="23"/>
      <w:bookmarkEnd w:id="24"/>
    </w:p>
    <w:p w14:paraId="4C93A105" w14:textId="77777777" w:rsidR="00136EB3" w:rsidRPr="00571968" w:rsidRDefault="00136EB3" w:rsidP="00571968">
      <w:pPr>
        <w:pStyle w:val="Heading3"/>
      </w:pPr>
      <w:r w:rsidRPr="00571968">
        <w:t>Our individual and collective health and wellbeing are protected from the impacts of COVID-19</w:t>
      </w:r>
    </w:p>
    <w:p w14:paraId="56952B69" w14:textId="168905BA" w:rsidR="00136EB3" w:rsidRDefault="00136EB3" w:rsidP="00571968">
      <w:r w:rsidRPr="00C01246">
        <w:t xml:space="preserve">This high-level goal draws on the </w:t>
      </w:r>
      <w:r>
        <w:t>ambition</w:t>
      </w:r>
      <w:r w:rsidRPr="00C01246">
        <w:t xml:space="preserve"> of </w:t>
      </w:r>
      <w:r>
        <w:t xml:space="preserve">the </w:t>
      </w:r>
      <w:r w:rsidRPr="00C01246">
        <w:t>health system</w:t>
      </w:r>
      <w:r>
        <w:t>:</w:t>
      </w:r>
      <w:r w:rsidRPr="00C01246">
        <w:t xml:space="preserve"> </w:t>
      </w:r>
      <w:r>
        <w:t>p</w:t>
      </w:r>
      <w:r w:rsidRPr="00C01246">
        <w:t xml:space="preserve">ae </w:t>
      </w:r>
      <w:r>
        <w:t>o</w:t>
      </w:r>
      <w:r w:rsidRPr="00C01246">
        <w:t xml:space="preserve">ra – healthy futures, where </w:t>
      </w:r>
      <w:r>
        <w:t>all New Zealanders</w:t>
      </w:r>
      <w:r w:rsidRPr="00C01246">
        <w:t xml:space="preserve"> live longer</w:t>
      </w:r>
      <w:r>
        <w:t>,</w:t>
      </w:r>
      <w:r w:rsidRPr="00C01246">
        <w:t xml:space="preserve"> healthier lives. </w:t>
      </w:r>
    </w:p>
    <w:p w14:paraId="21AD7090" w14:textId="77777777" w:rsidR="00571968" w:rsidRPr="00C01246" w:rsidRDefault="00571968" w:rsidP="00571968"/>
    <w:p w14:paraId="33AF38E2" w14:textId="77777777" w:rsidR="00136EB3" w:rsidRPr="0057438F" w:rsidRDefault="00136EB3" w:rsidP="00571968">
      <w:r w:rsidRPr="00C01246">
        <w:t xml:space="preserve">Our response to COVID-19 will seek to protect the </w:t>
      </w:r>
      <w:r>
        <w:t xml:space="preserve">health and </w:t>
      </w:r>
      <w:r w:rsidRPr="00C01246">
        <w:t xml:space="preserve">wellbeing of individuals </w:t>
      </w:r>
      <w:r w:rsidRPr="0057438F">
        <w:t xml:space="preserve">and communities through a proportionate and equitable response to managing COVID-19 in </w:t>
      </w:r>
      <w:r>
        <w:t xml:space="preserve">Aotearoa </w:t>
      </w:r>
      <w:r w:rsidRPr="0057438F">
        <w:t>New Zealand</w:t>
      </w:r>
      <w:r>
        <w:t>,</w:t>
      </w:r>
      <w:r w:rsidRPr="0057438F">
        <w:t xml:space="preserve"> while building resilience for future pandemics and other infectious diseases.</w:t>
      </w:r>
    </w:p>
    <w:p w14:paraId="6425F27E" w14:textId="77777777" w:rsidR="00136EB3" w:rsidRDefault="00136EB3" w:rsidP="00136EB3">
      <w:pPr>
        <w:pStyle w:val="Heading2"/>
        <w:rPr>
          <w:sz w:val="14"/>
          <w:szCs w:val="14"/>
        </w:rPr>
      </w:pPr>
      <w:bookmarkStart w:id="25" w:name="_Toc127912544"/>
      <w:bookmarkStart w:id="26" w:name="_Toc130291936"/>
      <w:bookmarkStart w:id="27" w:name="_Toc130292083"/>
      <w:bookmarkStart w:id="28" w:name="_Toc130374268"/>
      <w:bookmarkStart w:id="29" w:name="_Toc144448512"/>
      <w:r w:rsidRPr="00CA238A">
        <w:t>Strategic outcomes and objectives</w:t>
      </w:r>
      <w:bookmarkEnd w:id="25"/>
      <w:bookmarkEnd w:id="26"/>
      <w:bookmarkEnd w:id="27"/>
      <w:bookmarkEnd w:id="28"/>
      <w:bookmarkEnd w:id="29"/>
    </w:p>
    <w:p w14:paraId="1ED4B50D" w14:textId="77777777" w:rsidR="00136EB3" w:rsidRPr="00571968" w:rsidRDefault="00136EB3" w:rsidP="00571968">
      <w:pPr>
        <w:pStyle w:val="Heading3"/>
      </w:pPr>
      <w:bookmarkStart w:id="30" w:name="_Toc130374269"/>
      <w:r w:rsidRPr="00571968">
        <w:t>PREPARE: We are prepared for future waves and new variants</w:t>
      </w:r>
      <w:bookmarkEnd w:id="30"/>
    </w:p>
    <w:p w14:paraId="61326F10" w14:textId="2165E1B3" w:rsidR="00136EB3" w:rsidRDefault="00136EB3" w:rsidP="00571968">
      <w:r w:rsidRPr="00C01246">
        <w:t>Our experience with COVID-19 has highlighted the importance of being prepared for future threats</w:t>
      </w:r>
      <w:r>
        <w:t xml:space="preserve"> to public health. This requires us to have surveillance and risk-assessment systems in place. We must ensure </w:t>
      </w:r>
      <w:r w:rsidRPr="00C01246">
        <w:t>our approach is based on evidence</w:t>
      </w:r>
      <w:r>
        <w:t xml:space="preserve"> and informed by global intelligence, an understanding of the impact of our interventions and</w:t>
      </w:r>
      <w:r w:rsidRPr="00C01246">
        <w:t xml:space="preserve"> </w:t>
      </w:r>
      <w:r>
        <w:t>our</w:t>
      </w:r>
      <w:r w:rsidRPr="00C01246">
        <w:t xml:space="preserve"> capacity</w:t>
      </w:r>
      <w:r>
        <w:t xml:space="preserve"> and capability</w:t>
      </w:r>
      <w:r w:rsidRPr="00C01246">
        <w:t xml:space="preserve"> to scale </w:t>
      </w:r>
      <w:r>
        <w:t xml:space="preserve">up </w:t>
      </w:r>
      <w:r w:rsidRPr="00C01246">
        <w:t>a response</w:t>
      </w:r>
      <w:r>
        <w:t xml:space="preserve"> if needed</w:t>
      </w:r>
      <w:r w:rsidRPr="00C01246">
        <w:t xml:space="preserve"> </w:t>
      </w:r>
      <w:r>
        <w:t>and t</w:t>
      </w:r>
      <w:r w:rsidRPr="00C01246">
        <w:t>o take steps to prevent threats from occurring</w:t>
      </w:r>
      <w:r>
        <w:t xml:space="preserve"> in the first place</w:t>
      </w:r>
      <w:r w:rsidRPr="00C01246">
        <w:t>.</w:t>
      </w:r>
      <w:r>
        <w:t xml:space="preserve"> </w:t>
      </w:r>
    </w:p>
    <w:p w14:paraId="5C904F1E" w14:textId="77777777" w:rsidR="00571968" w:rsidRDefault="00571968" w:rsidP="00571968"/>
    <w:p w14:paraId="66DBB39E" w14:textId="77777777" w:rsidR="00136EB3" w:rsidRPr="00043C8B" w:rsidRDefault="00136EB3" w:rsidP="00571968">
      <w:r w:rsidRPr="00043C8B">
        <w:t xml:space="preserve">Preparedness also recognises that Aotearoa New Zealand is part of a wider global community. </w:t>
      </w:r>
      <w:r>
        <w:t>It</w:t>
      </w:r>
      <w:r w:rsidRPr="00043C8B">
        <w:t xml:space="preserve"> entails international cooperation, information sharing and capacity building, particularly with our neighbours in the Pacific.  </w:t>
      </w:r>
    </w:p>
    <w:p w14:paraId="1586A970" w14:textId="676E0B52" w:rsidR="00136EB3" w:rsidRPr="00571968" w:rsidRDefault="00136EB3" w:rsidP="00571968">
      <w:pPr>
        <w:pStyle w:val="Heading4"/>
      </w:pPr>
      <w:bookmarkStart w:id="31" w:name="_Toc127912546"/>
      <w:r w:rsidRPr="00571968">
        <w:t>Objectives to achieve this outcome</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ADD2"/>
        <w:tblLook w:val="04A0" w:firstRow="1" w:lastRow="0" w:firstColumn="1" w:lastColumn="0" w:noHBand="0" w:noVBand="1"/>
      </w:tblPr>
      <w:tblGrid>
        <w:gridCol w:w="8069"/>
      </w:tblGrid>
      <w:tr w:rsidR="00571968" w:rsidRPr="00571968" w14:paraId="72527B0C" w14:textId="77777777" w:rsidTr="00571968">
        <w:tc>
          <w:tcPr>
            <w:tcW w:w="8069" w:type="dxa"/>
            <w:shd w:val="clear" w:color="auto" w:fill="24ADD2"/>
          </w:tcPr>
          <w:p w14:paraId="19BF26F1" w14:textId="77777777" w:rsidR="00571968" w:rsidRPr="00571968" w:rsidRDefault="00571968" w:rsidP="00571968">
            <w:pPr>
              <w:spacing w:before="120" w:after="120"/>
              <w:rPr>
                <w:color w:val="FFFFFF" w:themeColor="background1"/>
              </w:rPr>
            </w:pPr>
            <w:r w:rsidRPr="00571968">
              <w:rPr>
                <w:b/>
                <w:bCs/>
                <w:color w:val="FFFFFF" w:themeColor="background1"/>
              </w:rPr>
              <w:t>Vaccination:</w:t>
            </w:r>
            <w:r w:rsidRPr="00571968">
              <w:rPr>
                <w:color w:val="FFFFFF" w:themeColor="background1"/>
              </w:rPr>
              <w:t xml:space="preserve"> Vaccines protect against serious illness and reduce transmission.</w:t>
            </w:r>
          </w:p>
          <w:p w14:paraId="55459C54" w14:textId="77777777" w:rsidR="00571968" w:rsidRPr="00571968" w:rsidRDefault="00571968" w:rsidP="00571968">
            <w:pPr>
              <w:spacing w:before="120" w:after="120"/>
              <w:rPr>
                <w:color w:val="FFFFFF" w:themeColor="background1"/>
              </w:rPr>
            </w:pPr>
            <w:r w:rsidRPr="00571968">
              <w:rPr>
                <w:b/>
                <w:bCs/>
                <w:color w:val="FFFFFF" w:themeColor="background1"/>
              </w:rPr>
              <w:t>Knowledge:</w:t>
            </w:r>
            <w:r w:rsidRPr="00571968">
              <w:rPr>
                <w:color w:val="FFFFFF" w:themeColor="background1"/>
              </w:rPr>
              <w:t xml:space="preserve"> The virus, its impact and the effectiveness of our response are understood.</w:t>
            </w:r>
          </w:p>
          <w:p w14:paraId="62304EF8" w14:textId="6A8B25DE" w:rsidR="00571968" w:rsidRPr="00571968" w:rsidRDefault="00571968" w:rsidP="00571968">
            <w:pPr>
              <w:spacing w:before="120" w:after="120"/>
              <w:rPr>
                <w:color w:val="FFFFFF" w:themeColor="background1"/>
              </w:rPr>
            </w:pPr>
            <w:r w:rsidRPr="00571968">
              <w:rPr>
                <w:b/>
                <w:bCs/>
                <w:color w:val="FFFFFF" w:themeColor="background1"/>
              </w:rPr>
              <w:t>Resource:</w:t>
            </w:r>
            <w:r w:rsidRPr="00571968">
              <w:rPr>
                <w:color w:val="FFFFFF" w:themeColor="background1"/>
              </w:rPr>
              <w:t xml:space="preserve"> Core capacity and capability are retained and are scalable if needed.</w:t>
            </w:r>
          </w:p>
        </w:tc>
      </w:tr>
    </w:tbl>
    <w:p w14:paraId="5A9A5C71" w14:textId="77777777" w:rsidR="00136EB3" w:rsidRPr="00571968" w:rsidRDefault="00136EB3" w:rsidP="00571968">
      <w:pPr>
        <w:pStyle w:val="Heading4"/>
      </w:pPr>
      <w:r w:rsidRPr="00571968">
        <w:t>Key elements</w:t>
      </w:r>
    </w:p>
    <w:p w14:paraId="6ED94E83" w14:textId="77777777" w:rsidR="00136EB3" w:rsidRPr="00DD6A5E" w:rsidRDefault="00136EB3" w:rsidP="00571968">
      <w:pPr>
        <w:pStyle w:val="Bullet"/>
      </w:pPr>
      <w:r>
        <w:t>M</w:t>
      </w:r>
      <w:r w:rsidRPr="00C01246">
        <w:t xml:space="preserve">aintaining </w:t>
      </w:r>
      <w:r>
        <w:t>prevention and protection from severe illness</w:t>
      </w:r>
      <w:r w:rsidRPr="00C01246">
        <w:t xml:space="preserve"> </w:t>
      </w:r>
      <w:r>
        <w:t xml:space="preserve">and reducing transmission </w:t>
      </w:r>
      <w:r w:rsidRPr="00C01246">
        <w:t xml:space="preserve">through </w:t>
      </w:r>
      <w:r>
        <w:t xml:space="preserve">high levels of </w:t>
      </w:r>
      <w:r w:rsidRPr="00C01246">
        <w:t>vaccination</w:t>
      </w:r>
      <w:r>
        <w:t>. In so doing we will ensure e</w:t>
      </w:r>
      <w:r w:rsidRPr="00444C84">
        <w:t>quitabl</w:t>
      </w:r>
      <w:r w:rsidRPr="00253910">
        <w:t xml:space="preserve">e </w:t>
      </w:r>
      <w:r w:rsidRPr="00444C84">
        <w:t>and effective rollout of vaccines</w:t>
      </w:r>
      <w:r>
        <w:t xml:space="preserve">, with sufficient supply to support our priorities. </w:t>
      </w:r>
    </w:p>
    <w:p w14:paraId="21A5F446" w14:textId="77777777" w:rsidR="00136EB3" w:rsidRDefault="00136EB3" w:rsidP="00571968">
      <w:pPr>
        <w:pStyle w:val="Bullet"/>
      </w:pPr>
      <w:r>
        <w:lastRenderedPageBreak/>
        <w:t xml:space="preserve">Applying </w:t>
      </w:r>
      <w:r w:rsidRPr="00C01246">
        <w:t>knowledge about the virus, its impact</w:t>
      </w:r>
      <w:r>
        <w:t xml:space="preserve">, </w:t>
      </w:r>
      <w:r w:rsidRPr="00C01246">
        <w:t xml:space="preserve">and the </w:t>
      </w:r>
      <w:r>
        <w:t>effectiveness</w:t>
      </w:r>
      <w:r w:rsidRPr="00C01246">
        <w:t xml:space="preserve"> of our response</w:t>
      </w:r>
      <w:r>
        <w:t xml:space="preserve">. This involves surveillance and intelligence and also research and using data to calibrate our response against the impacts that are occurring.  </w:t>
      </w:r>
    </w:p>
    <w:p w14:paraId="7698DE7E" w14:textId="77777777" w:rsidR="00136EB3" w:rsidRPr="00B537ED" w:rsidRDefault="00136EB3" w:rsidP="00571968">
      <w:pPr>
        <w:pStyle w:val="Bullet"/>
      </w:pPr>
      <w:r w:rsidRPr="00B537ED">
        <w:t xml:space="preserve">Ensuring we have capability to scale up our response if needed across </w:t>
      </w:r>
      <w:r>
        <w:t xml:space="preserve">social and </w:t>
      </w:r>
      <w:r w:rsidRPr="00B537ED">
        <w:t>health</w:t>
      </w:r>
      <w:r>
        <w:t xml:space="preserve"> </w:t>
      </w:r>
      <w:r w:rsidRPr="00B537ED">
        <w:t>care services and providers, including Kaupapa Māori, community, primary and hospital services</w:t>
      </w:r>
      <w:r>
        <w:t>, as well as care in the community</w:t>
      </w:r>
      <w:r w:rsidRPr="00B537ED">
        <w:t xml:space="preserve">. This scaling-up could </w:t>
      </w:r>
      <w:r>
        <w:t xml:space="preserve">also </w:t>
      </w:r>
      <w:r w:rsidRPr="00B537ED">
        <w:t>happen across testing, contact tracing, isolation and quarantine, and border management</w:t>
      </w:r>
      <w:r>
        <w:t>, as well as communications, mask use and ventilation requirements</w:t>
      </w:r>
      <w:r w:rsidRPr="00B537ED">
        <w:t xml:space="preserve">. </w:t>
      </w:r>
    </w:p>
    <w:p w14:paraId="619C8966" w14:textId="77777777" w:rsidR="00136EB3" w:rsidRPr="00284D5E" w:rsidRDefault="00136EB3" w:rsidP="00136EB3">
      <w:pPr>
        <w:pStyle w:val="Heading3"/>
      </w:pPr>
      <w:bookmarkStart w:id="32" w:name="_Toc130374273"/>
      <w:r w:rsidRPr="00284D5E">
        <w:t>MANAGE: We minimise the direct and wider impacts of COVID-19</w:t>
      </w:r>
      <w:bookmarkEnd w:id="32"/>
      <w:r w:rsidRPr="00284D5E">
        <w:t xml:space="preserve"> </w:t>
      </w:r>
    </w:p>
    <w:p w14:paraId="4D4FF12F" w14:textId="77777777" w:rsidR="00136EB3" w:rsidRPr="00C01246" w:rsidRDefault="00136EB3" w:rsidP="00571968">
      <w:r w:rsidRPr="00C01246">
        <w:t xml:space="preserve">We minimise </w:t>
      </w:r>
      <w:r>
        <w:t xml:space="preserve">the </w:t>
      </w:r>
      <w:r w:rsidRPr="00C01246">
        <w:t xml:space="preserve">impacts of COVID-19 on Aotearoa </w:t>
      </w:r>
      <w:r>
        <w:t xml:space="preserve">New Zealand </w:t>
      </w:r>
      <w:r w:rsidRPr="00C01246">
        <w:t xml:space="preserve">and </w:t>
      </w:r>
      <w:r>
        <w:t>our</w:t>
      </w:r>
      <w:r w:rsidRPr="00C01246">
        <w:t xml:space="preserve"> people. This means mitigating the direct and </w:t>
      </w:r>
      <w:r>
        <w:t>wider</w:t>
      </w:r>
      <w:r w:rsidRPr="00C01246">
        <w:t xml:space="preserve"> impacts on:</w:t>
      </w:r>
    </w:p>
    <w:p w14:paraId="0EE47DD5" w14:textId="77777777" w:rsidR="00136EB3" w:rsidRPr="00C01246" w:rsidRDefault="00136EB3" w:rsidP="00571968">
      <w:pPr>
        <w:pStyle w:val="Bullet"/>
      </w:pPr>
      <w:r w:rsidRPr="00C01246">
        <w:t>individuals who contract COVID-19</w:t>
      </w:r>
      <w:r>
        <w:t xml:space="preserve"> in respect of</w:t>
      </w:r>
      <w:r w:rsidRPr="00C01246">
        <w:t xml:space="preserve"> both their physical and psychosocial health and wellbeing</w:t>
      </w:r>
      <w:r>
        <w:t>, including those with long COVID</w:t>
      </w:r>
    </w:p>
    <w:p w14:paraId="6EBBFB1D" w14:textId="77777777" w:rsidR="00136EB3" w:rsidRPr="00C01246" w:rsidRDefault="00136EB3" w:rsidP="00571968">
      <w:pPr>
        <w:pStyle w:val="Bullet"/>
      </w:pPr>
      <w:r w:rsidRPr="00C01246">
        <w:t>wh</w:t>
      </w:r>
      <w:r>
        <w:t>ā</w:t>
      </w:r>
      <w:r w:rsidRPr="00C01246">
        <w:t xml:space="preserve">nau, communities and services </w:t>
      </w:r>
      <w:r>
        <w:t>that</w:t>
      </w:r>
      <w:r w:rsidRPr="00C01246">
        <w:t xml:space="preserve"> support those with COVID-19 or </w:t>
      </w:r>
      <w:r>
        <w:t>that</w:t>
      </w:r>
      <w:r w:rsidRPr="00C01246">
        <w:t xml:space="preserve"> are otherwise impacted by the pandemic </w:t>
      </w:r>
    </w:p>
    <w:p w14:paraId="3C9D8437" w14:textId="77777777" w:rsidR="00136EB3" w:rsidRPr="00C01246" w:rsidRDefault="00136EB3" w:rsidP="00571968">
      <w:pPr>
        <w:pStyle w:val="Bullet"/>
      </w:pPr>
      <w:r w:rsidRPr="00C01246">
        <w:t xml:space="preserve">the economy, including businesses impacted by the pandemic and the measures to manage it </w:t>
      </w:r>
    </w:p>
    <w:p w14:paraId="01E6156A" w14:textId="77777777" w:rsidR="00136EB3" w:rsidRPr="00C01246" w:rsidRDefault="00136EB3" w:rsidP="00571968">
      <w:pPr>
        <w:pStyle w:val="Bullet"/>
      </w:pPr>
      <w:r w:rsidRPr="00C01246">
        <w:t>the health and disability system</w:t>
      </w:r>
      <w:r>
        <w:t>s</w:t>
      </w:r>
      <w:r w:rsidRPr="00C01246">
        <w:t>, including disruption to non-COVID-19 care</w:t>
      </w:r>
    </w:p>
    <w:p w14:paraId="72D03868" w14:textId="77777777" w:rsidR="00136EB3" w:rsidRPr="00C01246" w:rsidRDefault="00136EB3" w:rsidP="00571968">
      <w:pPr>
        <w:pStyle w:val="Bullet"/>
      </w:pPr>
      <w:r w:rsidRPr="00C01246">
        <w:t>other essential services</w:t>
      </w:r>
      <w:r>
        <w:t>,</w:t>
      </w:r>
      <w:r w:rsidRPr="00C01246">
        <w:t xml:space="preserve"> including education and welfare.</w:t>
      </w:r>
    </w:p>
    <w:p w14:paraId="3910D0C4" w14:textId="5C6CA1DF" w:rsidR="00136EB3" w:rsidRDefault="00136EB3" w:rsidP="00136EB3">
      <w:pPr>
        <w:pStyle w:val="Heading4"/>
      </w:pPr>
      <w:bookmarkStart w:id="33" w:name="_Toc127912548"/>
      <w:r w:rsidRPr="008B4209">
        <w:t>Objectives to achieve this outcome</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4383"/>
        <w:tblLook w:val="04A0" w:firstRow="1" w:lastRow="0" w:firstColumn="1" w:lastColumn="0" w:noHBand="0" w:noVBand="1"/>
      </w:tblPr>
      <w:tblGrid>
        <w:gridCol w:w="8069"/>
      </w:tblGrid>
      <w:tr w:rsidR="00571968" w:rsidRPr="00571968" w14:paraId="4A1F0BBF" w14:textId="77777777" w:rsidTr="00571968">
        <w:tc>
          <w:tcPr>
            <w:tcW w:w="8069" w:type="dxa"/>
            <w:shd w:val="clear" w:color="auto" w:fill="314383"/>
          </w:tcPr>
          <w:p w14:paraId="2AF92861" w14:textId="77777777" w:rsidR="00571968" w:rsidRPr="00571968" w:rsidRDefault="00571968" w:rsidP="00571968">
            <w:pPr>
              <w:spacing w:before="120" w:after="120"/>
              <w:rPr>
                <w:b/>
                <w:bCs/>
                <w:color w:val="FFFFFF" w:themeColor="background1"/>
              </w:rPr>
            </w:pPr>
            <w:bookmarkStart w:id="34" w:name="_Hlk144388842"/>
            <w:r w:rsidRPr="00571968">
              <w:rPr>
                <w:b/>
                <w:bCs/>
                <w:color w:val="FFFFFF" w:themeColor="background1"/>
              </w:rPr>
              <w:t xml:space="preserve">Transmission: </w:t>
            </w:r>
            <w:r w:rsidRPr="00571968">
              <w:rPr>
                <w:color w:val="FFFFFF" w:themeColor="background1"/>
              </w:rPr>
              <w:t>Transmission is managed proportionately to the public health risk.</w:t>
            </w:r>
          </w:p>
          <w:p w14:paraId="338EE4B6" w14:textId="77777777" w:rsidR="00571968" w:rsidRPr="00571968" w:rsidRDefault="00571968" w:rsidP="00571968">
            <w:pPr>
              <w:spacing w:before="120" w:after="120"/>
              <w:rPr>
                <w:b/>
                <w:bCs/>
                <w:color w:val="FFFFFF" w:themeColor="background1"/>
              </w:rPr>
            </w:pPr>
            <w:r w:rsidRPr="00571968">
              <w:rPr>
                <w:b/>
                <w:bCs/>
                <w:color w:val="FFFFFF" w:themeColor="background1"/>
              </w:rPr>
              <w:t xml:space="preserve">Care: </w:t>
            </w:r>
            <w:r w:rsidRPr="00571968">
              <w:rPr>
                <w:color w:val="FFFFFF" w:themeColor="background1"/>
              </w:rPr>
              <w:t>Treatment and care protect against serious illness and improve health outcomes.</w:t>
            </w:r>
            <w:r w:rsidRPr="00571968">
              <w:rPr>
                <w:b/>
                <w:bCs/>
                <w:color w:val="FFFFFF" w:themeColor="background1"/>
              </w:rPr>
              <w:t xml:space="preserve"> </w:t>
            </w:r>
          </w:p>
          <w:p w14:paraId="4DE7A12D" w14:textId="7F23BADE" w:rsidR="00571968" w:rsidRPr="00571968" w:rsidRDefault="00571968" w:rsidP="00571968">
            <w:pPr>
              <w:spacing w:before="120" w:after="120"/>
              <w:rPr>
                <w:color w:val="FFFFFF" w:themeColor="background1"/>
              </w:rPr>
            </w:pPr>
            <w:r w:rsidRPr="00571968">
              <w:rPr>
                <w:b/>
                <w:bCs/>
                <w:color w:val="FFFFFF" w:themeColor="background1"/>
              </w:rPr>
              <w:t xml:space="preserve">Wider impacts: </w:t>
            </w:r>
            <w:r w:rsidRPr="00571968">
              <w:rPr>
                <w:color w:val="FFFFFF" w:themeColor="background1"/>
              </w:rPr>
              <w:t>Wider health, social and economic impacts are minimised.</w:t>
            </w:r>
          </w:p>
        </w:tc>
      </w:tr>
    </w:tbl>
    <w:bookmarkEnd w:id="34"/>
    <w:p w14:paraId="3FE311C6" w14:textId="77777777" w:rsidR="00136EB3" w:rsidRPr="00C02C86" w:rsidRDefault="00136EB3" w:rsidP="00136EB3">
      <w:pPr>
        <w:pStyle w:val="Heading4"/>
      </w:pPr>
      <w:r w:rsidRPr="00C01246">
        <w:t>Key elements</w:t>
      </w:r>
    </w:p>
    <w:p w14:paraId="052DB013" w14:textId="77777777" w:rsidR="00136EB3" w:rsidRPr="00081D2A" w:rsidRDefault="00136EB3" w:rsidP="00571968">
      <w:pPr>
        <w:pStyle w:val="Bullet"/>
      </w:pPr>
      <w:r>
        <w:t>M</w:t>
      </w:r>
      <w:r w:rsidRPr="00C01246">
        <w:t xml:space="preserve">anaging transmission in a proportionate </w:t>
      </w:r>
      <w:r>
        <w:t xml:space="preserve">way according to the public health risk, including drawing on tools such as isolation, infection prevention and control (for example, public messaging on hygiene, mask use, ventilation, etc), testing and diagnostics, as needed.  </w:t>
      </w:r>
    </w:p>
    <w:p w14:paraId="44C885E5" w14:textId="77777777" w:rsidR="00136EB3" w:rsidRPr="00081D2A" w:rsidRDefault="00136EB3" w:rsidP="00571968">
      <w:pPr>
        <w:pStyle w:val="Bullet"/>
      </w:pPr>
      <w:r>
        <w:t>P</w:t>
      </w:r>
      <w:r w:rsidRPr="00C01246">
        <w:t>rovi</w:t>
      </w:r>
      <w:r>
        <w:t>ding</w:t>
      </w:r>
      <w:r w:rsidRPr="00C01246">
        <w:t xml:space="preserve"> </w:t>
      </w:r>
      <w:r>
        <w:t>care and</w:t>
      </w:r>
      <w:r w:rsidRPr="00C01246">
        <w:t xml:space="preserve"> treatment </w:t>
      </w:r>
      <w:r>
        <w:t>that is equitable and effective. This includes encouraging the availability and use of therapeutics, ensuring access to care for at-risk groups and populations and emphasising the importance of holistic health care that is centred on wh</w:t>
      </w:r>
      <w:r>
        <w:rPr>
          <w:lang w:val="mi-NZ"/>
        </w:rPr>
        <w:t>ā</w:t>
      </w:r>
      <w:r>
        <w:t>nau.</w:t>
      </w:r>
    </w:p>
    <w:p w14:paraId="5BC5767C" w14:textId="77777777" w:rsidR="00136EB3" w:rsidRPr="00C01246" w:rsidRDefault="00136EB3" w:rsidP="00571968">
      <w:pPr>
        <w:pStyle w:val="Bullet"/>
      </w:pPr>
      <w:r>
        <w:t>M</w:t>
      </w:r>
      <w:r w:rsidRPr="00C01246">
        <w:t xml:space="preserve">inimising </w:t>
      </w:r>
      <w:r>
        <w:t xml:space="preserve">and addressing the wider </w:t>
      </w:r>
      <w:r w:rsidRPr="00C01246">
        <w:t>impacts of COVID-19 and the impacts of our response</w:t>
      </w:r>
      <w:r>
        <w:t>. As appropriate, and in line with available resources, we will consider the needs for wider support where impacts are likely to be felt well beyond acute health care needs.</w:t>
      </w:r>
    </w:p>
    <w:p w14:paraId="415F5A26" w14:textId="77777777" w:rsidR="00136EB3" w:rsidRPr="002A66BF" w:rsidRDefault="00136EB3" w:rsidP="00136EB3">
      <w:pPr>
        <w:pStyle w:val="Heading3"/>
      </w:pPr>
      <w:bookmarkStart w:id="35" w:name="_Toc130374277"/>
      <w:r w:rsidRPr="002A66BF">
        <w:lastRenderedPageBreak/>
        <w:t>INTEGRATE: We strengthen and integrate resilience across our systems</w:t>
      </w:r>
      <w:bookmarkEnd w:id="35"/>
    </w:p>
    <w:p w14:paraId="02123B40" w14:textId="77777777" w:rsidR="00136EB3" w:rsidRPr="00C01246" w:rsidRDefault="00136EB3" w:rsidP="00136EB3">
      <w:pPr>
        <w:spacing w:before="120"/>
        <w:rPr>
          <w:rFonts w:cs="Segoe UI"/>
        </w:rPr>
      </w:pPr>
      <w:r>
        <w:rPr>
          <w:rFonts w:cs="Segoe UI"/>
        </w:rPr>
        <w:t>T</w:t>
      </w:r>
      <w:r w:rsidRPr="00C01246">
        <w:rPr>
          <w:rFonts w:cs="Segoe UI"/>
        </w:rPr>
        <w:t xml:space="preserve">his strategic outcome focuses on </w:t>
      </w:r>
      <w:r>
        <w:rPr>
          <w:rFonts w:cs="Segoe UI"/>
        </w:rPr>
        <w:t xml:space="preserve">the </w:t>
      </w:r>
      <w:r w:rsidRPr="00C01246">
        <w:rPr>
          <w:rFonts w:cs="Segoe UI"/>
        </w:rPr>
        <w:t>shift</w:t>
      </w:r>
      <w:r>
        <w:rPr>
          <w:rFonts w:cs="Segoe UI"/>
        </w:rPr>
        <w:t xml:space="preserve"> awayfrom a state of</w:t>
      </w:r>
      <w:r w:rsidRPr="00C01246">
        <w:rPr>
          <w:rFonts w:cs="Segoe UI"/>
        </w:rPr>
        <w:t xml:space="preserve"> emergency response, </w:t>
      </w:r>
      <w:r>
        <w:rPr>
          <w:rFonts w:cs="Segoe UI"/>
        </w:rPr>
        <w:t>maintaining the gains,</w:t>
      </w:r>
      <w:r w:rsidRPr="00C01246">
        <w:rPr>
          <w:rFonts w:cs="Segoe UI"/>
        </w:rPr>
        <w:t xml:space="preserve"> drawing on the lessons learned and integrat</w:t>
      </w:r>
      <w:r>
        <w:rPr>
          <w:rFonts w:cs="Segoe UI"/>
        </w:rPr>
        <w:t>ing</w:t>
      </w:r>
      <w:r w:rsidRPr="00C01246">
        <w:rPr>
          <w:rFonts w:cs="Segoe UI"/>
        </w:rPr>
        <w:t xml:space="preserve"> the management of COVID-19 </w:t>
      </w:r>
      <w:r>
        <w:rPr>
          <w:rFonts w:cs="Segoe UI"/>
        </w:rPr>
        <w:t xml:space="preserve">into </w:t>
      </w:r>
      <w:r w:rsidRPr="00C01246">
        <w:rPr>
          <w:rFonts w:cs="Segoe UI"/>
        </w:rPr>
        <w:t xml:space="preserve">a strengthened </w:t>
      </w:r>
      <w:r>
        <w:rPr>
          <w:rFonts w:cs="Segoe UI"/>
        </w:rPr>
        <w:t xml:space="preserve">and </w:t>
      </w:r>
      <w:r w:rsidRPr="00C01246">
        <w:rPr>
          <w:rFonts w:cs="Segoe UI"/>
        </w:rPr>
        <w:t xml:space="preserve">more resilient </w:t>
      </w:r>
      <w:r>
        <w:rPr>
          <w:rFonts w:cs="Segoe UI"/>
        </w:rPr>
        <w:t xml:space="preserve">health </w:t>
      </w:r>
      <w:r w:rsidRPr="00C01246">
        <w:rPr>
          <w:rFonts w:cs="Segoe UI"/>
        </w:rPr>
        <w:t>system</w:t>
      </w:r>
      <w:r>
        <w:rPr>
          <w:rFonts w:cs="Segoe UI"/>
        </w:rPr>
        <w:t>.</w:t>
      </w:r>
    </w:p>
    <w:p w14:paraId="1077B8C1" w14:textId="51AFC3BC" w:rsidR="00136EB3" w:rsidRDefault="00136EB3" w:rsidP="00136EB3">
      <w:pPr>
        <w:pStyle w:val="Heading4"/>
      </w:pPr>
      <w:bookmarkStart w:id="36" w:name="_Toc127912550"/>
      <w:r w:rsidRPr="00C01246">
        <w:t>Objectives to achieve this outcome</w:t>
      </w:r>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CD0CE"/>
        <w:tblLook w:val="04A0" w:firstRow="1" w:lastRow="0" w:firstColumn="1" w:lastColumn="0" w:noHBand="0" w:noVBand="1"/>
      </w:tblPr>
      <w:tblGrid>
        <w:gridCol w:w="8069"/>
      </w:tblGrid>
      <w:tr w:rsidR="00571968" w:rsidRPr="00571968" w14:paraId="331B8835" w14:textId="77777777" w:rsidTr="00571968">
        <w:tc>
          <w:tcPr>
            <w:tcW w:w="8069" w:type="dxa"/>
            <w:shd w:val="clear" w:color="auto" w:fill="8CD0CE"/>
          </w:tcPr>
          <w:p w14:paraId="6058C0B3" w14:textId="77777777" w:rsidR="00571968" w:rsidRPr="00571968" w:rsidRDefault="00571968" w:rsidP="00571968">
            <w:pPr>
              <w:spacing w:before="120" w:after="120"/>
              <w:rPr>
                <w:b/>
                <w:bCs/>
                <w:color w:val="FFFFFF" w:themeColor="background1"/>
              </w:rPr>
            </w:pPr>
            <w:r w:rsidRPr="00571968">
              <w:rPr>
                <w:b/>
                <w:bCs/>
                <w:color w:val="FFFFFF" w:themeColor="background1"/>
              </w:rPr>
              <w:t xml:space="preserve">Transition: </w:t>
            </w:r>
            <w:r w:rsidRPr="00571968">
              <w:rPr>
                <w:color w:val="FFFFFF" w:themeColor="background1"/>
              </w:rPr>
              <w:t>COVID-19 preparedness and response are integrated across the health system.</w:t>
            </w:r>
          </w:p>
          <w:p w14:paraId="47E56C44" w14:textId="77777777" w:rsidR="00571968" w:rsidRPr="00571968" w:rsidRDefault="00571968" w:rsidP="00571968">
            <w:pPr>
              <w:spacing w:before="120" w:after="120"/>
              <w:rPr>
                <w:b/>
                <w:bCs/>
                <w:color w:val="FFFFFF" w:themeColor="background1"/>
              </w:rPr>
            </w:pPr>
            <w:r w:rsidRPr="00571968">
              <w:rPr>
                <w:b/>
                <w:bCs/>
                <w:color w:val="FFFFFF" w:themeColor="background1"/>
              </w:rPr>
              <w:t xml:space="preserve">Decisions: </w:t>
            </w:r>
            <w:r w:rsidRPr="00571968">
              <w:rPr>
                <w:color w:val="FFFFFF" w:themeColor="background1"/>
              </w:rPr>
              <w:t>Fit-for-purpose legal and decision-making frameworks are in place.</w:t>
            </w:r>
          </w:p>
          <w:p w14:paraId="6909AC15" w14:textId="4777535B" w:rsidR="00571968" w:rsidRPr="00571968" w:rsidRDefault="00571968" w:rsidP="00571968">
            <w:pPr>
              <w:spacing w:before="120" w:after="120"/>
              <w:rPr>
                <w:color w:val="FFFFFF" w:themeColor="background1"/>
              </w:rPr>
            </w:pPr>
            <w:r w:rsidRPr="00571968">
              <w:rPr>
                <w:b/>
                <w:bCs/>
                <w:color w:val="FFFFFF" w:themeColor="background1"/>
              </w:rPr>
              <w:t xml:space="preserve">Lessons: </w:t>
            </w:r>
            <w:r w:rsidRPr="00571968">
              <w:rPr>
                <w:color w:val="FFFFFF" w:themeColor="background1"/>
              </w:rPr>
              <w:t>Lessons from COVID-19 are applied across the health system.</w:t>
            </w:r>
          </w:p>
        </w:tc>
      </w:tr>
    </w:tbl>
    <w:p w14:paraId="2A52D230" w14:textId="77777777" w:rsidR="00136EB3" w:rsidRPr="00C01246" w:rsidRDefault="00136EB3" w:rsidP="00136EB3">
      <w:pPr>
        <w:pStyle w:val="Heading4"/>
      </w:pPr>
      <w:r>
        <w:t>K</w:t>
      </w:r>
      <w:r w:rsidRPr="00C01246">
        <w:t xml:space="preserve">ey </w:t>
      </w:r>
      <w:r>
        <w:t>elements</w:t>
      </w:r>
    </w:p>
    <w:p w14:paraId="465646AA" w14:textId="77777777" w:rsidR="00136EB3" w:rsidRPr="007F2853" w:rsidRDefault="00136EB3" w:rsidP="00571968">
      <w:pPr>
        <w:pStyle w:val="Bullet"/>
      </w:pPr>
      <w:r w:rsidRPr="007F2853">
        <w:t>Transitioning COVID-19 management activities</w:t>
      </w:r>
      <w:r>
        <w:t>. This</w:t>
      </w:r>
      <w:r w:rsidRPr="007F2853">
        <w:t xml:space="preserve"> means managing the virus as part of our core health </w:t>
      </w:r>
      <w:r>
        <w:t xml:space="preserve">and disability </w:t>
      </w:r>
      <w:r w:rsidRPr="007F2853">
        <w:t>services</w:t>
      </w:r>
      <w:r>
        <w:t xml:space="preserve"> and as part of broader communicable disease management</w:t>
      </w:r>
      <w:r w:rsidRPr="007F2853">
        <w:t xml:space="preserve"> while identifying and embedding what has enabled communities to respond</w:t>
      </w:r>
      <w:r>
        <w:t xml:space="preserve"> successfully to any pandemic.</w:t>
      </w:r>
      <w:r w:rsidRPr="007F2853">
        <w:t xml:space="preserve"> </w:t>
      </w:r>
    </w:p>
    <w:p w14:paraId="76E1CFAE" w14:textId="77777777" w:rsidR="00136EB3" w:rsidRPr="007F2853" w:rsidRDefault="00136EB3" w:rsidP="00571968">
      <w:pPr>
        <w:pStyle w:val="Bullet"/>
      </w:pPr>
      <w:r>
        <w:t>H</w:t>
      </w:r>
      <w:r w:rsidRPr="00C01246">
        <w:t>aving fit</w:t>
      </w:r>
      <w:r>
        <w:t>-</w:t>
      </w:r>
      <w:r w:rsidRPr="00C01246">
        <w:t>for</w:t>
      </w:r>
      <w:r>
        <w:t>-</w:t>
      </w:r>
      <w:r w:rsidRPr="00C01246">
        <w:t>purpose governance, decision</w:t>
      </w:r>
      <w:r>
        <w:t>-</w:t>
      </w:r>
      <w:r w:rsidRPr="00C01246">
        <w:t>making and legal frameworks</w:t>
      </w:r>
      <w:r>
        <w:t xml:space="preserve"> that can be adapted as needed and include partnership with Māori.</w:t>
      </w:r>
    </w:p>
    <w:p w14:paraId="4FE943F1" w14:textId="77777777" w:rsidR="00136EB3" w:rsidRPr="001F188E" w:rsidRDefault="00136EB3" w:rsidP="00571968">
      <w:pPr>
        <w:pStyle w:val="Bullet"/>
      </w:pPr>
      <w:r>
        <w:t>D</w:t>
      </w:r>
      <w:r w:rsidRPr="00C01246">
        <w:t>rawing on lessons learned to build a more resilient</w:t>
      </w:r>
      <w:r>
        <w:t xml:space="preserve"> health</w:t>
      </w:r>
      <w:r w:rsidRPr="00C01246">
        <w:t xml:space="preserve"> </w:t>
      </w:r>
      <w:r w:rsidRPr="00F037EB">
        <w:t>system</w:t>
      </w:r>
      <w:r>
        <w:t xml:space="preserve">. This involves </w:t>
      </w:r>
      <w:r w:rsidRPr="001B6868">
        <w:t>support</w:t>
      </w:r>
      <w:r>
        <w:t>ing</w:t>
      </w:r>
      <w:r w:rsidRPr="001B6868">
        <w:t xml:space="preserve"> inquiries and reviews</w:t>
      </w:r>
      <w:r>
        <w:t>, learning from lived experiences of individuals, communities and</w:t>
      </w:r>
      <w:r w:rsidRPr="001B6868">
        <w:t xml:space="preserve"> </w:t>
      </w:r>
      <w:r>
        <w:t xml:space="preserve">groups </w:t>
      </w:r>
      <w:r w:rsidRPr="001F188E">
        <w:t>and applying this knowledge and understanding to improve our response to COVID-19 and other respiratory infectious diseases more generally</w:t>
      </w:r>
      <w:r>
        <w:t>.</w:t>
      </w:r>
      <w:r w:rsidRPr="001F188E">
        <w:t xml:space="preserve"> </w:t>
      </w:r>
    </w:p>
    <w:p w14:paraId="42E04699" w14:textId="77777777" w:rsidR="00136EB3" w:rsidRPr="0002444D" w:rsidRDefault="00136EB3" w:rsidP="00136EB3">
      <w:pPr>
        <w:pStyle w:val="Heading3"/>
      </w:pPr>
      <w:bookmarkStart w:id="37" w:name="_Toc127912551"/>
      <w:bookmarkStart w:id="38" w:name="_Toc130292093"/>
      <w:bookmarkStart w:id="39" w:name="_Toc130374281"/>
      <w:r w:rsidRPr="0002444D">
        <w:t>COMMUNICATIONS</w:t>
      </w:r>
      <w:bookmarkEnd w:id="37"/>
      <w:bookmarkEnd w:id="38"/>
      <w:bookmarkEnd w:id="39"/>
    </w:p>
    <w:p w14:paraId="31013173" w14:textId="77777777" w:rsidR="00136EB3" w:rsidRPr="00DB4754" w:rsidRDefault="00136EB3" w:rsidP="00136EB3">
      <w:pPr>
        <w:pStyle w:val="Heading4"/>
      </w:pPr>
      <w:r w:rsidRPr="00DB4754">
        <w:t xml:space="preserve">Public </w:t>
      </w:r>
      <w:r>
        <w:t>health communications</w:t>
      </w:r>
      <w:r w:rsidRPr="00DB4754">
        <w:t xml:space="preserve"> </w:t>
      </w:r>
      <w:r>
        <w:t>protect and promote health and wellbeing</w:t>
      </w:r>
    </w:p>
    <w:p w14:paraId="15D2E8C3" w14:textId="77777777" w:rsidR="00136EB3" w:rsidRPr="00C01246" w:rsidRDefault="00136EB3" w:rsidP="00F41EA6">
      <w:r w:rsidRPr="00C01246">
        <w:t>Communications about COVID-19 that engage communities, build social trust and mitigate mis</w:t>
      </w:r>
      <w:r>
        <w:t>information</w:t>
      </w:r>
      <w:r w:rsidRPr="00C01246">
        <w:t xml:space="preserve"> and disinformation will continue to be important across all </w:t>
      </w:r>
      <w:r>
        <w:t>aspects</w:t>
      </w:r>
      <w:r w:rsidRPr="00C01246">
        <w:t xml:space="preserve"> of how we manage COVID-19</w:t>
      </w:r>
      <w:r>
        <w:t xml:space="preserve"> and other public health challenges</w:t>
      </w:r>
      <w:r w:rsidRPr="00C01246">
        <w:t>.</w:t>
      </w:r>
    </w:p>
    <w:p w14:paraId="57384E77" w14:textId="6BBEB7B6" w:rsidR="00136EB3" w:rsidRDefault="00136EB3" w:rsidP="00F41EA6">
      <w:r w:rsidRPr="00C01246">
        <w:t xml:space="preserve">Information must be </w:t>
      </w:r>
      <w:r>
        <w:t xml:space="preserve">designed and </w:t>
      </w:r>
      <w:r w:rsidRPr="00C01246">
        <w:t>disseminated in ways that reach all audiences</w:t>
      </w:r>
      <w:r>
        <w:t xml:space="preserve">. It must: </w:t>
      </w:r>
      <w:r w:rsidRPr="00C01246">
        <w:t>empower</w:t>
      </w:r>
      <w:r>
        <w:t xml:space="preserve"> </w:t>
      </w:r>
      <w:r w:rsidRPr="00C01246">
        <w:t>individuals and communities to make informed choices</w:t>
      </w:r>
      <w:r>
        <w:t>, support delivery of our response when acting as guidance and ultimately empower New Zealanders to</w:t>
      </w:r>
      <w:r w:rsidRPr="00C01246">
        <w:t xml:space="preserve"> </w:t>
      </w:r>
      <w:r w:rsidRPr="1693B4B4">
        <w:t>promote</w:t>
      </w:r>
      <w:r w:rsidRPr="00C01246">
        <w:t xml:space="preserve"> and </w:t>
      </w:r>
      <w:r w:rsidRPr="1693B4B4">
        <w:t>protect</w:t>
      </w:r>
      <w:r w:rsidRPr="00C01246">
        <w:t xml:space="preserve"> the health of their wider community</w:t>
      </w:r>
      <w:r w:rsidRPr="1693B4B4">
        <w:t>, whānau and themselves.</w:t>
      </w:r>
    </w:p>
    <w:p w14:paraId="0E9AAD04" w14:textId="77777777" w:rsidR="00F41EA6" w:rsidRPr="00C01246" w:rsidRDefault="00F41EA6" w:rsidP="00F41EA6"/>
    <w:p w14:paraId="26270BF7" w14:textId="77777777" w:rsidR="00136EB3" w:rsidRPr="00C01246" w:rsidRDefault="00136EB3" w:rsidP="00F41EA6">
      <w:r>
        <w:t xml:space="preserve">To achieve </w:t>
      </w:r>
      <w:r w:rsidRPr="00C01246">
        <w:t>this objective, we must:</w:t>
      </w:r>
    </w:p>
    <w:p w14:paraId="4302C950" w14:textId="77777777" w:rsidR="00136EB3" w:rsidRPr="00C01246" w:rsidRDefault="00136EB3" w:rsidP="00F41EA6">
      <w:pPr>
        <w:pStyle w:val="Bullet"/>
      </w:pPr>
      <w:r w:rsidRPr="00C01246">
        <w:t>us</w:t>
      </w:r>
      <w:r>
        <w:t>e</w:t>
      </w:r>
      <w:r w:rsidRPr="00C01246">
        <w:t xml:space="preserve"> effective </w:t>
      </w:r>
      <w:r>
        <w:t xml:space="preserve">communication </w:t>
      </w:r>
      <w:r w:rsidRPr="00C01246">
        <w:t xml:space="preserve">methods and </w:t>
      </w:r>
      <w:r>
        <w:t xml:space="preserve">a range of relevant and tailored </w:t>
      </w:r>
      <w:r w:rsidRPr="00C01246">
        <w:t xml:space="preserve">channels to </w:t>
      </w:r>
      <w:r>
        <w:t xml:space="preserve">reach and </w:t>
      </w:r>
      <w:r w:rsidRPr="00C01246">
        <w:t>engage key audiences</w:t>
      </w:r>
      <w:r>
        <w:t>, including culturally appropriate methods</w:t>
      </w:r>
    </w:p>
    <w:p w14:paraId="5CF1DFF2" w14:textId="77777777" w:rsidR="00136EB3" w:rsidRPr="00B746DC" w:rsidRDefault="00136EB3" w:rsidP="00F41EA6">
      <w:pPr>
        <w:pStyle w:val="Bullet"/>
      </w:pPr>
      <w:r>
        <w:lastRenderedPageBreak/>
        <w:t>communicate risk</w:t>
      </w:r>
      <w:r w:rsidRPr="00B746DC">
        <w:t>, to ensure the public and specific stakeholders understand the situation, what is being done about it, why and what part they play</w:t>
      </w:r>
    </w:p>
    <w:p w14:paraId="4629379B" w14:textId="77777777" w:rsidR="00136EB3" w:rsidRDefault="00136EB3" w:rsidP="00F41EA6">
      <w:pPr>
        <w:pStyle w:val="Bullet"/>
      </w:pPr>
      <w:r>
        <w:t>build public health understanding of the science of infection transmission, prevention and vaccination, including the modifiable determinants of epidemics/pandemics and the factors that make some people more likely to experience severe outcomes of infectious diseases</w:t>
      </w:r>
    </w:p>
    <w:p w14:paraId="36471657" w14:textId="77777777" w:rsidR="00136EB3" w:rsidRPr="00C01246" w:rsidRDefault="00136EB3" w:rsidP="00F41EA6">
      <w:pPr>
        <w:pStyle w:val="Bullet"/>
      </w:pPr>
      <w:r>
        <w:t>r</w:t>
      </w:r>
      <w:r w:rsidRPr="00C01246">
        <w:t>egularly monitor the effectiveness of public communications</w:t>
      </w:r>
    </w:p>
    <w:p w14:paraId="6030EA0F" w14:textId="77777777" w:rsidR="00136EB3" w:rsidRDefault="00136EB3" w:rsidP="00F41EA6">
      <w:pPr>
        <w:pStyle w:val="Bullet"/>
      </w:pPr>
      <w:r>
        <w:t>m</w:t>
      </w:r>
      <w:r w:rsidRPr="00C01246">
        <w:t xml:space="preserve">onitor the prevalence and profiles of </w:t>
      </w:r>
      <w:r>
        <w:t xml:space="preserve">misinformation and </w:t>
      </w:r>
      <w:r w:rsidRPr="00C01246">
        <w:t xml:space="preserve">disinformation to better understand how to </w:t>
      </w:r>
      <w:r>
        <w:t>address these two forms of information</w:t>
      </w:r>
    </w:p>
    <w:p w14:paraId="4F903536" w14:textId="77777777" w:rsidR="00136EB3" w:rsidRPr="00C01246" w:rsidRDefault="00136EB3" w:rsidP="00F41EA6">
      <w:pPr>
        <w:pStyle w:val="Bullet"/>
      </w:pPr>
      <w:r>
        <w:t>facilitate information s</w:t>
      </w:r>
      <w:r w:rsidRPr="7E5B6568">
        <w:t xml:space="preserve">haring </w:t>
      </w:r>
      <w:r>
        <w:t>with providers involved in managing COVID-19.</w:t>
      </w:r>
    </w:p>
    <w:p w14:paraId="6A564ACE" w14:textId="77777777" w:rsidR="00136EB3" w:rsidRPr="00C01246" w:rsidRDefault="00136EB3" w:rsidP="00136EB3">
      <w:pPr>
        <w:rPr>
          <w:rFonts w:cs="Segoe UI"/>
        </w:rPr>
      </w:pPr>
      <w:r w:rsidRPr="00C01246">
        <w:rPr>
          <w:rFonts w:cs="Segoe UI"/>
        </w:rPr>
        <w:br w:type="page"/>
      </w:r>
    </w:p>
    <w:p w14:paraId="0B80BA26" w14:textId="77777777" w:rsidR="00136EB3" w:rsidRPr="00B66BC7" w:rsidRDefault="00136EB3" w:rsidP="00136EB3">
      <w:pPr>
        <w:pStyle w:val="Heading1"/>
      </w:pPr>
      <w:bookmarkStart w:id="40" w:name="_Toc127912552"/>
      <w:bookmarkStart w:id="41" w:name="_Toc130374282"/>
      <w:bookmarkStart w:id="42" w:name="_Toc144448513"/>
      <w:r w:rsidRPr="00B66BC7">
        <w:lastRenderedPageBreak/>
        <w:t>Toolkit of measures to manage COVID-19</w:t>
      </w:r>
      <w:bookmarkEnd w:id="40"/>
      <w:bookmarkEnd w:id="41"/>
      <w:bookmarkEnd w:id="42"/>
    </w:p>
    <w:p w14:paraId="6471FA33" w14:textId="5EEC3B82" w:rsidR="00136EB3" w:rsidRDefault="00136EB3" w:rsidP="00F41EA6">
      <w:r>
        <w:t xml:space="preserve">Many tools are available to manage the direct and indirect impacts of COVID-19. Each can be calibrated up or down depending on the level of risk and the outcomes we are seeking to achieve. </w:t>
      </w:r>
    </w:p>
    <w:p w14:paraId="27B3C7E4" w14:textId="77777777" w:rsidR="00F41EA6" w:rsidRDefault="00F41EA6" w:rsidP="00F41EA6"/>
    <w:p w14:paraId="039871CA" w14:textId="37082B41" w:rsidR="00136EB3" w:rsidRDefault="00136EB3" w:rsidP="00F41EA6">
      <w:r>
        <w:t>The tools we use must be underpinned by a body of knowledge about their effectiveness and impact. We need to understand the costs of the intervention relative to the benefits being sought. This means we need to monitor, measure and review the impact of each intervention over time and as the context changes.</w:t>
      </w:r>
    </w:p>
    <w:p w14:paraId="4F7023A5" w14:textId="77777777" w:rsidR="00F41EA6" w:rsidRDefault="00F41EA6" w:rsidP="00F41EA6"/>
    <w:p w14:paraId="0A51FE25" w14:textId="77777777" w:rsidR="00136EB3" w:rsidRPr="00CC5F22" w:rsidRDefault="00136EB3" w:rsidP="00F41EA6">
      <w:r>
        <w:t>Measures that have been used to manage COVID-19 since the beginning of the pandemic</w:t>
      </w:r>
      <w:r w:rsidRPr="00CC5F22">
        <w:t xml:space="preserve"> are </w:t>
      </w:r>
      <w:r>
        <w:t xml:space="preserve">listed below. These are </w:t>
      </w:r>
      <w:r w:rsidRPr="00CC5F22">
        <w:t xml:space="preserve">described in more detail in </w:t>
      </w:r>
      <w:r>
        <w:t>the a</w:t>
      </w:r>
      <w:r w:rsidRPr="00CC5F22">
        <w:t>ppendix.</w:t>
      </w:r>
    </w:p>
    <w:p w14:paraId="068F87EB" w14:textId="77777777" w:rsidR="00136EB3" w:rsidRPr="00682F8F" w:rsidRDefault="00136EB3" w:rsidP="00136EB3">
      <w:pPr>
        <w:pStyle w:val="Heading2"/>
      </w:pPr>
      <w:bookmarkStart w:id="43" w:name="_Toc144448514"/>
      <w:r w:rsidRPr="00682F8F">
        <w:t>Community public health measures</w:t>
      </w:r>
      <w:bookmarkEnd w:id="43"/>
    </w:p>
    <w:p w14:paraId="4B5DF7DF" w14:textId="77777777" w:rsidR="00136EB3" w:rsidRPr="0071265F" w:rsidRDefault="00136EB3" w:rsidP="00F41EA6">
      <w:pPr>
        <w:pStyle w:val="Bullet"/>
      </w:pPr>
      <w:r w:rsidRPr="0071265F">
        <w:t>Vaccin</w:t>
      </w:r>
      <w:r>
        <w:t>ation</w:t>
      </w:r>
    </w:p>
    <w:p w14:paraId="6EFAF402" w14:textId="77777777" w:rsidR="00136EB3" w:rsidRDefault="00136EB3" w:rsidP="00F41EA6">
      <w:pPr>
        <w:pStyle w:val="Bullet"/>
      </w:pPr>
      <w:r w:rsidRPr="0071265F">
        <w:t xml:space="preserve">Therapeutics </w:t>
      </w:r>
      <w:r>
        <w:t>(including antivirals)</w:t>
      </w:r>
    </w:p>
    <w:p w14:paraId="2C6FF44D" w14:textId="77777777" w:rsidR="00136EB3" w:rsidRPr="0071265F" w:rsidRDefault="00136EB3" w:rsidP="00F41EA6">
      <w:pPr>
        <w:pStyle w:val="Bullet"/>
      </w:pPr>
      <w:r>
        <w:t>Testing</w:t>
      </w:r>
    </w:p>
    <w:p w14:paraId="5DFC0650" w14:textId="77777777" w:rsidR="00136EB3" w:rsidRDefault="00136EB3" w:rsidP="00F41EA6">
      <w:pPr>
        <w:pStyle w:val="Bullet"/>
      </w:pPr>
      <w:r w:rsidRPr="0071265F">
        <w:t>Isolation</w:t>
      </w:r>
    </w:p>
    <w:p w14:paraId="288B0AD3" w14:textId="77777777" w:rsidR="00136EB3" w:rsidRDefault="00136EB3" w:rsidP="00F41EA6">
      <w:pPr>
        <w:pStyle w:val="Bullet"/>
      </w:pPr>
      <w:r>
        <w:t xml:space="preserve">Quarantine </w:t>
      </w:r>
    </w:p>
    <w:p w14:paraId="792AF95F" w14:textId="77777777" w:rsidR="00136EB3" w:rsidRDefault="00136EB3" w:rsidP="00F41EA6">
      <w:pPr>
        <w:pStyle w:val="Bullet"/>
      </w:pPr>
      <w:r>
        <w:t>Record keeping</w:t>
      </w:r>
    </w:p>
    <w:p w14:paraId="00AD9E9D" w14:textId="77777777" w:rsidR="00136EB3" w:rsidRPr="0071265F" w:rsidRDefault="00136EB3" w:rsidP="00F41EA6">
      <w:pPr>
        <w:pStyle w:val="Bullet"/>
      </w:pPr>
      <w:r>
        <w:t>Contact tracing and case investigation</w:t>
      </w:r>
    </w:p>
    <w:p w14:paraId="1FAA8C22" w14:textId="77777777" w:rsidR="00136EB3" w:rsidRDefault="00136EB3" w:rsidP="00F41EA6">
      <w:pPr>
        <w:pStyle w:val="Bullet"/>
      </w:pPr>
      <w:r>
        <w:t>Social and physical distancing measures, including event and gathering limits</w:t>
      </w:r>
    </w:p>
    <w:p w14:paraId="6CCEB670" w14:textId="77777777" w:rsidR="00136EB3" w:rsidRDefault="00136EB3" w:rsidP="00F41EA6">
      <w:pPr>
        <w:pStyle w:val="Bullet"/>
      </w:pPr>
      <w:r>
        <w:t>Infection prevention and control (IPC) practices in health and disability settings</w:t>
      </w:r>
    </w:p>
    <w:p w14:paraId="5139D3F8" w14:textId="77777777" w:rsidR="00136EB3" w:rsidRDefault="00136EB3" w:rsidP="00F41EA6">
      <w:pPr>
        <w:pStyle w:val="Bullet"/>
      </w:pPr>
      <w:r>
        <w:t>IPC in community settings</w:t>
      </w:r>
    </w:p>
    <w:p w14:paraId="3285BB45" w14:textId="77777777" w:rsidR="00136EB3" w:rsidRPr="0071265F" w:rsidRDefault="00136EB3" w:rsidP="00F41EA6">
      <w:pPr>
        <w:pStyle w:val="Bullet"/>
      </w:pPr>
      <w:r>
        <w:t>Face masks and personal protective equipment</w:t>
      </w:r>
    </w:p>
    <w:p w14:paraId="4F6E084D" w14:textId="77777777" w:rsidR="00136EB3" w:rsidRPr="0071265F" w:rsidRDefault="00136EB3" w:rsidP="00F41EA6">
      <w:pPr>
        <w:pStyle w:val="Bullet"/>
      </w:pPr>
      <w:r w:rsidRPr="0071265F">
        <w:t xml:space="preserve">Ventilation </w:t>
      </w:r>
      <w:r>
        <w:t>and air filtration</w:t>
      </w:r>
    </w:p>
    <w:p w14:paraId="4B4161B1" w14:textId="77777777" w:rsidR="00136EB3" w:rsidRDefault="00136EB3" w:rsidP="00F41EA6">
      <w:pPr>
        <w:pStyle w:val="Bullet"/>
      </w:pPr>
      <w:r>
        <w:t>Travel restrictions</w:t>
      </w:r>
    </w:p>
    <w:p w14:paraId="264D9679" w14:textId="77777777" w:rsidR="00136EB3" w:rsidRDefault="00136EB3" w:rsidP="00F41EA6">
      <w:pPr>
        <w:pStyle w:val="Bullet"/>
      </w:pPr>
      <w:r>
        <w:t>Isolation requirements</w:t>
      </w:r>
    </w:p>
    <w:p w14:paraId="56AF9D95" w14:textId="77777777" w:rsidR="00F41EA6" w:rsidRDefault="00136EB3" w:rsidP="00F41EA6">
      <w:pPr>
        <w:pStyle w:val="Bullet"/>
        <w:spacing w:before="0"/>
      </w:pPr>
      <w:r>
        <w:t>Shielding.</w:t>
      </w:r>
    </w:p>
    <w:p w14:paraId="5129B1DF" w14:textId="24972D3F" w:rsidR="00136EB3" w:rsidRPr="00F41EA6" w:rsidRDefault="00136EB3" w:rsidP="00F41EA6">
      <w:pPr>
        <w:pStyle w:val="Heading2"/>
      </w:pPr>
      <w:bookmarkStart w:id="44" w:name="_Toc144448515"/>
      <w:r w:rsidRPr="00F41EA6">
        <w:t>Border measures (air and maritime)</w:t>
      </w:r>
      <w:bookmarkEnd w:id="44"/>
    </w:p>
    <w:p w14:paraId="47998B42" w14:textId="77777777" w:rsidR="00136EB3" w:rsidRDefault="00136EB3" w:rsidP="00F41EA6">
      <w:pPr>
        <w:pStyle w:val="Bullet"/>
      </w:pPr>
      <w:r>
        <w:t xml:space="preserve">Entry restrictions </w:t>
      </w:r>
    </w:p>
    <w:p w14:paraId="6880353F" w14:textId="77777777" w:rsidR="00136EB3" w:rsidRDefault="00136EB3" w:rsidP="00F41EA6">
      <w:pPr>
        <w:pStyle w:val="Bullet"/>
      </w:pPr>
      <w:r>
        <w:t>Pre-departure testing</w:t>
      </w:r>
    </w:p>
    <w:p w14:paraId="19879CAA" w14:textId="77777777" w:rsidR="00136EB3" w:rsidRDefault="00136EB3" w:rsidP="00F41EA6">
      <w:pPr>
        <w:pStyle w:val="Bullet"/>
      </w:pPr>
      <w:r>
        <w:lastRenderedPageBreak/>
        <w:t>Post-arrival testing</w:t>
      </w:r>
    </w:p>
    <w:p w14:paraId="0291D305" w14:textId="77777777" w:rsidR="00136EB3" w:rsidRPr="0071265F" w:rsidRDefault="00136EB3" w:rsidP="00F41EA6">
      <w:pPr>
        <w:pStyle w:val="Bullet"/>
      </w:pPr>
      <w:r>
        <w:t>Vaccination requirements</w:t>
      </w:r>
    </w:p>
    <w:p w14:paraId="2F590F34" w14:textId="77777777" w:rsidR="00136EB3" w:rsidRPr="0071265F" w:rsidRDefault="00136EB3" w:rsidP="00F41EA6">
      <w:pPr>
        <w:pStyle w:val="Bullet"/>
      </w:pPr>
      <w:r>
        <w:t>Quarantine and isolation.</w:t>
      </w:r>
    </w:p>
    <w:p w14:paraId="06A91410" w14:textId="77777777" w:rsidR="00136EB3" w:rsidRPr="00F41EA6" w:rsidRDefault="00136EB3" w:rsidP="00F41EA6">
      <w:pPr>
        <w:pStyle w:val="Heading2"/>
      </w:pPr>
      <w:bookmarkStart w:id="45" w:name="_Toc144448516"/>
      <w:r w:rsidRPr="00F41EA6">
        <w:t>Support for individuals and communities</w:t>
      </w:r>
      <w:bookmarkEnd w:id="45"/>
    </w:p>
    <w:p w14:paraId="1F736FF3" w14:textId="77777777" w:rsidR="00136EB3" w:rsidRPr="0071265F" w:rsidRDefault="00136EB3" w:rsidP="00F41EA6">
      <w:pPr>
        <w:pStyle w:val="Bullet"/>
      </w:pPr>
      <w:r>
        <w:t>Health and welfare services to support individuals and whānau to isolate/quarantine, as well as those impacted by COVID-19 (for example, Care in the Community services)</w:t>
      </w:r>
    </w:p>
    <w:p w14:paraId="2A9A715B" w14:textId="77777777" w:rsidR="00136EB3" w:rsidRPr="00A1616D" w:rsidRDefault="00136EB3" w:rsidP="00F41EA6">
      <w:pPr>
        <w:pStyle w:val="Bullet"/>
      </w:pPr>
      <w:r>
        <w:t xml:space="preserve">Distance health care advice, consultation and support, delivered remotely using communication or information technologies (for example, telehealth services) </w:t>
      </w:r>
    </w:p>
    <w:p w14:paraId="01FB6CC1" w14:textId="77777777" w:rsidR="00136EB3" w:rsidRDefault="00136EB3" w:rsidP="00F41EA6">
      <w:pPr>
        <w:pStyle w:val="Bullet"/>
      </w:pPr>
      <w:r>
        <w:t xml:space="preserve">Health care treatment and support, including antivirals. </w:t>
      </w:r>
    </w:p>
    <w:p w14:paraId="2587E089" w14:textId="77777777" w:rsidR="00136EB3" w:rsidRPr="0071265F" w:rsidRDefault="00136EB3" w:rsidP="00F41EA6">
      <w:pPr>
        <w:pStyle w:val="Dash"/>
      </w:pPr>
      <w:r>
        <w:t xml:space="preserve">primary care (for example, general practitioners, practice nurses) and community-based services (for example, kaupapa Māori and Pacific providers, COVID-19 hubs, and lay vaccinators </w:t>
      </w:r>
    </w:p>
    <w:p w14:paraId="68BDB8FE" w14:textId="77777777" w:rsidR="00136EB3" w:rsidRDefault="00136EB3" w:rsidP="00F41EA6">
      <w:pPr>
        <w:pStyle w:val="Dash"/>
      </w:pPr>
      <w:r>
        <w:t>community pharmacies to dispense medication (for example, antivirals) and deliver vaccinations</w:t>
      </w:r>
    </w:p>
    <w:p w14:paraId="516ED538" w14:textId="77777777" w:rsidR="00136EB3" w:rsidRPr="0071265F" w:rsidRDefault="00136EB3" w:rsidP="00F41EA6">
      <w:pPr>
        <w:pStyle w:val="Dash"/>
      </w:pPr>
      <w:r>
        <w:t>tertiary care (hospitals) providing intensive and high dependency care for people who are serious ill</w:t>
      </w:r>
    </w:p>
    <w:p w14:paraId="23F6A33B" w14:textId="77777777" w:rsidR="00136EB3" w:rsidRPr="0071265F" w:rsidRDefault="00136EB3" w:rsidP="00F41EA6">
      <w:pPr>
        <w:pStyle w:val="Bullet"/>
      </w:pPr>
      <w:r>
        <w:t>Financial and welfare support for individuals and whānau affected by COVID-19 and/or the measures to manage it</w:t>
      </w:r>
    </w:p>
    <w:p w14:paraId="47E0D8C3" w14:textId="77777777" w:rsidR="00136EB3" w:rsidRPr="00D6186C" w:rsidRDefault="00136EB3" w:rsidP="00F41EA6">
      <w:pPr>
        <w:pStyle w:val="Bullet"/>
      </w:pPr>
      <w:r w:rsidRPr="00D6186C">
        <w:t xml:space="preserve">Financial and advisory support to businesses and organisations impacted by </w:t>
      </w:r>
      <w:r>
        <w:t xml:space="preserve">measures to manage </w:t>
      </w:r>
      <w:r w:rsidRPr="00D6186C">
        <w:t>COVID-19</w:t>
      </w:r>
      <w:r>
        <w:t>.</w:t>
      </w:r>
    </w:p>
    <w:p w14:paraId="17E891E0" w14:textId="77777777" w:rsidR="00136EB3" w:rsidRPr="00F41EA6" w:rsidRDefault="00136EB3" w:rsidP="00F41EA6">
      <w:pPr>
        <w:pStyle w:val="Heading2"/>
      </w:pPr>
      <w:bookmarkStart w:id="46" w:name="_Toc144448517"/>
      <w:r w:rsidRPr="00F41EA6">
        <w:t>System enablers</w:t>
      </w:r>
      <w:bookmarkEnd w:id="46"/>
    </w:p>
    <w:p w14:paraId="5030FA78" w14:textId="77777777" w:rsidR="00136EB3" w:rsidRPr="0071265F" w:rsidRDefault="00136EB3" w:rsidP="00F41EA6">
      <w:pPr>
        <w:pStyle w:val="Bullet"/>
      </w:pPr>
      <w:r>
        <w:t>S</w:t>
      </w:r>
      <w:r w:rsidRPr="0071265F">
        <w:t xml:space="preserve">urveillance </w:t>
      </w:r>
    </w:p>
    <w:p w14:paraId="02059B00" w14:textId="77777777" w:rsidR="00136EB3" w:rsidRDefault="00136EB3" w:rsidP="00F41EA6">
      <w:pPr>
        <w:pStyle w:val="Bullet"/>
      </w:pPr>
      <w:r>
        <w:t>Communications</w:t>
      </w:r>
    </w:p>
    <w:p w14:paraId="2C17F477" w14:textId="77777777" w:rsidR="00136EB3" w:rsidRDefault="00136EB3" w:rsidP="00F41EA6">
      <w:pPr>
        <w:pStyle w:val="Bullet"/>
      </w:pPr>
      <w:r>
        <w:t>Science, research and technological innovations</w:t>
      </w:r>
    </w:p>
    <w:p w14:paraId="2E0A4C2E" w14:textId="77777777" w:rsidR="00136EB3" w:rsidRDefault="00136EB3" w:rsidP="00F41EA6">
      <w:pPr>
        <w:pStyle w:val="Bullet"/>
      </w:pPr>
      <w:r>
        <w:t>Government funding</w:t>
      </w:r>
    </w:p>
    <w:p w14:paraId="5C194E1C" w14:textId="77777777" w:rsidR="00136EB3" w:rsidRDefault="00136EB3" w:rsidP="00F41EA6">
      <w:pPr>
        <w:pStyle w:val="Bullet"/>
      </w:pPr>
      <w:r>
        <w:t>Workforce</w:t>
      </w:r>
    </w:p>
    <w:p w14:paraId="51D67A5D" w14:textId="77777777" w:rsidR="00136EB3" w:rsidRDefault="00136EB3" w:rsidP="00F41EA6">
      <w:pPr>
        <w:pStyle w:val="Bullet"/>
      </w:pPr>
      <w:r>
        <w:t>Information and Communications Technology (ICT) systems</w:t>
      </w:r>
    </w:p>
    <w:p w14:paraId="2C2114BB" w14:textId="77777777" w:rsidR="00136EB3" w:rsidRPr="009E00B0" w:rsidRDefault="00136EB3" w:rsidP="00F41EA6">
      <w:pPr>
        <w:pStyle w:val="Bullet"/>
      </w:pPr>
      <w:r w:rsidRPr="009E00B0">
        <w:t>Regulatory and legislative tools</w:t>
      </w:r>
    </w:p>
    <w:p w14:paraId="0C2526B3" w14:textId="77777777" w:rsidR="00136EB3" w:rsidRPr="009E00B0" w:rsidRDefault="00136EB3" w:rsidP="00F41EA6">
      <w:pPr>
        <w:pStyle w:val="Bullet"/>
      </w:pPr>
      <w:r w:rsidRPr="009E00B0">
        <w:t>Partnerships and engagement</w:t>
      </w:r>
    </w:p>
    <w:p w14:paraId="084A4F90" w14:textId="77777777" w:rsidR="00136EB3" w:rsidRPr="009E00B0" w:rsidRDefault="00136EB3" w:rsidP="00F41EA6">
      <w:pPr>
        <w:pStyle w:val="Bullet"/>
      </w:pPr>
      <w:r w:rsidRPr="009E00B0">
        <w:t>Governance and decision</w:t>
      </w:r>
      <w:r>
        <w:t>-</w:t>
      </w:r>
      <w:r w:rsidRPr="009E00B0">
        <w:t>making frameworks.</w:t>
      </w:r>
    </w:p>
    <w:p w14:paraId="25DAF313" w14:textId="77777777" w:rsidR="00136EB3" w:rsidRPr="0017526E" w:rsidRDefault="00136EB3" w:rsidP="00136EB3">
      <w:pPr>
        <w:rPr>
          <w:rFonts w:cs="Segoe UI"/>
        </w:rPr>
      </w:pPr>
      <w:r>
        <w:rPr>
          <w:rFonts w:cs="Segoe UI"/>
        </w:rPr>
        <w:br w:type="page"/>
      </w:r>
    </w:p>
    <w:p w14:paraId="5BABD660" w14:textId="77777777" w:rsidR="00136EB3" w:rsidRPr="00B66BC7" w:rsidRDefault="00136EB3" w:rsidP="00136EB3">
      <w:pPr>
        <w:pStyle w:val="Heading1"/>
      </w:pPr>
      <w:bookmarkStart w:id="47" w:name="_Toc127912553"/>
      <w:bookmarkStart w:id="48" w:name="_Toc130374283"/>
      <w:bookmarkStart w:id="49" w:name="_Toc144448518"/>
      <w:r w:rsidRPr="00B66BC7">
        <w:lastRenderedPageBreak/>
        <w:t>Determining which measures to apply</w:t>
      </w:r>
      <w:bookmarkEnd w:id="47"/>
      <w:bookmarkEnd w:id="48"/>
      <w:bookmarkEnd w:id="49"/>
    </w:p>
    <w:p w14:paraId="6A4BFCBC" w14:textId="2A3D32D9" w:rsidR="00136EB3" w:rsidRDefault="00136EB3" w:rsidP="00136EB3">
      <w:pPr>
        <w:spacing w:before="240"/>
        <w:rPr>
          <w:rFonts w:cs="Segoe UI"/>
        </w:rPr>
      </w:pPr>
      <w:r>
        <w:rPr>
          <w:rFonts w:cs="Segoe UI"/>
        </w:rPr>
        <w:t>Since 2020, the pandemic has required considerable all-of-government and all-of-community cooperation and effort. Going forward, COVID-19 will be largely led by Manatū Hauora (the Ministry of Health) and its partner health agencies.</w:t>
      </w:r>
    </w:p>
    <w:p w14:paraId="08D480E2" w14:textId="77777777" w:rsidR="00F41EA6" w:rsidRDefault="00F41EA6" w:rsidP="00136EB3">
      <w:pPr>
        <w:spacing w:before="240"/>
        <w:rPr>
          <w:rFonts w:cs="Segoe UI"/>
        </w:rPr>
      </w:pPr>
    </w:p>
    <w:p w14:paraId="002BACAA" w14:textId="5B610D9B" w:rsidR="00136EB3" w:rsidRDefault="00136EB3" w:rsidP="00136EB3">
      <w:pPr>
        <w:rPr>
          <w:rFonts w:cs="Segoe UI"/>
        </w:rPr>
      </w:pPr>
      <w:r>
        <w:rPr>
          <w:rFonts w:cs="Segoe UI"/>
        </w:rPr>
        <w:t xml:space="preserve">Public health and social measures to control COVID-19 can have considerable social and economic costs. These measures must be risk based, regularly reviewed on the basis of timely and robust public health advice, effectively communicated and, where feasible, targeted to minimise broader social and economic costs. </w:t>
      </w:r>
    </w:p>
    <w:p w14:paraId="3553D34B" w14:textId="77777777" w:rsidR="00F41EA6" w:rsidRDefault="00F41EA6" w:rsidP="00136EB3">
      <w:pPr>
        <w:rPr>
          <w:rFonts w:cs="Segoe UI"/>
        </w:rPr>
      </w:pPr>
    </w:p>
    <w:p w14:paraId="268BAC9B" w14:textId="77777777" w:rsidR="00136EB3" w:rsidRDefault="00136EB3" w:rsidP="00136EB3">
      <w:pPr>
        <w:rPr>
          <w:rFonts w:cs="Segoe UI"/>
        </w:rPr>
      </w:pPr>
      <w:r>
        <w:rPr>
          <w:rFonts w:cs="Segoe UI"/>
        </w:rPr>
        <w:t>In delivering this strategic framework through the tools and measures identified above, it is important to:</w:t>
      </w:r>
    </w:p>
    <w:p w14:paraId="57698EA6" w14:textId="77777777" w:rsidR="00136EB3" w:rsidRDefault="00136EB3" w:rsidP="00F41EA6">
      <w:pPr>
        <w:pStyle w:val="Bullet"/>
      </w:pPr>
      <w:r w:rsidRPr="004A0DCD">
        <w:t>understand the potential impacts of</w:t>
      </w:r>
      <w:r>
        <w:t xml:space="preserve"> both</w:t>
      </w:r>
      <w:r w:rsidRPr="004A0DCD">
        <w:t xml:space="preserve"> COVID-19 and any potential measures </w:t>
      </w:r>
    </w:p>
    <w:p w14:paraId="07926474" w14:textId="77777777" w:rsidR="00136EB3" w:rsidRPr="004A0DCD" w:rsidRDefault="00136EB3" w:rsidP="00F41EA6">
      <w:pPr>
        <w:pStyle w:val="Bullet"/>
      </w:pPr>
      <w:r w:rsidRPr="004A0DCD">
        <w:t xml:space="preserve">decide, in line with our principles, which tools should be employed to meet the </w:t>
      </w:r>
      <w:r>
        <w:t xml:space="preserve">strategic framework’s </w:t>
      </w:r>
      <w:r w:rsidRPr="004A0DCD">
        <w:t xml:space="preserve">outcomes and objectives. </w:t>
      </w:r>
    </w:p>
    <w:p w14:paraId="16246A12" w14:textId="77777777" w:rsidR="00136EB3" w:rsidRPr="00FF2418" w:rsidRDefault="00136EB3" w:rsidP="00136EB3">
      <w:pPr>
        <w:pStyle w:val="Heading2"/>
      </w:pPr>
      <w:bookmarkStart w:id="50" w:name="_Toc144448519"/>
      <w:r>
        <w:t>Legal framework</w:t>
      </w:r>
      <w:bookmarkEnd w:id="50"/>
    </w:p>
    <w:p w14:paraId="0E05E34C" w14:textId="6BDDB1DF" w:rsidR="00136EB3" w:rsidRDefault="00136EB3" w:rsidP="00136EB3">
      <w:pPr>
        <w:rPr>
          <w:rFonts w:cs="Segoe UI"/>
        </w:rPr>
      </w:pPr>
      <w:r w:rsidRPr="00E72906">
        <w:rPr>
          <w:rFonts w:cs="Segoe UI"/>
        </w:rPr>
        <w:t xml:space="preserve">The COVID-19 Public Health Response Act 2020 </w:t>
      </w:r>
      <w:r>
        <w:rPr>
          <w:rFonts w:cs="Segoe UI"/>
        </w:rPr>
        <w:t xml:space="preserve">(the Act) </w:t>
      </w:r>
      <w:r w:rsidRPr="00E72906">
        <w:rPr>
          <w:rFonts w:cs="Segoe UI"/>
        </w:rPr>
        <w:t xml:space="preserve">is the primary legal framework for enabling laws and regulations as part of the COVID-19 response. </w:t>
      </w:r>
    </w:p>
    <w:p w14:paraId="32FD98BF" w14:textId="77777777" w:rsidR="00F41EA6" w:rsidRPr="00E72906" w:rsidRDefault="00F41EA6" w:rsidP="00136EB3">
      <w:pPr>
        <w:rPr>
          <w:rFonts w:cs="Segoe UI"/>
        </w:rPr>
      </w:pPr>
    </w:p>
    <w:p w14:paraId="12ED9B47" w14:textId="45D99E0B" w:rsidR="00136EB3" w:rsidRDefault="00136EB3" w:rsidP="00136EB3">
      <w:pPr>
        <w:rPr>
          <w:rFonts w:cs="Segoe UI"/>
        </w:rPr>
      </w:pPr>
      <w:r w:rsidRPr="00E72906">
        <w:rPr>
          <w:rFonts w:cs="Segoe UI"/>
        </w:rPr>
        <w:t>Th</w:t>
      </w:r>
      <w:r>
        <w:rPr>
          <w:rFonts w:cs="Segoe UI"/>
        </w:rPr>
        <w:t>is</w:t>
      </w:r>
      <w:r w:rsidRPr="00E72906">
        <w:rPr>
          <w:rFonts w:cs="Segoe UI"/>
        </w:rPr>
        <w:t xml:space="preserve"> Act allows the Minister of Health to make </w:t>
      </w:r>
      <w:r>
        <w:rPr>
          <w:rFonts w:cs="Segoe UI"/>
        </w:rPr>
        <w:t>o</w:t>
      </w:r>
      <w:r w:rsidRPr="00E72906">
        <w:rPr>
          <w:rFonts w:cs="Segoe UI"/>
        </w:rPr>
        <w:t xml:space="preserve">rders to give effect to the public health response to COVID-19. It was designed to provide a flexible legislative tool </w:t>
      </w:r>
      <w:r>
        <w:rPr>
          <w:rFonts w:cs="Segoe UI"/>
        </w:rPr>
        <w:t>to enable</w:t>
      </w:r>
      <w:r w:rsidRPr="00E72906">
        <w:rPr>
          <w:rFonts w:cs="Segoe UI"/>
        </w:rPr>
        <w:t xml:space="preserve"> the </w:t>
      </w:r>
      <w:r>
        <w:rPr>
          <w:rFonts w:cs="Segoe UI"/>
        </w:rPr>
        <w:t>g</w:t>
      </w:r>
      <w:r w:rsidRPr="00E72906">
        <w:rPr>
          <w:rFonts w:cs="Segoe UI"/>
        </w:rPr>
        <w:t xml:space="preserve">overnment to respond quickly to changing circumstances over the course of </w:t>
      </w:r>
      <w:r>
        <w:rPr>
          <w:rFonts w:cs="Segoe UI"/>
        </w:rPr>
        <w:t>a</w:t>
      </w:r>
      <w:r w:rsidRPr="00E72906">
        <w:rPr>
          <w:rFonts w:cs="Segoe UI"/>
        </w:rPr>
        <w:t xml:space="preserve"> pandemic </w:t>
      </w:r>
      <w:r>
        <w:rPr>
          <w:rFonts w:cs="Segoe UI"/>
        </w:rPr>
        <w:t xml:space="preserve">and </w:t>
      </w:r>
      <w:r w:rsidRPr="00E72906">
        <w:rPr>
          <w:rFonts w:cs="Segoe UI"/>
        </w:rPr>
        <w:t>ultimately to protect human life</w:t>
      </w:r>
      <w:r>
        <w:rPr>
          <w:rFonts w:cs="Segoe UI"/>
        </w:rPr>
        <w:t>.</w:t>
      </w:r>
    </w:p>
    <w:p w14:paraId="4890F0D9" w14:textId="77777777" w:rsidR="00F41EA6" w:rsidRDefault="00F41EA6" w:rsidP="00136EB3">
      <w:pPr>
        <w:rPr>
          <w:rFonts w:cs="Segoe UI"/>
        </w:rPr>
      </w:pPr>
    </w:p>
    <w:p w14:paraId="406A9CE7" w14:textId="77777777" w:rsidR="00136EB3" w:rsidRPr="00F66A1F" w:rsidRDefault="00136EB3" w:rsidP="00136EB3">
      <w:pPr>
        <w:rPr>
          <w:rFonts w:cs="Segoe UI"/>
        </w:rPr>
      </w:pPr>
      <w:r w:rsidRPr="00F66A1F">
        <w:rPr>
          <w:rFonts w:cs="Segoe UI"/>
        </w:rPr>
        <w:t xml:space="preserve">In addition to </w:t>
      </w:r>
      <w:r>
        <w:rPr>
          <w:rFonts w:cs="Segoe UI"/>
        </w:rPr>
        <w:t>this Act</w:t>
      </w:r>
      <w:r w:rsidRPr="00F66A1F">
        <w:rPr>
          <w:rFonts w:cs="Segoe UI"/>
        </w:rPr>
        <w:t>, the following legal instruments are also available to support or enable elements of the response</w:t>
      </w:r>
      <w:r>
        <w:rPr>
          <w:rFonts w:cs="Segoe UI"/>
        </w:rPr>
        <w:t>.</w:t>
      </w:r>
    </w:p>
    <w:p w14:paraId="551226E7" w14:textId="77777777" w:rsidR="00136EB3" w:rsidRPr="00B734DF" w:rsidRDefault="00136EB3" w:rsidP="00F41EA6">
      <w:pPr>
        <w:pStyle w:val="Bullet"/>
      </w:pPr>
      <w:r>
        <w:t>T</w:t>
      </w:r>
      <w:r w:rsidRPr="00B734DF">
        <w:t>he Health Act 1956</w:t>
      </w:r>
      <w:r>
        <w:t>,</w:t>
      </w:r>
      <w:r w:rsidRPr="00B734DF">
        <w:t xml:space="preserve"> which outlines </w:t>
      </w:r>
      <w:r>
        <w:t xml:space="preserve">the </w:t>
      </w:r>
      <w:r w:rsidRPr="00B734DF">
        <w:t>powers of the Director-General and medical officers of health</w:t>
      </w:r>
    </w:p>
    <w:p w14:paraId="346B55B8" w14:textId="77777777" w:rsidR="00136EB3" w:rsidRPr="00B734DF" w:rsidRDefault="00136EB3" w:rsidP="00F41EA6">
      <w:pPr>
        <w:pStyle w:val="Bullet"/>
      </w:pPr>
      <w:r>
        <w:t xml:space="preserve">The </w:t>
      </w:r>
      <w:r w:rsidRPr="00B734DF">
        <w:t>Epidemic Preparedness Act 2006</w:t>
      </w:r>
      <w:r>
        <w:t>,</w:t>
      </w:r>
      <w:r w:rsidRPr="00B734DF">
        <w:t xml:space="preserve"> which outlines the requirements and powers available during an </w:t>
      </w:r>
      <w:r>
        <w:t>e</w:t>
      </w:r>
      <w:r w:rsidRPr="00B734DF">
        <w:t xml:space="preserve">pidemic, including </w:t>
      </w:r>
      <w:r>
        <w:t>being able to</w:t>
      </w:r>
      <w:r w:rsidRPr="00B734DF">
        <w:t xml:space="preserve"> issu</w:t>
      </w:r>
      <w:r>
        <w:t>e</w:t>
      </w:r>
      <w:r w:rsidRPr="00B734DF">
        <w:t xml:space="preserve"> epidemic notices</w:t>
      </w:r>
    </w:p>
    <w:p w14:paraId="14C4399B" w14:textId="77777777" w:rsidR="00136EB3" w:rsidRPr="00B734DF" w:rsidRDefault="00136EB3" w:rsidP="00F41EA6">
      <w:pPr>
        <w:pStyle w:val="Bullet"/>
      </w:pPr>
      <w:r w:rsidRPr="00B734DF">
        <w:t xml:space="preserve">Epidemic </w:t>
      </w:r>
      <w:r>
        <w:t>n</w:t>
      </w:r>
      <w:r w:rsidRPr="00B734DF">
        <w:t>otice</w:t>
      </w:r>
      <w:r>
        <w:t>s</w:t>
      </w:r>
      <w:r w:rsidRPr="00B734DF">
        <w:t xml:space="preserve"> (issued under the Epidemic Preparedness Act</w:t>
      </w:r>
      <w:r>
        <w:t>)</w:t>
      </w:r>
      <w:r w:rsidRPr="00B734DF">
        <w:t xml:space="preserve"> or authorisation </w:t>
      </w:r>
      <w:r>
        <w:t xml:space="preserve">notices </w:t>
      </w:r>
      <w:r w:rsidRPr="00B734DF">
        <w:t xml:space="preserve">(issued under the COVID-19 </w:t>
      </w:r>
      <w:r>
        <w:t>Public Health Response Act 2020)</w:t>
      </w:r>
      <w:r w:rsidRPr="00B734DF">
        <w:t xml:space="preserve">, which allow for the making of </w:t>
      </w:r>
      <w:r>
        <w:t>COVID-19 o</w:t>
      </w:r>
      <w:r w:rsidRPr="00B734DF">
        <w:t>rders</w:t>
      </w:r>
    </w:p>
    <w:p w14:paraId="46E2A6E8" w14:textId="77777777" w:rsidR="00136EB3" w:rsidRPr="00B734DF" w:rsidRDefault="00136EB3" w:rsidP="00F41EA6">
      <w:pPr>
        <w:pStyle w:val="Bullet"/>
      </w:pPr>
      <w:r w:rsidRPr="00B734DF">
        <w:t xml:space="preserve">Orders, made under the COVID-19 </w:t>
      </w:r>
      <w:r>
        <w:t xml:space="preserve">Public Health Response </w:t>
      </w:r>
      <w:r w:rsidRPr="00B734DF">
        <w:t>Act</w:t>
      </w:r>
      <w:r>
        <w:t xml:space="preserve"> 2020,</w:t>
      </w:r>
      <w:r w:rsidRPr="00B734DF">
        <w:t xml:space="preserve"> which </w:t>
      </w:r>
      <w:r>
        <w:t>can make</w:t>
      </w:r>
      <w:r w:rsidRPr="00B734DF">
        <w:t xml:space="preserve"> tools or measures </w:t>
      </w:r>
      <w:r>
        <w:t>mandatory</w:t>
      </w:r>
    </w:p>
    <w:p w14:paraId="0029E395" w14:textId="77777777" w:rsidR="00136EB3" w:rsidRPr="00B734DF" w:rsidRDefault="00136EB3" w:rsidP="00F41EA6">
      <w:pPr>
        <w:pStyle w:val="Bullet"/>
      </w:pPr>
      <w:r>
        <w:t>Other a</w:t>
      </w:r>
      <w:r w:rsidRPr="00B734DF">
        <w:t>gency-specific legislation.</w:t>
      </w:r>
    </w:p>
    <w:p w14:paraId="620C81AD" w14:textId="77777777" w:rsidR="00136EB3" w:rsidRDefault="00136EB3" w:rsidP="00F41EA6">
      <w:pPr>
        <w:rPr>
          <w:b/>
          <w:bCs/>
        </w:rPr>
      </w:pPr>
      <w:r w:rsidRPr="00112C5B">
        <w:lastRenderedPageBreak/>
        <w:t>If the COVID-19 context were to deteriorate significantly</w:t>
      </w:r>
      <w:r>
        <w:t>,</w:t>
      </w:r>
      <w:r w:rsidRPr="00112C5B">
        <w:t xml:space="preserve"> and a broader set of measures were needed</w:t>
      </w:r>
      <w:r w:rsidRPr="0073701D">
        <w:t xml:space="preserve"> </w:t>
      </w:r>
      <w:r>
        <w:t>quickly</w:t>
      </w:r>
      <w:r w:rsidRPr="00112C5B">
        <w:t xml:space="preserve">, </w:t>
      </w:r>
      <w:r>
        <w:t xml:space="preserve">parliament might choose to pass or amend laws </w:t>
      </w:r>
      <w:r w:rsidRPr="00112C5B">
        <w:t>under urgency</w:t>
      </w:r>
      <w:r>
        <w:t>.</w:t>
      </w:r>
    </w:p>
    <w:p w14:paraId="14D7ACAF" w14:textId="77777777" w:rsidR="00136EB3" w:rsidRPr="00C07F86" w:rsidRDefault="00136EB3" w:rsidP="00136EB3">
      <w:pPr>
        <w:pStyle w:val="Heading2"/>
      </w:pPr>
      <w:bookmarkStart w:id="51" w:name="_Toc144448520"/>
      <w:r>
        <w:t>Factors determining which tools and measures we use</w:t>
      </w:r>
      <w:bookmarkEnd w:id="51"/>
    </w:p>
    <w:p w14:paraId="3108677A" w14:textId="405582CA" w:rsidR="00136EB3" w:rsidRDefault="00136EB3" w:rsidP="00136EB3">
      <w:pPr>
        <w:rPr>
          <w:rFonts w:cs="Segoe UI"/>
        </w:rPr>
      </w:pPr>
      <w:r w:rsidRPr="00C71DBE">
        <w:rPr>
          <w:rFonts w:cs="Segoe UI"/>
        </w:rPr>
        <w:t xml:space="preserve">To determine </w:t>
      </w:r>
      <w:r>
        <w:rPr>
          <w:rFonts w:cs="Segoe UI"/>
        </w:rPr>
        <w:t>what measures are used to manage COVID-19</w:t>
      </w:r>
      <w:r w:rsidRPr="00C71DBE">
        <w:rPr>
          <w:rFonts w:cs="Segoe UI"/>
        </w:rPr>
        <w:t xml:space="preserve">, decision makers consider a number of factors. </w:t>
      </w:r>
      <w:r w:rsidR="00C24C2D">
        <w:rPr>
          <w:rFonts w:cs="Segoe UI"/>
        </w:rPr>
        <w:fldChar w:fldCharType="begin"/>
      </w:r>
      <w:r w:rsidR="00C24C2D">
        <w:rPr>
          <w:rFonts w:cs="Segoe UI"/>
        </w:rPr>
        <w:instrText xml:space="preserve"> REF _Ref144437757 \h </w:instrText>
      </w:r>
      <w:r w:rsidR="00C24C2D">
        <w:rPr>
          <w:rFonts w:cs="Segoe UI"/>
        </w:rPr>
      </w:r>
      <w:r w:rsidR="00C24C2D">
        <w:rPr>
          <w:rFonts w:cs="Segoe UI"/>
        </w:rPr>
        <w:fldChar w:fldCharType="separate"/>
      </w:r>
      <w:r w:rsidR="00580465" w:rsidRPr="00F41EA6">
        <w:t xml:space="preserve">Table </w:t>
      </w:r>
      <w:r w:rsidR="00580465">
        <w:rPr>
          <w:noProof/>
        </w:rPr>
        <w:t>1</w:t>
      </w:r>
      <w:r w:rsidR="00C24C2D">
        <w:rPr>
          <w:rFonts w:cs="Segoe UI"/>
        </w:rPr>
        <w:fldChar w:fldCharType="end"/>
      </w:r>
      <w:r>
        <w:rPr>
          <w:rFonts w:cs="Segoe UI"/>
        </w:rPr>
        <w:t xml:space="preserve"> provides a suite of </w:t>
      </w:r>
      <w:r w:rsidRPr="00C71DBE">
        <w:rPr>
          <w:rFonts w:cs="Segoe UI"/>
        </w:rPr>
        <w:t>relevant considerations</w:t>
      </w:r>
      <w:r>
        <w:rPr>
          <w:rFonts w:cs="Segoe UI"/>
        </w:rPr>
        <w:t>. These considerations help</w:t>
      </w:r>
      <w:r w:rsidRPr="00C71DBE">
        <w:rPr>
          <w:rFonts w:cs="Segoe UI"/>
        </w:rPr>
        <w:t xml:space="preserve"> determin</w:t>
      </w:r>
      <w:r>
        <w:rPr>
          <w:rFonts w:cs="Segoe UI"/>
        </w:rPr>
        <w:t>e</w:t>
      </w:r>
      <w:r w:rsidRPr="00C71DBE">
        <w:rPr>
          <w:rFonts w:cs="Segoe UI"/>
        </w:rPr>
        <w:t xml:space="preserve"> which scenario may apply and</w:t>
      </w:r>
      <w:r>
        <w:rPr>
          <w:rFonts w:cs="Segoe UI"/>
        </w:rPr>
        <w:t>,</w:t>
      </w:r>
      <w:r w:rsidRPr="00C71DBE">
        <w:rPr>
          <w:rFonts w:cs="Segoe UI"/>
        </w:rPr>
        <w:t xml:space="preserve"> </w:t>
      </w:r>
      <w:r w:rsidRPr="0010133B">
        <w:rPr>
          <w:rFonts w:cs="Segoe UI"/>
        </w:rPr>
        <w:t>within that</w:t>
      </w:r>
      <w:r w:rsidRPr="00C71DBE">
        <w:rPr>
          <w:rFonts w:cs="Segoe UI"/>
        </w:rPr>
        <w:t xml:space="preserve">, which set of tools </w:t>
      </w:r>
      <w:r>
        <w:rPr>
          <w:rFonts w:cs="Segoe UI"/>
        </w:rPr>
        <w:t>are most appropriate to meeting the strategic framework’s outcomes and objectives.</w:t>
      </w:r>
    </w:p>
    <w:p w14:paraId="1DC7CD84" w14:textId="77777777" w:rsidR="00F41EA6" w:rsidRDefault="00F41EA6" w:rsidP="00136EB3">
      <w:pPr>
        <w:rPr>
          <w:rFonts w:cs="Segoe UI"/>
        </w:rPr>
      </w:pPr>
    </w:p>
    <w:p w14:paraId="2A768C1D" w14:textId="5B3D4C93" w:rsidR="00136EB3" w:rsidRPr="00F41EA6" w:rsidRDefault="00F41EA6" w:rsidP="00F41EA6">
      <w:pPr>
        <w:pStyle w:val="Table"/>
      </w:pPr>
      <w:bookmarkStart w:id="52" w:name="_Ref144437757"/>
      <w:bookmarkStart w:id="53" w:name="_Toc144389650"/>
      <w:r w:rsidRPr="00F41EA6">
        <w:t xml:space="preserve">Table </w:t>
      </w:r>
      <w:r w:rsidR="00F57C2F">
        <w:fldChar w:fldCharType="begin"/>
      </w:r>
      <w:r w:rsidR="00F57C2F">
        <w:instrText xml:space="preserve"> SEQ Table \* ARABIC </w:instrText>
      </w:r>
      <w:r w:rsidR="00F57C2F">
        <w:fldChar w:fldCharType="separate"/>
      </w:r>
      <w:r w:rsidR="00580465">
        <w:rPr>
          <w:noProof/>
        </w:rPr>
        <w:t>1</w:t>
      </w:r>
      <w:r w:rsidR="00F57C2F">
        <w:rPr>
          <w:noProof/>
        </w:rPr>
        <w:fldChar w:fldCharType="end"/>
      </w:r>
      <w:bookmarkEnd w:id="52"/>
      <w:r w:rsidRPr="00F41EA6">
        <w:t xml:space="preserve">: </w:t>
      </w:r>
      <w:r w:rsidR="00136EB3" w:rsidRPr="00F41EA6">
        <w:t>Considerations for deciding which tools and measures to apply</w:t>
      </w:r>
      <w:bookmarkEnd w:id="53"/>
    </w:p>
    <w:tbl>
      <w:tblPr>
        <w:tblStyle w:val="TableGrid"/>
        <w:tblW w:w="835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9"/>
      </w:tblGrid>
      <w:tr w:rsidR="00136EB3" w:rsidRPr="00F41EA6" w14:paraId="49DDDC98" w14:textId="77777777" w:rsidTr="00F41EA6">
        <w:tc>
          <w:tcPr>
            <w:tcW w:w="8359" w:type="dxa"/>
            <w:tcBorders>
              <w:top w:val="nil"/>
              <w:bottom w:val="nil"/>
            </w:tcBorders>
            <w:shd w:val="clear" w:color="auto" w:fill="D9D9D9" w:themeFill="background1" w:themeFillShade="D9"/>
          </w:tcPr>
          <w:p w14:paraId="20E9F161" w14:textId="77777777" w:rsidR="00136EB3" w:rsidRPr="00F41EA6" w:rsidRDefault="00136EB3" w:rsidP="00F41EA6">
            <w:pPr>
              <w:pStyle w:val="TableText"/>
              <w:rPr>
                <w:b/>
                <w:bCs/>
              </w:rPr>
            </w:pPr>
            <w:r w:rsidRPr="00F41EA6">
              <w:rPr>
                <w:b/>
                <w:bCs/>
              </w:rPr>
              <w:t>Health factors</w:t>
            </w:r>
          </w:p>
        </w:tc>
      </w:tr>
      <w:tr w:rsidR="00136EB3" w:rsidRPr="004B342C" w14:paraId="32BD4501" w14:textId="77777777" w:rsidTr="00F41EA6">
        <w:tc>
          <w:tcPr>
            <w:tcW w:w="8359" w:type="dxa"/>
            <w:tcBorders>
              <w:top w:val="nil"/>
            </w:tcBorders>
          </w:tcPr>
          <w:p w14:paraId="5F64A290" w14:textId="77777777" w:rsidR="00136EB3" w:rsidRPr="004B342C" w:rsidRDefault="00136EB3" w:rsidP="00F41EA6">
            <w:pPr>
              <w:pStyle w:val="TableBullet"/>
              <w:spacing w:before="60"/>
            </w:pPr>
            <w:r>
              <w:t>E</w:t>
            </w:r>
            <w:r w:rsidRPr="004B342C">
              <w:t xml:space="preserve">pidemiological trends, modelling and international experience </w:t>
            </w:r>
          </w:p>
        </w:tc>
      </w:tr>
      <w:tr w:rsidR="00136EB3" w:rsidRPr="004B342C" w14:paraId="6B429F16" w14:textId="77777777" w:rsidTr="00F41EA6">
        <w:tc>
          <w:tcPr>
            <w:tcW w:w="8359" w:type="dxa"/>
          </w:tcPr>
          <w:p w14:paraId="220D1746" w14:textId="77777777" w:rsidR="00136EB3" w:rsidRPr="004B342C" w:rsidRDefault="00136EB3" w:rsidP="00F41EA6">
            <w:pPr>
              <w:pStyle w:val="TableBullet"/>
              <w:spacing w:before="60"/>
            </w:pPr>
            <w:r>
              <w:t>Understanding of the realised or potential burden of disease, including premature death and long-term illness/disability</w:t>
            </w:r>
          </w:p>
        </w:tc>
      </w:tr>
      <w:tr w:rsidR="00136EB3" w:rsidRPr="004B342C" w14:paraId="5EE09230" w14:textId="77777777" w:rsidTr="00F41EA6">
        <w:tc>
          <w:tcPr>
            <w:tcW w:w="8359" w:type="dxa"/>
          </w:tcPr>
          <w:p w14:paraId="75DDF3D8" w14:textId="77777777" w:rsidR="00136EB3" w:rsidRPr="004B342C" w:rsidRDefault="00136EB3" w:rsidP="00F41EA6">
            <w:pPr>
              <w:pStyle w:val="TableBullet"/>
              <w:spacing w:before="60"/>
            </w:pPr>
            <w:r w:rsidRPr="004B342C">
              <w:t>Variant characteristics, including immune evasion, clinical severity</w:t>
            </w:r>
            <w:r>
              <w:t xml:space="preserve"> and</w:t>
            </w:r>
            <w:r w:rsidRPr="004B342C">
              <w:t xml:space="preserve"> transmissibility</w:t>
            </w:r>
          </w:p>
        </w:tc>
      </w:tr>
      <w:tr w:rsidR="00136EB3" w:rsidRPr="004B342C" w14:paraId="2659F139" w14:textId="77777777" w:rsidTr="00F41EA6">
        <w:tc>
          <w:tcPr>
            <w:tcW w:w="8359" w:type="dxa"/>
          </w:tcPr>
          <w:p w14:paraId="68552ADB" w14:textId="77777777" w:rsidR="00136EB3" w:rsidRPr="004B342C" w:rsidRDefault="00136EB3" w:rsidP="00F41EA6">
            <w:pPr>
              <w:pStyle w:val="TableBullet"/>
              <w:spacing w:before="60"/>
            </w:pPr>
            <w:r w:rsidRPr="004B342C">
              <w:t xml:space="preserve">The current level of protection from severe outcomes, including population immunity levels and </w:t>
            </w:r>
            <w:r>
              <w:t xml:space="preserve">availability and </w:t>
            </w:r>
            <w:r w:rsidRPr="004B342C">
              <w:t>uptake</w:t>
            </w:r>
            <w:r>
              <w:t xml:space="preserve"> of </w:t>
            </w:r>
            <w:r w:rsidRPr="004B342C">
              <w:t>therapeutics</w:t>
            </w:r>
          </w:p>
        </w:tc>
      </w:tr>
      <w:tr w:rsidR="00136EB3" w:rsidRPr="004B342C" w14:paraId="6BD55862" w14:textId="77777777" w:rsidTr="00F41EA6">
        <w:tc>
          <w:tcPr>
            <w:tcW w:w="8359" w:type="dxa"/>
            <w:tcBorders>
              <w:bottom w:val="nil"/>
            </w:tcBorders>
          </w:tcPr>
          <w:p w14:paraId="6387CD21" w14:textId="77777777" w:rsidR="00136EB3" w:rsidRPr="004B342C" w:rsidRDefault="00136EB3" w:rsidP="00F41EA6">
            <w:pPr>
              <w:pStyle w:val="TableBullet"/>
              <w:spacing w:before="60"/>
            </w:pPr>
            <w:r w:rsidRPr="004B342C">
              <w:t xml:space="preserve">Health system capacity, including demand from COVID-19 as well as demand from other health sector service provision </w:t>
            </w:r>
          </w:p>
        </w:tc>
      </w:tr>
      <w:tr w:rsidR="00136EB3" w:rsidRPr="00F41EA6" w14:paraId="600E10DD" w14:textId="77777777" w:rsidTr="00F41EA6">
        <w:tc>
          <w:tcPr>
            <w:tcW w:w="8359" w:type="dxa"/>
            <w:tcBorders>
              <w:top w:val="nil"/>
              <w:bottom w:val="nil"/>
            </w:tcBorders>
            <w:shd w:val="clear" w:color="auto" w:fill="D9D9D9" w:themeFill="background1" w:themeFillShade="D9"/>
          </w:tcPr>
          <w:p w14:paraId="72AC88EE" w14:textId="77777777" w:rsidR="00136EB3" w:rsidRPr="00F41EA6" w:rsidRDefault="00136EB3" w:rsidP="00F41EA6">
            <w:pPr>
              <w:pStyle w:val="TableText"/>
              <w:rPr>
                <w:b/>
                <w:bCs/>
              </w:rPr>
            </w:pPr>
            <w:r w:rsidRPr="00F41EA6">
              <w:rPr>
                <w:b/>
                <w:bCs/>
              </w:rPr>
              <w:t>Factors relating to the effectiveness of the specific tools or measures</w:t>
            </w:r>
          </w:p>
        </w:tc>
      </w:tr>
      <w:tr w:rsidR="00136EB3" w:rsidRPr="004B342C" w14:paraId="0CE7A8D9" w14:textId="77777777" w:rsidTr="00F41EA6">
        <w:tc>
          <w:tcPr>
            <w:tcW w:w="8359" w:type="dxa"/>
            <w:tcBorders>
              <w:top w:val="nil"/>
            </w:tcBorders>
          </w:tcPr>
          <w:p w14:paraId="16A9D89C" w14:textId="77777777" w:rsidR="00136EB3" w:rsidRPr="004B342C" w:rsidRDefault="00136EB3" w:rsidP="00F41EA6">
            <w:pPr>
              <w:pStyle w:val="TableBullet"/>
              <w:spacing w:before="60"/>
            </w:pPr>
            <w:r w:rsidRPr="004B342C">
              <w:t>Effectiveness of tools or measures in achieving their intended purpose, including regulatory cost</w:t>
            </w:r>
            <w:r>
              <w:t xml:space="preserve">s and </w:t>
            </w:r>
            <w:r w:rsidRPr="004B342C">
              <w:t>benefits, availability of legislative tools</w:t>
            </w:r>
            <w:r>
              <w:t>,</w:t>
            </w:r>
            <w:r w:rsidRPr="004B342C">
              <w:t xml:space="preserve"> ability to enforce a mandatory measure and alternatives to regulation</w:t>
            </w:r>
          </w:p>
        </w:tc>
      </w:tr>
      <w:tr w:rsidR="00136EB3" w:rsidRPr="004B342C" w14:paraId="33CC10D6" w14:textId="77777777" w:rsidTr="00F41EA6">
        <w:tc>
          <w:tcPr>
            <w:tcW w:w="8359" w:type="dxa"/>
          </w:tcPr>
          <w:p w14:paraId="2E454DF2" w14:textId="207F9407" w:rsidR="00136EB3" w:rsidRPr="004B342C" w:rsidRDefault="00136EB3" w:rsidP="00F41EA6">
            <w:pPr>
              <w:pStyle w:val="TableBullet"/>
              <w:spacing w:before="60"/>
            </w:pPr>
            <w:bookmarkStart w:id="54" w:name="_Hlk128745932"/>
            <w:r>
              <w:t>Level of health gain, cost impacts and cost-effectiveness expected from the tool/measure or suite of tools/measures</w:t>
            </w:r>
            <w:bookmarkEnd w:id="54"/>
          </w:p>
        </w:tc>
      </w:tr>
      <w:tr w:rsidR="00136EB3" w:rsidRPr="004B342C" w14:paraId="65233A0B" w14:textId="77777777" w:rsidTr="00F41EA6">
        <w:trPr>
          <w:trHeight w:val="109"/>
        </w:trPr>
        <w:tc>
          <w:tcPr>
            <w:tcW w:w="8359" w:type="dxa"/>
          </w:tcPr>
          <w:p w14:paraId="36AEA601" w14:textId="77777777" w:rsidR="00136EB3" w:rsidRPr="004B342C" w:rsidRDefault="00136EB3" w:rsidP="00F41EA6">
            <w:pPr>
              <w:pStyle w:val="TableBullet"/>
              <w:spacing w:before="60"/>
            </w:pPr>
            <w:r w:rsidRPr="004B342C">
              <w:t xml:space="preserve">The extent to which people and businesses may be able to understand, accept and </w:t>
            </w:r>
            <w:r>
              <w:t xml:space="preserve">adhere to the tool or </w:t>
            </w:r>
            <w:r w:rsidRPr="004B342C">
              <w:t>measure</w:t>
            </w:r>
          </w:p>
        </w:tc>
      </w:tr>
      <w:tr w:rsidR="00136EB3" w:rsidRPr="004B342C" w14:paraId="4C18131D" w14:textId="77777777" w:rsidTr="00F41EA6">
        <w:tc>
          <w:tcPr>
            <w:tcW w:w="8359" w:type="dxa"/>
          </w:tcPr>
          <w:p w14:paraId="1376B55B" w14:textId="77777777" w:rsidR="00136EB3" w:rsidRPr="004B342C" w:rsidRDefault="00136EB3" w:rsidP="00F41EA6">
            <w:pPr>
              <w:pStyle w:val="TableBullet"/>
              <w:spacing w:before="60"/>
            </w:pPr>
            <w:r w:rsidRPr="004B342C">
              <w:t xml:space="preserve">What support or exemptions, if any, may </w:t>
            </w:r>
            <w:r>
              <w:t xml:space="preserve">need </w:t>
            </w:r>
            <w:r w:rsidRPr="004B342C">
              <w:t>to accompany the tool or measure</w:t>
            </w:r>
          </w:p>
        </w:tc>
      </w:tr>
      <w:tr w:rsidR="00136EB3" w:rsidRPr="004B342C" w14:paraId="301BC4E4" w14:textId="77777777" w:rsidTr="00F41EA6">
        <w:tc>
          <w:tcPr>
            <w:tcW w:w="8359" w:type="dxa"/>
          </w:tcPr>
          <w:p w14:paraId="52A21C12" w14:textId="77777777" w:rsidR="00136EB3" w:rsidRPr="004B342C" w:rsidRDefault="00136EB3" w:rsidP="00F41EA6">
            <w:pPr>
              <w:pStyle w:val="TableBullet"/>
              <w:spacing w:before="60"/>
            </w:pPr>
            <w:r w:rsidRPr="004B342C">
              <w:t>The equity of any potential exemptions, and the ability to implement and resource an exemptions system</w:t>
            </w:r>
          </w:p>
        </w:tc>
      </w:tr>
      <w:tr w:rsidR="00136EB3" w:rsidRPr="004B342C" w14:paraId="780601C6" w14:textId="77777777" w:rsidTr="00F41EA6">
        <w:tc>
          <w:tcPr>
            <w:tcW w:w="8359" w:type="dxa"/>
            <w:tcBorders>
              <w:bottom w:val="nil"/>
            </w:tcBorders>
          </w:tcPr>
          <w:p w14:paraId="345D3D50" w14:textId="77777777" w:rsidR="00136EB3" w:rsidRPr="004B342C" w:rsidRDefault="00136EB3" w:rsidP="00F41EA6">
            <w:pPr>
              <w:pStyle w:val="TableBullet"/>
              <w:spacing w:before="60"/>
            </w:pPr>
            <w:r>
              <w:t>How each tool or measure interacts with other tools or measures to achieve the objective</w:t>
            </w:r>
          </w:p>
        </w:tc>
      </w:tr>
      <w:tr w:rsidR="00136EB3" w:rsidRPr="00F41EA6" w14:paraId="35B15B96" w14:textId="77777777" w:rsidTr="00F41EA6">
        <w:tc>
          <w:tcPr>
            <w:tcW w:w="8359" w:type="dxa"/>
            <w:tcBorders>
              <w:top w:val="nil"/>
              <w:bottom w:val="nil"/>
            </w:tcBorders>
            <w:shd w:val="clear" w:color="auto" w:fill="D9D9D9" w:themeFill="background1" w:themeFillShade="D9"/>
          </w:tcPr>
          <w:p w14:paraId="197EEF5C" w14:textId="77777777" w:rsidR="00136EB3" w:rsidRPr="00F41EA6" w:rsidRDefault="00136EB3" w:rsidP="00F41EA6">
            <w:pPr>
              <w:pStyle w:val="TableText"/>
              <w:rPr>
                <w:b/>
                <w:bCs/>
              </w:rPr>
            </w:pPr>
            <w:r w:rsidRPr="00F41EA6">
              <w:rPr>
                <w:b/>
                <w:bCs/>
              </w:rPr>
              <w:t xml:space="preserve">Proportionality </w:t>
            </w:r>
          </w:p>
        </w:tc>
      </w:tr>
      <w:tr w:rsidR="00136EB3" w:rsidRPr="004B342C" w14:paraId="338B9D68" w14:textId="77777777" w:rsidTr="00F41EA6">
        <w:tc>
          <w:tcPr>
            <w:tcW w:w="8359" w:type="dxa"/>
            <w:tcBorders>
              <w:top w:val="nil"/>
            </w:tcBorders>
          </w:tcPr>
          <w:p w14:paraId="7013680D" w14:textId="77777777" w:rsidR="00136EB3" w:rsidRPr="004B342C" w:rsidRDefault="00136EB3" w:rsidP="00F41EA6">
            <w:pPr>
              <w:pStyle w:val="TableBullet"/>
              <w:spacing w:before="60"/>
            </w:pPr>
            <w:r w:rsidRPr="004B342C">
              <w:t>Equivalence with how other health risks are managed</w:t>
            </w:r>
          </w:p>
        </w:tc>
      </w:tr>
      <w:tr w:rsidR="00136EB3" w:rsidRPr="004B342C" w14:paraId="570230E7" w14:textId="77777777" w:rsidTr="00F41EA6">
        <w:tc>
          <w:tcPr>
            <w:tcW w:w="8359" w:type="dxa"/>
          </w:tcPr>
          <w:p w14:paraId="0E225ACD" w14:textId="77777777" w:rsidR="00136EB3" w:rsidRPr="004B342C" w:rsidRDefault="00136EB3" w:rsidP="00F41EA6">
            <w:pPr>
              <w:pStyle w:val="TableBullet"/>
              <w:spacing w:before="60"/>
            </w:pPr>
            <w:r w:rsidRPr="004B342C">
              <w:t xml:space="preserve">Potential for the </w:t>
            </w:r>
            <w:r>
              <w:t xml:space="preserve">tools or </w:t>
            </w:r>
            <w:r w:rsidRPr="004B342C">
              <w:t>measures to impact on human rights and the New Zealand Bill o</w:t>
            </w:r>
            <w:r>
              <w:t>f</w:t>
            </w:r>
            <w:r w:rsidRPr="004B342C">
              <w:t xml:space="preserve"> Rights Act 1990</w:t>
            </w:r>
          </w:p>
        </w:tc>
      </w:tr>
      <w:tr w:rsidR="00136EB3" w:rsidRPr="004B342C" w14:paraId="497E1E01" w14:textId="77777777" w:rsidTr="00F41EA6">
        <w:tc>
          <w:tcPr>
            <w:tcW w:w="8359" w:type="dxa"/>
            <w:tcBorders>
              <w:bottom w:val="nil"/>
            </w:tcBorders>
          </w:tcPr>
          <w:p w14:paraId="0A1B043C" w14:textId="77777777" w:rsidR="00136EB3" w:rsidRPr="00105733" w:rsidRDefault="00136EB3" w:rsidP="00F41EA6">
            <w:pPr>
              <w:pStyle w:val="TableBullet"/>
              <w:spacing w:before="60"/>
            </w:pPr>
            <w:r w:rsidRPr="004B342C">
              <w:t xml:space="preserve">The trade-offs, such as direct and indirect impacts on communities, businesses, education, </w:t>
            </w:r>
            <w:r>
              <w:t>etc</w:t>
            </w:r>
          </w:p>
        </w:tc>
      </w:tr>
      <w:tr w:rsidR="00136EB3" w:rsidRPr="00F41EA6" w14:paraId="0FF05F72" w14:textId="77777777" w:rsidTr="00F41EA6">
        <w:tc>
          <w:tcPr>
            <w:tcW w:w="8359" w:type="dxa"/>
            <w:tcBorders>
              <w:top w:val="nil"/>
              <w:bottom w:val="nil"/>
            </w:tcBorders>
            <w:shd w:val="clear" w:color="auto" w:fill="D9D9D9" w:themeFill="background1" w:themeFillShade="D9"/>
          </w:tcPr>
          <w:p w14:paraId="0651ECA6" w14:textId="77777777" w:rsidR="00136EB3" w:rsidRPr="00F41EA6" w:rsidRDefault="00136EB3" w:rsidP="00F41EA6">
            <w:pPr>
              <w:pStyle w:val="TableText"/>
              <w:rPr>
                <w:b/>
                <w:bCs/>
              </w:rPr>
            </w:pPr>
            <w:r w:rsidRPr="00F41EA6">
              <w:rPr>
                <w:b/>
                <w:bCs/>
              </w:rPr>
              <w:lastRenderedPageBreak/>
              <w:t>Equity considerations</w:t>
            </w:r>
          </w:p>
        </w:tc>
      </w:tr>
      <w:tr w:rsidR="00136EB3" w:rsidRPr="004B342C" w14:paraId="3A1E4C0E" w14:textId="77777777" w:rsidTr="00F41EA6">
        <w:tc>
          <w:tcPr>
            <w:tcW w:w="8359" w:type="dxa"/>
            <w:tcBorders>
              <w:top w:val="nil"/>
              <w:bottom w:val="nil"/>
            </w:tcBorders>
          </w:tcPr>
          <w:p w14:paraId="138A424D" w14:textId="77777777" w:rsidR="00136EB3" w:rsidRPr="007E39CD" w:rsidRDefault="00136EB3" w:rsidP="00F41EA6">
            <w:pPr>
              <w:pStyle w:val="TableBullet"/>
              <w:spacing w:before="60"/>
            </w:pPr>
            <w:r w:rsidRPr="004B342C">
              <w:t xml:space="preserve">The tool or measure’s </w:t>
            </w:r>
            <w:r>
              <w:t xml:space="preserve">actual or </w:t>
            </w:r>
            <w:r w:rsidRPr="004B342C">
              <w:t>potential impacts on individuals, groups or communities at greater risk of COVID-19 impacts</w:t>
            </w:r>
          </w:p>
        </w:tc>
      </w:tr>
      <w:tr w:rsidR="00136EB3" w:rsidRPr="00F41EA6" w14:paraId="59EEBD19" w14:textId="77777777" w:rsidTr="00F41EA6">
        <w:tc>
          <w:tcPr>
            <w:tcW w:w="8359" w:type="dxa"/>
            <w:tcBorders>
              <w:top w:val="nil"/>
              <w:bottom w:val="nil"/>
            </w:tcBorders>
            <w:shd w:val="clear" w:color="auto" w:fill="D9D9D9" w:themeFill="background1" w:themeFillShade="D9"/>
          </w:tcPr>
          <w:p w14:paraId="375884E3" w14:textId="77777777" w:rsidR="00136EB3" w:rsidRPr="00F41EA6" w:rsidRDefault="00136EB3" w:rsidP="00F41EA6">
            <w:pPr>
              <w:pStyle w:val="TableText"/>
              <w:rPr>
                <w:b/>
                <w:bCs/>
              </w:rPr>
            </w:pPr>
            <w:r w:rsidRPr="00F41EA6">
              <w:rPr>
                <w:b/>
                <w:bCs/>
              </w:rPr>
              <w:t>Te Tiriti o Waitangi</w:t>
            </w:r>
          </w:p>
        </w:tc>
      </w:tr>
      <w:tr w:rsidR="00136EB3" w:rsidRPr="004B342C" w14:paraId="49F6330F" w14:textId="77777777" w:rsidTr="00F41EA6">
        <w:tc>
          <w:tcPr>
            <w:tcW w:w="8359" w:type="dxa"/>
            <w:tcBorders>
              <w:top w:val="nil"/>
              <w:bottom w:val="nil"/>
            </w:tcBorders>
          </w:tcPr>
          <w:p w14:paraId="36D9509C" w14:textId="77777777" w:rsidR="00136EB3" w:rsidRPr="004B342C" w:rsidRDefault="00136EB3" w:rsidP="00F41EA6">
            <w:pPr>
              <w:pStyle w:val="TableBullet"/>
              <w:spacing w:before="60"/>
            </w:pPr>
            <w:r w:rsidRPr="004B342C">
              <w:t xml:space="preserve">Consistency with the Crown’s obligations under </w:t>
            </w:r>
            <w:r>
              <w:t>Te Tiriti</w:t>
            </w:r>
            <w:r w:rsidRPr="004B342C">
              <w:t>, including the principles of equity, partnership, tino rangatiratanga, active protection and options</w:t>
            </w:r>
          </w:p>
        </w:tc>
      </w:tr>
      <w:tr w:rsidR="00136EB3" w:rsidRPr="00F41EA6" w14:paraId="0FDD4CF4" w14:textId="77777777" w:rsidTr="00F41EA6">
        <w:tc>
          <w:tcPr>
            <w:tcW w:w="8359" w:type="dxa"/>
            <w:tcBorders>
              <w:top w:val="nil"/>
              <w:bottom w:val="nil"/>
            </w:tcBorders>
            <w:shd w:val="clear" w:color="auto" w:fill="D9D9D9" w:themeFill="background1" w:themeFillShade="D9"/>
          </w:tcPr>
          <w:p w14:paraId="05119DBF" w14:textId="77777777" w:rsidR="00136EB3" w:rsidRPr="00F41EA6" w:rsidRDefault="00136EB3" w:rsidP="00F41EA6">
            <w:pPr>
              <w:pStyle w:val="TableText"/>
              <w:rPr>
                <w:b/>
                <w:bCs/>
              </w:rPr>
            </w:pPr>
            <w:r w:rsidRPr="00F41EA6">
              <w:rPr>
                <w:b/>
                <w:bCs/>
              </w:rPr>
              <w:t>Factors relating to the social and economic impacts of the specific tools or measures</w:t>
            </w:r>
          </w:p>
        </w:tc>
      </w:tr>
      <w:tr w:rsidR="00136EB3" w:rsidRPr="004B342C" w14:paraId="599A8626" w14:textId="77777777" w:rsidTr="00F41EA6">
        <w:tc>
          <w:tcPr>
            <w:tcW w:w="8359" w:type="dxa"/>
            <w:tcBorders>
              <w:top w:val="nil"/>
            </w:tcBorders>
          </w:tcPr>
          <w:p w14:paraId="37DDF8B2" w14:textId="77777777" w:rsidR="00136EB3" w:rsidRPr="004B342C" w:rsidRDefault="00136EB3" w:rsidP="00F41EA6">
            <w:pPr>
              <w:pStyle w:val="TableBullet"/>
              <w:spacing w:before="60"/>
            </w:pPr>
            <w:r w:rsidRPr="004B342C">
              <w:t>Data relating to the tool or measure’s impacts on the economy and society more broadly</w:t>
            </w:r>
          </w:p>
        </w:tc>
      </w:tr>
      <w:tr w:rsidR="00136EB3" w:rsidRPr="004B342C" w14:paraId="1F1ACEB2" w14:textId="77777777" w:rsidTr="00F41EA6">
        <w:tc>
          <w:tcPr>
            <w:tcW w:w="8359" w:type="dxa"/>
          </w:tcPr>
          <w:p w14:paraId="18195692" w14:textId="77777777" w:rsidR="00136EB3" w:rsidRPr="004B342C" w:rsidRDefault="00136EB3" w:rsidP="00F41EA6">
            <w:pPr>
              <w:pStyle w:val="TableBullet"/>
              <w:spacing w:before="60"/>
            </w:pPr>
            <w:r w:rsidRPr="004B342C">
              <w:t xml:space="preserve">Any regional impacts, including regional disparities in the tool or measure’s application </w:t>
            </w:r>
          </w:p>
        </w:tc>
      </w:tr>
      <w:tr w:rsidR="00136EB3" w:rsidRPr="004B342C" w14:paraId="3BC43217" w14:textId="77777777" w:rsidTr="00F41EA6">
        <w:tc>
          <w:tcPr>
            <w:tcW w:w="8359" w:type="dxa"/>
          </w:tcPr>
          <w:p w14:paraId="62784A38" w14:textId="77777777" w:rsidR="00136EB3" w:rsidRPr="004B342C" w:rsidRDefault="00136EB3" w:rsidP="00F41EA6">
            <w:pPr>
              <w:pStyle w:val="TableBullet"/>
              <w:spacing w:before="60"/>
            </w:pPr>
            <w:r w:rsidRPr="004B342C">
              <w:t>Social impacts, and whether they be widespread or specific to communities or groups, including the impact on communities’ ability to support members</w:t>
            </w:r>
          </w:p>
        </w:tc>
      </w:tr>
      <w:tr w:rsidR="00136EB3" w:rsidRPr="004B342C" w14:paraId="706260A4" w14:textId="77777777" w:rsidTr="00F41EA6">
        <w:tc>
          <w:tcPr>
            <w:tcW w:w="8359" w:type="dxa"/>
          </w:tcPr>
          <w:p w14:paraId="70C27DD6" w14:textId="77777777" w:rsidR="00136EB3" w:rsidRPr="004B342C" w:rsidRDefault="00136EB3" w:rsidP="00F41EA6">
            <w:pPr>
              <w:pStyle w:val="TableBullet"/>
              <w:spacing w:before="60"/>
            </w:pPr>
            <w:r w:rsidRPr="004B342C">
              <w:t>Impacts on businesses or organisations, including financial, logistical or related to supply chains or the availability of staff/personnel</w:t>
            </w:r>
          </w:p>
        </w:tc>
      </w:tr>
      <w:tr w:rsidR="00136EB3" w:rsidRPr="004B342C" w14:paraId="09EE8F56" w14:textId="77777777" w:rsidTr="00F41EA6">
        <w:tc>
          <w:tcPr>
            <w:tcW w:w="8359" w:type="dxa"/>
          </w:tcPr>
          <w:p w14:paraId="092274FC" w14:textId="77777777" w:rsidR="00136EB3" w:rsidRPr="004B342C" w:rsidRDefault="00136EB3" w:rsidP="00F41EA6">
            <w:pPr>
              <w:pStyle w:val="TableBullet"/>
              <w:spacing w:before="60"/>
            </w:pPr>
            <w:r w:rsidRPr="004B342C">
              <w:t>Impacts across the wider economy, including on macroeconomic indicators</w:t>
            </w:r>
          </w:p>
        </w:tc>
      </w:tr>
      <w:tr w:rsidR="00136EB3" w:rsidRPr="004B342C" w14:paraId="5F312BA4" w14:textId="77777777" w:rsidTr="00F41EA6">
        <w:tc>
          <w:tcPr>
            <w:tcW w:w="8359" w:type="dxa"/>
          </w:tcPr>
          <w:p w14:paraId="1FFD9B07" w14:textId="77777777" w:rsidR="00136EB3" w:rsidRPr="004B342C" w:rsidRDefault="00136EB3" w:rsidP="00F41EA6">
            <w:pPr>
              <w:pStyle w:val="TableBullet"/>
              <w:spacing w:before="60"/>
            </w:pPr>
            <w:r w:rsidRPr="004B342C">
              <w:t>Any mental health impacts of the tool or measure</w:t>
            </w:r>
          </w:p>
        </w:tc>
      </w:tr>
      <w:tr w:rsidR="00136EB3" w:rsidRPr="004B342C" w14:paraId="263D0B09" w14:textId="77777777" w:rsidTr="00F41EA6">
        <w:tc>
          <w:tcPr>
            <w:tcW w:w="8359" w:type="dxa"/>
          </w:tcPr>
          <w:p w14:paraId="7C641315" w14:textId="77777777" w:rsidR="00136EB3" w:rsidRPr="004B342C" w:rsidRDefault="00136EB3" w:rsidP="00F41EA6">
            <w:pPr>
              <w:pStyle w:val="TableBullet"/>
              <w:spacing w:before="60"/>
            </w:pPr>
            <w:r w:rsidRPr="004B342C">
              <w:t>Impacts on public service provision and the ability to access core public services</w:t>
            </w:r>
          </w:p>
        </w:tc>
      </w:tr>
      <w:tr w:rsidR="00136EB3" w:rsidRPr="004B342C" w14:paraId="5390D39B" w14:textId="77777777" w:rsidTr="00F41EA6">
        <w:tc>
          <w:tcPr>
            <w:tcW w:w="8359" w:type="dxa"/>
          </w:tcPr>
          <w:p w14:paraId="0EDD1C3C" w14:textId="77777777" w:rsidR="00136EB3" w:rsidRPr="004B342C" w:rsidRDefault="00136EB3" w:rsidP="00F41EA6">
            <w:pPr>
              <w:pStyle w:val="TableBullet"/>
              <w:spacing w:before="60"/>
            </w:pPr>
            <w:r w:rsidRPr="004B342C">
              <w:t>Any impacts on educational outcomes, including at pre-school, primary, secondary and tertiary levels</w:t>
            </w:r>
          </w:p>
        </w:tc>
      </w:tr>
      <w:tr w:rsidR="00136EB3" w:rsidRPr="004B342C" w14:paraId="49AD9AF0" w14:textId="77777777" w:rsidTr="00F41EA6">
        <w:tc>
          <w:tcPr>
            <w:tcW w:w="8359" w:type="dxa"/>
          </w:tcPr>
          <w:p w14:paraId="7612C8C8" w14:textId="77777777" w:rsidR="00136EB3" w:rsidRPr="004B342C" w:rsidRDefault="00136EB3" w:rsidP="00F41EA6">
            <w:pPr>
              <w:pStyle w:val="TableBullet"/>
              <w:spacing w:before="60"/>
            </w:pPr>
            <w:r w:rsidRPr="004B342C">
              <w:t xml:space="preserve">Impacts on broader social service provision, including the ability </w:t>
            </w:r>
            <w:r>
              <w:t>of</w:t>
            </w:r>
            <w:r w:rsidRPr="004B342C">
              <w:t xml:space="preserve"> individuals or communities to access support for their wellbeing </w:t>
            </w:r>
            <w:r>
              <w:t>beyond</w:t>
            </w:r>
            <w:r w:rsidRPr="004B342C">
              <w:t xml:space="preserve"> the impacts of COVID-19</w:t>
            </w:r>
          </w:p>
        </w:tc>
      </w:tr>
      <w:tr w:rsidR="00136EB3" w:rsidRPr="004B342C" w14:paraId="2753983F" w14:textId="77777777" w:rsidTr="00F41EA6">
        <w:tc>
          <w:tcPr>
            <w:tcW w:w="8359" w:type="dxa"/>
            <w:tcBorders>
              <w:bottom w:val="nil"/>
            </w:tcBorders>
          </w:tcPr>
          <w:p w14:paraId="241DD3D0" w14:textId="77777777" w:rsidR="00136EB3" w:rsidRPr="004B342C" w:rsidRDefault="00136EB3" w:rsidP="00F41EA6">
            <w:pPr>
              <w:pStyle w:val="TableBullet"/>
              <w:spacing w:before="60"/>
            </w:pPr>
            <w:r w:rsidRPr="004B342C">
              <w:t>Any impacts on</w:t>
            </w:r>
            <w:r>
              <w:t xml:space="preserve"> supply chains and </w:t>
            </w:r>
            <w:r w:rsidRPr="004B342C">
              <w:t>transport service provision at local, regional and national level</w:t>
            </w:r>
            <w:r>
              <w:t>s</w:t>
            </w:r>
          </w:p>
        </w:tc>
      </w:tr>
      <w:tr w:rsidR="00136EB3" w:rsidRPr="00F41EA6" w14:paraId="40AAB028" w14:textId="77777777" w:rsidTr="00F41EA6">
        <w:tc>
          <w:tcPr>
            <w:tcW w:w="8359" w:type="dxa"/>
            <w:tcBorders>
              <w:top w:val="nil"/>
              <w:bottom w:val="nil"/>
            </w:tcBorders>
            <w:shd w:val="clear" w:color="auto" w:fill="D9D9D9" w:themeFill="background1" w:themeFillShade="D9"/>
          </w:tcPr>
          <w:p w14:paraId="4D047FE1" w14:textId="77777777" w:rsidR="00136EB3" w:rsidRPr="00F41EA6" w:rsidRDefault="00136EB3" w:rsidP="00F41EA6">
            <w:pPr>
              <w:pStyle w:val="TableText"/>
              <w:rPr>
                <w:b/>
                <w:bCs/>
              </w:rPr>
            </w:pPr>
            <w:r w:rsidRPr="00F41EA6">
              <w:rPr>
                <w:b/>
                <w:bCs/>
              </w:rPr>
              <w:t xml:space="preserve">Operational implications </w:t>
            </w:r>
          </w:p>
        </w:tc>
      </w:tr>
      <w:tr w:rsidR="00136EB3" w:rsidRPr="004B342C" w14:paraId="575F3187" w14:textId="77777777" w:rsidTr="00F41EA6">
        <w:tc>
          <w:tcPr>
            <w:tcW w:w="8359" w:type="dxa"/>
            <w:tcBorders>
              <w:top w:val="nil"/>
            </w:tcBorders>
            <w:shd w:val="clear" w:color="auto" w:fill="FFFFFF" w:themeFill="background1"/>
          </w:tcPr>
          <w:p w14:paraId="6F34CB11" w14:textId="77777777" w:rsidR="00136EB3" w:rsidRPr="008B7082" w:rsidRDefault="00136EB3" w:rsidP="00F41EA6">
            <w:pPr>
              <w:pStyle w:val="TableBullet"/>
              <w:spacing w:before="60"/>
              <w:rPr>
                <w:b/>
                <w:bCs/>
              </w:rPr>
            </w:pPr>
            <w:r w:rsidRPr="008B7082">
              <w:t xml:space="preserve">The cost and feasibility to operationalise the </w:t>
            </w:r>
            <w:r>
              <w:t xml:space="preserve">tool or </w:t>
            </w:r>
            <w:r w:rsidRPr="008B7082">
              <w:t xml:space="preserve">measure, including whether the </w:t>
            </w:r>
            <w:r>
              <w:t xml:space="preserve">tool or </w:t>
            </w:r>
            <w:r w:rsidRPr="008B7082">
              <w:t xml:space="preserve">measure is, or can be, part of new business as usual or requires system adjustments to </w:t>
            </w:r>
            <w:r>
              <w:t xml:space="preserve">be </w:t>
            </w:r>
            <w:r w:rsidRPr="008B7082">
              <w:t>establish</w:t>
            </w:r>
            <w:r>
              <w:t>ed</w:t>
            </w:r>
          </w:p>
        </w:tc>
      </w:tr>
      <w:tr w:rsidR="00136EB3" w:rsidRPr="004B342C" w14:paraId="4FCD647F" w14:textId="77777777" w:rsidTr="00F41EA6">
        <w:tc>
          <w:tcPr>
            <w:tcW w:w="8359" w:type="dxa"/>
            <w:shd w:val="clear" w:color="auto" w:fill="FFFFFF" w:themeFill="background1"/>
          </w:tcPr>
          <w:p w14:paraId="79FBE6AD" w14:textId="77777777" w:rsidR="00136EB3" w:rsidRPr="008B7082" w:rsidRDefault="00136EB3" w:rsidP="00F41EA6">
            <w:pPr>
              <w:pStyle w:val="TableBullet"/>
              <w:spacing w:before="60"/>
              <w:rPr>
                <w:b/>
                <w:bCs/>
              </w:rPr>
            </w:pPr>
            <w:r w:rsidRPr="008B7082">
              <w:t xml:space="preserve">Ability for the </w:t>
            </w:r>
            <w:r>
              <w:t xml:space="preserve">tool or </w:t>
            </w:r>
            <w:r w:rsidRPr="008B7082">
              <w:t>measure to be easily understood and complied with</w:t>
            </w:r>
          </w:p>
        </w:tc>
      </w:tr>
      <w:tr w:rsidR="00136EB3" w:rsidRPr="004B342C" w14:paraId="18F101BC" w14:textId="77777777" w:rsidTr="00F41EA6">
        <w:tc>
          <w:tcPr>
            <w:tcW w:w="8359" w:type="dxa"/>
            <w:shd w:val="clear" w:color="auto" w:fill="FFFFFF" w:themeFill="background1"/>
          </w:tcPr>
          <w:p w14:paraId="15953A79" w14:textId="77777777" w:rsidR="00136EB3" w:rsidRPr="008B7082" w:rsidRDefault="00136EB3" w:rsidP="00F41EA6">
            <w:pPr>
              <w:pStyle w:val="TableBullet"/>
              <w:spacing w:before="60"/>
              <w:rPr>
                <w:b/>
                <w:bCs/>
              </w:rPr>
            </w:pPr>
            <w:r w:rsidRPr="008B7082">
              <w:t>Ability for a legal requirement to be enforced.</w:t>
            </w:r>
          </w:p>
        </w:tc>
      </w:tr>
    </w:tbl>
    <w:p w14:paraId="70DC519A" w14:textId="77777777" w:rsidR="00136EB3" w:rsidRDefault="00136EB3" w:rsidP="00136EB3">
      <w:pPr>
        <w:rPr>
          <w:rFonts w:cs="Segoe UI"/>
        </w:rPr>
      </w:pPr>
    </w:p>
    <w:p w14:paraId="4F3365A6" w14:textId="77777777" w:rsidR="00136EB3" w:rsidRDefault="00136EB3" w:rsidP="00F41EA6">
      <w:r>
        <w:t xml:space="preserve">Many of these factors will require evidence, consultation, and engagement to be fully considered. Once relevant factors are reviewed, the government will determine which measures and tools should be used to meet the outcomes and objectives in the strategic framework. </w:t>
      </w:r>
      <w:r w:rsidRPr="00E72906">
        <w:t>The below table outlines how our measures would be generally calibrated across low, medium, and high impact outbreaks.</w:t>
      </w:r>
    </w:p>
    <w:p w14:paraId="36BABA6C" w14:textId="77777777" w:rsidR="00F41EA6" w:rsidRDefault="00F41EA6" w:rsidP="00136EB3">
      <w:pPr>
        <w:keepNext/>
        <w:rPr>
          <w:rFonts w:cs="Segoe UI"/>
          <w:b/>
          <w:bCs/>
        </w:rPr>
        <w:sectPr w:rsidR="00F41EA6" w:rsidSect="00571968">
          <w:pgSz w:w="11907" w:h="16834" w:code="9"/>
          <w:pgMar w:top="1418" w:right="1701" w:bottom="1134" w:left="1843" w:header="284" w:footer="425" w:gutter="284"/>
          <w:cols w:space="720"/>
        </w:sectPr>
      </w:pPr>
    </w:p>
    <w:p w14:paraId="01CF6FF1" w14:textId="39E5A761" w:rsidR="00136EB3" w:rsidRPr="00AE3792" w:rsidRDefault="00F41EA6" w:rsidP="00F41EA6">
      <w:pPr>
        <w:pStyle w:val="Table"/>
      </w:pPr>
      <w:bookmarkStart w:id="55" w:name="_Ref144389272"/>
      <w:bookmarkStart w:id="56" w:name="_Toc144389651"/>
      <w:r w:rsidRPr="00F41EA6">
        <w:lastRenderedPageBreak/>
        <w:t xml:space="preserve">Table </w:t>
      </w:r>
      <w:fldSimple w:instr=" SEQ Table \* ARABIC ">
        <w:r w:rsidR="00580465">
          <w:rPr>
            <w:noProof/>
          </w:rPr>
          <w:t>2</w:t>
        </w:r>
      </w:fldSimple>
      <w:bookmarkEnd w:id="55"/>
      <w:r w:rsidRPr="00F41EA6">
        <w:t xml:space="preserve">: </w:t>
      </w:r>
      <w:r w:rsidR="00136EB3">
        <w:t>How we c</w:t>
      </w:r>
      <w:r w:rsidR="00136EB3" w:rsidRPr="00AE3792">
        <w:t>alibra</w:t>
      </w:r>
      <w:r w:rsidR="00136EB3">
        <w:t>te</w:t>
      </w:r>
      <w:r w:rsidR="00136EB3" w:rsidRPr="00AE3792">
        <w:t xml:space="preserve"> the response according to the </w:t>
      </w:r>
      <w:r w:rsidR="00136EB3">
        <w:t xml:space="preserve">potential </w:t>
      </w:r>
      <w:r w:rsidR="00136EB3" w:rsidRPr="00AE3792">
        <w:t>impact of the outbreak</w:t>
      </w:r>
      <w:bookmarkEnd w:id="56"/>
    </w:p>
    <w:p w14:paraId="0E0633D7" w14:textId="7DF3837A" w:rsidR="00136EB3" w:rsidRDefault="00F41EA6" w:rsidP="00F41EA6">
      <w:r>
        <w:fldChar w:fldCharType="begin"/>
      </w:r>
      <w:r>
        <w:instrText xml:space="preserve"> REF _Ref144389272 \h </w:instrText>
      </w:r>
      <w:r>
        <w:fldChar w:fldCharType="separate"/>
      </w:r>
      <w:r w:rsidR="00580465" w:rsidRPr="00F41EA6">
        <w:t xml:space="preserve">Table </w:t>
      </w:r>
      <w:r w:rsidR="00580465">
        <w:rPr>
          <w:noProof/>
        </w:rPr>
        <w:t>2</w:t>
      </w:r>
      <w:r>
        <w:fldChar w:fldCharType="end"/>
      </w:r>
      <w:r w:rsidR="00136EB3" w:rsidRPr="00593F41">
        <w:t xml:space="preserve"> sets out the continuum of likely response actions, depending on expected impacts. </w:t>
      </w:r>
      <w:r w:rsidR="00136EB3">
        <w:t xml:space="preserve">Decisions on calibration will consider the </w:t>
      </w:r>
      <w:r w:rsidR="00136EB3" w:rsidRPr="00FA0A6F">
        <w:rPr>
          <w:i/>
          <w:iCs/>
        </w:rPr>
        <w:t>unmitigated</w:t>
      </w:r>
      <w:r w:rsidR="00136EB3">
        <w:t xml:space="preserve"> impacts, that is, what impacts are expected before any public health measures are applied. </w:t>
      </w:r>
    </w:p>
    <w:p w14:paraId="4F6784C0" w14:textId="77777777" w:rsidR="00F41EA6" w:rsidRPr="00593F41" w:rsidRDefault="00F41EA6" w:rsidP="00F41EA6"/>
    <w:tbl>
      <w:tblPr>
        <w:tblStyle w:val="TableGrid"/>
        <w:tblW w:w="864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6"/>
        <w:gridCol w:w="2132"/>
        <w:gridCol w:w="2552"/>
        <w:gridCol w:w="2268"/>
      </w:tblGrid>
      <w:tr w:rsidR="00136EB3" w:rsidRPr="004B342C" w14:paraId="5F04FBCC" w14:textId="77777777" w:rsidTr="00F41EA6">
        <w:trPr>
          <w:trHeight w:val="431"/>
        </w:trPr>
        <w:tc>
          <w:tcPr>
            <w:tcW w:w="1696" w:type="dxa"/>
            <w:vMerge w:val="restart"/>
            <w:tcBorders>
              <w:top w:val="nil"/>
              <w:bottom w:val="nil"/>
            </w:tcBorders>
            <w:shd w:val="clear" w:color="auto" w:fill="D9D9D9" w:themeFill="background1" w:themeFillShade="D9"/>
          </w:tcPr>
          <w:p w14:paraId="1EFF76EF" w14:textId="77777777" w:rsidR="00136EB3" w:rsidRPr="004B342C" w:rsidRDefault="00136EB3" w:rsidP="00571968">
            <w:pPr>
              <w:spacing w:line="259" w:lineRule="auto"/>
              <w:rPr>
                <w:rFonts w:eastAsiaTheme="minorHAnsi" w:cs="Segoe UI"/>
              </w:rPr>
            </w:pPr>
          </w:p>
        </w:tc>
        <w:tc>
          <w:tcPr>
            <w:tcW w:w="2132" w:type="dxa"/>
            <w:tcBorders>
              <w:top w:val="nil"/>
              <w:bottom w:val="nil"/>
            </w:tcBorders>
            <w:shd w:val="clear" w:color="auto" w:fill="D9D9D9" w:themeFill="background1" w:themeFillShade="D9"/>
          </w:tcPr>
          <w:p w14:paraId="49825F4D" w14:textId="77777777" w:rsidR="00136EB3" w:rsidRPr="00F41EA6" w:rsidRDefault="00136EB3" w:rsidP="00F41EA6">
            <w:pPr>
              <w:pStyle w:val="TableText"/>
              <w:rPr>
                <w:rFonts w:eastAsiaTheme="minorHAnsi"/>
                <w:b/>
                <w:bCs/>
              </w:rPr>
            </w:pPr>
          </w:p>
          <w:p w14:paraId="298EFAD2" w14:textId="77777777" w:rsidR="00136EB3" w:rsidRPr="00F41EA6" w:rsidRDefault="00136EB3" w:rsidP="00F41EA6">
            <w:pPr>
              <w:pStyle w:val="TableText"/>
              <w:rPr>
                <w:rFonts w:eastAsiaTheme="minorHAnsi"/>
                <w:b/>
                <w:bCs/>
              </w:rPr>
            </w:pPr>
            <w:r w:rsidRPr="00F41EA6">
              <w:rPr>
                <w:rFonts w:eastAsiaTheme="minorHAnsi"/>
                <w:b/>
                <w:bCs/>
              </w:rPr>
              <w:t>Low impacts expected</w:t>
            </w:r>
          </w:p>
        </w:tc>
        <w:tc>
          <w:tcPr>
            <w:tcW w:w="2552" w:type="dxa"/>
            <w:tcBorders>
              <w:top w:val="nil"/>
              <w:bottom w:val="nil"/>
            </w:tcBorders>
            <w:shd w:val="clear" w:color="auto" w:fill="D9D9D9" w:themeFill="background1" w:themeFillShade="D9"/>
          </w:tcPr>
          <w:p w14:paraId="6D3908B4" w14:textId="77777777" w:rsidR="00136EB3" w:rsidRPr="00F41EA6" w:rsidRDefault="00136EB3" w:rsidP="00F41EA6">
            <w:pPr>
              <w:pStyle w:val="TableText"/>
              <w:rPr>
                <w:rFonts w:eastAsiaTheme="minorHAnsi"/>
                <w:b/>
                <w:bCs/>
              </w:rPr>
            </w:pPr>
          </w:p>
          <w:p w14:paraId="400FC6FE" w14:textId="77777777" w:rsidR="00136EB3" w:rsidRPr="00F41EA6" w:rsidRDefault="00136EB3" w:rsidP="00F41EA6">
            <w:pPr>
              <w:pStyle w:val="TableText"/>
              <w:rPr>
                <w:rFonts w:eastAsiaTheme="minorHAnsi"/>
                <w:b/>
                <w:bCs/>
              </w:rPr>
            </w:pPr>
            <w:r w:rsidRPr="00F41EA6">
              <w:rPr>
                <w:rFonts w:eastAsiaTheme="minorHAnsi"/>
                <w:b/>
                <w:bCs/>
              </w:rPr>
              <w:t>Medium impacts expected</w:t>
            </w:r>
          </w:p>
          <w:p w14:paraId="3851E3CD" w14:textId="77777777" w:rsidR="00136EB3" w:rsidRPr="00F41EA6" w:rsidRDefault="00136EB3" w:rsidP="00F41EA6">
            <w:pPr>
              <w:pStyle w:val="TableText"/>
              <w:rPr>
                <w:rFonts w:eastAsiaTheme="minorHAnsi"/>
                <w:b/>
                <w:bCs/>
              </w:rPr>
            </w:pPr>
          </w:p>
        </w:tc>
        <w:tc>
          <w:tcPr>
            <w:tcW w:w="2268" w:type="dxa"/>
            <w:tcBorders>
              <w:top w:val="nil"/>
              <w:bottom w:val="nil"/>
            </w:tcBorders>
            <w:shd w:val="clear" w:color="auto" w:fill="D9D9D9" w:themeFill="background1" w:themeFillShade="D9"/>
          </w:tcPr>
          <w:p w14:paraId="389D0E08" w14:textId="77777777" w:rsidR="00136EB3" w:rsidRPr="00F41EA6" w:rsidRDefault="00136EB3" w:rsidP="00F41EA6">
            <w:pPr>
              <w:pStyle w:val="TableText"/>
              <w:rPr>
                <w:rFonts w:eastAsiaTheme="minorHAnsi"/>
                <w:b/>
                <w:bCs/>
              </w:rPr>
            </w:pPr>
          </w:p>
          <w:p w14:paraId="7C302B95" w14:textId="77777777" w:rsidR="00136EB3" w:rsidRPr="00F41EA6" w:rsidRDefault="00136EB3" w:rsidP="00F41EA6">
            <w:pPr>
              <w:pStyle w:val="TableText"/>
              <w:rPr>
                <w:rFonts w:eastAsiaTheme="minorHAnsi"/>
                <w:b/>
                <w:bCs/>
              </w:rPr>
            </w:pPr>
            <w:r w:rsidRPr="00F41EA6">
              <w:rPr>
                <w:rFonts w:eastAsiaTheme="minorHAnsi"/>
                <w:b/>
                <w:bCs/>
              </w:rPr>
              <w:t>High impacts expected</w:t>
            </w:r>
          </w:p>
        </w:tc>
      </w:tr>
      <w:tr w:rsidR="00136EB3" w:rsidRPr="004B342C" w14:paraId="0F1ECB2D" w14:textId="77777777" w:rsidTr="00F41EA6">
        <w:trPr>
          <w:trHeight w:val="415"/>
        </w:trPr>
        <w:tc>
          <w:tcPr>
            <w:tcW w:w="1696" w:type="dxa"/>
            <w:vMerge/>
            <w:tcBorders>
              <w:top w:val="nil"/>
            </w:tcBorders>
          </w:tcPr>
          <w:p w14:paraId="5D3CA6EF" w14:textId="77777777" w:rsidR="00136EB3" w:rsidRPr="004B342C" w:rsidRDefault="00136EB3" w:rsidP="00571968">
            <w:pPr>
              <w:rPr>
                <w:rFonts w:cs="Segoe UI"/>
              </w:rPr>
            </w:pPr>
          </w:p>
        </w:tc>
        <w:tc>
          <w:tcPr>
            <w:tcW w:w="6952" w:type="dxa"/>
            <w:gridSpan w:val="3"/>
            <w:tcBorders>
              <w:top w:val="nil"/>
            </w:tcBorders>
            <w:shd w:val="clear" w:color="auto" w:fill="D9D9D9" w:themeFill="background1" w:themeFillShade="D9"/>
          </w:tcPr>
          <w:p w14:paraId="7ADD1941" w14:textId="576793CC" w:rsidR="00136EB3" w:rsidRPr="004B342C" w:rsidRDefault="00136EB3" w:rsidP="00571968">
            <w:pPr>
              <w:jc w:val="center"/>
              <w:rPr>
                <w:rFonts w:cs="Segoe UI"/>
                <w:b/>
                <w:bCs/>
                <w:color w:val="FFFFFF" w:themeColor="background1"/>
              </w:rPr>
            </w:pPr>
          </w:p>
        </w:tc>
      </w:tr>
      <w:tr w:rsidR="00136EB3" w:rsidRPr="004B342C" w14:paraId="08A6CB69" w14:textId="77777777" w:rsidTr="00F41EA6">
        <w:tc>
          <w:tcPr>
            <w:tcW w:w="1696" w:type="dxa"/>
            <w:shd w:val="clear" w:color="auto" w:fill="D9D9D9" w:themeFill="background1" w:themeFillShade="D9"/>
          </w:tcPr>
          <w:p w14:paraId="2B653ADE" w14:textId="77777777" w:rsidR="00136EB3" w:rsidRPr="00F41EA6" w:rsidRDefault="00136EB3" w:rsidP="00F41EA6">
            <w:pPr>
              <w:pStyle w:val="TableText"/>
              <w:rPr>
                <w:b/>
                <w:bCs/>
              </w:rPr>
            </w:pPr>
            <w:r w:rsidRPr="00F41EA6">
              <w:rPr>
                <w:b/>
                <w:bCs/>
              </w:rPr>
              <w:t>Expected virus character</w:t>
            </w:r>
          </w:p>
        </w:tc>
        <w:tc>
          <w:tcPr>
            <w:tcW w:w="2132" w:type="dxa"/>
          </w:tcPr>
          <w:p w14:paraId="65900EFE" w14:textId="77777777" w:rsidR="00136EB3" w:rsidRPr="004B342C" w:rsidRDefault="00136EB3" w:rsidP="00F41EA6">
            <w:pPr>
              <w:pStyle w:val="TableText"/>
            </w:pPr>
            <w:r>
              <w:t>Mo</w:t>
            </w:r>
            <w:r w:rsidRPr="00593F41">
              <w:t xml:space="preserve">dest transmission advantages and </w:t>
            </w:r>
            <w:r>
              <w:t xml:space="preserve">low </w:t>
            </w:r>
            <w:r w:rsidRPr="00593F41">
              <w:t>realised severity</w:t>
            </w:r>
          </w:p>
        </w:tc>
        <w:tc>
          <w:tcPr>
            <w:tcW w:w="2552" w:type="dxa"/>
          </w:tcPr>
          <w:p w14:paraId="629C16E4" w14:textId="77777777" w:rsidR="00136EB3" w:rsidRPr="004B342C" w:rsidRDefault="00136EB3" w:rsidP="00F41EA6">
            <w:pPr>
              <w:pStyle w:val="TableText"/>
            </w:pPr>
            <w:r>
              <w:t xml:space="preserve">Moderate level of realised severity or moderate transmission advantages </w:t>
            </w:r>
          </w:p>
        </w:tc>
        <w:tc>
          <w:tcPr>
            <w:tcW w:w="2268" w:type="dxa"/>
          </w:tcPr>
          <w:p w14:paraId="192702E5" w14:textId="77777777" w:rsidR="00136EB3" w:rsidRPr="004B342C" w:rsidRDefault="00136EB3" w:rsidP="00F41EA6">
            <w:pPr>
              <w:pStyle w:val="TableText"/>
            </w:pPr>
            <w:r>
              <w:t>Moderate transmission and realised severity or high transmission or realised severity</w:t>
            </w:r>
          </w:p>
        </w:tc>
      </w:tr>
      <w:tr w:rsidR="00136EB3" w:rsidRPr="004B342C" w14:paraId="6E54F3B4" w14:textId="77777777" w:rsidTr="00F41EA6">
        <w:tc>
          <w:tcPr>
            <w:tcW w:w="1696" w:type="dxa"/>
            <w:shd w:val="clear" w:color="auto" w:fill="D9D9D9" w:themeFill="background1" w:themeFillShade="D9"/>
          </w:tcPr>
          <w:p w14:paraId="01D621D0" w14:textId="77777777" w:rsidR="00136EB3" w:rsidRPr="00F41EA6" w:rsidRDefault="00136EB3" w:rsidP="00F41EA6">
            <w:pPr>
              <w:pStyle w:val="TableText"/>
              <w:rPr>
                <w:rFonts w:eastAsiaTheme="minorHAnsi"/>
                <w:b/>
                <w:bCs/>
              </w:rPr>
            </w:pPr>
            <w:r w:rsidRPr="00F41EA6">
              <w:rPr>
                <w:rFonts w:eastAsiaTheme="minorHAnsi"/>
                <w:b/>
                <w:bCs/>
              </w:rPr>
              <w:t>Public health measures</w:t>
            </w:r>
          </w:p>
        </w:tc>
        <w:tc>
          <w:tcPr>
            <w:tcW w:w="2132" w:type="dxa"/>
          </w:tcPr>
          <w:p w14:paraId="0EDBD18D" w14:textId="77777777" w:rsidR="00136EB3" w:rsidRPr="004B342C" w:rsidRDefault="00136EB3" w:rsidP="00F41EA6">
            <w:pPr>
              <w:pStyle w:val="TableText"/>
              <w:rPr>
                <w:rFonts w:eastAsiaTheme="minorHAnsi"/>
              </w:rPr>
            </w:pPr>
            <w:r w:rsidRPr="004B342C">
              <w:rPr>
                <w:rFonts w:eastAsiaTheme="minorHAnsi"/>
              </w:rPr>
              <w:t>Mostly guidance</w:t>
            </w:r>
          </w:p>
        </w:tc>
        <w:tc>
          <w:tcPr>
            <w:tcW w:w="2552" w:type="dxa"/>
          </w:tcPr>
          <w:p w14:paraId="2202CF6A" w14:textId="77777777" w:rsidR="00136EB3" w:rsidRPr="004B342C" w:rsidRDefault="00136EB3" w:rsidP="00F41EA6">
            <w:pPr>
              <w:pStyle w:val="TableText"/>
              <w:rPr>
                <w:rFonts w:eastAsiaTheme="minorHAnsi"/>
              </w:rPr>
            </w:pPr>
            <w:r w:rsidRPr="004B342C">
              <w:rPr>
                <w:rFonts w:eastAsiaTheme="minorHAnsi"/>
              </w:rPr>
              <w:t>Mandatory measures possible</w:t>
            </w:r>
          </w:p>
        </w:tc>
        <w:tc>
          <w:tcPr>
            <w:tcW w:w="2268" w:type="dxa"/>
          </w:tcPr>
          <w:p w14:paraId="60DBE109" w14:textId="77777777" w:rsidR="00136EB3" w:rsidRPr="004B342C" w:rsidRDefault="00136EB3" w:rsidP="00F41EA6">
            <w:pPr>
              <w:pStyle w:val="TableText"/>
              <w:rPr>
                <w:rFonts w:eastAsiaTheme="minorHAnsi"/>
              </w:rPr>
            </w:pPr>
            <w:r>
              <w:rPr>
                <w:rFonts w:eastAsiaTheme="minorHAnsi"/>
              </w:rPr>
              <w:t>M</w:t>
            </w:r>
            <w:r w:rsidRPr="004B342C">
              <w:rPr>
                <w:rFonts w:eastAsiaTheme="minorHAnsi"/>
              </w:rPr>
              <w:t>andatory measures</w:t>
            </w:r>
            <w:r>
              <w:rPr>
                <w:rFonts w:eastAsiaTheme="minorHAnsi"/>
              </w:rPr>
              <w:t xml:space="preserve"> likely</w:t>
            </w:r>
          </w:p>
        </w:tc>
      </w:tr>
      <w:tr w:rsidR="00136EB3" w:rsidRPr="004B342C" w14:paraId="4B1FFAD7" w14:textId="77777777" w:rsidTr="00F41EA6">
        <w:tc>
          <w:tcPr>
            <w:tcW w:w="1696" w:type="dxa"/>
            <w:shd w:val="clear" w:color="auto" w:fill="D9D9D9" w:themeFill="background1" w:themeFillShade="D9"/>
          </w:tcPr>
          <w:p w14:paraId="4C162DA3" w14:textId="77777777" w:rsidR="00136EB3" w:rsidRPr="00F41EA6" w:rsidRDefault="00136EB3" w:rsidP="00F41EA6">
            <w:pPr>
              <w:pStyle w:val="TableText"/>
              <w:rPr>
                <w:rFonts w:eastAsiaTheme="minorHAnsi"/>
                <w:b/>
                <w:bCs/>
              </w:rPr>
            </w:pPr>
            <w:r w:rsidRPr="00F41EA6">
              <w:rPr>
                <w:rFonts w:eastAsiaTheme="minorHAnsi"/>
                <w:b/>
                <w:bCs/>
              </w:rPr>
              <w:t>Border measures</w:t>
            </w:r>
          </w:p>
        </w:tc>
        <w:tc>
          <w:tcPr>
            <w:tcW w:w="2132" w:type="dxa"/>
          </w:tcPr>
          <w:p w14:paraId="09E199C3" w14:textId="77777777" w:rsidR="00136EB3" w:rsidRPr="004B342C" w:rsidRDefault="00136EB3" w:rsidP="00F41EA6">
            <w:pPr>
              <w:pStyle w:val="TableText"/>
              <w:rPr>
                <w:rFonts w:eastAsiaTheme="minorHAnsi"/>
              </w:rPr>
            </w:pPr>
            <w:r w:rsidRPr="004B342C">
              <w:rPr>
                <w:rFonts w:eastAsiaTheme="minorHAnsi"/>
              </w:rPr>
              <w:t>None</w:t>
            </w:r>
          </w:p>
        </w:tc>
        <w:tc>
          <w:tcPr>
            <w:tcW w:w="2552" w:type="dxa"/>
          </w:tcPr>
          <w:p w14:paraId="2ED4959F" w14:textId="77777777" w:rsidR="00136EB3" w:rsidRPr="004B342C" w:rsidRDefault="00136EB3" w:rsidP="00F41EA6">
            <w:pPr>
              <w:pStyle w:val="TableText"/>
              <w:rPr>
                <w:rFonts w:eastAsiaTheme="minorHAnsi"/>
              </w:rPr>
            </w:pPr>
            <w:r w:rsidRPr="004B342C">
              <w:rPr>
                <w:rFonts w:eastAsiaTheme="minorHAnsi"/>
              </w:rPr>
              <w:t xml:space="preserve">Limited </w:t>
            </w:r>
            <w:r>
              <w:rPr>
                <w:rFonts w:eastAsiaTheme="minorHAnsi"/>
              </w:rPr>
              <w:t xml:space="preserve">requirements </w:t>
            </w:r>
            <w:r w:rsidRPr="004B342C">
              <w:rPr>
                <w:rFonts w:eastAsiaTheme="minorHAnsi"/>
              </w:rPr>
              <w:t>possible</w:t>
            </w:r>
          </w:p>
        </w:tc>
        <w:tc>
          <w:tcPr>
            <w:tcW w:w="2268" w:type="dxa"/>
          </w:tcPr>
          <w:p w14:paraId="2C7CCF0D" w14:textId="77777777" w:rsidR="00136EB3" w:rsidRPr="004B342C" w:rsidRDefault="00136EB3" w:rsidP="00F41EA6">
            <w:pPr>
              <w:pStyle w:val="TableText"/>
              <w:rPr>
                <w:rFonts w:eastAsiaTheme="minorHAnsi"/>
              </w:rPr>
            </w:pPr>
            <w:r>
              <w:rPr>
                <w:rFonts w:eastAsiaTheme="minorHAnsi"/>
              </w:rPr>
              <w:t>Requirements</w:t>
            </w:r>
            <w:r w:rsidRPr="004B342C">
              <w:rPr>
                <w:rFonts w:eastAsiaTheme="minorHAnsi"/>
              </w:rPr>
              <w:t xml:space="preserve"> in place</w:t>
            </w:r>
          </w:p>
        </w:tc>
      </w:tr>
      <w:tr w:rsidR="00136EB3" w:rsidRPr="004B342C" w14:paraId="6545DA9D" w14:textId="77777777" w:rsidTr="00F41EA6">
        <w:tc>
          <w:tcPr>
            <w:tcW w:w="1696" w:type="dxa"/>
            <w:shd w:val="clear" w:color="auto" w:fill="D9D9D9" w:themeFill="background1" w:themeFillShade="D9"/>
          </w:tcPr>
          <w:p w14:paraId="24E6F122" w14:textId="77777777" w:rsidR="00136EB3" w:rsidRPr="00F41EA6" w:rsidRDefault="00136EB3" w:rsidP="00F41EA6">
            <w:pPr>
              <w:pStyle w:val="TableText"/>
              <w:rPr>
                <w:rFonts w:eastAsiaTheme="minorHAnsi"/>
                <w:b/>
                <w:bCs/>
              </w:rPr>
            </w:pPr>
            <w:r w:rsidRPr="00F41EA6">
              <w:rPr>
                <w:rFonts w:eastAsiaTheme="minorHAnsi"/>
                <w:b/>
                <w:bCs/>
              </w:rPr>
              <w:t>Supporting measures</w:t>
            </w:r>
          </w:p>
        </w:tc>
        <w:tc>
          <w:tcPr>
            <w:tcW w:w="2132" w:type="dxa"/>
          </w:tcPr>
          <w:p w14:paraId="4ABD75D3" w14:textId="77777777" w:rsidR="00136EB3" w:rsidRPr="004B342C" w:rsidRDefault="00136EB3" w:rsidP="00F41EA6">
            <w:pPr>
              <w:pStyle w:val="TableText"/>
              <w:rPr>
                <w:rFonts w:eastAsiaTheme="minorHAnsi"/>
              </w:rPr>
            </w:pPr>
            <w:r w:rsidRPr="004B342C">
              <w:rPr>
                <w:rFonts w:eastAsiaTheme="minorHAnsi"/>
              </w:rPr>
              <w:t>Low level of investment</w:t>
            </w:r>
          </w:p>
          <w:p w14:paraId="615DFCA3" w14:textId="77777777" w:rsidR="00136EB3" w:rsidRPr="004B342C" w:rsidRDefault="00136EB3" w:rsidP="00F41EA6">
            <w:pPr>
              <w:pStyle w:val="TableText"/>
              <w:rPr>
                <w:rFonts w:eastAsiaTheme="minorHAnsi"/>
              </w:rPr>
            </w:pPr>
            <w:r w:rsidRPr="004B342C">
              <w:rPr>
                <w:rFonts w:eastAsiaTheme="minorHAnsi"/>
              </w:rPr>
              <w:t>Narrow eligibility for support</w:t>
            </w:r>
          </w:p>
        </w:tc>
        <w:tc>
          <w:tcPr>
            <w:tcW w:w="2552" w:type="dxa"/>
          </w:tcPr>
          <w:p w14:paraId="6DB1E303" w14:textId="77777777" w:rsidR="00136EB3" w:rsidRPr="004B342C" w:rsidRDefault="00136EB3" w:rsidP="00F41EA6">
            <w:pPr>
              <w:pStyle w:val="TableText"/>
              <w:rPr>
                <w:rFonts w:eastAsiaTheme="minorHAnsi"/>
              </w:rPr>
            </w:pPr>
            <w:r w:rsidRPr="004B342C">
              <w:rPr>
                <w:rFonts w:eastAsiaTheme="minorHAnsi"/>
              </w:rPr>
              <w:t xml:space="preserve">Medium level of investment </w:t>
            </w:r>
          </w:p>
          <w:p w14:paraId="5C5ED636" w14:textId="77777777" w:rsidR="00136EB3" w:rsidRPr="004B342C" w:rsidRDefault="00136EB3" w:rsidP="00F41EA6">
            <w:pPr>
              <w:pStyle w:val="TableText"/>
              <w:rPr>
                <w:rFonts w:eastAsiaTheme="minorHAnsi"/>
              </w:rPr>
            </w:pPr>
            <w:r w:rsidRPr="004B342C">
              <w:rPr>
                <w:rFonts w:eastAsiaTheme="minorHAnsi"/>
              </w:rPr>
              <w:t>Moderate level of eligibility</w:t>
            </w:r>
          </w:p>
        </w:tc>
        <w:tc>
          <w:tcPr>
            <w:tcW w:w="2268" w:type="dxa"/>
          </w:tcPr>
          <w:p w14:paraId="3D4CB3A7" w14:textId="77777777" w:rsidR="00136EB3" w:rsidRPr="004B342C" w:rsidRDefault="00136EB3" w:rsidP="00F41EA6">
            <w:pPr>
              <w:pStyle w:val="TableText"/>
              <w:rPr>
                <w:rFonts w:eastAsiaTheme="minorHAnsi"/>
              </w:rPr>
            </w:pPr>
            <w:r w:rsidRPr="004B342C">
              <w:rPr>
                <w:rFonts w:eastAsiaTheme="minorHAnsi"/>
              </w:rPr>
              <w:t xml:space="preserve">High level of investment </w:t>
            </w:r>
          </w:p>
          <w:p w14:paraId="4294E5EF" w14:textId="77777777" w:rsidR="00136EB3" w:rsidRPr="004B342C" w:rsidRDefault="00136EB3" w:rsidP="00F41EA6">
            <w:pPr>
              <w:pStyle w:val="TableText"/>
              <w:rPr>
                <w:rFonts w:eastAsiaTheme="minorHAnsi"/>
              </w:rPr>
            </w:pPr>
            <w:r w:rsidRPr="004B342C">
              <w:rPr>
                <w:rFonts w:eastAsiaTheme="minorHAnsi"/>
              </w:rPr>
              <w:t>Broad eligibility</w:t>
            </w:r>
          </w:p>
        </w:tc>
      </w:tr>
      <w:tr w:rsidR="00136EB3" w:rsidRPr="004B342C" w14:paraId="2F59A90A" w14:textId="77777777" w:rsidTr="00F41EA6">
        <w:tc>
          <w:tcPr>
            <w:tcW w:w="1696" w:type="dxa"/>
            <w:shd w:val="clear" w:color="auto" w:fill="D9D9D9" w:themeFill="background1" w:themeFillShade="D9"/>
          </w:tcPr>
          <w:p w14:paraId="43E09C3E" w14:textId="77777777" w:rsidR="00136EB3" w:rsidRPr="00F41EA6" w:rsidRDefault="00136EB3" w:rsidP="00F41EA6">
            <w:pPr>
              <w:pStyle w:val="TableText"/>
              <w:rPr>
                <w:rFonts w:eastAsiaTheme="minorHAnsi"/>
                <w:b/>
                <w:bCs/>
              </w:rPr>
            </w:pPr>
            <w:r w:rsidRPr="00F41EA6">
              <w:rPr>
                <w:rFonts w:eastAsiaTheme="minorHAnsi"/>
                <w:b/>
                <w:bCs/>
              </w:rPr>
              <w:t>Enablers</w:t>
            </w:r>
          </w:p>
        </w:tc>
        <w:tc>
          <w:tcPr>
            <w:tcW w:w="2132" w:type="dxa"/>
          </w:tcPr>
          <w:p w14:paraId="1AD6BCE2" w14:textId="77777777" w:rsidR="00136EB3" w:rsidRDefault="00136EB3" w:rsidP="00F41EA6">
            <w:pPr>
              <w:pStyle w:val="TableText"/>
              <w:rPr>
                <w:rFonts w:eastAsiaTheme="minorHAnsi"/>
              </w:rPr>
            </w:pPr>
            <w:r>
              <w:rPr>
                <w:rFonts w:eastAsiaTheme="minorHAnsi"/>
              </w:rPr>
              <w:t>Minimum dedicated capacity</w:t>
            </w:r>
          </w:p>
          <w:p w14:paraId="3B18F315" w14:textId="77777777" w:rsidR="00136EB3" w:rsidRPr="004B342C" w:rsidRDefault="00136EB3" w:rsidP="00F41EA6">
            <w:pPr>
              <w:pStyle w:val="TableText"/>
              <w:rPr>
                <w:rFonts w:eastAsiaTheme="minorHAnsi"/>
              </w:rPr>
            </w:pPr>
            <w:r>
              <w:rPr>
                <w:rFonts w:eastAsiaTheme="minorHAnsi"/>
              </w:rPr>
              <w:t>Surge c</w:t>
            </w:r>
            <w:r w:rsidRPr="004B342C">
              <w:rPr>
                <w:rFonts w:eastAsiaTheme="minorHAnsi"/>
              </w:rPr>
              <w:t>apacity retained for preparedness</w:t>
            </w:r>
          </w:p>
        </w:tc>
        <w:tc>
          <w:tcPr>
            <w:tcW w:w="2552" w:type="dxa"/>
          </w:tcPr>
          <w:p w14:paraId="47324352" w14:textId="77777777" w:rsidR="00136EB3" w:rsidRPr="004B342C" w:rsidRDefault="00136EB3" w:rsidP="00F41EA6">
            <w:pPr>
              <w:pStyle w:val="TableText"/>
              <w:rPr>
                <w:rFonts w:eastAsiaTheme="minorHAnsi"/>
              </w:rPr>
            </w:pPr>
            <w:r w:rsidRPr="004B342C">
              <w:rPr>
                <w:rFonts w:eastAsiaTheme="minorHAnsi"/>
              </w:rPr>
              <w:t>Activate some capacity</w:t>
            </w:r>
          </w:p>
          <w:p w14:paraId="6E4D80B2" w14:textId="77777777" w:rsidR="00136EB3" w:rsidRPr="004B342C" w:rsidRDefault="00136EB3" w:rsidP="00F41EA6">
            <w:pPr>
              <w:pStyle w:val="TableText"/>
              <w:rPr>
                <w:rFonts w:eastAsiaTheme="minorHAnsi"/>
              </w:rPr>
            </w:pPr>
            <w:r w:rsidRPr="004B342C">
              <w:rPr>
                <w:rFonts w:eastAsiaTheme="minorHAnsi"/>
              </w:rPr>
              <w:t>Services scale-up medium</w:t>
            </w:r>
          </w:p>
        </w:tc>
        <w:tc>
          <w:tcPr>
            <w:tcW w:w="2268" w:type="dxa"/>
          </w:tcPr>
          <w:p w14:paraId="2E4F19B0" w14:textId="77777777" w:rsidR="00136EB3" w:rsidRPr="004B342C" w:rsidRDefault="00136EB3" w:rsidP="00F41EA6">
            <w:pPr>
              <w:pStyle w:val="TableText"/>
              <w:rPr>
                <w:rFonts w:eastAsiaTheme="minorHAnsi"/>
              </w:rPr>
            </w:pPr>
            <w:r w:rsidRPr="004B342C">
              <w:rPr>
                <w:rFonts w:eastAsiaTheme="minorHAnsi"/>
              </w:rPr>
              <w:t>Activate most capacity</w:t>
            </w:r>
          </w:p>
          <w:p w14:paraId="2B993381" w14:textId="77777777" w:rsidR="00136EB3" w:rsidRPr="004B342C" w:rsidRDefault="00136EB3" w:rsidP="00F41EA6">
            <w:pPr>
              <w:pStyle w:val="TableText"/>
              <w:rPr>
                <w:rFonts w:eastAsiaTheme="minorHAnsi"/>
              </w:rPr>
            </w:pPr>
            <w:r w:rsidRPr="004B342C">
              <w:rPr>
                <w:rFonts w:eastAsiaTheme="minorHAnsi"/>
              </w:rPr>
              <w:t>Services scale-up high</w:t>
            </w:r>
          </w:p>
        </w:tc>
      </w:tr>
      <w:tr w:rsidR="00136EB3" w:rsidRPr="004B342C" w14:paraId="7DAF3174" w14:textId="77777777" w:rsidTr="00F41EA6">
        <w:tc>
          <w:tcPr>
            <w:tcW w:w="1696" w:type="dxa"/>
            <w:shd w:val="clear" w:color="auto" w:fill="D9D9D9" w:themeFill="background1" w:themeFillShade="D9"/>
          </w:tcPr>
          <w:p w14:paraId="1DB6C1EC" w14:textId="77777777" w:rsidR="00136EB3" w:rsidRPr="00F41EA6" w:rsidRDefault="00136EB3" w:rsidP="00F41EA6">
            <w:pPr>
              <w:pStyle w:val="TableText"/>
              <w:rPr>
                <w:rFonts w:eastAsiaTheme="minorHAnsi"/>
                <w:b/>
                <w:bCs/>
              </w:rPr>
            </w:pPr>
            <w:r w:rsidRPr="00F41EA6">
              <w:rPr>
                <w:rFonts w:eastAsiaTheme="minorHAnsi"/>
                <w:b/>
                <w:bCs/>
              </w:rPr>
              <w:t>Emergency legal powers</w:t>
            </w:r>
          </w:p>
        </w:tc>
        <w:tc>
          <w:tcPr>
            <w:tcW w:w="2132" w:type="dxa"/>
          </w:tcPr>
          <w:p w14:paraId="073A33AF" w14:textId="77777777" w:rsidR="00136EB3" w:rsidRPr="004B342C" w:rsidRDefault="00136EB3" w:rsidP="00F41EA6">
            <w:pPr>
              <w:pStyle w:val="TableText"/>
              <w:rPr>
                <w:rFonts w:eastAsiaTheme="minorHAnsi"/>
              </w:rPr>
            </w:pPr>
            <w:r w:rsidRPr="004B342C">
              <w:rPr>
                <w:rFonts w:eastAsiaTheme="minorHAnsi"/>
              </w:rPr>
              <w:t>Generally not needed</w:t>
            </w:r>
          </w:p>
        </w:tc>
        <w:tc>
          <w:tcPr>
            <w:tcW w:w="2552" w:type="dxa"/>
          </w:tcPr>
          <w:p w14:paraId="5EDD75D9" w14:textId="77777777" w:rsidR="00136EB3" w:rsidRPr="004B342C" w:rsidRDefault="00136EB3" w:rsidP="00F41EA6">
            <w:pPr>
              <w:pStyle w:val="TableText"/>
              <w:rPr>
                <w:rFonts w:eastAsiaTheme="minorHAnsi"/>
              </w:rPr>
            </w:pPr>
            <w:r>
              <w:rPr>
                <w:rFonts w:eastAsiaTheme="minorHAnsi"/>
              </w:rPr>
              <w:t>May be needed</w:t>
            </w:r>
          </w:p>
        </w:tc>
        <w:tc>
          <w:tcPr>
            <w:tcW w:w="2268" w:type="dxa"/>
          </w:tcPr>
          <w:p w14:paraId="70FEE54A" w14:textId="77777777" w:rsidR="00136EB3" w:rsidRPr="004B342C" w:rsidRDefault="00136EB3" w:rsidP="00F41EA6">
            <w:pPr>
              <w:pStyle w:val="TableText"/>
              <w:rPr>
                <w:rFonts w:eastAsiaTheme="minorHAnsi"/>
              </w:rPr>
            </w:pPr>
            <w:r>
              <w:rPr>
                <w:rFonts w:eastAsiaTheme="minorHAnsi"/>
              </w:rPr>
              <w:t>Likely needed</w:t>
            </w:r>
          </w:p>
        </w:tc>
      </w:tr>
      <w:tr w:rsidR="00136EB3" w:rsidRPr="004B342C" w14:paraId="27D01333" w14:textId="77777777" w:rsidTr="00F41EA6">
        <w:tc>
          <w:tcPr>
            <w:tcW w:w="1696" w:type="dxa"/>
            <w:shd w:val="clear" w:color="auto" w:fill="D9D9D9" w:themeFill="background1" w:themeFillShade="D9"/>
          </w:tcPr>
          <w:p w14:paraId="45092CCC" w14:textId="77777777" w:rsidR="00136EB3" w:rsidRPr="00F41EA6" w:rsidRDefault="00136EB3" w:rsidP="00F41EA6">
            <w:pPr>
              <w:pStyle w:val="TableText"/>
              <w:rPr>
                <w:rFonts w:eastAsiaTheme="minorHAnsi"/>
                <w:b/>
                <w:bCs/>
              </w:rPr>
            </w:pPr>
            <w:r w:rsidRPr="00F41EA6">
              <w:rPr>
                <w:rFonts w:eastAsiaTheme="minorHAnsi"/>
                <w:b/>
                <w:bCs/>
              </w:rPr>
              <w:t>Decision makers</w:t>
            </w:r>
          </w:p>
        </w:tc>
        <w:tc>
          <w:tcPr>
            <w:tcW w:w="2132" w:type="dxa"/>
          </w:tcPr>
          <w:p w14:paraId="0C08591E" w14:textId="77777777" w:rsidR="00136EB3" w:rsidRPr="004B342C" w:rsidRDefault="00136EB3" w:rsidP="00F41EA6">
            <w:pPr>
              <w:pStyle w:val="TableText"/>
              <w:rPr>
                <w:rFonts w:eastAsiaTheme="minorHAnsi"/>
              </w:rPr>
            </w:pPr>
            <w:r w:rsidRPr="004B342C">
              <w:rPr>
                <w:rFonts w:eastAsiaTheme="minorHAnsi"/>
              </w:rPr>
              <w:t>Government agencies</w:t>
            </w:r>
          </w:p>
        </w:tc>
        <w:tc>
          <w:tcPr>
            <w:tcW w:w="2552" w:type="dxa"/>
          </w:tcPr>
          <w:p w14:paraId="374F808E" w14:textId="77777777" w:rsidR="00136EB3" w:rsidRPr="004B342C" w:rsidRDefault="00136EB3" w:rsidP="00F41EA6">
            <w:pPr>
              <w:pStyle w:val="TableText"/>
              <w:rPr>
                <w:rFonts w:eastAsiaTheme="minorHAnsi"/>
              </w:rPr>
            </w:pPr>
            <w:r w:rsidRPr="004B342C">
              <w:rPr>
                <w:rFonts w:eastAsiaTheme="minorHAnsi"/>
              </w:rPr>
              <w:t>Generally</w:t>
            </w:r>
            <w:r w:rsidRPr="004B342C">
              <w:t>,</w:t>
            </w:r>
            <w:r w:rsidRPr="004B342C">
              <w:rPr>
                <w:rFonts w:eastAsiaTheme="minorHAnsi"/>
              </w:rPr>
              <w:t xml:space="preserve"> Ministers</w:t>
            </w:r>
          </w:p>
        </w:tc>
        <w:tc>
          <w:tcPr>
            <w:tcW w:w="2268" w:type="dxa"/>
          </w:tcPr>
          <w:p w14:paraId="0003AB52" w14:textId="77777777" w:rsidR="00136EB3" w:rsidRPr="004B342C" w:rsidRDefault="00136EB3" w:rsidP="00F41EA6">
            <w:pPr>
              <w:pStyle w:val="TableText"/>
              <w:rPr>
                <w:rFonts w:eastAsiaTheme="minorHAnsi"/>
              </w:rPr>
            </w:pPr>
            <w:r w:rsidRPr="004B342C">
              <w:rPr>
                <w:rFonts w:eastAsiaTheme="minorHAnsi"/>
              </w:rPr>
              <w:t>Cabinet</w:t>
            </w:r>
          </w:p>
        </w:tc>
      </w:tr>
    </w:tbl>
    <w:p w14:paraId="4DF9E8D4" w14:textId="77777777" w:rsidR="00F41EA6" w:rsidRDefault="00F41EA6" w:rsidP="00136EB3">
      <w:pPr>
        <w:pStyle w:val="Heading1"/>
        <w:sectPr w:rsidR="00F41EA6" w:rsidSect="00571968">
          <w:pgSz w:w="11907" w:h="16834" w:code="9"/>
          <w:pgMar w:top="1418" w:right="1701" w:bottom="1134" w:left="1843" w:header="284" w:footer="425" w:gutter="284"/>
          <w:cols w:space="720"/>
        </w:sectPr>
      </w:pPr>
      <w:bookmarkStart w:id="57" w:name="_Toc127912556"/>
      <w:bookmarkStart w:id="58" w:name="_Toc130374284"/>
    </w:p>
    <w:p w14:paraId="747D5E06" w14:textId="1CDC6420" w:rsidR="00136EB3" w:rsidRPr="00B66BC7" w:rsidRDefault="00136EB3" w:rsidP="00C24C2D">
      <w:pPr>
        <w:pStyle w:val="Heading1"/>
        <w:spacing w:before="0"/>
      </w:pPr>
      <w:bookmarkStart w:id="59" w:name="_Toc144448521"/>
      <w:r w:rsidRPr="00B66BC7">
        <w:lastRenderedPageBreak/>
        <w:t>Implementation</w:t>
      </w:r>
      <w:bookmarkEnd w:id="57"/>
      <w:bookmarkEnd w:id="58"/>
      <w:bookmarkEnd w:id="59"/>
    </w:p>
    <w:p w14:paraId="088CF352" w14:textId="77777777" w:rsidR="00136EB3" w:rsidRDefault="00136EB3" w:rsidP="00136EB3">
      <w:pPr>
        <w:rPr>
          <w:rStyle w:val="eop"/>
          <w:rFonts w:cs="Segoe UI"/>
          <w:color w:val="000000"/>
          <w:shd w:val="clear" w:color="auto" w:fill="FFFFFF"/>
        </w:rPr>
      </w:pPr>
      <w:r>
        <w:rPr>
          <w:rStyle w:val="normaltextrun"/>
          <w:rFonts w:cs="Segoe UI"/>
          <w:color w:val="000000"/>
          <w:shd w:val="clear" w:color="auto" w:fill="FFFFFF"/>
        </w:rPr>
        <w:t>This strategic framework reflects an all-of-government approach. This means it includes and provides strategic direction for all relevant government agencies, Ministers and Crown entities. The framework also consolidates other COVID-19-related documentation to provide a single, coordinated approach to managing COVID-19.</w:t>
      </w:r>
      <w:r>
        <w:rPr>
          <w:rStyle w:val="eop"/>
          <w:rFonts w:cs="Segoe UI"/>
          <w:color w:val="000000"/>
          <w:shd w:val="clear" w:color="auto" w:fill="FFFFFF"/>
        </w:rPr>
        <w:t> </w:t>
      </w:r>
    </w:p>
    <w:p w14:paraId="65C3DD77" w14:textId="77777777" w:rsidR="00F41EA6" w:rsidRDefault="00F41EA6" w:rsidP="00136EB3">
      <w:pPr>
        <w:pStyle w:val="Heading1"/>
        <w:sectPr w:rsidR="00F41EA6" w:rsidSect="00571968">
          <w:pgSz w:w="11907" w:h="16834" w:code="9"/>
          <w:pgMar w:top="1418" w:right="1701" w:bottom="1134" w:left="1843" w:header="284" w:footer="425" w:gutter="284"/>
          <w:cols w:space="720"/>
        </w:sectPr>
      </w:pPr>
      <w:bookmarkStart w:id="60" w:name="_Toc127912558"/>
      <w:bookmarkStart w:id="61" w:name="_Toc130374286"/>
    </w:p>
    <w:p w14:paraId="225F58A6" w14:textId="4DA2487E" w:rsidR="00136EB3" w:rsidRDefault="00136EB3" w:rsidP="00F41EA6">
      <w:pPr>
        <w:pStyle w:val="Heading1"/>
        <w:spacing w:before="0"/>
      </w:pPr>
      <w:bookmarkStart w:id="62" w:name="_Toc144448522"/>
      <w:r w:rsidRPr="00B66BC7">
        <w:lastRenderedPageBreak/>
        <w:t>Appendix: Description of measures to manage COVID-19</w:t>
      </w:r>
      <w:bookmarkEnd w:id="60"/>
      <w:bookmarkEnd w:id="61"/>
      <w:bookmarkEnd w:id="62"/>
      <w:r w:rsidRPr="00B66BC7">
        <w:t xml:space="preserve"> </w:t>
      </w:r>
    </w:p>
    <w:p w14:paraId="3ED89333" w14:textId="26141A50" w:rsidR="00136EB3" w:rsidRDefault="00136EB3" w:rsidP="00136EB3">
      <w:pPr>
        <w:rPr>
          <w:rFonts w:cs="Segoe UI"/>
        </w:rPr>
      </w:pPr>
      <w:r>
        <w:rPr>
          <w:rFonts w:cs="Segoe UI"/>
        </w:rPr>
        <w:t xml:space="preserve">This table sets out a range of measure to manage the direct and indirect impacts of COVID-19. Each measure can be calibrated up or down depending on the level of risk and the outcomes we are seeking to achieve. </w:t>
      </w:r>
    </w:p>
    <w:p w14:paraId="6C42411B" w14:textId="77777777" w:rsidR="00F41EA6" w:rsidRDefault="00F41EA6" w:rsidP="00136EB3">
      <w:pPr>
        <w:rPr>
          <w:rFonts w:cs="Segoe U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6236"/>
      </w:tblGrid>
      <w:tr w:rsidR="00136EB3" w:rsidRPr="00F41EA6" w14:paraId="647FE814" w14:textId="77777777" w:rsidTr="00F41EA6">
        <w:trPr>
          <w:tblHeader/>
        </w:trPr>
        <w:tc>
          <w:tcPr>
            <w:tcW w:w="8079" w:type="dxa"/>
            <w:gridSpan w:val="2"/>
            <w:tcBorders>
              <w:top w:val="nil"/>
              <w:bottom w:val="nil"/>
            </w:tcBorders>
            <w:shd w:val="clear" w:color="auto" w:fill="D9D9D9" w:themeFill="background1" w:themeFillShade="D9"/>
          </w:tcPr>
          <w:p w14:paraId="1593DC87" w14:textId="77777777" w:rsidR="00136EB3" w:rsidRPr="00F41EA6" w:rsidRDefault="00136EB3" w:rsidP="00F41EA6">
            <w:pPr>
              <w:pStyle w:val="TableText"/>
              <w:rPr>
                <w:b/>
                <w:bCs/>
              </w:rPr>
            </w:pPr>
            <w:r w:rsidRPr="00F41EA6">
              <w:rPr>
                <w:b/>
                <w:bCs/>
              </w:rPr>
              <w:t>Community public health measures</w:t>
            </w:r>
          </w:p>
        </w:tc>
      </w:tr>
      <w:tr w:rsidR="00136EB3" w:rsidRPr="00C47952" w14:paraId="58797E11" w14:textId="77777777" w:rsidTr="00F41EA6">
        <w:tc>
          <w:tcPr>
            <w:tcW w:w="1843" w:type="dxa"/>
            <w:tcBorders>
              <w:top w:val="nil"/>
            </w:tcBorders>
          </w:tcPr>
          <w:p w14:paraId="19F73A95" w14:textId="77777777" w:rsidR="00136EB3" w:rsidRPr="00F41EA6" w:rsidRDefault="00136EB3" w:rsidP="00F41EA6">
            <w:pPr>
              <w:pStyle w:val="TableText"/>
              <w:rPr>
                <w:b/>
                <w:bCs/>
              </w:rPr>
            </w:pPr>
            <w:r w:rsidRPr="00F41EA6">
              <w:rPr>
                <w:b/>
                <w:bCs/>
              </w:rPr>
              <w:t>Vaccination</w:t>
            </w:r>
          </w:p>
        </w:tc>
        <w:tc>
          <w:tcPr>
            <w:tcW w:w="6236" w:type="dxa"/>
            <w:tcBorders>
              <w:top w:val="nil"/>
            </w:tcBorders>
          </w:tcPr>
          <w:p w14:paraId="3C8F2E83" w14:textId="77777777" w:rsidR="00136EB3" w:rsidRDefault="00136EB3" w:rsidP="00F41EA6">
            <w:pPr>
              <w:pStyle w:val="TableText"/>
            </w:pPr>
            <w:r w:rsidRPr="00C47952">
              <w:t>Vaccines to prepare the body’s immune system to protect against COVID-19</w:t>
            </w:r>
          </w:p>
          <w:p w14:paraId="5BF81CE6" w14:textId="77777777" w:rsidR="00136EB3" w:rsidRPr="00C47952" w:rsidRDefault="00136EB3" w:rsidP="00F41EA6">
            <w:pPr>
              <w:pStyle w:val="TableText"/>
            </w:pPr>
            <w:r>
              <w:t>Scope: Primary vaccination plus additional doses targeted to key populations to maintain protection, particularly against severe illness</w:t>
            </w:r>
          </w:p>
        </w:tc>
      </w:tr>
      <w:tr w:rsidR="00136EB3" w:rsidRPr="00C47952" w14:paraId="4FBEE37A" w14:textId="77777777" w:rsidTr="00F41EA6">
        <w:tc>
          <w:tcPr>
            <w:tcW w:w="1843" w:type="dxa"/>
          </w:tcPr>
          <w:p w14:paraId="47E63C33" w14:textId="77777777" w:rsidR="00136EB3" w:rsidRPr="00F41EA6" w:rsidRDefault="00136EB3" w:rsidP="00F41EA6">
            <w:pPr>
              <w:pStyle w:val="TableText"/>
              <w:rPr>
                <w:b/>
                <w:bCs/>
              </w:rPr>
            </w:pPr>
            <w:r w:rsidRPr="00F41EA6">
              <w:rPr>
                <w:b/>
                <w:bCs/>
              </w:rPr>
              <w:t>Therapeutics (including antivirals)</w:t>
            </w:r>
          </w:p>
        </w:tc>
        <w:tc>
          <w:tcPr>
            <w:tcW w:w="6236" w:type="dxa"/>
          </w:tcPr>
          <w:p w14:paraId="66A04B30" w14:textId="77777777" w:rsidR="00136EB3" w:rsidRPr="00CF231D" w:rsidRDefault="00136EB3" w:rsidP="00F41EA6">
            <w:pPr>
              <w:pStyle w:val="TableText"/>
            </w:pPr>
            <w:r w:rsidRPr="00CF231D">
              <w:t>Medicines and other treatments (such as oxygen support) to alleviate</w:t>
            </w:r>
            <w:r>
              <w:t xml:space="preserve"> or</w:t>
            </w:r>
            <w:r w:rsidRPr="00CF231D">
              <w:t xml:space="preserve"> prevent serious illness or treat COVID-19 disease or the symptoms associated with it</w:t>
            </w:r>
          </w:p>
          <w:p w14:paraId="2E716866" w14:textId="77777777" w:rsidR="00136EB3" w:rsidRPr="00CF231D" w:rsidRDefault="00136EB3" w:rsidP="00F41EA6">
            <w:pPr>
              <w:pStyle w:val="TableText"/>
            </w:pPr>
            <w:r w:rsidRPr="00CF231D">
              <w:t>Scope: Prescription, pharmacy or general sale medicines and other treatments</w:t>
            </w:r>
          </w:p>
        </w:tc>
      </w:tr>
      <w:tr w:rsidR="00136EB3" w:rsidRPr="00C47952" w14:paraId="6E8B2335" w14:textId="77777777" w:rsidTr="00F41EA6">
        <w:tc>
          <w:tcPr>
            <w:tcW w:w="1843" w:type="dxa"/>
          </w:tcPr>
          <w:p w14:paraId="692991AA" w14:textId="77777777" w:rsidR="00136EB3" w:rsidRPr="00F41EA6" w:rsidRDefault="00136EB3" w:rsidP="00F41EA6">
            <w:pPr>
              <w:pStyle w:val="TableText"/>
              <w:rPr>
                <w:b/>
                <w:bCs/>
              </w:rPr>
            </w:pPr>
            <w:r w:rsidRPr="00F41EA6">
              <w:rPr>
                <w:b/>
                <w:bCs/>
              </w:rPr>
              <w:t>Testing</w:t>
            </w:r>
          </w:p>
        </w:tc>
        <w:tc>
          <w:tcPr>
            <w:tcW w:w="6236" w:type="dxa"/>
          </w:tcPr>
          <w:p w14:paraId="7AC6187F" w14:textId="77777777" w:rsidR="00136EB3" w:rsidRPr="00C47952" w:rsidRDefault="00136EB3" w:rsidP="00F41EA6">
            <w:pPr>
              <w:pStyle w:val="TableText"/>
            </w:pPr>
            <w:r w:rsidRPr="00C47952">
              <w:t>Diagnostic</w:t>
            </w:r>
            <w:r>
              <w:t>:</w:t>
            </w:r>
            <w:r w:rsidRPr="00C47952">
              <w:t xml:space="preserve"> </w:t>
            </w:r>
            <w:r>
              <w:t>T</w:t>
            </w:r>
            <w:r w:rsidRPr="00C47952">
              <w:t>esting of symptomatic people – to support clinical and public health decisions by confirming or refuting a diagnosis</w:t>
            </w:r>
            <w:r w:rsidRPr="00B93697">
              <w:t xml:space="preserve"> and enabling </w:t>
            </w:r>
            <w:r w:rsidRPr="00C47952">
              <w:t>a clinical and/or public health pathway for an individual or population group</w:t>
            </w:r>
          </w:p>
          <w:p w14:paraId="1CA6B600" w14:textId="77777777" w:rsidR="00136EB3" w:rsidRPr="00C47952" w:rsidRDefault="00136EB3" w:rsidP="00F41EA6">
            <w:pPr>
              <w:pStyle w:val="TableText"/>
            </w:pPr>
            <w:r w:rsidRPr="00C47952">
              <w:t>Screening</w:t>
            </w:r>
            <w:r>
              <w:t>:</w:t>
            </w:r>
            <w:r w:rsidRPr="00C47952">
              <w:t xml:space="preserve"> </w:t>
            </w:r>
            <w:r>
              <w:t>T</w:t>
            </w:r>
            <w:r w:rsidRPr="00C47952">
              <w:t xml:space="preserve">esting of asymptomatic people – to identify cases early to inform the need to isolate, support early treatment and care (particularly for </w:t>
            </w:r>
            <w:r>
              <w:t>those at greater risk</w:t>
            </w:r>
            <w:r w:rsidRPr="00C47952">
              <w:t xml:space="preserve">) and reduce onward transmission </w:t>
            </w:r>
          </w:p>
          <w:p w14:paraId="42A0ED33" w14:textId="77777777" w:rsidR="00136EB3" w:rsidRDefault="00136EB3" w:rsidP="00F41EA6">
            <w:pPr>
              <w:pStyle w:val="TableText"/>
            </w:pPr>
            <w:r w:rsidRPr="00C47952">
              <w:t>Surveillance</w:t>
            </w:r>
            <w:r>
              <w:t>:</w:t>
            </w:r>
            <w:r w:rsidRPr="00C47952">
              <w:t xml:space="preserve"> </w:t>
            </w:r>
            <w:r>
              <w:t>T</w:t>
            </w:r>
            <w:r w:rsidRPr="77AA2CE5">
              <w:t xml:space="preserve">esting at </w:t>
            </w:r>
            <w:r>
              <w:t xml:space="preserve">the </w:t>
            </w:r>
            <w:r w:rsidRPr="00C47952">
              <w:t xml:space="preserve">population or subpopulation level to monitor the frequency and distribution of infections (including identification of new variants) and provide intelligence to improve understanding of the epidemiology and </w:t>
            </w:r>
            <w:r w:rsidRPr="77AA2CE5">
              <w:t>response efficacy</w:t>
            </w:r>
          </w:p>
          <w:p w14:paraId="32B89725" w14:textId="77777777" w:rsidR="00136EB3" w:rsidRPr="00EE5FD7" w:rsidRDefault="00136EB3" w:rsidP="00F41EA6">
            <w:pPr>
              <w:pStyle w:val="TableText"/>
            </w:pPr>
            <w:r>
              <w:t>Scope: Workplace, community, health facility or at-home testing</w:t>
            </w:r>
          </w:p>
        </w:tc>
      </w:tr>
      <w:tr w:rsidR="00136EB3" w:rsidRPr="00C47952" w14:paraId="24AA09F6" w14:textId="77777777" w:rsidTr="00F41EA6">
        <w:tc>
          <w:tcPr>
            <w:tcW w:w="1843" w:type="dxa"/>
          </w:tcPr>
          <w:p w14:paraId="6AD28E01" w14:textId="77777777" w:rsidR="00136EB3" w:rsidRPr="00F41EA6" w:rsidRDefault="00136EB3" w:rsidP="00F41EA6">
            <w:pPr>
              <w:pStyle w:val="TableText"/>
              <w:rPr>
                <w:b/>
                <w:bCs/>
              </w:rPr>
            </w:pPr>
            <w:r w:rsidRPr="00F41EA6">
              <w:rPr>
                <w:b/>
                <w:bCs/>
              </w:rPr>
              <w:t xml:space="preserve">Isolation </w:t>
            </w:r>
          </w:p>
        </w:tc>
        <w:tc>
          <w:tcPr>
            <w:tcW w:w="6236" w:type="dxa"/>
          </w:tcPr>
          <w:p w14:paraId="2A9EAFFB" w14:textId="77777777" w:rsidR="00136EB3" w:rsidRPr="00C47952" w:rsidRDefault="00136EB3" w:rsidP="00F41EA6">
            <w:pPr>
              <w:pStyle w:val="TableText"/>
            </w:pPr>
            <w:r w:rsidRPr="00C47952">
              <w:t>Separation of people with confirmed COVID-19 infection</w:t>
            </w:r>
          </w:p>
          <w:p w14:paraId="24D1EE27" w14:textId="77777777" w:rsidR="00136EB3" w:rsidRPr="00C47952" w:rsidRDefault="00136EB3" w:rsidP="00F41EA6">
            <w:pPr>
              <w:pStyle w:val="TableText"/>
            </w:pPr>
            <w:r w:rsidRPr="00C47952">
              <w:t xml:space="preserve">Scope: </w:t>
            </w:r>
            <w:r>
              <w:t>H</w:t>
            </w:r>
            <w:r w:rsidRPr="00C47952">
              <w:t>ome or facility based</w:t>
            </w:r>
          </w:p>
        </w:tc>
      </w:tr>
      <w:tr w:rsidR="00136EB3" w:rsidRPr="00C47952" w14:paraId="54A66B5D" w14:textId="77777777" w:rsidTr="00F41EA6">
        <w:tc>
          <w:tcPr>
            <w:tcW w:w="1843" w:type="dxa"/>
          </w:tcPr>
          <w:p w14:paraId="2A4CFA42" w14:textId="77777777" w:rsidR="00136EB3" w:rsidRPr="00F41EA6" w:rsidRDefault="00136EB3" w:rsidP="00F41EA6">
            <w:pPr>
              <w:pStyle w:val="TableText"/>
              <w:rPr>
                <w:b/>
                <w:bCs/>
              </w:rPr>
            </w:pPr>
            <w:r w:rsidRPr="00F41EA6">
              <w:rPr>
                <w:b/>
                <w:bCs/>
              </w:rPr>
              <w:t>Quarantine</w:t>
            </w:r>
          </w:p>
        </w:tc>
        <w:tc>
          <w:tcPr>
            <w:tcW w:w="6236" w:type="dxa"/>
          </w:tcPr>
          <w:p w14:paraId="66299249" w14:textId="77777777" w:rsidR="00136EB3" w:rsidRPr="00C47952" w:rsidRDefault="00136EB3" w:rsidP="00F41EA6">
            <w:pPr>
              <w:pStyle w:val="TableText"/>
            </w:pPr>
            <w:r>
              <w:t>S</w:t>
            </w:r>
            <w:r w:rsidRPr="00C47952">
              <w:t xml:space="preserve">eparation of people who are not confirmed cases but who </w:t>
            </w:r>
            <w:r>
              <w:t xml:space="preserve">may </w:t>
            </w:r>
            <w:r w:rsidRPr="00C47952">
              <w:t>have been exposed to a case</w:t>
            </w:r>
            <w:r>
              <w:t xml:space="preserve"> and are potentially infectious</w:t>
            </w:r>
          </w:p>
          <w:p w14:paraId="63DDF254" w14:textId="77777777" w:rsidR="00136EB3" w:rsidRPr="00C47952" w:rsidRDefault="00136EB3" w:rsidP="00F41EA6">
            <w:pPr>
              <w:pStyle w:val="TableText"/>
            </w:pPr>
            <w:r w:rsidRPr="00C47952">
              <w:t xml:space="preserve">Scope: </w:t>
            </w:r>
            <w:r>
              <w:t>H</w:t>
            </w:r>
            <w:r w:rsidRPr="00C47952">
              <w:t>ome or facility based</w:t>
            </w:r>
          </w:p>
        </w:tc>
      </w:tr>
      <w:tr w:rsidR="00136EB3" w:rsidRPr="00C47952" w14:paraId="0BFDA8C2" w14:textId="77777777" w:rsidTr="00F41EA6">
        <w:tc>
          <w:tcPr>
            <w:tcW w:w="1843" w:type="dxa"/>
          </w:tcPr>
          <w:p w14:paraId="0F71A960" w14:textId="77777777" w:rsidR="00136EB3" w:rsidRPr="00F41EA6" w:rsidRDefault="00136EB3" w:rsidP="00F41EA6">
            <w:pPr>
              <w:pStyle w:val="TableText"/>
              <w:rPr>
                <w:b/>
                <w:bCs/>
              </w:rPr>
            </w:pPr>
            <w:r w:rsidRPr="00F41EA6">
              <w:rPr>
                <w:b/>
                <w:bCs/>
              </w:rPr>
              <w:t>Record keeping</w:t>
            </w:r>
          </w:p>
        </w:tc>
        <w:tc>
          <w:tcPr>
            <w:tcW w:w="6236" w:type="dxa"/>
          </w:tcPr>
          <w:p w14:paraId="167B9282" w14:textId="77777777" w:rsidR="00136EB3" w:rsidRPr="00C47952" w:rsidRDefault="00136EB3" w:rsidP="00F41EA6">
            <w:pPr>
              <w:pStyle w:val="TableText"/>
            </w:pPr>
            <w:r w:rsidRPr="00C47952">
              <w:t xml:space="preserve">Record keeping of locations a person has visited to </w:t>
            </w:r>
            <w:r>
              <w:t>help</w:t>
            </w:r>
            <w:r w:rsidRPr="00C47952">
              <w:t xml:space="preserve"> with timely contact tracing if there is an exposure</w:t>
            </w:r>
          </w:p>
          <w:p w14:paraId="1DB03568" w14:textId="77777777" w:rsidR="00136EB3" w:rsidRPr="00C47952" w:rsidRDefault="00136EB3" w:rsidP="00F41EA6">
            <w:pPr>
              <w:pStyle w:val="TableText"/>
            </w:pPr>
            <w:r w:rsidRPr="00C47952">
              <w:t>Scope</w:t>
            </w:r>
            <w:r>
              <w:t>:</w:t>
            </w:r>
            <w:r w:rsidRPr="00C47952">
              <w:t xml:space="preserve"> </w:t>
            </w:r>
            <w:r>
              <w:t>S</w:t>
            </w:r>
            <w:r w:rsidRPr="00C47952">
              <w:t>canning a QR code, using the COVID-19 tracer app or maintaining a manual diary</w:t>
            </w:r>
          </w:p>
        </w:tc>
      </w:tr>
      <w:tr w:rsidR="00136EB3" w:rsidRPr="00C47952" w14:paraId="0FE923C4" w14:textId="77777777" w:rsidTr="00F41EA6">
        <w:tc>
          <w:tcPr>
            <w:tcW w:w="1843" w:type="dxa"/>
          </w:tcPr>
          <w:p w14:paraId="1D3FC304" w14:textId="77777777" w:rsidR="00136EB3" w:rsidRPr="00F41EA6" w:rsidRDefault="00136EB3" w:rsidP="00F41EA6">
            <w:pPr>
              <w:pStyle w:val="TableText"/>
              <w:rPr>
                <w:b/>
                <w:bCs/>
              </w:rPr>
            </w:pPr>
            <w:r w:rsidRPr="00F41EA6">
              <w:rPr>
                <w:b/>
                <w:bCs/>
              </w:rPr>
              <w:lastRenderedPageBreak/>
              <w:t>Contact tracing and case investigation</w:t>
            </w:r>
          </w:p>
        </w:tc>
        <w:tc>
          <w:tcPr>
            <w:tcW w:w="6236" w:type="dxa"/>
          </w:tcPr>
          <w:p w14:paraId="32292E32" w14:textId="77777777" w:rsidR="00136EB3" w:rsidRPr="00C47952" w:rsidRDefault="00136EB3" w:rsidP="00F41EA6">
            <w:pPr>
              <w:pStyle w:val="TableText"/>
            </w:pPr>
            <w:r w:rsidRPr="00C47952">
              <w:t>Interviews to identify potential contacts of a suspected or confirmed case</w:t>
            </w:r>
            <w:r>
              <w:t>, i</w:t>
            </w:r>
            <w:r w:rsidRPr="00C47952">
              <w:t>ncludes provision of appropriate testing, isolation, treatment and support advice to minimise the risk of transmission and to support wellbeing</w:t>
            </w:r>
          </w:p>
          <w:p w14:paraId="70DE016A" w14:textId="77777777" w:rsidR="00136EB3" w:rsidRPr="00C47952" w:rsidRDefault="00136EB3" w:rsidP="00F41EA6">
            <w:pPr>
              <w:pStyle w:val="TableText"/>
            </w:pPr>
            <w:r w:rsidRPr="00C47952">
              <w:t xml:space="preserve">Scope: </w:t>
            </w:r>
            <w:r>
              <w:t>F</w:t>
            </w:r>
            <w:r w:rsidRPr="00C47952">
              <w:t>ace to face or technolog</w:t>
            </w:r>
            <w:r>
              <w:t>ically</w:t>
            </w:r>
            <w:r w:rsidRPr="00C47952">
              <w:t xml:space="preserve"> enhanced</w:t>
            </w:r>
            <w:r>
              <w:t xml:space="preserve"> (for example,</w:t>
            </w:r>
            <w:r w:rsidRPr="00C47952">
              <w:t xml:space="preserve"> telehealth</w:t>
            </w:r>
            <w:r>
              <w:t>)</w:t>
            </w:r>
            <w:r w:rsidRPr="00C47952">
              <w:t>, electronic survey and assessment</w:t>
            </w:r>
          </w:p>
        </w:tc>
      </w:tr>
      <w:tr w:rsidR="00136EB3" w:rsidRPr="00C47952" w14:paraId="36681FDF" w14:textId="77777777" w:rsidTr="00F41EA6">
        <w:tc>
          <w:tcPr>
            <w:tcW w:w="1843" w:type="dxa"/>
          </w:tcPr>
          <w:p w14:paraId="7E0DCB2D" w14:textId="77777777" w:rsidR="00136EB3" w:rsidRPr="00F41EA6" w:rsidRDefault="00136EB3" w:rsidP="00F41EA6">
            <w:pPr>
              <w:pStyle w:val="TableText"/>
              <w:rPr>
                <w:b/>
                <w:bCs/>
              </w:rPr>
            </w:pPr>
            <w:r w:rsidRPr="00F41EA6">
              <w:rPr>
                <w:b/>
                <w:bCs/>
              </w:rPr>
              <w:t>Social and physical distancing measures, including event and gathering limits</w:t>
            </w:r>
          </w:p>
        </w:tc>
        <w:tc>
          <w:tcPr>
            <w:tcW w:w="6236" w:type="dxa"/>
          </w:tcPr>
          <w:p w14:paraId="7238674B" w14:textId="77777777" w:rsidR="00136EB3" w:rsidRPr="00C47952" w:rsidRDefault="00136EB3" w:rsidP="00F41EA6">
            <w:pPr>
              <w:pStyle w:val="TableText"/>
            </w:pPr>
            <w:r w:rsidRPr="00C47952">
              <w:t>Actions to reduce the frequency and proximity of contact between people to decrease the risk of transmission</w:t>
            </w:r>
          </w:p>
          <w:p w14:paraId="78DFA273" w14:textId="77777777" w:rsidR="00136EB3" w:rsidRPr="00C47952" w:rsidRDefault="00136EB3" w:rsidP="00F41EA6">
            <w:pPr>
              <w:pStyle w:val="TableText"/>
            </w:pPr>
            <w:r w:rsidRPr="00C47952">
              <w:t xml:space="preserve">Scope: </w:t>
            </w:r>
            <w:r>
              <w:t>S</w:t>
            </w:r>
            <w:r w:rsidRPr="00C47952">
              <w:t>ettings closures (</w:t>
            </w:r>
            <w:r>
              <w:t>for example,</w:t>
            </w:r>
            <w:r w:rsidRPr="00C47952">
              <w:t xml:space="preserve"> schools, public facilities, workplaces, restaurants, bars), minimising mass gatherings, defined capacity limits, defined physical distancing limits (</w:t>
            </w:r>
            <w:r>
              <w:t>for example,</w:t>
            </w:r>
            <w:r w:rsidRPr="00C47952">
              <w:t xml:space="preserve"> 2 </w:t>
            </w:r>
            <w:r w:rsidRPr="77AA2CE5">
              <w:t>metres) and</w:t>
            </w:r>
            <w:r w:rsidRPr="00C47952">
              <w:t xml:space="preserve"> encouragement to work from home</w:t>
            </w:r>
          </w:p>
        </w:tc>
      </w:tr>
      <w:tr w:rsidR="00136EB3" w:rsidRPr="00C47952" w14:paraId="1F419A87" w14:textId="77777777" w:rsidTr="00F41EA6">
        <w:tc>
          <w:tcPr>
            <w:tcW w:w="1843" w:type="dxa"/>
          </w:tcPr>
          <w:p w14:paraId="539B7EDC" w14:textId="77777777" w:rsidR="00136EB3" w:rsidRPr="00F41EA6" w:rsidRDefault="00136EB3" w:rsidP="00F41EA6">
            <w:pPr>
              <w:pStyle w:val="TableText"/>
              <w:rPr>
                <w:b/>
                <w:bCs/>
              </w:rPr>
            </w:pPr>
            <w:r w:rsidRPr="00F41EA6">
              <w:rPr>
                <w:b/>
                <w:bCs/>
              </w:rPr>
              <w:t>Infection prevention and control practices</w:t>
            </w:r>
          </w:p>
        </w:tc>
        <w:tc>
          <w:tcPr>
            <w:tcW w:w="6236" w:type="dxa"/>
          </w:tcPr>
          <w:p w14:paraId="0F5E9764" w14:textId="77777777" w:rsidR="00136EB3" w:rsidRPr="00C47952" w:rsidRDefault="00136EB3" w:rsidP="00F41EA6">
            <w:pPr>
              <w:pStyle w:val="TableText"/>
            </w:pPr>
            <w:r w:rsidRPr="77AA2CE5">
              <w:t>Health and disability settings</w:t>
            </w:r>
            <w:r>
              <w:t>:</w:t>
            </w:r>
            <w:r w:rsidRPr="77AA2CE5">
              <w:t xml:space="preserve"> </w:t>
            </w:r>
            <w:r w:rsidRPr="00C47952">
              <w:t>A wide range of precautions to reduce the risk of infection and onward transmission, including wearing personal protective equipment (goggles</w:t>
            </w:r>
            <w:r>
              <w:t xml:space="preserve"> </w:t>
            </w:r>
            <w:r w:rsidRPr="00C47952">
              <w:t>/</w:t>
            </w:r>
            <w:r>
              <w:t xml:space="preserve"> </w:t>
            </w:r>
            <w:r w:rsidRPr="00C47952">
              <w:t xml:space="preserve">face shields, aprons, gowns, gloves and face masks), hand hygiene, physical barriers and dedicated pathways, isolation rooms, remote triage areas, cleaning and disinfecting, ventilation and air purification, steps to protect </w:t>
            </w:r>
            <w:r>
              <w:t xml:space="preserve">clinically </w:t>
            </w:r>
            <w:r w:rsidRPr="00C47952">
              <w:t>vulnerable patients, test requirements for visitors</w:t>
            </w:r>
            <w:r>
              <w:t>,</w:t>
            </w:r>
            <w:r w:rsidRPr="00C47952">
              <w:t xml:space="preserve"> etc</w:t>
            </w:r>
          </w:p>
          <w:p w14:paraId="3AE28629" w14:textId="77777777" w:rsidR="00136EB3" w:rsidRPr="00C47952" w:rsidRDefault="00136EB3" w:rsidP="00F41EA6">
            <w:pPr>
              <w:pStyle w:val="TableText"/>
            </w:pPr>
            <w:r w:rsidRPr="77AA2CE5">
              <w:t>Community settings</w:t>
            </w:r>
            <w:r>
              <w:t>:</w:t>
            </w:r>
            <w:r w:rsidRPr="77AA2CE5">
              <w:t xml:space="preserve"> Encouraging behaviours to reduce the risk of transmission, such as cough and sneeze etiquette, staying home if sick and hand</w:t>
            </w:r>
            <w:r>
              <w:t xml:space="preserve"> </w:t>
            </w:r>
            <w:r w:rsidRPr="77AA2CE5">
              <w:t>hygiene</w:t>
            </w:r>
          </w:p>
        </w:tc>
      </w:tr>
      <w:tr w:rsidR="00136EB3" w:rsidRPr="00C47952" w14:paraId="5C458984" w14:textId="77777777" w:rsidTr="00F41EA6">
        <w:tc>
          <w:tcPr>
            <w:tcW w:w="1843" w:type="dxa"/>
          </w:tcPr>
          <w:p w14:paraId="32D1F965" w14:textId="77777777" w:rsidR="00136EB3" w:rsidRPr="00F41EA6" w:rsidRDefault="00136EB3" w:rsidP="00F41EA6">
            <w:pPr>
              <w:pStyle w:val="TableText"/>
              <w:rPr>
                <w:b/>
                <w:bCs/>
              </w:rPr>
            </w:pPr>
            <w:r w:rsidRPr="00F41EA6">
              <w:rPr>
                <w:b/>
                <w:bCs/>
              </w:rPr>
              <w:t>Face masks and personal protective equipment</w:t>
            </w:r>
          </w:p>
        </w:tc>
        <w:tc>
          <w:tcPr>
            <w:tcW w:w="6236" w:type="dxa"/>
          </w:tcPr>
          <w:p w14:paraId="3C59750D" w14:textId="77777777" w:rsidR="00136EB3" w:rsidRPr="00C47952" w:rsidRDefault="00136EB3" w:rsidP="00F41EA6">
            <w:pPr>
              <w:pStyle w:val="TableText"/>
            </w:pPr>
            <w:r w:rsidRPr="00C47952">
              <w:t>A</w:t>
            </w:r>
            <w:r>
              <w:t>n</w:t>
            </w:r>
            <w:r w:rsidRPr="00C47952">
              <w:t xml:space="preserve"> IPC measure to reduce the risk of infection and onward transmission by reducing the inhalation and spread of airborne particles</w:t>
            </w:r>
          </w:p>
          <w:p w14:paraId="4EEC5A00" w14:textId="77777777" w:rsidR="00136EB3" w:rsidRPr="00C47952" w:rsidRDefault="00136EB3" w:rsidP="00F41EA6">
            <w:pPr>
              <w:pStyle w:val="TableText"/>
            </w:pPr>
            <w:r w:rsidRPr="00C47952">
              <w:t xml:space="preserve">Scope: </w:t>
            </w:r>
            <w:r>
              <w:t>T</w:t>
            </w:r>
            <w:r w:rsidRPr="77AA2CE5">
              <w:t>argeted</w:t>
            </w:r>
            <w:r w:rsidRPr="00C47952">
              <w:t xml:space="preserve"> to specified settings, such as public transport, schools, health</w:t>
            </w:r>
            <w:r>
              <w:t xml:space="preserve"> </w:t>
            </w:r>
            <w:r w:rsidRPr="00C47952">
              <w:t>care services or specified population groups</w:t>
            </w:r>
            <w:r>
              <w:t xml:space="preserve"> (for example,</w:t>
            </w:r>
            <w:r w:rsidRPr="00C47952">
              <w:t xml:space="preserve"> household contacts when in public areas, visitors to </w:t>
            </w:r>
            <w:r w:rsidRPr="77AA2CE5">
              <w:t>health and disability settings</w:t>
            </w:r>
            <w:r>
              <w:t>)</w:t>
            </w:r>
          </w:p>
        </w:tc>
      </w:tr>
      <w:tr w:rsidR="00136EB3" w:rsidRPr="00C47952" w14:paraId="314AA587" w14:textId="77777777" w:rsidTr="00F41EA6">
        <w:tc>
          <w:tcPr>
            <w:tcW w:w="1843" w:type="dxa"/>
          </w:tcPr>
          <w:p w14:paraId="72B96CC9" w14:textId="77777777" w:rsidR="00136EB3" w:rsidRPr="00F41EA6" w:rsidRDefault="00136EB3" w:rsidP="00F41EA6">
            <w:pPr>
              <w:pStyle w:val="TableText"/>
              <w:rPr>
                <w:b/>
                <w:bCs/>
              </w:rPr>
            </w:pPr>
            <w:r w:rsidRPr="00F41EA6">
              <w:rPr>
                <w:b/>
                <w:bCs/>
              </w:rPr>
              <w:t>Ventilation and air filtration</w:t>
            </w:r>
          </w:p>
        </w:tc>
        <w:tc>
          <w:tcPr>
            <w:tcW w:w="6236" w:type="dxa"/>
          </w:tcPr>
          <w:p w14:paraId="4E8F4112" w14:textId="77777777" w:rsidR="00136EB3" w:rsidRPr="00C47952" w:rsidRDefault="00136EB3" w:rsidP="00F41EA6">
            <w:pPr>
              <w:pStyle w:val="TableText"/>
            </w:pPr>
            <w:r w:rsidRPr="00C47952">
              <w:t>Ventilation and air filtration measures to lower viral concentrations in the air and reduce the likelihood of inhalation, infection and transmission</w:t>
            </w:r>
          </w:p>
          <w:p w14:paraId="68C038A9" w14:textId="77777777" w:rsidR="00136EB3" w:rsidRPr="00C47952" w:rsidRDefault="00136EB3" w:rsidP="00F41EA6">
            <w:pPr>
              <w:pStyle w:val="TableText"/>
            </w:pPr>
            <w:r w:rsidRPr="00C47952">
              <w:t>Scope: Building design, fans, filters and the opening of windows and doors</w:t>
            </w:r>
            <w:r w:rsidRPr="77AA2CE5">
              <w:t xml:space="preserve"> in buildings and public transport</w:t>
            </w:r>
          </w:p>
        </w:tc>
      </w:tr>
      <w:tr w:rsidR="00136EB3" w:rsidRPr="00C47952" w14:paraId="6810D0B8" w14:textId="77777777" w:rsidTr="00F41EA6">
        <w:tc>
          <w:tcPr>
            <w:tcW w:w="1843" w:type="dxa"/>
          </w:tcPr>
          <w:p w14:paraId="17BD08BB" w14:textId="77777777" w:rsidR="00136EB3" w:rsidRPr="00F41EA6" w:rsidRDefault="00136EB3" w:rsidP="00F41EA6">
            <w:pPr>
              <w:pStyle w:val="TableText"/>
              <w:rPr>
                <w:b/>
                <w:bCs/>
              </w:rPr>
            </w:pPr>
            <w:r w:rsidRPr="00F41EA6">
              <w:rPr>
                <w:b/>
                <w:bCs/>
              </w:rPr>
              <w:t>Travel restrictions</w:t>
            </w:r>
          </w:p>
        </w:tc>
        <w:tc>
          <w:tcPr>
            <w:tcW w:w="6236" w:type="dxa"/>
          </w:tcPr>
          <w:p w14:paraId="4A04BBDC" w14:textId="77777777" w:rsidR="00136EB3" w:rsidRPr="00C47952" w:rsidRDefault="00136EB3" w:rsidP="00F41EA6">
            <w:pPr>
              <w:pStyle w:val="TableText"/>
            </w:pPr>
            <w:r w:rsidRPr="00C47952">
              <w:t xml:space="preserve">Domestic travel restrictions to limit or slow transmission of COVID-19 from one geographical location to another </w:t>
            </w:r>
          </w:p>
          <w:p w14:paraId="32A7BD2A" w14:textId="77777777" w:rsidR="00136EB3" w:rsidRPr="00C47952" w:rsidRDefault="00136EB3" w:rsidP="00F41EA6">
            <w:pPr>
              <w:pStyle w:val="TableText"/>
            </w:pPr>
            <w:r w:rsidRPr="00C47952">
              <w:t>Scope: Advice or prohibitions to cross</w:t>
            </w:r>
            <w:r>
              <w:t>ing</w:t>
            </w:r>
            <w:r w:rsidRPr="00C47952">
              <w:t xml:space="preserve"> geographical boundaries</w:t>
            </w:r>
            <w:r>
              <w:t xml:space="preserve"> (c</w:t>
            </w:r>
            <w:r w:rsidRPr="00C47952">
              <w:t>an include requirements to produce evidence of a negative test to cross the boundary</w:t>
            </w:r>
            <w:r>
              <w:t>)</w:t>
            </w:r>
          </w:p>
        </w:tc>
      </w:tr>
      <w:tr w:rsidR="00136EB3" w:rsidRPr="00C47952" w14:paraId="7D8EC12F" w14:textId="77777777" w:rsidTr="00F41EA6">
        <w:tc>
          <w:tcPr>
            <w:tcW w:w="1843" w:type="dxa"/>
          </w:tcPr>
          <w:p w14:paraId="6824023A" w14:textId="77777777" w:rsidR="00136EB3" w:rsidRPr="00F41EA6" w:rsidRDefault="00136EB3" w:rsidP="00F41EA6">
            <w:pPr>
              <w:pStyle w:val="TableText"/>
              <w:rPr>
                <w:b/>
                <w:bCs/>
              </w:rPr>
            </w:pPr>
            <w:r w:rsidRPr="00F41EA6">
              <w:rPr>
                <w:b/>
                <w:bCs/>
              </w:rPr>
              <w:t>Isolation requirements</w:t>
            </w:r>
          </w:p>
        </w:tc>
        <w:tc>
          <w:tcPr>
            <w:tcW w:w="6236" w:type="dxa"/>
          </w:tcPr>
          <w:p w14:paraId="48764DAD" w14:textId="77777777" w:rsidR="00136EB3" w:rsidRPr="00C47952" w:rsidRDefault="00136EB3" w:rsidP="00F41EA6">
            <w:pPr>
              <w:pStyle w:val="TableText"/>
            </w:pPr>
            <w:r w:rsidRPr="00C47952">
              <w:t>Mandatory requirements to stay-at-home and not undertake non-essential travel to reduce the frequency and proximity of contact with people outside a person’s household in order to reduce</w:t>
            </w:r>
            <w:r>
              <w:t>,</w:t>
            </w:r>
            <w:r w:rsidRPr="00C47952">
              <w:t xml:space="preserve"> limit or slow transmission </w:t>
            </w:r>
          </w:p>
        </w:tc>
      </w:tr>
      <w:tr w:rsidR="00136EB3" w:rsidRPr="00C47952" w14:paraId="401C448C" w14:textId="77777777" w:rsidTr="00F41EA6">
        <w:tc>
          <w:tcPr>
            <w:tcW w:w="1843" w:type="dxa"/>
          </w:tcPr>
          <w:p w14:paraId="68961205" w14:textId="77777777" w:rsidR="00136EB3" w:rsidRPr="00F41EA6" w:rsidRDefault="00136EB3" w:rsidP="00F41EA6">
            <w:pPr>
              <w:pStyle w:val="TableText"/>
              <w:rPr>
                <w:b/>
                <w:bCs/>
              </w:rPr>
            </w:pPr>
            <w:r w:rsidRPr="00F41EA6">
              <w:rPr>
                <w:b/>
                <w:bCs/>
              </w:rPr>
              <w:t>Shielding</w:t>
            </w:r>
          </w:p>
        </w:tc>
        <w:tc>
          <w:tcPr>
            <w:tcW w:w="6236" w:type="dxa"/>
          </w:tcPr>
          <w:p w14:paraId="603E4406" w14:textId="77777777" w:rsidR="00136EB3" w:rsidRPr="00C47952" w:rsidRDefault="00136EB3" w:rsidP="00F41EA6">
            <w:pPr>
              <w:pStyle w:val="TableText"/>
            </w:pPr>
            <w:r w:rsidRPr="00C47952">
              <w:t>Actions to reduce the frequency and proximity of contact with others to reduce the risk of infection</w:t>
            </w:r>
            <w:r>
              <w:t>,</w:t>
            </w:r>
            <w:r w:rsidRPr="00C47952">
              <w:t xml:space="preserve"> such as limiting face</w:t>
            </w:r>
            <w:r>
              <w:t>-</w:t>
            </w:r>
            <w:r w:rsidRPr="00C47952">
              <w:t>to</w:t>
            </w:r>
            <w:r>
              <w:t>-</w:t>
            </w:r>
            <w:r w:rsidRPr="00C47952">
              <w:t xml:space="preserve">face contacts, avoiding crowds, education, </w:t>
            </w:r>
            <w:r>
              <w:t xml:space="preserve">limiting </w:t>
            </w:r>
            <w:r w:rsidRPr="00C47952">
              <w:t>shopping</w:t>
            </w:r>
            <w:r>
              <w:t xml:space="preserve"> or shopping online</w:t>
            </w:r>
            <w:r w:rsidRPr="00C47952">
              <w:t>, work</w:t>
            </w:r>
            <w:r>
              <w:t>ing</w:t>
            </w:r>
            <w:r w:rsidRPr="00C47952">
              <w:t xml:space="preserve"> online, avoiding crowded public places and reducing unnecessary travel</w:t>
            </w:r>
          </w:p>
          <w:p w14:paraId="4FC47DD5" w14:textId="77777777" w:rsidR="00136EB3" w:rsidRPr="00C47952" w:rsidRDefault="00136EB3" w:rsidP="00F41EA6">
            <w:pPr>
              <w:pStyle w:val="TableText"/>
            </w:pPr>
            <w:r w:rsidRPr="00C47952">
              <w:t xml:space="preserve">Scope: Advice generally aimed at protecting those at highest risk of serious illness </w:t>
            </w:r>
          </w:p>
        </w:tc>
      </w:tr>
    </w:tbl>
    <w:p w14:paraId="46A1458F" w14:textId="77777777" w:rsidR="00F41EA6" w:rsidRDefault="00F41EA6" w:rsidP="00136EB3">
      <w:pPr>
        <w:rPr>
          <w:rFonts w:cs="Segoe UI"/>
        </w:rPr>
        <w:sectPr w:rsidR="00F41EA6" w:rsidSect="00571968">
          <w:pgSz w:w="11907" w:h="16834" w:code="9"/>
          <w:pgMar w:top="1418" w:right="1701" w:bottom="1134" w:left="1843" w:header="284" w:footer="425" w:gutter="284"/>
          <w:cols w:space="720"/>
        </w:sect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0"/>
        <w:gridCol w:w="6089"/>
      </w:tblGrid>
      <w:tr w:rsidR="00136EB3" w:rsidRPr="00F41EA6" w14:paraId="29D33F1F" w14:textId="77777777" w:rsidTr="00F41EA6">
        <w:tc>
          <w:tcPr>
            <w:tcW w:w="8069" w:type="dxa"/>
            <w:gridSpan w:val="2"/>
            <w:tcBorders>
              <w:top w:val="nil"/>
              <w:bottom w:val="nil"/>
            </w:tcBorders>
            <w:shd w:val="clear" w:color="auto" w:fill="D9D9D9" w:themeFill="background1" w:themeFillShade="D9"/>
          </w:tcPr>
          <w:p w14:paraId="6BD37242" w14:textId="77777777" w:rsidR="00136EB3" w:rsidRPr="00F41EA6" w:rsidRDefault="00136EB3" w:rsidP="00F41EA6">
            <w:pPr>
              <w:pStyle w:val="TableText"/>
              <w:rPr>
                <w:b/>
                <w:bCs/>
              </w:rPr>
            </w:pPr>
            <w:bookmarkStart w:id="63" w:name="_Hlk128489180"/>
            <w:r w:rsidRPr="00F41EA6">
              <w:rPr>
                <w:b/>
                <w:bCs/>
              </w:rPr>
              <w:lastRenderedPageBreak/>
              <w:t>Border measures (air and maritime)</w:t>
            </w:r>
          </w:p>
        </w:tc>
      </w:tr>
      <w:tr w:rsidR="00136EB3" w:rsidRPr="00C47952" w14:paraId="495B2B7D" w14:textId="77777777" w:rsidTr="00F41EA6">
        <w:tc>
          <w:tcPr>
            <w:tcW w:w="1980" w:type="dxa"/>
            <w:tcBorders>
              <w:top w:val="nil"/>
            </w:tcBorders>
          </w:tcPr>
          <w:p w14:paraId="28294687" w14:textId="77777777" w:rsidR="00136EB3" w:rsidRPr="00F41EA6" w:rsidRDefault="00136EB3" w:rsidP="00F41EA6">
            <w:pPr>
              <w:pStyle w:val="TableText"/>
              <w:rPr>
                <w:b/>
                <w:bCs/>
              </w:rPr>
            </w:pPr>
            <w:r w:rsidRPr="00F41EA6">
              <w:rPr>
                <w:b/>
                <w:bCs/>
              </w:rPr>
              <w:t>Entry restrictions</w:t>
            </w:r>
          </w:p>
        </w:tc>
        <w:tc>
          <w:tcPr>
            <w:tcW w:w="6089" w:type="dxa"/>
            <w:tcBorders>
              <w:top w:val="nil"/>
            </w:tcBorders>
          </w:tcPr>
          <w:p w14:paraId="528380B5" w14:textId="77777777" w:rsidR="00136EB3" w:rsidRPr="00C47952" w:rsidRDefault="00136EB3" w:rsidP="00F41EA6">
            <w:pPr>
              <w:pStyle w:val="TableText"/>
            </w:pPr>
            <w:r w:rsidRPr="00C47952">
              <w:t>Limits on who can arrive in Aotearoa</w:t>
            </w:r>
            <w:r>
              <w:t xml:space="preserve"> New Zealand</w:t>
            </w:r>
            <w:r w:rsidRPr="00C47952">
              <w:t xml:space="preserve"> via the air or maritime border to reduce the risk of COVID-19</w:t>
            </w:r>
            <w:r>
              <w:t>, and new variants,</w:t>
            </w:r>
            <w:r w:rsidRPr="00C47952">
              <w:t xml:space="preserve"> entering the </w:t>
            </w:r>
            <w:r>
              <w:t>country</w:t>
            </w:r>
          </w:p>
          <w:p w14:paraId="19ED8D87" w14:textId="77777777" w:rsidR="00136EB3" w:rsidRPr="00C47952" w:rsidRDefault="00136EB3" w:rsidP="00F41EA6">
            <w:pPr>
              <w:pStyle w:val="TableText"/>
            </w:pPr>
            <w:r w:rsidRPr="00C47952">
              <w:t xml:space="preserve">Scope: Restrictions can be broad or based on a traveller’s place of origin where there may be </w:t>
            </w:r>
            <w:r>
              <w:t xml:space="preserve">a </w:t>
            </w:r>
            <w:r w:rsidRPr="00C47952">
              <w:t>high incidence of COVID-19 or the presence of a new variant of concern</w:t>
            </w:r>
          </w:p>
        </w:tc>
      </w:tr>
      <w:tr w:rsidR="00136EB3" w:rsidRPr="00C47952" w14:paraId="794083F1" w14:textId="77777777" w:rsidTr="00F41EA6">
        <w:tc>
          <w:tcPr>
            <w:tcW w:w="1980" w:type="dxa"/>
          </w:tcPr>
          <w:p w14:paraId="49A04422" w14:textId="77777777" w:rsidR="00136EB3" w:rsidRPr="00F41EA6" w:rsidRDefault="00136EB3" w:rsidP="00F41EA6">
            <w:pPr>
              <w:pStyle w:val="TableText"/>
              <w:rPr>
                <w:b/>
                <w:bCs/>
              </w:rPr>
            </w:pPr>
            <w:r w:rsidRPr="00F41EA6">
              <w:rPr>
                <w:b/>
                <w:bCs/>
              </w:rPr>
              <w:t>Pre-departure testing</w:t>
            </w:r>
          </w:p>
        </w:tc>
        <w:tc>
          <w:tcPr>
            <w:tcW w:w="6089" w:type="dxa"/>
          </w:tcPr>
          <w:p w14:paraId="2462B182" w14:textId="77777777" w:rsidR="00136EB3" w:rsidRPr="00C47952" w:rsidRDefault="00136EB3" w:rsidP="00F41EA6">
            <w:pPr>
              <w:pStyle w:val="TableText"/>
            </w:pPr>
            <w:r w:rsidRPr="00C47952">
              <w:t xml:space="preserve">Evidence of a negative COVID-19 test </w:t>
            </w:r>
            <w:r>
              <w:t>before</w:t>
            </w:r>
            <w:r w:rsidRPr="00C47952">
              <w:t xml:space="preserve"> boarding an aircraft or ship to New Zealand to reduce the risk </w:t>
            </w:r>
            <w:r>
              <w:t>of</w:t>
            </w:r>
            <w:r w:rsidRPr="00C47952">
              <w:t xml:space="preserve"> a person with COVID-19 enter</w:t>
            </w:r>
            <w:r>
              <w:t>ing</w:t>
            </w:r>
            <w:r w:rsidRPr="00C47952">
              <w:t xml:space="preserve"> Aotearoa</w:t>
            </w:r>
            <w:r>
              <w:t xml:space="preserve"> New Zealand</w:t>
            </w:r>
            <w:r w:rsidRPr="00C47952">
              <w:t xml:space="preserve"> </w:t>
            </w:r>
            <w:r>
              <w:t xml:space="preserve">and </w:t>
            </w:r>
            <w:r w:rsidRPr="00C47952">
              <w:t>potentially infecting other travellers and seeding additional cases in the community</w:t>
            </w:r>
          </w:p>
        </w:tc>
      </w:tr>
      <w:tr w:rsidR="00136EB3" w:rsidRPr="00C47952" w14:paraId="195B433E" w14:textId="77777777" w:rsidTr="00F41EA6">
        <w:tc>
          <w:tcPr>
            <w:tcW w:w="1980" w:type="dxa"/>
          </w:tcPr>
          <w:p w14:paraId="3B12ABD6" w14:textId="77777777" w:rsidR="00136EB3" w:rsidRPr="00F41EA6" w:rsidRDefault="00136EB3" w:rsidP="00F41EA6">
            <w:pPr>
              <w:pStyle w:val="TableText"/>
              <w:rPr>
                <w:b/>
                <w:bCs/>
              </w:rPr>
            </w:pPr>
            <w:r w:rsidRPr="00F41EA6">
              <w:rPr>
                <w:b/>
                <w:bCs/>
              </w:rPr>
              <w:t>Post-arrival testing</w:t>
            </w:r>
          </w:p>
        </w:tc>
        <w:tc>
          <w:tcPr>
            <w:tcW w:w="6089" w:type="dxa"/>
          </w:tcPr>
          <w:p w14:paraId="5657112D" w14:textId="77777777" w:rsidR="00136EB3" w:rsidRPr="00C47952" w:rsidRDefault="00136EB3" w:rsidP="00F41EA6">
            <w:pPr>
              <w:pStyle w:val="TableText"/>
            </w:pPr>
            <w:r w:rsidRPr="00C47952">
              <w:t xml:space="preserve">Testing after arrival in Aotearoa </w:t>
            </w:r>
            <w:r>
              <w:t xml:space="preserve">New Zealand </w:t>
            </w:r>
            <w:r w:rsidRPr="00C47952">
              <w:t>to support early diagnosis and isolation</w:t>
            </w:r>
          </w:p>
          <w:p w14:paraId="653ABC6B" w14:textId="77777777" w:rsidR="00136EB3" w:rsidRPr="00C47952" w:rsidRDefault="00136EB3" w:rsidP="00F41EA6">
            <w:pPr>
              <w:pStyle w:val="TableText"/>
            </w:pPr>
            <w:r w:rsidRPr="00C47952">
              <w:t xml:space="preserve">Scope: </w:t>
            </w:r>
            <w:r>
              <w:t>T</w:t>
            </w:r>
            <w:r w:rsidRPr="00C47952">
              <w:t xml:space="preserve">esting with </w:t>
            </w:r>
            <w:r>
              <w:t>rapid antigen tests (</w:t>
            </w:r>
            <w:r w:rsidRPr="00C47952">
              <w:t>RATs</w:t>
            </w:r>
            <w:r>
              <w:t>)</w:t>
            </w:r>
            <w:r w:rsidRPr="00C47952">
              <w:t xml:space="preserve"> on specified days or if symptomatic within a specified day after arrival</w:t>
            </w:r>
            <w:r>
              <w:t xml:space="preserve"> – m</w:t>
            </w:r>
            <w:r w:rsidRPr="00C47952">
              <w:t xml:space="preserve">ay include taking a follow-up </w:t>
            </w:r>
            <w:r>
              <w:t>polymerase chain reaction (</w:t>
            </w:r>
            <w:r w:rsidRPr="00C47952">
              <w:t>PCR</w:t>
            </w:r>
            <w:r>
              <w:t>)</w:t>
            </w:r>
            <w:r w:rsidRPr="00C47952">
              <w:t xml:space="preserve"> test to enable whole genome testing for variant identification</w:t>
            </w:r>
            <w:r>
              <w:t xml:space="preserve"> and m</w:t>
            </w:r>
            <w:r w:rsidRPr="00C47952">
              <w:t>ay include</w:t>
            </w:r>
            <w:r>
              <w:t xml:space="preserve"> the</w:t>
            </w:r>
            <w:r w:rsidRPr="00C47952">
              <w:t xml:space="preserve"> requirement to report the test result</w:t>
            </w:r>
          </w:p>
        </w:tc>
      </w:tr>
      <w:tr w:rsidR="00136EB3" w:rsidRPr="00C47952" w14:paraId="21232CB7" w14:textId="77777777" w:rsidTr="00F41EA6">
        <w:tc>
          <w:tcPr>
            <w:tcW w:w="1980" w:type="dxa"/>
          </w:tcPr>
          <w:p w14:paraId="5D2F6A5A" w14:textId="77777777" w:rsidR="00136EB3" w:rsidRPr="00F41EA6" w:rsidRDefault="00136EB3" w:rsidP="00F41EA6">
            <w:pPr>
              <w:pStyle w:val="TableText"/>
              <w:rPr>
                <w:b/>
                <w:bCs/>
              </w:rPr>
            </w:pPr>
            <w:r w:rsidRPr="00F41EA6">
              <w:rPr>
                <w:b/>
                <w:bCs/>
              </w:rPr>
              <w:t>Vaccination requirements</w:t>
            </w:r>
          </w:p>
        </w:tc>
        <w:tc>
          <w:tcPr>
            <w:tcW w:w="6089" w:type="dxa"/>
          </w:tcPr>
          <w:p w14:paraId="7F0FEDCF" w14:textId="77777777" w:rsidR="00136EB3" w:rsidRPr="00C47952" w:rsidRDefault="00136EB3" w:rsidP="00F41EA6">
            <w:pPr>
              <w:pStyle w:val="TableText"/>
            </w:pPr>
            <w:r w:rsidRPr="00C47952">
              <w:t xml:space="preserve">Evidence of having completed COVID-19 vaccinations </w:t>
            </w:r>
            <w:r>
              <w:t>before</w:t>
            </w:r>
            <w:r w:rsidRPr="00C47952">
              <w:t xml:space="preserve"> boarding an aircraft or ship to Aotearoa</w:t>
            </w:r>
            <w:r>
              <w:t xml:space="preserve"> New Zealand – d</w:t>
            </w:r>
            <w:r w:rsidRPr="00C47952">
              <w:t xml:space="preserve">epending on the length of time since </w:t>
            </w:r>
            <w:r>
              <w:t xml:space="preserve">the </w:t>
            </w:r>
            <w:r w:rsidRPr="00C47952">
              <w:t xml:space="preserve">last </w:t>
            </w:r>
            <w:r>
              <w:t>vaccination</w:t>
            </w:r>
            <w:r w:rsidRPr="00C47952">
              <w:t>, this measure may reduce the risk of infection (and therefore reduce onward transmission) and/or reduce the risk of severe illness, which also reduces pressure on the Aotearoa</w:t>
            </w:r>
            <w:r>
              <w:t xml:space="preserve"> New Zealand</w:t>
            </w:r>
            <w:r w:rsidRPr="00C47952">
              <w:t xml:space="preserve"> health system</w:t>
            </w:r>
          </w:p>
        </w:tc>
      </w:tr>
      <w:tr w:rsidR="00136EB3" w:rsidRPr="00C47952" w14:paraId="7034E1AB" w14:textId="77777777" w:rsidTr="00F41EA6">
        <w:tc>
          <w:tcPr>
            <w:tcW w:w="1980" w:type="dxa"/>
          </w:tcPr>
          <w:p w14:paraId="5D772E89" w14:textId="77777777" w:rsidR="00136EB3" w:rsidRPr="00F41EA6" w:rsidRDefault="00136EB3" w:rsidP="00F41EA6">
            <w:pPr>
              <w:pStyle w:val="TableText"/>
              <w:rPr>
                <w:b/>
                <w:bCs/>
              </w:rPr>
            </w:pPr>
            <w:r w:rsidRPr="00F41EA6">
              <w:rPr>
                <w:b/>
                <w:bCs/>
              </w:rPr>
              <w:t>Quarantine</w:t>
            </w:r>
          </w:p>
        </w:tc>
        <w:tc>
          <w:tcPr>
            <w:tcW w:w="6089" w:type="dxa"/>
          </w:tcPr>
          <w:p w14:paraId="4041379A" w14:textId="77777777" w:rsidR="00136EB3" w:rsidRPr="00C47952" w:rsidRDefault="00136EB3" w:rsidP="00F41EA6">
            <w:pPr>
              <w:pStyle w:val="TableText"/>
            </w:pPr>
            <w:r w:rsidRPr="00C47952">
              <w:t xml:space="preserve">Separation of people who have recently arrived </w:t>
            </w:r>
            <w:r>
              <w:t>in</w:t>
            </w:r>
            <w:r w:rsidRPr="00C47952">
              <w:t xml:space="preserve"> Aotearoa</w:t>
            </w:r>
            <w:r>
              <w:t xml:space="preserve"> New Zealand</w:t>
            </w:r>
            <w:r w:rsidRPr="00C47952">
              <w:t xml:space="preserve"> by advising or requiring them to isolate for a specified period or after testing negative</w:t>
            </w:r>
          </w:p>
          <w:p w14:paraId="20FEF620" w14:textId="77777777" w:rsidR="00136EB3" w:rsidRPr="00C47952" w:rsidRDefault="00136EB3" w:rsidP="00F41EA6">
            <w:pPr>
              <w:pStyle w:val="TableText"/>
            </w:pPr>
            <w:r w:rsidRPr="00C47952">
              <w:t xml:space="preserve">Scope: </w:t>
            </w:r>
            <w:r>
              <w:t xml:space="preserve">Personal </w:t>
            </w:r>
            <w:r w:rsidRPr="00C47952">
              <w:t>self-isolation (</w:t>
            </w:r>
            <w:r>
              <w:t>for example,</w:t>
            </w:r>
            <w:r w:rsidRPr="00C47952">
              <w:t xml:space="preserve"> at home) or facility</w:t>
            </w:r>
            <w:r>
              <w:t>-</w:t>
            </w:r>
            <w:r w:rsidRPr="00C47952">
              <w:t xml:space="preserve">based </w:t>
            </w:r>
            <w:r>
              <w:t xml:space="preserve">isolation </w:t>
            </w:r>
            <w:r w:rsidRPr="00C47952">
              <w:t>(</w:t>
            </w:r>
            <w:r>
              <w:t>for example,</w:t>
            </w:r>
            <w:r w:rsidRPr="00C47952">
              <w:t xml:space="preserve"> </w:t>
            </w:r>
            <w:r>
              <w:t xml:space="preserve">managed isolation and quarantine, </w:t>
            </w:r>
            <w:r w:rsidRPr="00C47952">
              <w:t>MIQ)</w:t>
            </w:r>
          </w:p>
        </w:tc>
      </w:tr>
      <w:tr w:rsidR="00136EB3" w:rsidRPr="00C47952" w14:paraId="234C0253" w14:textId="77777777" w:rsidTr="00F41EA6">
        <w:tc>
          <w:tcPr>
            <w:tcW w:w="1980" w:type="dxa"/>
          </w:tcPr>
          <w:p w14:paraId="37C2583B" w14:textId="77777777" w:rsidR="00136EB3" w:rsidRPr="00F41EA6" w:rsidRDefault="00136EB3" w:rsidP="00F41EA6">
            <w:pPr>
              <w:pStyle w:val="TableText"/>
              <w:rPr>
                <w:b/>
                <w:bCs/>
              </w:rPr>
            </w:pPr>
            <w:r w:rsidRPr="00F41EA6">
              <w:rPr>
                <w:b/>
                <w:bCs/>
              </w:rPr>
              <w:t>Isolation</w:t>
            </w:r>
          </w:p>
        </w:tc>
        <w:tc>
          <w:tcPr>
            <w:tcW w:w="6089" w:type="dxa"/>
          </w:tcPr>
          <w:p w14:paraId="35BF93B2" w14:textId="77777777" w:rsidR="00136EB3" w:rsidRPr="00C47952" w:rsidRDefault="00136EB3" w:rsidP="00F41EA6">
            <w:pPr>
              <w:pStyle w:val="TableText"/>
            </w:pPr>
            <w:r w:rsidRPr="00C47952">
              <w:t xml:space="preserve">Separation of people who have recently arrived </w:t>
            </w:r>
            <w:r>
              <w:t>in</w:t>
            </w:r>
            <w:r w:rsidRPr="00C47952">
              <w:t xml:space="preserve"> Aotearoa </w:t>
            </w:r>
            <w:r>
              <w:t xml:space="preserve">New Zealand </w:t>
            </w:r>
            <w:r w:rsidRPr="00C47952">
              <w:t>and who have a confirmed COVID-19 infection by advising or requiring them to isolate for a specified period or after testing negative</w:t>
            </w:r>
          </w:p>
          <w:p w14:paraId="1191D95A" w14:textId="77777777" w:rsidR="00136EB3" w:rsidRPr="00C47952" w:rsidRDefault="00136EB3" w:rsidP="00F41EA6">
            <w:pPr>
              <w:pStyle w:val="TableText"/>
            </w:pPr>
            <w:r w:rsidRPr="00C47952">
              <w:t xml:space="preserve">Scope: </w:t>
            </w:r>
            <w:r>
              <w:t xml:space="preserve">Personal </w:t>
            </w:r>
            <w:r w:rsidRPr="00C47952">
              <w:t>self-isolation (</w:t>
            </w:r>
            <w:r>
              <w:t>for example,</w:t>
            </w:r>
            <w:r w:rsidRPr="00C47952">
              <w:t xml:space="preserve"> at home) or facility</w:t>
            </w:r>
            <w:r>
              <w:t>-</w:t>
            </w:r>
            <w:r w:rsidRPr="00C47952">
              <w:t xml:space="preserve">based </w:t>
            </w:r>
            <w:r>
              <w:t xml:space="preserve">isolation </w:t>
            </w:r>
            <w:r w:rsidRPr="00C47952">
              <w:t>(</w:t>
            </w:r>
            <w:r>
              <w:t>for example,</w:t>
            </w:r>
            <w:r w:rsidRPr="00C47952">
              <w:t xml:space="preserve"> MIQ)</w:t>
            </w:r>
          </w:p>
        </w:tc>
      </w:tr>
      <w:tr w:rsidR="00136EB3" w:rsidRPr="00C47952" w14:paraId="67194399" w14:textId="77777777" w:rsidTr="00F41EA6">
        <w:tc>
          <w:tcPr>
            <w:tcW w:w="1980" w:type="dxa"/>
          </w:tcPr>
          <w:p w14:paraId="3601FF92" w14:textId="77777777" w:rsidR="00136EB3" w:rsidRPr="00F41EA6" w:rsidRDefault="00136EB3" w:rsidP="00F41EA6">
            <w:pPr>
              <w:pStyle w:val="TableText"/>
              <w:rPr>
                <w:b/>
                <w:bCs/>
              </w:rPr>
            </w:pPr>
            <w:r w:rsidRPr="00F41EA6">
              <w:rPr>
                <w:b/>
                <w:bCs/>
              </w:rPr>
              <w:t>Prohibitions to board or arrive in Aotearoa New Zealand under certain circumstances</w:t>
            </w:r>
          </w:p>
        </w:tc>
        <w:tc>
          <w:tcPr>
            <w:tcW w:w="6089" w:type="dxa"/>
          </w:tcPr>
          <w:p w14:paraId="05B66094" w14:textId="77777777" w:rsidR="00136EB3" w:rsidRPr="00C47952" w:rsidRDefault="00136EB3" w:rsidP="00F41EA6">
            <w:pPr>
              <w:pStyle w:val="TableText"/>
            </w:pPr>
            <w:r w:rsidRPr="00C47952">
              <w:t>Provision for an airline or ship to prohibit a person from boarding/departing for or arriving in Aotearoa</w:t>
            </w:r>
            <w:r>
              <w:t xml:space="preserve"> New Zealand</w:t>
            </w:r>
            <w:r w:rsidRPr="00C47952">
              <w:t xml:space="preserve"> if they have symptoms of COVID-19, have an active infection or are under a public health order to isolate</w:t>
            </w:r>
            <w:r>
              <w:t xml:space="preserve"> – s</w:t>
            </w:r>
            <w:r w:rsidRPr="00C47952">
              <w:t xml:space="preserve">eeks to reduce the risk of an active case entering the </w:t>
            </w:r>
            <w:r>
              <w:t>country</w:t>
            </w:r>
            <w:r w:rsidRPr="00C47952">
              <w:t xml:space="preserve"> and seeding new cases</w:t>
            </w:r>
          </w:p>
          <w:p w14:paraId="40A3CDC1" w14:textId="77777777" w:rsidR="00136EB3" w:rsidRPr="00C47952" w:rsidRDefault="00136EB3" w:rsidP="00F41EA6">
            <w:pPr>
              <w:pStyle w:val="TableText"/>
            </w:pPr>
            <w:r w:rsidRPr="00C47952">
              <w:t>Scope: Have active symptoms, are an active case or are under a public health order</w:t>
            </w:r>
          </w:p>
        </w:tc>
      </w:tr>
      <w:bookmarkEnd w:id="63"/>
    </w:tbl>
    <w:p w14:paraId="26CBD794" w14:textId="77777777" w:rsidR="00F41EA6" w:rsidRDefault="00F41EA6" w:rsidP="00136EB3">
      <w:pPr>
        <w:rPr>
          <w:rFonts w:cs="Segoe UI"/>
        </w:rPr>
        <w:sectPr w:rsidR="00F41EA6" w:rsidSect="00571968">
          <w:pgSz w:w="11907" w:h="16834" w:code="9"/>
          <w:pgMar w:top="1418" w:right="1701" w:bottom="1134" w:left="1843" w:header="284" w:footer="425" w:gutter="284"/>
          <w:cols w:space="720"/>
        </w:sect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5942"/>
      </w:tblGrid>
      <w:tr w:rsidR="00136EB3" w:rsidRPr="00F41EA6" w14:paraId="47B908C7" w14:textId="77777777" w:rsidTr="00F41EA6">
        <w:tc>
          <w:tcPr>
            <w:tcW w:w="8069" w:type="dxa"/>
            <w:gridSpan w:val="2"/>
            <w:tcBorders>
              <w:top w:val="nil"/>
              <w:bottom w:val="nil"/>
            </w:tcBorders>
            <w:shd w:val="clear" w:color="auto" w:fill="D9D9D9" w:themeFill="background1" w:themeFillShade="D9"/>
          </w:tcPr>
          <w:p w14:paraId="327182F0" w14:textId="77777777" w:rsidR="00136EB3" w:rsidRPr="00F41EA6" w:rsidRDefault="00136EB3" w:rsidP="00F41EA6">
            <w:pPr>
              <w:pStyle w:val="TableText"/>
              <w:rPr>
                <w:b/>
                <w:bCs/>
              </w:rPr>
            </w:pPr>
            <w:r w:rsidRPr="00F41EA6">
              <w:rPr>
                <w:b/>
                <w:bCs/>
              </w:rPr>
              <w:lastRenderedPageBreak/>
              <w:t>Support for individuals and communities</w:t>
            </w:r>
          </w:p>
        </w:tc>
      </w:tr>
      <w:tr w:rsidR="00136EB3" w:rsidRPr="00C47952" w14:paraId="675CE357" w14:textId="77777777" w:rsidTr="00F41EA6">
        <w:tc>
          <w:tcPr>
            <w:tcW w:w="2127" w:type="dxa"/>
            <w:tcBorders>
              <w:top w:val="nil"/>
            </w:tcBorders>
          </w:tcPr>
          <w:p w14:paraId="2092A119" w14:textId="77777777" w:rsidR="00136EB3" w:rsidRPr="00F41EA6" w:rsidRDefault="00136EB3" w:rsidP="00F41EA6">
            <w:pPr>
              <w:pStyle w:val="TableText"/>
              <w:rPr>
                <w:b/>
                <w:bCs/>
              </w:rPr>
            </w:pPr>
            <w:r w:rsidRPr="00F41EA6">
              <w:rPr>
                <w:b/>
                <w:bCs/>
              </w:rPr>
              <w:t>Health and welfare services to support individuals and whānau to isolate/ quarantine</w:t>
            </w:r>
          </w:p>
        </w:tc>
        <w:tc>
          <w:tcPr>
            <w:tcW w:w="5942" w:type="dxa"/>
            <w:tcBorders>
              <w:top w:val="nil"/>
            </w:tcBorders>
          </w:tcPr>
          <w:p w14:paraId="343AF7A7" w14:textId="77777777" w:rsidR="00136EB3" w:rsidRDefault="00136EB3" w:rsidP="00F41EA6">
            <w:pPr>
              <w:pStyle w:val="TableText"/>
            </w:pPr>
            <w:r w:rsidRPr="00C47952">
              <w:t>Provision of advice and welfare assistance to those who require additional support to self-isolate (if a confirmed case) or their wh</w:t>
            </w:r>
            <w:r>
              <w:t>ā</w:t>
            </w:r>
            <w:r w:rsidRPr="00C47952">
              <w:t xml:space="preserve">nau </w:t>
            </w:r>
            <w:r>
              <w:t xml:space="preserve"> </w:t>
            </w:r>
          </w:p>
          <w:p w14:paraId="553B84A7" w14:textId="77777777" w:rsidR="00136EB3" w:rsidRPr="00C47952" w:rsidRDefault="00136EB3" w:rsidP="00F41EA6">
            <w:pPr>
              <w:pStyle w:val="TableText"/>
            </w:pPr>
            <w:r>
              <w:t xml:space="preserve">Scope: </w:t>
            </w:r>
            <w:r w:rsidRPr="00C47952">
              <w:t xml:space="preserve">Can </w:t>
            </w:r>
            <w:r>
              <w:t>include</w:t>
            </w:r>
            <w:r w:rsidRPr="00C47952">
              <w:t xml:space="preserve"> food support</w:t>
            </w:r>
            <w:r>
              <w:t>, access to medicines</w:t>
            </w:r>
            <w:r w:rsidRPr="00C47952">
              <w:t xml:space="preserve"> and access to alternative accommodation for individuals who are unable to isolate safely at home or do not have a permanent address (</w:t>
            </w:r>
            <w:r>
              <w:t>that is,</w:t>
            </w:r>
            <w:r w:rsidRPr="00C47952">
              <w:t xml:space="preserve"> </w:t>
            </w:r>
            <w:r>
              <w:t xml:space="preserve">are </w:t>
            </w:r>
            <w:r w:rsidRPr="00C47952">
              <w:t>homeless or in temporary accommodation)</w:t>
            </w:r>
            <w:r>
              <w:t xml:space="preserve"> – can</w:t>
            </w:r>
            <w:r w:rsidRPr="00C47952">
              <w:t xml:space="preserve"> also assist with connecting individuals with various services to meet their immediate needs during and in transition from self-isolation</w:t>
            </w:r>
          </w:p>
        </w:tc>
      </w:tr>
      <w:tr w:rsidR="00136EB3" w:rsidRPr="00C47952" w14:paraId="7E478DC2" w14:textId="77777777" w:rsidTr="00F41EA6">
        <w:tc>
          <w:tcPr>
            <w:tcW w:w="2127" w:type="dxa"/>
          </w:tcPr>
          <w:p w14:paraId="718A774A" w14:textId="77777777" w:rsidR="00136EB3" w:rsidRPr="00F41EA6" w:rsidRDefault="00136EB3" w:rsidP="00F41EA6">
            <w:pPr>
              <w:pStyle w:val="TableText"/>
              <w:rPr>
                <w:b/>
                <w:bCs/>
              </w:rPr>
            </w:pPr>
            <w:r w:rsidRPr="00F41EA6">
              <w:rPr>
                <w:b/>
                <w:bCs/>
              </w:rPr>
              <w:t xml:space="preserve">Distance health care advice, consultation and support </w:t>
            </w:r>
          </w:p>
        </w:tc>
        <w:tc>
          <w:tcPr>
            <w:tcW w:w="5942" w:type="dxa"/>
          </w:tcPr>
          <w:p w14:paraId="680F474B" w14:textId="77777777" w:rsidR="00136EB3" w:rsidRPr="00C47952" w:rsidRDefault="00136EB3" w:rsidP="00F41EA6">
            <w:pPr>
              <w:pStyle w:val="TableText"/>
            </w:pPr>
            <w:r w:rsidRPr="00C47952">
              <w:t>Remote delivery of health</w:t>
            </w:r>
            <w:r>
              <w:t xml:space="preserve"> </w:t>
            </w:r>
            <w:r w:rsidRPr="00C47952">
              <w:t>care advice and support using digital technolog</w:t>
            </w:r>
            <w:r>
              <w:t>ies</w:t>
            </w:r>
            <w:r w:rsidRPr="00C47952">
              <w:t xml:space="preserve"> for those with COVID-19 and their whānau</w:t>
            </w:r>
          </w:p>
          <w:p w14:paraId="2D2EFA5D" w14:textId="77777777" w:rsidR="00136EB3" w:rsidRPr="00C47952" w:rsidRDefault="00136EB3" w:rsidP="00F41EA6">
            <w:pPr>
              <w:pStyle w:val="TableText"/>
            </w:pPr>
            <w:r w:rsidRPr="00C47952">
              <w:t>Scope: Telephone, text</w:t>
            </w:r>
            <w:r>
              <w:t xml:space="preserve"> </w:t>
            </w:r>
            <w:r w:rsidRPr="00C47952">
              <w:t>/</w:t>
            </w:r>
            <w:r>
              <w:t xml:space="preserve"> short messaging service (</w:t>
            </w:r>
            <w:r w:rsidRPr="00C47952">
              <w:t>SMS</w:t>
            </w:r>
            <w:r>
              <w:t>)</w:t>
            </w:r>
            <w:r w:rsidRPr="00C47952">
              <w:t xml:space="preserve"> and phone and email and messaging systems</w:t>
            </w:r>
            <w:r>
              <w:t xml:space="preserve"> </w:t>
            </w:r>
          </w:p>
        </w:tc>
      </w:tr>
      <w:tr w:rsidR="00136EB3" w:rsidRPr="00C47952" w14:paraId="707282F2" w14:textId="77777777" w:rsidTr="00F41EA6">
        <w:tc>
          <w:tcPr>
            <w:tcW w:w="2127" w:type="dxa"/>
          </w:tcPr>
          <w:p w14:paraId="1A1652BA" w14:textId="77777777" w:rsidR="00136EB3" w:rsidRPr="00F41EA6" w:rsidRDefault="00136EB3" w:rsidP="00F41EA6">
            <w:pPr>
              <w:pStyle w:val="TableText"/>
              <w:rPr>
                <w:b/>
                <w:bCs/>
              </w:rPr>
            </w:pPr>
            <w:r w:rsidRPr="00F41EA6">
              <w:rPr>
                <w:b/>
                <w:bCs/>
              </w:rPr>
              <w:t>Health care treatment and support (primary, community-based and tertiary care)</w:t>
            </w:r>
          </w:p>
        </w:tc>
        <w:tc>
          <w:tcPr>
            <w:tcW w:w="5942" w:type="dxa"/>
          </w:tcPr>
          <w:p w14:paraId="657057CD" w14:textId="77777777" w:rsidR="00136EB3" w:rsidRPr="00C47952" w:rsidRDefault="00136EB3" w:rsidP="00F41EA6">
            <w:pPr>
              <w:pStyle w:val="TableText"/>
            </w:pPr>
            <w:r w:rsidRPr="00C47952">
              <w:t xml:space="preserve">Broad range of </w:t>
            </w:r>
            <w:r>
              <w:t>services</w:t>
            </w:r>
            <w:r w:rsidRPr="00C47952">
              <w:t xml:space="preserve"> for the diagnosis, care and treatment for those with COVID-19 infections and those with post</w:t>
            </w:r>
            <w:r>
              <w:t>-</w:t>
            </w:r>
            <w:r w:rsidRPr="00C47952">
              <w:t xml:space="preserve">infection conditions (including </w:t>
            </w:r>
            <w:r>
              <w:t>l</w:t>
            </w:r>
            <w:r w:rsidRPr="00C47952">
              <w:t>ong COVID)</w:t>
            </w:r>
            <w:r>
              <w:t>, i</w:t>
            </w:r>
            <w:r w:rsidRPr="00C47952">
              <w:t xml:space="preserve">ncludes </w:t>
            </w:r>
            <w:r>
              <w:t>providing</w:t>
            </w:r>
            <w:r w:rsidRPr="00C47952">
              <w:t xml:space="preserve"> clinical care and therapeutics such as antivirals</w:t>
            </w:r>
          </w:p>
          <w:p w14:paraId="21E53016" w14:textId="77777777" w:rsidR="00136EB3" w:rsidRPr="00C47952" w:rsidRDefault="00136EB3" w:rsidP="00F41EA6">
            <w:pPr>
              <w:pStyle w:val="TableText"/>
            </w:pPr>
            <w:r w:rsidRPr="00C47952">
              <w:t xml:space="preserve">Scope: Testing, clinical assessment, treatment, </w:t>
            </w:r>
            <w:r>
              <w:t>manaaki / welfare support services</w:t>
            </w:r>
            <w:r w:rsidRPr="00C47952">
              <w:t xml:space="preserve"> and rehabilitation</w:t>
            </w:r>
            <w:r>
              <w:t>. Delivered through community care, pharmacies, primary and tertiary (hospitals) health care services</w:t>
            </w:r>
          </w:p>
        </w:tc>
      </w:tr>
      <w:tr w:rsidR="00136EB3" w:rsidRPr="00C47952" w14:paraId="7B850741" w14:textId="77777777" w:rsidTr="00F41EA6">
        <w:tc>
          <w:tcPr>
            <w:tcW w:w="2127" w:type="dxa"/>
          </w:tcPr>
          <w:p w14:paraId="74167EA3" w14:textId="77777777" w:rsidR="00136EB3" w:rsidRPr="00F41EA6" w:rsidRDefault="00136EB3" w:rsidP="00F41EA6">
            <w:pPr>
              <w:pStyle w:val="TableText"/>
              <w:rPr>
                <w:b/>
                <w:bCs/>
              </w:rPr>
            </w:pPr>
            <w:r w:rsidRPr="00F41EA6">
              <w:rPr>
                <w:b/>
                <w:bCs/>
              </w:rPr>
              <w:t>Financial and welfare support for individuals and whānau affected by COVID-19</w:t>
            </w:r>
          </w:p>
        </w:tc>
        <w:tc>
          <w:tcPr>
            <w:tcW w:w="5942" w:type="dxa"/>
          </w:tcPr>
          <w:p w14:paraId="1E0535D1" w14:textId="77777777" w:rsidR="00136EB3" w:rsidRPr="00C47952" w:rsidRDefault="00136EB3" w:rsidP="00F41EA6">
            <w:pPr>
              <w:pStyle w:val="TableText"/>
            </w:pPr>
            <w:r w:rsidRPr="00C47952">
              <w:t>Financial assistance to support those impacted by COVID-19 measures, such as payments to employers to help pay employees who have been advised to self-isolate because of COVID-19 and cannot work from home, and compensations to workers for loss of earnings during lock-down periods where they are unable to work from home</w:t>
            </w:r>
          </w:p>
          <w:p w14:paraId="48EE5D7B" w14:textId="77777777" w:rsidR="00136EB3" w:rsidRPr="00C47952" w:rsidRDefault="00136EB3" w:rsidP="00F41EA6">
            <w:pPr>
              <w:pStyle w:val="TableText"/>
            </w:pPr>
            <w:r w:rsidRPr="00C47952">
              <w:t>Scope: Leave</w:t>
            </w:r>
            <w:r>
              <w:t>-</w:t>
            </w:r>
            <w:r w:rsidRPr="00C47952">
              <w:t>support scheme, wage</w:t>
            </w:r>
            <w:r>
              <w:t>-</w:t>
            </w:r>
            <w:r w:rsidRPr="00C47952">
              <w:t>subsidy schemes</w:t>
            </w:r>
          </w:p>
        </w:tc>
      </w:tr>
      <w:tr w:rsidR="00136EB3" w:rsidRPr="00C47952" w14:paraId="67F7AF6F" w14:textId="77777777" w:rsidTr="00F41EA6">
        <w:tc>
          <w:tcPr>
            <w:tcW w:w="2127" w:type="dxa"/>
          </w:tcPr>
          <w:p w14:paraId="39744512" w14:textId="77777777" w:rsidR="00136EB3" w:rsidRPr="00F41EA6" w:rsidRDefault="00136EB3" w:rsidP="00F41EA6">
            <w:pPr>
              <w:pStyle w:val="TableText"/>
              <w:rPr>
                <w:b/>
                <w:bCs/>
              </w:rPr>
            </w:pPr>
            <w:r w:rsidRPr="00F41EA6">
              <w:rPr>
                <w:b/>
                <w:bCs/>
              </w:rPr>
              <w:t>Financial and advisory support to businesses and organisations impacted by COVID-19</w:t>
            </w:r>
          </w:p>
        </w:tc>
        <w:tc>
          <w:tcPr>
            <w:tcW w:w="5942" w:type="dxa"/>
          </w:tcPr>
          <w:p w14:paraId="3C8A9224" w14:textId="77777777" w:rsidR="00136EB3" w:rsidRPr="00C47952" w:rsidRDefault="00136EB3" w:rsidP="00F41EA6">
            <w:pPr>
              <w:pStyle w:val="TableText"/>
            </w:pPr>
            <w:r w:rsidRPr="00C47952">
              <w:t>Financial assistance and advice to businesses to mitigate the impact of COVID-19 and the measures to contain it</w:t>
            </w:r>
          </w:p>
          <w:p w14:paraId="2B153750" w14:textId="77777777" w:rsidR="00136EB3" w:rsidRPr="00C47952" w:rsidRDefault="00136EB3" w:rsidP="00F41EA6">
            <w:pPr>
              <w:pStyle w:val="TableText"/>
            </w:pPr>
            <w:r w:rsidRPr="00C47952">
              <w:t xml:space="preserve">Scope: Advice through to financial payments and loans </w:t>
            </w:r>
          </w:p>
        </w:tc>
      </w:tr>
    </w:tbl>
    <w:p w14:paraId="24121815" w14:textId="77777777" w:rsidR="00136EB3" w:rsidRPr="00C47952" w:rsidRDefault="00136EB3" w:rsidP="00136EB3">
      <w:pPr>
        <w:rPr>
          <w:rFonts w:cs="Segoe UI"/>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87"/>
        <w:gridCol w:w="6392"/>
      </w:tblGrid>
      <w:tr w:rsidR="00136EB3" w:rsidRPr="00F41EA6" w14:paraId="6245AFD6" w14:textId="77777777" w:rsidTr="00F41EA6">
        <w:trPr>
          <w:tblHeader/>
        </w:trPr>
        <w:tc>
          <w:tcPr>
            <w:tcW w:w="9016" w:type="dxa"/>
            <w:gridSpan w:val="2"/>
            <w:tcBorders>
              <w:top w:val="nil"/>
              <w:bottom w:val="nil"/>
            </w:tcBorders>
            <w:shd w:val="clear" w:color="auto" w:fill="D9D9D9" w:themeFill="background1" w:themeFillShade="D9"/>
          </w:tcPr>
          <w:p w14:paraId="6532A08A" w14:textId="77777777" w:rsidR="00136EB3" w:rsidRPr="00F41EA6" w:rsidRDefault="00136EB3" w:rsidP="00F41EA6">
            <w:pPr>
              <w:pStyle w:val="TableText"/>
              <w:rPr>
                <w:b/>
                <w:bCs/>
              </w:rPr>
            </w:pPr>
            <w:r w:rsidRPr="00F41EA6">
              <w:rPr>
                <w:b/>
                <w:bCs/>
              </w:rPr>
              <w:t>System enablers</w:t>
            </w:r>
          </w:p>
        </w:tc>
      </w:tr>
      <w:tr w:rsidR="00136EB3" w:rsidRPr="00C47952" w14:paraId="6D5FF5BA" w14:textId="77777777" w:rsidTr="00F41EA6">
        <w:tc>
          <w:tcPr>
            <w:tcW w:w="1696" w:type="dxa"/>
            <w:tcBorders>
              <w:top w:val="nil"/>
            </w:tcBorders>
          </w:tcPr>
          <w:p w14:paraId="26779F8D" w14:textId="77777777" w:rsidR="00136EB3" w:rsidRPr="00F41EA6" w:rsidRDefault="00136EB3" w:rsidP="00F41EA6">
            <w:pPr>
              <w:pStyle w:val="TableText"/>
              <w:rPr>
                <w:b/>
                <w:bCs/>
              </w:rPr>
            </w:pPr>
            <w:r w:rsidRPr="00F41EA6">
              <w:rPr>
                <w:b/>
                <w:bCs/>
              </w:rPr>
              <w:t>Surveillance</w:t>
            </w:r>
          </w:p>
        </w:tc>
        <w:tc>
          <w:tcPr>
            <w:tcW w:w="7320" w:type="dxa"/>
            <w:tcBorders>
              <w:top w:val="nil"/>
            </w:tcBorders>
          </w:tcPr>
          <w:p w14:paraId="5630B2E5" w14:textId="77777777" w:rsidR="00136EB3" w:rsidRPr="00C47952" w:rsidRDefault="00136EB3" w:rsidP="00F41EA6">
            <w:pPr>
              <w:pStyle w:val="TableText"/>
              <w:rPr>
                <w:rFonts w:eastAsia="Segoe UI"/>
              </w:rPr>
            </w:pPr>
            <w:r w:rsidRPr="49D929B8">
              <w:rPr>
                <w:rFonts w:eastAsia="Segoe UI"/>
              </w:rPr>
              <w:t xml:space="preserve">Public health surveillance provides the scientific and </w:t>
            </w:r>
            <w:bookmarkStart w:id="64" w:name="_Int_GRho8jq7"/>
            <w:r w:rsidRPr="49D929B8">
              <w:rPr>
                <w:rFonts w:eastAsia="Segoe UI"/>
              </w:rPr>
              <w:t>factual information</w:t>
            </w:r>
            <w:bookmarkEnd w:id="64"/>
            <w:r w:rsidRPr="49D929B8">
              <w:rPr>
                <w:rFonts w:eastAsia="Segoe UI"/>
              </w:rPr>
              <w:t xml:space="preserve"> essential to inform decision</w:t>
            </w:r>
            <w:r>
              <w:rPr>
                <w:rFonts w:eastAsia="Segoe UI"/>
              </w:rPr>
              <w:t>-</w:t>
            </w:r>
            <w:r w:rsidRPr="49D929B8">
              <w:rPr>
                <w:rFonts w:eastAsia="Segoe UI"/>
              </w:rPr>
              <w:t>making and appropriate public health action</w:t>
            </w:r>
            <w:r>
              <w:rPr>
                <w:rFonts w:eastAsia="Segoe UI"/>
              </w:rPr>
              <w:t xml:space="preserve"> –</w:t>
            </w:r>
            <w:r w:rsidRPr="5F88EC9E">
              <w:rPr>
                <w:rFonts w:eastAsia="Segoe UI"/>
              </w:rPr>
              <w:t xml:space="preserve"> a tool to estimate the health status and behaviour of populations</w:t>
            </w:r>
          </w:p>
          <w:p w14:paraId="254BF0C1" w14:textId="77777777" w:rsidR="00136EB3" w:rsidRPr="00C47952" w:rsidRDefault="00136EB3" w:rsidP="00F41EA6">
            <w:pPr>
              <w:pStyle w:val="TableText"/>
            </w:pPr>
            <w:r w:rsidRPr="0DE50B9F">
              <w:t>Scope:</w:t>
            </w:r>
            <w:r w:rsidRPr="3C90D19B">
              <w:t xml:space="preserve"> </w:t>
            </w:r>
            <w:r>
              <w:t>P</w:t>
            </w:r>
            <w:r w:rsidRPr="3C90D19B">
              <w:t xml:space="preserve">opulation and subpopulation testing, </w:t>
            </w:r>
            <w:r w:rsidRPr="1CF9BE6F">
              <w:t>border and waste</w:t>
            </w:r>
            <w:r>
              <w:t>-</w:t>
            </w:r>
            <w:r w:rsidRPr="1CF9BE6F">
              <w:t>water</w:t>
            </w:r>
            <w:r w:rsidRPr="3C90D19B">
              <w:t xml:space="preserve"> testing</w:t>
            </w:r>
            <w:r w:rsidRPr="32EB82EC">
              <w:t xml:space="preserve">, </w:t>
            </w:r>
            <w:r w:rsidRPr="65B99027">
              <w:t xml:space="preserve">behavioural surveys, </w:t>
            </w:r>
            <w:r w:rsidRPr="0BE8E746">
              <w:t xml:space="preserve">data on </w:t>
            </w:r>
            <w:r w:rsidRPr="73D854F5">
              <w:t xml:space="preserve">health </w:t>
            </w:r>
            <w:r w:rsidRPr="4A8B4FBB">
              <w:t xml:space="preserve">system </w:t>
            </w:r>
            <w:r w:rsidRPr="5FED64DE">
              <w:t>capacity</w:t>
            </w:r>
            <w:r w:rsidRPr="4A8B4FBB">
              <w:t>, vaccine</w:t>
            </w:r>
            <w:r w:rsidRPr="640FDEEE">
              <w:t xml:space="preserve"> </w:t>
            </w:r>
            <w:r w:rsidRPr="6E6624B0">
              <w:t>coverage</w:t>
            </w:r>
            <w:r w:rsidRPr="4252A8DC">
              <w:t xml:space="preserve">, </w:t>
            </w:r>
            <w:r w:rsidRPr="1757687F">
              <w:t>hospitalisation and mortality</w:t>
            </w:r>
          </w:p>
        </w:tc>
      </w:tr>
      <w:tr w:rsidR="00136EB3" w:rsidRPr="00C47952" w14:paraId="7A852AAE" w14:textId="77777777" w:rsidTr="00F41EA6">
        <w:tc>
          <w:tcPr>
            <w:tcW w:w="1696" w:type="dxa"/>
          </w:tcPr>
          <w:p w14:paraId="1562C3B4" w14:textId="77777777" w:rsidR="00136EB3" w:rsidRPr="00F41EA6" w:rsidRDefault="00136EB3" w:rsidP="00F41EA6">
            <w:pPr>
              <w:pStyle w:val="TableText"/>
              <w:rPr>
                <w:b/>
                <w:bCs/>
              </w:rPr>
            </w:pPr>
            <w:r w:rsidRPr="00F41EA6">
              <w:rPr>
                <w:b/>
                <w:bCs/>
              </w:rPr>
              <w:t>Communications</w:t>
            </w:r>
          </w:p>
        </w:tc>
        <w:tc>
          <w:tcPr>
            <w:tcW w:w="7320" w:type="dxa"/>
          </w:tcPr>
          <w:p w14:paraId="08FA8FDC" w14:textId="77777777" w:rsidR="00136EB3" w:rsidRPr="00C47952" w:rsidRDefault="00136EB3" w:rsidP="00F41EA6">
            <w:pPr>
              <w:pStyle w:val="TableText"/>
            </w:pPr>
            <w:r>
              <w:t>Risk communication and dissemination of i</w:t>
            </w:r>
            <w:r w:rsidRPr="7BAE49FC">
              <w:t xml:space="preserve">nformation </w:t>
            </w:r>
            <w:r>
              <w:t>using methods</w:t>
            </w:r>
            <w:r w:rsidRPr="7BAE49FC">
              <w:t xml:space="preserve"> </w:t>
            </w:r>
            <w:r>
              <w:t xml:space="preserve">and channels </w:t>
            </w:r>
            <w:r w:rsidRPr="7BAE49FC">
              <w:t xml:space="preserve">that </w:t>
            </w:r>
            <w:r>
              <w:t xml:space="preserve">effectively </w:t>
            </w:r>
            <w:r w:rsidRPr="7BAE49FC">
              <w:t xml:space="preserve">reach </w:t>
            </w:r>
            <w:r w:rsidRPr="59823DB5">
              <w:t>intended audiences</w:t>
            </w:r>
            <w:r>
              <w:t xml:space="preserve"> – such information needs to e</w:t>
            </w:r>
            <w:r w:rsidRPr="7BAE49FC">
              <w:t>mpower</w:t>
            </w:r>
            <w:r>
              <w:t xml:space="preserve"> </w:t>
            </w:r>
            <w:r w:rsidRPr="7BAE49FC">
              <w:t>individuals</w:t>
            </w:r>
            <w:r>
              <w:t xml:space="preserve">, </w:t>
            </w:r>
            <w:r w:rsidRPr="7BAE49FC">
              <w:t xml:space="preserve">communities </w:t>
            </w:r>
            <w:r>
              <w:t xml:space="preserve">and other stakeholders </w:t>
            </w:r>
            <w:r w:rsidRPr="7BAE49FC">
              <w:t xml:space="preserve">to act in ways that </w:t>
            </w:r>
            <w:r w:rsidRPr="15765BCF">
              <w:t>promote</w:t>
            </w:r>
            <w:r w:rsidRPr="7BAE49FC">
              <w:t xml:space="preserve"> and </w:t>
            </w:r>
            <w:r w:rsidRPr="15765BCF">
              <w:t>protect</w:t>
            </w:r>
            <w:r w:rsidRPr="7BAE49FC">
              <w:t xml:space="preserve"> the health of their wider community</w:t>
            </w:r>
            <w:r w:rsidRPr="15765BCF">
              <w:t>, whānau and themselves</w:t>
            </w:r>
            <w:r>
              <w:t xml:space="preserve"> and includes methods to understand and combat misinformation and disinformation</w:t>
            </w:r>
          </w:p>
          <w:p w14:paraId="0F6D98A2" w14:textId="77777777" w:rsidR="00136EB3" w:rsidRPr="00C47952" w:rsidRDefault="00136EB3" w:rsidP="00F41EA6">
            <w:pPr>
              <w:pStyle w:val="TableText"/>
            </w:pPr>
            <w:r w:rsidRPr="73E636C8">
              <w:t>Scope: Television</w:t>
            </w:r>
            <w:r w:rsidRPr="70058B7E">
              <w:t>,</w:t>
            </w:r>
            <w:r w:rsidRPr="73E636C8">
              <w:t xml:space="preserve"> </w:t>
            </w:r>
            <w:r>
              <w:t>print, digital, social media</w:t>
            </w:r>
            <w:r w:rsidRPr="3E52E1E3">
              <w:t xml:space="preserve"> </w:t>
            </w:r>
            <w:r w:rsidRPr="70058B7E">
              <w:t xml:space="preserve">and radio </w:t>
            </w:r>
            <w:r>
              <w:t>messaging</w:t>
            </w:r>
            <w:r w:rsidRPr="3E52E1E3">
              <w:t xml:space="preserve">, </w:t>
            </w:r>
            <w:r>
              <w:t>communication of research findings, information s</w:t>
            </w:r>
            <w:r w:rsidRPr="7E5B6568">
              <w:t xml:space="preserve">haring </w:t>
            </w:r>
            <w:r>
              <w:t xml:space="preserve">providers, </w:t>
            </w:r>
            <w:r w:rsidRPr="01926EB3">
              <w:t xml:space="preserve">iwi and </w:t>
            </w:r>
            <w:r w:rsidRPr="442C4CEF">
              <w:t>local providers</w:t>
            </w:r>
          </w:p>
        </w:tc>
      </w:tr>
      <w:tr w:rsidR="00136EB3" w:rsidRPr="00C47952" w14:paraId="6EBC61A3" w14:textId="77777777" w:rsidTr="00F41EA6">
        <w:tc>
          <w:tcPr>
            <w:tcW w:w="1696" w:type="dxa"/>
          </w:tcPr>
          <w:p w14:paraId="61C35F61" w14:textId="77777777" w:rsidR="00136EB3" w:rsidRPr="00F41EA6" w:rsidRDefault="00136EB3" w:rsidP="00F41EA6">
            <w:pPr>
              <w:pStyle w:val="TableText"/>
              <w:rPr>
                <w:b/>
                <w:bCs/>
              </w:rPr>
            </w:pPr>
            <w:r w:rsidRPr="00F41EA6">
              <w:rPr>
                <w:b/>
                <w:bCs/>
              </w:rPr>
              <w:lastRenderedPageBreak/>
              <w:t>Science, research and technological innovations</w:t>
            </w:r>
          </w:p>
        </w:tc>
        <w:tc>
          <w:tcPr>
            <w:tcW w:w="7320" w:type="dxa"/>
          </w:tcPr>
          <w:p w14:paraId="1F2EE3FB" w14:textId="77777777" w:rsidR="00136EB3" w:rsidRDefault="00136EB3" w:rsidP="00F41EA6">
            <w:pPr>
              <w:pStyle w:val="TableText"/>
            </w:pPr>
            <w:r>
              <w:t>Generation of research, science and technological knowledge that can be translated into innovations that help prevent and manage COVID-19</w:t>
            </w:r>
          </w:p>
          <w:p w14:paraId="64ECE28F" w14:textId="77777777" w:rsidR="00136EB3" w:rsidRPr="00C47952" w:rsidRDefault="00136EB3" w:rsidP="00F41EA6">
            <w:pPr>
              <w:pStyle w:val="TableText"/>
            </w:pPr>
            <w:r>
              <w:t>Scope: Vaccines, testing, therapeutics, infection prevention and control innovations, health promotion, data and digital technologies, virtual health care innovations, data sharing developments, etc</w:t>
            </w:r>
          </w:p>
        </w:tc>
      </w:tr>
      <w:tr w:rsidR="00136EB3" w:rsidRPr="00C47952" w14:paraId="5476BBDF" w14:textId="77777777" w:rsidTr="00F41EA6">
        <w:tc>
          <w:tcPr>
            <w:tcW w:w="1696" w:type="dxa"/>
          </w:tcPr>
          <w:p w14:paraId="4BFA9450" w14:textId="77777777" w:rsidR="00136EB3" w:rsidRPr="00F41EA6" w:rsidRDefault="00136EB3" w:rsidP="00F41EA6">
            <w:pPr>
              <w:pStyle w:val="TableText"/>
              <w:rPr>
                <w:b/>
                <w:bCs/>
              </w:rPr>
            </w:pPr>
            <w:r w:rsidRPr="00F41EA6">
              <w:rPr>
                <w:b/>
                <w:bCs/>
              </w:rPr>
              <w:t>Government funding</w:t>
            </w:r>
          </w:p>
        </w:tc>
        <w:tc>
          <w:tcPr>
            <w:tcW w:w="7320" w:type="dxa"/>
          </w:tcPr>
          <w:p w14:paraId="6718A2B1" w14:textId="77777777" w:rsidR="00136EB3" w:rsidRDefault="00136EB3" w:rsidP="00F41EA6">
            <w:pPr>
              <w:pStyle w:val="TableText"/>
            </w:pPr>
            <w:r>
              <w:t>Fiscal resources from the Crown to implement all aspects of the COVID-19 response and the longer-term management of COVID-19 as it becomes integrated into a strengthened health and disability system</w:t>
            </w:r>
          </w:p>
          <w:p w14:paraId="37265424" w14:textId="77777777" w:rsidR="00136EB3" w:rsidRPr="00C47952" w:rsidRDefault="00136EB3" w:rsidP="00F41EA6">
            <w:pPr>
              <w:pStyle w:val="TableText"/>
            </w:pPr>
            <w:r>
              <w:t>Scope: Funding through Votes Health; Social Development; Business, Science and Innovation; and Customs, as well as other government agencies</w:t>
            </w:r>
          </w:p>
        </w:tc>
      </w:tr>
      <w:tr w:rsidR="00136EB3" w:rsidRPr="00C47952" w14:paraId="4986E8DE" w14:textId="77777777" w:rsidTr="00F41EA6">
        <w:tc>
          <w:tcPr>
            <w:tcW w:w="1696" w:type="dxa"/>
          </w:tcPr>
          <w:p w14:paraId="6A124F33" w14:textId="77777777" w:rsidR="00136EB3" w:rsidRPr="00F41EA6" w:rsidRDefault="00136EB3" w:rsidP="00F41EA6">
            <w:pPr>
              <w:pStyle w:val="TableText"/>
              <w:rPr>
                <w:b/>
                <w:bCs/>
              </w:rPr>
            </w:pPr>
            <w:r w:rsidRPr="00F41EA6">
              <w:rPr>
                <w:b/>
                <w:bCs/>
              </w:rPr>
              <w:t>Workforce</w:t>
            </w:r>
          </w:p>
        </w:tc>
        <w:tc>
          <w:tcPr>
            <w:tcW w:w="7320" w:type="dxa"/>
          </w:tcPr>
          <w:p w14:paraId="5B7534A9" w14:textId="77777777" w:rsidR="00136EB3" w:rsidRDefault="00136EB3" w:rsidP="00F41EA6">
            <w:pPr>
              <w:pStyle w:val="TableText"/>
            </w:pPr>
            <w:r>
              <w:t>Growing and developing a resilient, diverse and substantiable workforce for all aspects of the COVID-19 response</w:t>
            </w:r>
          </w:p>
          <w:p w14:paraId="3A722F21" w14:textId="77777777" w:rsidR="00136EB3" w:rsidRPr="00C47952" w:rsidRDefault="00136EB3" w:rsidP="00F41EA6">
            <w:pPr>
              <w:pStyle w:val="TableText"/>
            </w:pPr>
            <w:r w:rsidRPr="697737BE">
              <w:t xml:space="preserve">Scope: </w:t>
            </w:r>
            <w:r>
              <w:t>C</w:t>
            </w:r>
            <w:r w:rsidRPr="770486CA">
              <w:t>linical and</w:t>
            </w:r>
            <w:r w:rsidRPr="777E9029">
              <w:t xml:space="preserve"> </w:t>
            </w:r>
            <w:r w:rsidRPr="1AD0A631">
              <w:t xml:space="preserve">non-clinical </w:t>
            </w:r>
            <w:r w:rsidRPr="3D4F77B0">
              <w:t>staff</w:t>
            </w:r>
            <w:r>
              <w:t>, researchers, laboratory technicians, data analysts, pharmacists, lay vaccinators, public health specialists, kaiāwhina, etc</w:t>
            </w:r>
          </w:p>
        </w:tc>
      </w:tr>
      <w:tr w:rsidR="00136EB3" w:rsidRPr="00C47952" w14:paraId="287AF4CF" w14:textId="77777777" w:rsidTr="00F41EA6">
        <w:trPr>
          <w:trHeight w:val="1684"/>
        </w:trPr>
        <w:tc>
          <w:tcPr>
            <w:tcW w:w="1696" w:type="dxa"/>
          </w:tcPr>
          <w:p w14:paraId="57A06B5B" w14:textId="77777777" w:rsidR="00136EB3" w:rsidRPr="00F41EA6" w:rsidRDefault="00136EB3" w:rsidP="00F41EA6">
            <w:pPr>
              <w:pStyle w:val="TableText"/>
              <w:rPr>
                <w:b/>
                <w:bCs/>
              </w:rPr>
            </w:pPr>
            <w:r w:rsidRPr="00F41EA6">
              <w:rPr>
                <w:b/>
                <w:bCs/>
              </w:rPr>
              <w:t>Information and communications technology</w:t>
            </w:r>
          </w:p>
        </w:tc>
        <w:tc>
          <w:tcPr>
            <w:tcW w:w="7320" w:type="dxa"/>
          </w:tcPr>
          <w:p w14:paraId="404372AD" w14:textId="77777777" w:rsidR="00136EB3" w:rsidRDefault="00136EB3" w:rsidP="00F41EA6">
            <w:pPr>
              <w:pStyle w:val="TableText"/>
            </w:pPr>
            <w:r>
              <w:t>Ensuring the right information and communications technology (ICT) systems, tools and data are in place to support delivery of our response</w:t>
            </w:r>
          </w:p>
          <w:p w14:paraId="769330E9" w14:textId="77777777" w:rsidR="00136EB3" w:rsidRDefault="00136EB3" w:rsidP="00F41EA6">
            <w:pPr>
              <w:pStyle w:val="TableText"/>
            </w:pPr>
          </w:p>
          <w:p w14:paraId="07C8413A" w14:textId="77777777" w:rsidR="00136EB3" w:rsidRPr="43CC0D02" w:rsidRDefault="00136EB3" w:rsidP="00F41EA6">
            <w:pPr>
              <w:pStyle w:val="TableText"/>
            </w:pPr>
            <w:r>
              <w:t>Scope: Systems and software to support delivery of our response, including the data and personnel enabling the systems to function effectively, whether centralised or decentralised</w:t>
            </w:r>
          </w:p>
        </w:tc>
      </w:tr>
      <w:tr w:rsidR="00136EB3" w:rsidRPr="00C47952" w14:paraId="5B10E144" w14:textId="77777777" w:rsidTr="00F41EA6">
        <w:tc>
          <w:tcPr>
            <w:tcW w:w="1696" w:type="dxa"/>
          </w:tcPr>
          <w:p w14:paraId="100E7F85" w14:textId="77777777" w:rsidR="00136EB3" w:rsidRPr="00F41EA6" w:rsidRDefault="00136EB3" w:rsidP="00F41EA6">
            <w:pPr>
              <w:pStyle w:val="TableText"/>
              <w:rPr>
                <w:b/>
                <w:bCs/>
              </w:rPr>
            </w:pPr>
            <w:r w:rsidRPr="00F41EA6">
              <w:rPr>
                <w:b/>
                <w:bCs/>
              </w:rPr>
              <w:t>Regulatory and legislative tools</w:t>
            </w:r>
          </w:p>
        </w:tc>
        <w:tc>
          <w:tcPr>
            <w:tcW w:w="7320" w:type="dxa"/>
          </w:tcPr>
          <w:p w14:paraId="173ECE63" w14:textId="77777777" w:rsidR="00136EB3" w:rsidRDefault="00136EB3" w:rsidP="00F41EA6">
            <w:pPr>
              <w:pStyle w:val="TableText"/>
            </w:pPr>
            <w:r w:rsidRPr="43CC0D02">
              <w:t xml:space="preserve">Regulatory and </w:t>
            </w:r>
            <w:r w:rsidRPr="6E3D5F81">
              <w:t xml:space="preserve">legislative </w:t>
            </w:r>
            <w:r>
              <w:t>tools</w:t>
            </w:r>
            <w:r w:rsidRPr="6E3D5F81">
              <w:t xml:space="preserve"> </w:t>
            </w:r>
            <w:r>
              <w:t xml:space="preserve">used by the government to achieve a certain outcome, such as to </w:t>
            </w:r>
            <w:r w:rsidRPr="4922E03E">
              <w:t xml:space="preserve">require </w:t>
            </w:r>
            <w:r w:rsidRPr="76CB3C07">
              <w:t xml:space="preserve">certain </w:t>
            </w:r>
            <w:r w:rsidRPr="2F30EF26">
              <w:t>behaviours</w:t>
            </w:r>
            <w:r w:rsidRPr="76CB3C07">
              <w:t xml:space="preserve"> </w:t>
            </w:r>
            <w:r>
              <w:t xml:space="preserve">or actions to </w:t>
            </w:r>
            <w:r w:rsidRPr="003BD280">
              <w:t xml:space="preserve">limit the </w:t>
            </w:r>
            <w:r w:rsidRPr="3D84395A">
              <w:t>spread of COVID-19</w:t>
            </w:r>
            <w:r>
              <w:t xml:space="preserve">, </w:t>
            </w:r>
            <w:r w:rsidRPr="277A7B70">
              <w:t xml:space="preserve">protect people from severe </w:t>
            </w:r>
            <w:r w:rsidRPr="6E1EA77E">
              <w:t>illness</w:t>
            </w:r>
            <w:r>
              <w:t xml:space="preserve"> or mitigate the impact of COVID-19 – also includes global cooperation agreements and obligations, such as the International Health Regulations</w:t>
            </w:r>
          </w:p>
          <w:p w14:paraId="5F8060DD" w14:textId="77777777" w:rsidR="00136EB3" w:rsidRPr="00C47952" w:rsidRDefault="00136EB3" w:rsidP="00F41EA6">
            <w:pPr>
              <w:pStyle w:val="TableText"/>
            </w:pPr>
            <w:r w:rsidRPr="5AE7AD6F">
              <w:t>Scope:</w:t>
            </w:r>
            <w:r>
              <w:t xml:space="preserve"> Includes Health </w:t>
            </w:r>
            <w:r w:rsidRPr="0D43E3DB">
              <w:t>Act 1956</w:t>
            </w:r>
            <w:r>
              <w:t xml:space="preserve">, Epidemic Preparedness Act 2006, </w:t>
            </w:r>
            <w:r w:rsidRPr="78E6E1B1">
              <w:t>COVID</w:t>
            </w:r>
            <w:r w:rsidRPr="5D3DF600">
              <w:t>-19 Public Health Response Act</w:t>
            </w:r>
            <w:r w:rsidRPr="5CF8FF11">
              <w:t xml:space="preserve"> </w:t>
            </w:r>
            <w:r>
              <w:t>2020 (and orders made under this Act), Immigration Act 2009, Customs and Excise Act 2018, International Health Regulations (2005) and others</w:t>
            </w:r>
          </w:p>
        </w:tc>
      </w:tr>
      <w:tr w:rsidR="00136EB3" w:rsidRPr="00C47952" w14:paraId="7CB043D6" w14:textId="77777777" w:rsidTr="00F41EA6">
        <w:tc>
          <w:tcPr>
            <w:tcW w:w="1696" w:type="dxa"/>
          </w:tcPr>
          <w:p w14:paraId="319EC585" w14:textId="77777777" w:rsidR="00136EB3" w:rsidRPr="00F41EA6" w:rsidRDefault="00136EB3" w:rsidP="00F41EA6">
            <w:pPr>
              <w:pStyle w:val="TableText"/>
              <w:rPr>
                <w:b/>
                <w:bCs/>
              </w:rPr>
            </w:pPr>
            <w:r w:rsidRPr="00F41EA6">
              <w:rPr>
                <w:b/>
                <w:bCs/>
              </w:rPr>
              <w:t>Partnerships and engagement</w:t>
            </w:r>
          </w:p>
        </w:tc>
        <w:tc>
          <w:tcPr>
            <w:tcW w:w="7320" w:type="dxa"/>
          </w:tcPr>
          <w:p w14:paraId="330C54A9" w14:textId="77777777" w:rsidR="00136EB3" w:rsidRPr="00644514" w:rsidRDefault="00136EB3" w:rsidP="00F41EA6">
            <w:pPr>
              <w:pStyle w:val="TableText"/>
            </w:pPr>
            <w:r>
              <w:t>Broad range of a</w:t>
            </w:r>
            <w:r w:rsidRPr="00644514">
              <w:t xml:space="preserve">ctions to build relationships to contribute to a shared outcome </w:t>
            </w:r>
          </w:p>
          <w:p w14:paraId="7B18ACF6" w14:textId="77777777" w:rsidR="00136EB3" w:rsidRPr="006D6257" w:rsidRDefault="00136EB3" w:rsidP="00F41EA6">
            <w:pPr>
              <w:pStyle w:val="TableText"/>
            </w:pPr>
            <w:r w:rsidRPr="00644514">
              <w:t xml:space="preserve">Scope: </w:t>
            </w:r>
            <w:r>
              <w:t>E</w:t>
            </w:r>
            <w:r w:rsidRPr="00644514">
              <w:t>ngaging with individuals</w:t>
            </w:r>
            <w:r>
              <w:t>, communities</w:t>
            </w:r>
            <w:r w:rsidRPr="00644514">
              <w:t xml:space="preserve"> or </w:t>
            </w:r>
            <w:r>
              <w:t>organisations</w:t>
            </w:r>
            <w:r w:rsidRPr="00644514">
              <w:t xml:space="preserve"> at national, regional </w:t>
            </w:r>
            <w:r>
              <w:t>and</w:t>
            </w:r>
            <w:r w:rsidRPr="00644514">
              <w:t xml:space="preserve"> local levels</w:t>
            </w:r>
            <w:r>
              <w:t>, including whānau, hapori and iwi Māori.</w:t>
            </w:r>
          </w:p>
        </w:tc>
      </w:tr>
      <w:tr w:rsidR="00136EB3" w:rsidRPr="00C47952" w14:paraId="7AF5EDF9" w14:textId="77777777" w:rsidTr="00F41EA6">
        <w:tc>
          <w:tcPr>
            <w:tcW w:w="1696" w:type="dxa"/>
          </w:tcPr>
          <w:p w14:paraId="11276D4B" w14:textId="77777777" w:rsidR="00136EB3" w:rsidRPr="00F41EA6" w:rsidRDefault="00136EB3" w:rsidP="00F41EA6">
            <w:pPr>
              <w:pStyle w:val="TableText"/>
              <w:rPr>
                <w:b/>
                <w:bCs/>
              </w:rPr>
            </w:pPr>
            <w:r w:rsidRPr="00F41EA6">
              <w:rPr>
                <w:b/>
                <w:bCs/>
              </w:rPr>
              <w:t>Governance and decision-making frameworks</w:t>
            </w:r>
          </w:p>
        </w:tc>
        <w:tc>
          <w:tcPr>
            <w:tcW w:w="7320" w:type="dxa"/>
          </w:tcPr>
          <w:p w14:paraId="30989629" w14:textId="77777777" w:rsidR="00136EB3" w:rsidRDefault="00136EB3" w:rsidP="00F41EA6">
            <w:pPr>
              <w:pStyle w:val="TableText"/>
            </w:pPr>
            <w:r w:rsidRPr="0093733C">
              <w:t>Fit</w:t>
            </w:r>
            <w:r>
              <w:t>-</w:t>
            </w:r>
            <w:r w:rsidRPr="0093733C">
              <w:t>for</w:t>
            </w:r>
            <w:r>
              <w:t>-</w:t>
            </w:r>
            <w:r w:rsidRPr="0093733C">
              <w:t xml:space="preserve">purpose </w:t>
            </w:r>
            <w:r>
              <w:t xml:space="preserve">and transparent decision-making </w:t>
            </w:r>
            <w:r w:rsidRPr="0093733C">
              <w:t>arrangement</w:t>
            </w:r>
            <w:r>
              <w:t>s at national, regional and local levels that can be adapted as needed to support various levels of the response, that consider Te Tiriti obligations to partner with Māori and ensuring Māori are part of the decision-making process and that provide access to appropriate technical expertise to support evidence-based decision making</w:t>
            </w:r>
          </w:p>
          <w:p w14:paraId="68C57A69" w14:textId="77777777" w:rsidR="00136EB3" w:rsidRPr="00B145A6" w:rsidRDefault="00136EB3" w:rsidP="00F41EA6">
            <w:pPr>
              <w:pStyle w:val="TableText"/>
            </w:pPr>
            <w:r>
              <w:t>Scope: All-of-government, ministerial, agency or sector-specific at national, regional and local levels.</w:t>
            </w:r>
          </w:p>
        </w:tc>
      </w:tr>
    </w:tbl>
    <w:p w14:paraId="47B775DF" w14:textId="77777777" w:rsidR="00136EB3" w:rsidRPr="00085BA9" w:rsidRDefault="00136EB3" w:rsidP="00136EB3">
      <w:pPr>
        <w:rPr>
          <w:rFonts w:cs="Segoe UI"/>
        </w:rPr>
      </w:pPr>
    </w:p>
    <w:p w14:paraId="31175DA8" w14:textId="77777777" w:rsidR="00136EB3" w:rsidRPr="00136EB3" w:rsidRDefault="00136EB3" w:rsidP="00136EB3"/>
    <w:sectPr w:rsidR="00136EB3" w:rsidRPr="00136EB3" w:rsidSect="00571968">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965A" w14:textId="77777777" w:rsidR="00F57C2F" w:rsidRDefault="00F57C2F">
      <w:r>
        <w:separator/>
      </w:r>
    </w:p>
    <w:p w14:paraId="57229D63" w14:textId="77777777" w:rsidR="00F57C2F" w:rsidRDefault="00F57C2F"/>
  </w:endnote>
  <w:endnote w:type="continuationSeparator" w:id="0">
    <w:p w14:paraId="2BDD21EA" w14:textId="77777777" w:rsidR="00F57C2F" w:rsidRDefault="00F57C2F">
      <w:r>
        <w:continuationSeparator/>
      </w:r>
    </w:p>
    <w:p w14:paraId="5D6AD50A" w14:textId="77777777" w:rsidR="00F57C2F" w:rsidRDefault="00F57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6C6A39B2" w:rsidR="00571968" w:rsidRPr="00581136" w:rsidRDefault="00571968"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571968" w:rsidRPr="005A79E5" w:rsidRDefault="0057196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571968" w:rsidRDefault="00571968"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571968" w:rsidRDefault="005719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571968" w14:paraId="4C3A3BF7" w14:textId="77777777" w:rsidTr="00D662F8">
      <w:trPr>
        <w:cantSplit/>
      </w:trPr>
      <w:tc>
        <w:tcPr>
          <w:tcW w:w="709" w:type="dxa"/>
          <w:vAlign w:val="center"/>
        </w:tcPr>
        <w:p w14:paraId="28F87ED7" w14:textId="77777777" w:rsidR="00571968" w:rsidRPr="00931466" w:rsidRDefault="0057196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77777777" w:rsidR="00571968" w:rsidRDefault="00571968" w:rsidP="00926083">
          <w:pPr>
            <w:pStyle w:val="RectoFooter"/>
            <w:jc w:val="left"/>
          </w:pPr>
          <w:r>
            <w:t>[INSERT TITLE]</w:t>
          </w:r>
        </w:p>
      </w:tc>
    </w:tr>
  </w:tbl>
  <w:p w14:paraId="711B5D80" w14:textId="77777777" w:rsidR="00571968" w:rsidRPr="00571223" w:rsidRDefault="00571968"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24C2D" w14:paraId="0A53E719" w14:textId="77777777" w:rsidTr="00B771E8">
      <w:trPr>
        <w:cantSplit/>
      </w:trPr>
      <w:tc>
        <w:tcPr>
          <w:tcW w:w="8080" w:type="dxa"/>
          <w:vAlign w:val="center"/>
        </w:tcPr>
        <w:p w14:paraId="07203C9F" w14:textId="77777777" w:rsidR="00C24C2D" w:rsidRDefault="00C24C2D" w:rsidP="00C24C2D">
          <w:pPr>
            <w:pStyle w:val="RectoFooter"/>
          </w:pPr>
          <w:r w:rsidRPr="00136EB3">
            <w:t>Aotearoa New Zealand Strategic Framework for Managing COVID-19</w:t>
          </w:r>
        </w:p>
      </w:tc>
      <w:tc>
        <w:tcPr>
          <w:tcW w:w="709" w:type="dxa"/>
          <w:vAlign w:val="center"/>
        </w:tcPr>
        <w:p w14:paraId="7AC24812" w14:textId="77777777" w:rsidR="00C24C2D" w:rsidRPr="00931466" w:rsidRDefault="00C24C2D" w:rsidP="00C24C2D">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23EB8C7D" w14:textId="77777777" w:rsidR="00C24C2D" w:rsidRPr="00C24C2D" w:rsidRDefault="00C24C2D">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571968" w14:paraId="7E34FA6B" w14:textId="77777777" w:rsidTr="00D662F8">
      <w:trPr>
        <w:cantSplit/>
      </w:trPr>
      <w:tc>
        <w:tcPr>
          <w:tcW w:w="675" w:type="dxa"/>
          <w:vAlign w:val="center"/>
        </w:tcPr>
        <w:p w14:paraId="6281C317" w14:textId="77777777" w:rsidR="00571968" w:rsidRPr="00931466" w:rsidRDefault="0057196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71732FC" w:rsidR="00571968" w:rsidRDefault="00C24C2D" w:rsidP="000D58DD">
          <w:pPr>
            <w:pStyle w:val="RectoFooter"/>
            <w:jc w:val="left"/>
          </w:pPr>
          <w:r w:rsidRPr="00136EB3">
            <w:t>Aotearoa New Zealand Strategic Framework for Managing COVID-19</w:t>
          </w:r>
        </w:p>
      </w:tc>
    </w:tr>
  </w:tbl>
  <w:p w14:paraId="5177CEA2" w14:textId="77777777" w:rsidR="00571968" w:rsidRPr="00571223" w:rsidRDefault="00571968"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571968" w14:paraId="47337729" w14:textId="77777777" w:rsidTr="00D662F8">
      <w:trPr>
        <w:cantSplit/>
      </w:trPr>
      <w:tc>
        <w:tcPr>
          <w:tcW w:w="8080" w:type="dxa"/>
          <w:vAlign w:val="center"/>
        </w:tcPr>
        <w:p w14:paraId="1A33CBD1" w14:textId="162673E9" w:rsidR="00571968" w:rsidRDefault="00571968" w:rsidP="00931466">
          <w:pPr>
            <w:pStyle w:val="RectoFooter"/>
          </w:pPr>
          <w:r w:rsidRPr="00136EB3">
            <w:t>Aotearoa New Zealand Strategic Framework for Managing COVID-19</w:t>
          </w:r>
        </w:p>
      </w:tc>
      <w:tc>
        <w:tcPr>
          <w:tcW w:w="709" w:type="dxa"/>
          <w:vAlign w:val="center"/>
        </w:tcPr>
        <w:p w14:paraId="501EC334" w14:textId="77777777" w:rsidR="00571968" w:rsidRPr="00931466" w:rsidRDefault="0057196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571968" w:rsidRPr="00581EB8" w:rsidRDefault="00571968"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571968" w14:paraId="0A3B8675" w14:textId="77777777" w:rsidTr="00571968">
      <w:trPr>
        <w:cantSplit/>
      </w:trPr>
      <w:tc>
        <w:tcPr>
          <w:tcW w:w="8080" w:type="dxa"/>
          <w:vAlign w:val="center"/>
        </w:tcPr>
        <w:p w14:paraId="0E803375" w14:textId="24B916E1" w:rsidR="00571968" w:rsidRDefault="00571968" w:rsidP="00136EB3">
          <w:pPr>
            <w:pStyle w:val="RectoFooter"/>
          </w:pPr>
          <w:r w:rsidRPr="00136EB3">
            <w:t>Aotearoa New Zealand Strategic Framework for Managing COVID-19</w:t>
          </w:r>
        </w:p>
      </w:tc>
      <w:tc>
        <w:tcPr>
          <w:tcW w:w="709" w:type="dxa"/>
          <w:vAlign w:val="center"/>
        </w:tcPr>
        <w:p w14:paraId="6742D6E9" w14:textId="77777777" w:rsidR="00571968" w:rsidRPr="00931466" w:rsidRDefault="00571968" w:rsidP="00136EB3">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7F1434D8" w14:textId="77777777" w:rsidR="00571968" w:rsidRPr="00136EB3" w:rsidRDefault="0057196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B702" w14:textId="77777777" w:rsidR="00571968" w:rsidRDefault="0057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973A" w14:textId="77777777" w:rsidR="00F57C2F" w:rsidRPr="00A26E6B" w:rsidRDefault="00F57C2F" w:rsidP="00A26E6B"/>
  </w:footnote>
  <w:footnote w:type="continuationSeparator" w:id="0">
    <w:p w14:paraId="66EA471C" w14:textId="77777777" w:rsidR="00F57C2F" w:rsidRDefault="00F57C2F">
      <w:r>
        <w:continuationSeparator/>
      </w:r>
    </w:p>
    <w:p w14:paraId="44B6E552" w14:textId="77777777" w:rsidR="00F57C2F" w:rsidRDefault="00F57C2F"/>
  </w:footnote>
  <w:footnote w:id="1">
    <w:p w14:paraId="4E2EA6A1" w14:textId="77777777" w:rsidR="00571968" w:rsidRPr="00095725" w:rsidRDefault="00571968" w:rsidP="00136EB3">
      <w:pPr>
        <w:pStyle w:val="FootnoteText"/>
        <w:rPr>
          <w:lang w:val="en-GB"/>
        </w:rPr>
      </w:pPr>
      <w:r>
        <w:rPr>
          <w:rStyle w:val="FootnoteReference"/>
        </w:rPr>
        <w:footnoteRef/>
      </w:r>
      <w:r>
        <w:t xml:space="preserve"> </w:t>
      </w:r>
      <w:r>
        <w:rPr>
          <w:lang w:val="en-GB"/>
        </w:rPr>
        <w:t xml:space="preserve">National Crisis Management Centre Planning Manager. 2020. </w:t>
      </w:r>
      <w:r>
        <w:rPr>
          <w:i/>
          <w:iCs/>
          <w:lang w:val="en-GB"/>
        </w:rPr>
        <w:t xml:space="preserve">National Action Plan 3: National Crisis Management Centre. </w:t>
      </w:r>
      <w:r>
        <w:rPr>
          <w:lang w:val="en-GB"/>
        </w:rPr>
        <w:t xml:space="preserve">Unite against COVID-19. URL: </w:t>
      </w:r>
      <w:hyperlink r:id="rId1" w:history="1">
        <w:r w:rsidRPr="00656C42">
          <w:rPr>
            <w:rStyle w:val="Hyperlink"/>
            <w:lang w:val="en-GB"/>
          </w:rPr>
          <w:t>https://covid19.govt.nz/assets/resources/legislation-and-key-documents/COVID19-National-Action-Plan-3-as-of-22-April-extended.pdf</w:t>
        </w:r>
      </w:hyperlink>
      <w:r>
        <w:rPr>
          <w:lang w:val="en-GB"/>
        </w:rPr>
        <w:t xml:space="preserve"> (accessed 1 August 2023).</w:t>
      </w:r>
    </w:p>
  </w:footnote>
  <w:footnote w:id="2">
    <w:p w14:paraId="6EBB531D" w14:textId="77777777" w:rsidR="00571968" w:rsidRPr="00095725" w:rsidRDefault="00571968" w:rsidP="00136EB3">
      <w:pPr>
        <w:pStyle w:val="FootnoteText"/>
        <w:rPr>
          <w:lang w:val="en-GB"/>
        </w:rPr>
      </w:pPr>
      <w:r>
        <w:rPr>
          <w:rStyle w:val="FootnoteReference"/>
        </w:rPr>
        <w:footnoteRef/>
      </w:r>
      <w:r>
        <w:t xml:space="preserve"> </w:t>
      </w:r>
      <w:r>
        <w:rPr>
          <w:rFonts w:cs="Segoe UI"/>
          <w:color w:val="000000" w:themeColor="text1"/>
        </w:rPr>
        <w:t>Manatū Hauora</w:t>
      </w:r>
      <w:r>
        <w:rPr>
          <w:lang w:val="en-GB"/>
        </w:rPr>
        <w:t xml:space="preserve">. 2022. </w:t>
      </w:r>
      <w:r w:rsidRPr="00095725">
        <w:rPr>
          <w:i/>
          <w:iCs/>
          <w:lang w:val="en-GB"/>
        </w:rPr>
        <w:t>Summary of Aotearoa New Zealand’s Strategic Framework for COVID-19 Variants of Concern – Summary for Cabinet</w:t>
      </w:r>
      <w:r>
        <w:rPr>
          <w:lang w:val="en-GB"/>
        </w:rPr>
        <w:t xml:space="preserve">. </w:t>
      </w:r>
      <w:r>
        <w:rPr>
          <w:rFonts w:cs="Segoe UI"/>
          <w:color w:val="000000" w:themeColor="text1"/>
        </w:rPr>
        <w:t>Manatū Hauora</w:t>
      </w:r>
      <w:r>
        <w:rPr>
          <w:lang w:val="en-GB"/>
        </w:rPr>
        <w:t xml:space="preserve">. URL: </w:t>
      </w:r>
      <w:hyperlink r:id="rId2" w:history="1">
        <w:r w:rsidRPr="00656C42">
          <w:rPr>
            <w:rStyle w:val="Hyperlink"/>
            <w:lang w:val="en-GB"/>
          </w:rPr>
          <w:t>www.health.govt.nz/system/files/documents/pages/220601_final_summary_of_voc_sf_for_cabinet_paper_21_june.pdf</w:t>
        </w:r>
      </w:hyperlink>
      <w:r>
        <w:rPr>
          <w:lang w:val="en-GB"/>
        </w:rPr>
        <w:t xml:space="preserve"> (accessed 1 August 2023).</w:t>
      </w:r>
    </w:p>
  </w:footnote>
  <w:footnote w:id="3">
    <w:p w14:paraId="53FD2AF3" w14:textId="77777777" w:rsidR="00571968" w:rsidRDefault="00571968" w:rsidP="00136EB3">
      <w:pPr>
        <w:pStyle w:val="FootnoteText"/>
      </w:pPr>
      <w:r>
        <w:rPr>
          <w:rStyle w:val="FootnoteReference"/>
        </w:rPr>
        <w:footnoteRef/>
      </w:r>
      <w:r>
        <w:t xml:space="preserve"> Immune evasion is where pathogenic organisms, such as variants of the COVID-19 virus, bypass or suppress a body's attempts to detect or kill them.</w:t>
      </w:r>
    </w:p>
  </w:footnote>
  <w:footnote w:id="4">
    <w:p w14:paraId="326588BD" w14:textId="77777777" w:rsidR="00571968" w:rsidRPr="00FC0139" w:rsidRDefault="00571968" w:rsidP="00136EB3">
      <w:pPr>
        <w:pStyle w:val="FootnoteText"/>
        <w:rPr>
          <w:lang w:val="en-GB"/>
        </w:rPr>
      </w:pPr>
      <w:r>
        <w:rPr>
          <w:rStyle w:val="FootnoteReference"/>
        </w:rPr>
        <w:footnoteRef/>
      </w:r>
      <w:r>
        <w:t xml:space="preserve"> See the plan on the New Zealand Legislation website at URL: </w:t>
      </w:r>
      <w:hyperlink r:id="rId3" w:anchor="DLM6485804" w:history="1">
        <w:r w:rsidRPr="00656C42">
          <w:rPr>
            <w:rStyle w:val="Hyperlink"/>
          </w:rPr>
          <w:t>www.legislation.govt.nz/regulation/public/2015/0140/latest/DLM6485804.html#DLM6485804</w:t>
        </w:r>
      </w:hyperlink>
      <w:r>
        <w:t xml:space="preserve"> </w:t>
      </w:r>
    </w:p>
  </w:footnote>
  <w:footnote w:id="5">
    <w:p w14:paraId="7C3B9A0A" w14:textId="77777777" w:rsidR="00571968" w:rsidRPr="00095725" w:rsidRDefault="00571968" w:rsidP="00136EB3">
      <w:pPr>
        <w:pStyle w:val="FootnoteText"/>
        <w:rPr>
          <w:lang w:val="en-GB"/>
        </w:rPr>
      </w:pPr>
      <w:r>
        <w:rPr>
          <w:rStyle w:val="FootnoteReference"/>
        </w:rPr>
        <w:footnoteRef/>
      </w:r>
      <w:r>
        <w:t xml:space="preserve"> </w:t>
      </w:r>
      <w:r>
        <w:rPr>
          <w:rFonts w:cs="Segoe UI"/>
          <w:color w:val="000000" w:themeColor="text1"/>
        </w:rPr>
        <w:t>Manatū Hauora</w:t>
      </w:r>
      <w:r>
        <w:rPr>
          <w:lang w:val="en-GB"/>
        </w:rPr>
        <w:t xml:space="preserve">. 2015. </w:t>
      </w:r>
      <w:r>
        <w:rPr>
          <w:i/>
          <w:iCs/>
          <w:lang w:val="en-GB"/>
        </w:rPr>
        <w:t xml:space="preserve">National Health Emergency Plan: A framework for the health and disability sector. </w:t>
      </w:r>
      <w:r>
        <w:rPr>
          <w:lang w:val="en-GB"/>
        </w:rPr>
        <w:t xml:space="preserve">Wellington: </w:t>
      </w:r>
      <w:r>
        <w:rPr>
          <w:rFonts w:cs="Segoe UI"/>
          <w:color w:val="000000" w:themeColor="text1"/>
        </w:rPr>
        <w:t>Manatū Hauora</w:t>
      </w:r>
      <w:r>
        <w:rPr>
          <w:lang w:val="en-GB"/>
        </w:rPr>
        <w:t xml:space="preserve">. URL: </w:t>
      </w:r>
      <w:hyperlink r:id="rId4" w:history="1">
        <w:r w:rsidRPr="0066226C">
          <w:rPr>
            <w:rStyle w:val="Hyperlink"/>
            <w:lang w:val="en-GB"/>
          </w:rPr>
          <w:t>www.health.govt.nz/publication/national-health-emergency-plan-framework-health-and-disability-sector</w:t>
        </w:r>
      </w:hyperlink>
      <w:r>
        <w:rPr>
          <w:lang w:val="en-GB"/>
        </w:rPr>
        <w:t xml:space="preserve"> (accessed 1 August 2023).</w:t>
      </w:r>
    </w:p>
  </w:footnote>
  <w:footnote w:id="6">
    <w:p w14:paraId="15917A9B" w14:textId="77777777" w:rsidR="00571968" w:rsidRPr="00095725" w:rsidRDefault="00571968" w:rsidP="00136EB3">
      <w:pPr>
        <w:pStyle w:val="FootnoteText"/>
        <w:rPr>
          <w:lang w:val="mi-NZ"/>
        </w:rPr>
      </w:pPr>
      <w:r>
        <w:rPr>
          <w:rStyle w:val="FootnoteReference"/>
        </w:rPr>
        <w:footnoteRef/>
      </w:r>
      <w:r>
        <w:t xml:space="preserve"> </w:t>
      </w:r>
      <w:r>
        <w:rPr>
          <w:rFonts w:cs="Segoe UI"/>
          <w:color w:val="000000" w:themeColor="text1"/>
        </w:rPr>
        <w:t>Manatū Hauora</w:t>
      </w:r>
      <w:r>
        <w:rPr>
          <w:lang w:val="mi-NZ"/>
        </w:rPr>
        <w:t xml:space="preserve">. 2021. </w:t>
      </w:r>
      <w:r>
        <w:rPr>
          <w:i/>
          <w:iCs/>
          <w:lang w:val="mi-NZ"/>
        </w:rPr>
        <w:t xml:space="preserve">COVID-19 Māori Health Protection Plan. </w:t>
      </w:r>
      <w:r>
        <w:rPr>
          <w:lang w:val="mi-NZ"/>
        </w:rPr>
        <w:t xml:space="preserve">Wellington: </w:t>
      </w:r>
      <w:r>
        <w:rPr>
          <w:rFonts w:cs="Segoe UI"/>
          <w:color w:val="000000" w:themeColor="text1"/>
        </w:rPr>
        <w:t>Manatū Hauora</w:t>
      </w:r>
      <w:r>
        <w:rPr>
          <w:lang w:val="mi-NZ"/>
        </w:rPr>
        <w:t xml:space="preserve">. URL: </w:t>
      </w:r>
      <w:hyperlink r:id="rId5" w:history="1">
        <w:r w:rsidRPr="008D1B5B">
          <w:rPr>
            <w:rStyle w:val="Hyperlink"/>
            <w:lang w:val="mi-NZ"/>
          </w:rPr>
          <w:t>www.health.govt.nz/publication/covid-19-maori-health-protection-plan</w:t>
        </w:r>
      </w:hyperlink>
      <w:r>
        <w:rPr>
          <w:lang w:val="mi-NZ"/>
        </w:rPr>
        <w:t xml:space="preserve"> (accessed 1 August 2023).</w:t>
      </w:r>
    </w:p>
  </w:footnote>
  <w:footnote w:id="7">
    <w:p w14:paraId="09194149" w14:textId="77777777" w:rsidR="00571968" w:rsidRPr="00095725" w:rsidRDefault="00571968" w:rsidP="00136EB3">
      <w:pPr>
        <w:pStyle w:val="FootnoteText"/>
        <w:rPr>
          <w:lang w:val="mi-NZ"/>
        </w:rPr>
      </w:pPr>
      <w:r>
        <w:rPr>
          <w:rStyle w:val="FootnoteReference"/>
        </w:rPr>
        <w:footnoteRef/>
      </w:r>
      <w:r>
        <w:t xml:space="preserve"> </w:t>
      </w:r>
      <w:r>
        <w:rPr>
          <w:rFonts w:cs="Segoe UI"/>
          <w:color w:val="000000" w:themeColor="text1"/>
        </w:rPr>
        <w:t>Manatū Hauora</w:t>
      </w:r>
      <w:r>
        <w:rPr>
          <w:lang w:val="en-GB"/>
        </w:rPr>
        <w:t xml:space="preserve">. 2020. </w:t>
      </w:r>
      <w:r>
        <w:rPr>
          <w:i/>
          <w:iCs/>
          <w:lang w:val="en-GB"/>
        </w:rPr>
        <w:t>Whakamaua: M</w:t>
      </w:r>
      <w:r>
        <w:rPr>
          <w:i/>
          <w:iCs/>
          <w:lang w:val="mi-NZ"/>
        </w:rPr>
        <w:t xml:space="preserve">āori Health Action Plan 2020–2025. </w:t>
      </w:r>
      <w:r>
        <w:rPr>
          <w:lang w:val="mi-NZ"/>
        </w:rPr>
        <w:t xml:space="preserve">Wellington: </w:t>
      </w:r>
      <w:r>
        <w:rPr>
          <w:rFonts w:cs="Segoe UI"/>
          <w:color w:val="000000" w:themeColor="text1"/>
        </w:rPr>
        <w:t>Manatū Hauora</w:t>
      </w:r>
      <w:r>
        <w:rPr>
          <w:lang w:val="mi-NZ"/>
        </w:rPr>
        <w:t xml:space="preserve">. URL: </w:t>
      </w:r>
      <w:hyperlink r:id="rId6" w:history="1">
        <w:r w:rsidRPr="00656C42">
          <w:rPr>
            <w:rStyle w:val="Hyperlink"/>
            <w:lang w:val="mi-NZ"/>
          </w:rPr>
          <w:t>www.health.govt.nz/publication/whakamaua-maori-health-action-plan-2020-2025</w:t>
        </w:r>
      </w:hyperlink>
      <w:r>
        <w:rPr>
          <w:lang w:val="mi-NZ"/>
        </w:rPr>
        <w:t xml:space="preserve"> (accessed 1 August 2023).</w:t>
      </w:r>
    </w:p>
  </w:footnote>
  <w:footnote w:id="8">
    <w:p w14:paraId="28EA511B" w14:textId="77777777" w:rsidR="00571968" w:rsidRPr="00095725" w:rsidRDefault="00571968" w:rsidP="00136EB3">
      <w:pPr>
        <w:pStyle w:val="FootnoteText"/>
        <w:rPr>
          <w:lang w:val="mi-NZ"/>
        </w:rPr>
      </w:pPr>
      <w:r>
        <w:rPr>
          <w:rStyle w:val="FootnoteReference"/>
        </w:rPr>
        <w:footnoteRef/>
      </w:r>
      <w:r>
        <w:t xml:space="preserve"> </w:t>
      </w:r>
      <w:r>
        <w:rPr>
          <w:lang w:val="mi-NZ"/>
        </w:rPr>
        <w:t xml:space="preserve">Te Aka Whai Ora, Te Whatu Ora. 2022. </w:t>
      </w:r>
      <w:r>
        <w:rPr>
          <w:i/>
          <w:iCs/>
          <w:lang w:val="mi-NZ"/>
        </w:rPr>
        <w:t xml:space="preserve">Te Pae Tata Interim New Zealand Health Plan 2022. </w:t>
      </w:r>
      <w:r>
        <w:rPr>
          <w:lang w:val="mi-NZ"/>
        </w:rPr>
        <w:t xml:space="preserve">Te Aka Whai Ora – Māori Health Authority, Te Whatu Ora – Health New Zealand. URL: </w:t>
      </w:r>
      <w:hyperlink r:id="rId7" w:history="1">
        <w:r w:rsidRPr="00CE5E5E">
          <w:rPr>
            <w:rStyle w:val="Hyperlink"/>
            <w:lang w:val="mi-NZ"/>
          </w:rPr>
          <w:t>www.tewhatuora.govt.nz/publications/te-pae-tata-interim-new-zealand-health-plan-2022/</w:t>
        </w:r>
      </w:hyperlink>
      <w:r>
        <w:rPr>
          <w:lang w:val="mi-NZ"/>
        </w:rPr>
        <w:t xml:space="preserve"> (accessed 1 August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71968" w14:paraId="11530A0D" w14:textId="77777777" w:rsidTr="008F2B72">
      <w:trPr>
        <w:cantSplit/>
      </w:trPr>
      <w:tc>
        <w:tcPr>
          <w:tcW w:w="5210" w:type="dxa"/>
          <w:vAlign w:val="center"/>
        </w:tcPr>
        <w:p w14:paraId="2BDE3162" w14:textId="4E67EED4" w:rsidR="00571968" w:rsidRDefault="00571968" w:rsidP="00B26F0F">
          <w:pPr>
            <w:pStyle w:val="Header"/>
          </w:pPr>
          <w:bookmarkStart w:id="0" w:name="_Hlk110933925"/>
          <w:r>
            <w:rPr>
              <w:noProof/>
              <w:lang w:eastAsia="en-NZ"/>
            </w:rPr>
            <w:drawing>
              <wp:inline distT="0" distB="0" distL="0" distR="0" wp14:anchorId="04421456" wp14:editId="6DE3678B">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71968" w:rsidRDefault="00571968" w:rsidP="00571968">
          <w:pPr>
            <w:pStyle w:val="Header"/>
            <w:jc w:val="right"/>
          </w:pPr>
          <w:r>
            <w:rPr>
              <w:noProof/>
            </w:rPr>
            <w:drawing>
              <wp:anchor distT="0" distB="0" distL="114300" distR="114300" simplePos="0" relativeHeight="251658240" behindDoc="0" locked="0" layoutInCell="1" allowOverlap="1" wp14:anchorId="1D75C094" wp14:editId="62970817">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2A73B157" w14:textId="1381B145" w:rsidR="00571968" w:rsidRDefault="00571968">
    <w:pPr>
      <w:pStyle w:val="Header"/>
    </w:pPr>
  </w:p>
  <w:p w14:paraId="14BDE500" w14:textId="5406E932" w:rsidR="00571968" w:rsidRDefault="00571968">
    <w:pPr>
      <w:pStyle w:val="Header"/>
    </w:pPr>
  </w:p>
  <w:p w14:paraId="282D05D9" w14:textId="77777777" w:rsidR="00571968" w:rsidRDefault="00571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3CE0" w14:textId="1C8EB785" w:rsidR="00C24C2D" w:rsidRDefault="00C24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2ADC1085" w:rsidR="00571968" w:rsidRDefault="00571968" w:rsidP="00533B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2EC90C57" w:rsidR="00571968" w:rsidRDefault="00571968" w:rsidP="00900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6D0F4B1C" w:rsidR="00571968" w:rsidRDefault="005719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D84A" w14:textId="5728DA3C" w:rsidR="00571968" w:rsidRDefault="00571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D494" w14:textId="77777777" w:rsidR="00571968" w:rsidRDefault="0057196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8B65BF"/>
    <w:multiLevelType w:val="hybridMultilevel"/>
    <w:tmpl w:val="2F2AA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805E13"/>
    <w:multiLevelType w:val="hybridMultilevel"/>
    <w:tmpl w:val="A71EA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2D4D2E"/>
    <w:multiLevelType w:val="hybridMultilevel"/>
    <w:tmpl w:val="60421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5846A1"/>
    <w:multiLevelType w:val="multilevel"/>
    <w:tmpl w:val="C29C8E02"/>
    <w:lvl w:ilvl="0">
      <w:start w:val="1"/>
      <w:numFmt w:val="bullet"/>
      <w:lvlText w:val=""/>
      <w:lvlJc w:val="left"/>
      <w:pPr>
        <w:ind w:left="425" w:hanging="425"/>
      </w:pPr>
      <w:rPr>
        <w:rFonts w:ascii="Symbol" w:hAnsi="Symbol" w:hint="default"/>
      </w:rPr>
    </w:lvl>
    <w:lvl w:ilvl="1">
      <w:start w:val="1"/>
      <w:numFmt w:val="lowerLetter"/>
      <w:lvlText w:val="%2)"/>
      <w:lvlJc w:val="left"/>
      <w:pPr>
        <w:ind w:left="850" w:hanging="425"/>
      </w:pPr>
    </w:lvl>
    <w:lvl w:ilvl="2">
      <w:start w:val="1"/>
      <w:numFmt w:val="lowerRoman"/>
      <w:lvlText w:val="%3)"/>
      <w:lvlJc w:val="left"/>
      <w:pPr>
        <w:ind w:left="1275" w:hanging="425"/>
      </w:pPr>
      <w:rPr>
        <w:rFont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Calibri" w:hAnsi="Calibri"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Calibri" w:hAnsi="Calibri" w:hint="default"/>
      </w:rPr>
    </w:lvl>
  </w:abstractNum>
  <w:abstractNum w:abstractNumId="6" w15:restartNumberingAfterBreak="0">
    <w:nsid w:val="2C5C72EB"/>
    <w:multiLevelType w:val="hybridMultilevel"/>
    <w:tmpl w:val="E9E6C9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AC5BCC"/>
    <w:multiLevelType w:val="multilevel"/>
    <w:tmpl w:val="9D0EC154"/>
    <w:lvl w:ilvl="0">
      <w:start w:val="1"/>
      <w:numFmt w:val="decimal"/>
      <w:pStyle w:val="CabStandard"/>
      <w:lvlText w:val="%1"/>
      <w:lvlJc w:val="left"/>
      <w:pPr>
        <w:tabs>
          <w:tab w:val="num" w:pos="720"/>
        </w:tabs>
        <w:ind w:left="720" w:hanging="720"/>
      </w:pPr>
      <w:rPr>
        <w:rFonts w:hint="default"/>
        <w:b w:val="0"/>
        <w:bCs w:val="0"/>
        <w:i w:val="0"/>
        <w:iCs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15:restartNumberingAfterBreak="0">
    <w:nsid w:val="39095EC4"/>
    <w:multiLevelType w:val="hybridMultilevel"/>
    <w:tmpl w:val="94AE5DB6"/>
    <w:lvl w:ilvl="0" w:tplc="8C5E6532">
      <w:start w:val="1"/>
      <w:numFmt w:val="decimal"/>
      <w:pStyle w:val="ReportBody-MOH"/>
      <w:lvlText w:val="%1."/>
      <w:lvlJc w:val="left"/>
      <w:pPr>
        <w:ind w:left="851" w:hanging="851"/>
      </w:pPr>
      <w:rPr>
        <w:rFonts w:ascii="Segoe UI" w:hAnsi="Segoe UI" w:cs="Segoe UI" w:hint="default"/>
        <w:i w:val="0"/>
        <w:color w:val="auto"/>
      </w:rPr>
    </w:lvl>
    <w:lvl w:ilvl="1" w:tplc="13840C7A">
      <w:start w:val="1"/>
      <w:numFmt w:val="lowerLetter"/>
      <w:pStyle w:val="ReportBody2-MOH"/>
      <w:lvlText w:val="%2."/>
      <w:lvlJc w:val="left"/>
      <w:pPr>
        <w:ind w:left="1276" w:hanging="425"/>
      </w:pPr>
      <w:rPr>
        <w:rFonts w:ascii="Segoe UI" w:hAnsi="Segoe UI" w:cs="Segoe UI" w:hint="default"/>
      </w:rPr>
    </w:lvl>
    <w:lvl w:ilvl="2" w:tplc="68727390">
      <w:start w:val="1"/>
      <w:numFmt w:val="lowerRoman"/>
      <w:lvlText w:val="%3."/>
      <w:lvlJc w:val="right"/>
      <w:pPr>
        <w:ind w:left="1800" w:hanging="180"/>
      </w:pPr>
    </w:lvl>
    <w:lvl w:ilvl="3" w:tplc="F670C2BA">
      <w:start w:val="1"/>
      <w:numFmt w:val="decimal"/>
      <w:lvlText w:val="%4."/>
      <w:lvlJc w:val="left"/>
      <w:pPr>
        <w:ind w:left="2520" w:hanging="360"/>
      </w:pPr>
    </w:lvl>
    <w:lvl w:ilvl="4" w:tplc="DA685F56">
      <w:start w:val="1"/>
      <w:numFmt w:val="lowerLetter"/>
      <w:lvlText w:val="%5."/>
      <w:lvlJc w:val="left"/>
      <w:pPr>
        <w:ind w:left="3240" w:hanging="360"/>
      </w:pPr>
    </w:lvl>
    <w:lvl w:ilvl="5" w:tplc="C67C171C">
      <w:start w:val="1"/>
      <w:numFmt w:val="lowerRoman"/>
      <w:lvlText w:val="%6."/>
      <w:lvlJc w:val="right"/>
      <w:pPr>
        <w:ind w:left="3960" w:hanging="180"/>
      </w:pPr>
    </w:lvl>
    <w:lvl w:ilvl="6" w:tplc="0E7C0786">
      <w:start w:val="1"/>
      <w:numFmt w:val="decimal"/>
      <w:lvlText w:val="%7."/>
      <w:lvlJc w:val="left"/>
      <w:pPr>
        <w:ind w:left="4680" w:hanging="360"/>
      </w:pPr>
    </w:lvl>
    <w:lvl w:ilvl="7" w:tplc="166CABCE">
      <w:start w:val="1"/>
      <w:numFmt w:val="lowerLetter"/>
      <w:lvlText w:val="%8."/>
      <w:lvlJc w:val="left"/>
      <w:pPr>
        <w:ind w:left="5400" w:hanging="360"/>
      </w:pPr>
    </w:lvl>
    <w:lvl w:ilvl="8" w:tplc="881E6A9A">
      <w:start w:val="1"/>
      <w:numFmt w:val="lowerRoman"/>
      <w:lvlText w:val="%9."/>
      <w:lvlJc w:val="right"/>
      <w:pPr>
        <w:ind w:left="6120" w:hanging="180"/>
      </w:pPr>
    </w:lvl>
  </w:abstractNum>
  <w:abstractNum w:abstractNumId="9"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21560"/>
    <w:multiLevelType w:val="hybridMultilevel"/>
    <w:tmpl w:val="623CF4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51A11DA"/>
    <w:multiLevelType w:val="hybridMultilevel"/>
    <w:tmpl w:val="023C37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73C4E98"/>
    <w:multiLevelType w:val="hybridMultilevel"/>
    <w:tmpl w:val="D42C3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EA5361E"/>
    <w:multiLevelType w:val="hybridMultilevel"/>
    <w:tmpl w:val="A92C959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B365053"/>
    <w:multiLevelType w:val="hybridMultilevel"/>
    <w:tmpl w:val="799E09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1470DE6"/>
    <w:multiLevelType w:val="multilevel"/>
    <w:tmpl w:val="E130B3DA"/>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rPr>
    </w:lvl>
    <w:lvl w:ilvl="2">
      <w:start w:val="1"/>
      <w:numFmt w:val="bullet"/>
      <w:lvlText w:val="o"/>
      <w:lvlJc w:val="left"/>
      <w:pPr>
        <w:ind w:left="1275" w:hanging="425"/>
      </w:pPr>
      <w:rPr>
        <w:rFonts w:ascii="Courier New" w:hAnsi="Courier New" w:cs="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Calibri" w:hAnsi="Calibri"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Calibri" w:hAnsi="Calibri" w:hint="default"/>
      </w:rPr>
    </w:lvl>
  </w:abstractNum>
  <w:abstractNum w:abstractNumId="17" w15:restartNumberingAfterBreak="0">
    <w:nsid w:val="7A17268C"/>
    <w:multiLevelType w:val="hybridMultilevel"/>
    <w:tmpl w:val="1728D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D503F9"/>
    <w:multiLevelType w:val="hybridMultilevel"/>
    <w:tmpl w:val="C3CAD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B2B71C2"/>
    <w:multiLevelType w:val="hybridMultilevel"/>
    <w:tmpl w:val="EA462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0"/>
  </w:num>
  <w:num w:numId="2">
    <w:abstractNumId w:val="9"/>
  </w:num>
  <w:num w:numId="3">
    <w:abstractNumId w:val="10"/>
  </w:num>
  <w:num w:numId="4">
    <w:abstractNumId w:val="0"/>
  </w:num>
  <w:num w:numId="5">
    <w:abstractNumId w:val="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16"/>
  </w:num>
  <w:num w:numId="11">
    <w:abstractNumId w:val="15"/>
  </w:num>
  <w:num w:numId="12">
    <w:abstractNumId w:val="4"/>
  </w:num>
  <w:num w:numId="13">
    <w:abstractNumId w:val="6"/>
  </w:num>
  <w:num w:numId="14">
    <w:abstractNumId w:val="19"/>
  </w:num>
  <w:num w:numId="15">
    <w:abstractNumId w:val="1"/>
  </w:num>
  <w:num w:numId="16">
    <w:abstractNumId w:val="13"/>
  </w:num>
  <w:num w:numId="17">
    <w:abstractNumId w:val="11"/>
  </w:num>
  <w:num w:numId="18">
    <w:abstractNumId w:val="18"/>
  </w:num>
  <w:num w:numId="19">
    <w:abstractNumId w:val="14"/>
  </w:num>
  <w:num w:numId="20">
    <w:abstractNumId w:val="17"/>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36EB3"/>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77442"/>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02DE"/>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1968"/>
    <w:rsid w:val="005763E0"/>
    <w:rsid w:val="00580465"/>
    <w:rsid w:val="00581136"/>
    <w:rsid w:val="00581EB8"/>
    <w:rsid w:val="005A27CA"/>
    <w:rsid w:val="005A43BD"/>
    <w:rsid w:val="005A79E5"/>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9375A"/>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E7DBE"/>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F3DE1"/>
    <w:rsid w:val="00BF4843"/>
    <w:rsid w:val="00BF5205"/>
    <w:rsid w:val="00C05132"/>
    <w:rsid w:val="00C12508"/>
    <w:rsid w:val="00C17101"/>
    <w:rsid w:val="00C23728"/>
    <w:rsid w:val="00C24C2D"/>
    <w:rsid w:val="00C3026C"/>
    <w:rsid w:val="00C313A9"/>
    <w:rsid w:val="00C441CF"/>
    <w:rsid w:val="00C45AA2"/>
    <w:rsid w:val="00C473AD"/>
    <w:rsid w:val="00C4792C"/>
    <w:rsid w:val="00C55BEF"/>
    <w:rsid w:val="00C601AF"/>
    <w:rsid w:val="00C61A63"/>
    <w:rsid w:val="00C66296"/>
    <w:rsid w:val="00C7394D"/>
    <w:rsid w:val="00C7683E"/>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35AD7"/>
    <w:rsid w:val="00F41EA6"/>
    <w:rsid w:val="00F5180D"/>
    <w:rsid w:val="00F57C2F"/>
    <w:rsid w:val="00F63781"/>
    <w:rsid w:val="00F640C9"/>
    <w:rsid w:val="00F67496"/>
    <w:rsid w:val="00F801BA"/>
    <w:rsid w:val="00F9366A"/>
    <w:rsid w:val="00F946C9"/>
    <w:rsid w:val="00FA0EA5"/>
    <w:rsid w:val="00FA74EE"/>
    <w:rsid w:val="00FC3711"/>
    <w:rsid w:val="00FC46E7"/>
    <w:rsid w:val="00FC5C39"/>
    <w:rsid w:val="00FC5D25"/>
    <w:rsid w:val="00FD0D7E"/>
    <w:rsid w:val="00FD4FFB"/>
    <w:rsid w:val="00FD580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TOCHeading">
    <w:name w:val="TOC Heading"/>
    <w:basedOn w:val="Heading1"/>
    <w:next w:val="Normal"/>
    <w:uiPriority w:val="39"/>
    <w:unhideWhenUsed/>
    <w:qFormat/>
    <w:rsid w:val="00136EB3"/>
    <w:pPr>
      <w:keepLines/>
      <w:spacing w:before="240" w:after="0" w:line="259" w:lineRule="auto"/>
      <w:outlineLvl w:val="9"/>
    </w:pPr>
    <w:rPr>
      <w:rFonts w:eastAsiaTheme="majorEastAsia" w:cs="Segoe UI"/>
      <w:color w:val="auto"/>
      <w:spacing w:val="0"/>
      <w:sz w:val="44"/>
      <w:szCs w:val="44"/>
      <w:lang w:val="en-US" w:eastAsia="en-US"/>
    </w:rPr>
  </w:style>
  <w:style w:type="paragraph" w:styleId="ListParagraph">
    <w:name w:val="List Paragraph"/>
    <w:aliases w:val="Rec para,List Paragraph1,List Paragraph11,Bullet Normal,Paragraph Lvl1,Level 3,List Paragraph numbered,List Bullet indent,Normal text,numbered,FooterText,Paragraphe de liste1,Bulletr List Paragraph,列出段落,列出段落1,Bullet List,#List Paragraph,L"/>
    <w:basedOn w:val="Normal"/>
    <w:link w:val="ListParagraphChar"/>
    <w:uiPriority w:val="34"/>
    <w:qFormat/>
    <w:rsid w:val="00136EB3"/>
    <w:pPr>
      <w:spacing w:after="160" w:line="259" w:lineRule="auto"/>
      <w:ind w:left="720"/>
      <w:contextualSpacing/>
    </w:pPr>
    <w:rPr>
      <w:rFonts w:asciiTheme="minorHAnsi" w:eastAsiaTheme="minorHAnsi" w:hAnsiTheme="minorHAnsi" w:cstheme="minorBidi"/>
      <w:sz w:val="22"/>
      <w:szCs w:val="22"/>
      <w:lang w:eastAsia="en-US"/>
    </w:rPr>
  </w:style>
  <w:style w:type="table" w:styleId="PlainTable1">
    <w:name w:val="Plain Table 1"/>
    <w:basedOn w:val="TableNormal"/>
    <w:uiPriority w:val="41"/>
    <w:rsid w:val="00136EB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136EB3"/>
  </w:style>
  <w:style w:type="character" w:customStyle="1" w:styleId="eop">
    <w:name w:val="eop"/>
    <w:basedOn w:val="DefaultParagraphFont"/>
    <w:rsid w:val="00136EB3"/>
  </w:style>
  <w:style w:type="paragraph" w:customStyle="1" w:styleId="paragraph">
    <w:name w:val="paragraph"/>
    <w:basedOn w:val="Normal"/>
    <w:rsid w:val="00136EB3"/>
    <w:pPr>
      <w:spacing w:before="100" w:beforeAutospacing="1" w:after="100" w:afterAutospacing="1"/>
    </w:pPr>
    <w:rPr>
      <w:rFonts w:ascii="Times New Roman" w:hAnsi="Times New Roman"/>
      <w:sz w:val="24"/>
      <w:szCs w:val="24"/>
      <w:lang w:eastAsia="en-NZ"/>
    </w:rPr>
  </w:style>
  <w:style w:type="paragraph" w:customStyle="1" w:styleId="CabStandard">
    <w:name w:val="CabStandard"/>
    <w:basedOn w:val="Normal"/>
    <w:qFormat/>
    <w:rsid w:val="00136EB3"/>
    <w:pPr>
      <w:numPr>
        <w:numId w:val="6"/>
      </w:numPr>
      <w:spacing w:after="240"/>
    </w:pPr>
    <w:rPr>
      <w:rFonts w:ascii="Times New Roman" w:hAnsi="Times New Roman"/>
      <w:sz w:val="24"/>
      <w:lang w:val="en-GB" w:eastAsia="ja-JP"/>
    </w:rPr>
  </w:style>
  <w:style w:type="character" w:customStyle="1" w:styleId="ListParagraphChar">
    <w:name w:val="List Paragraph Char"/>
    <w:aliases w:val="Rec para Char,List Paragraph1 Char,List Paragraph11 Char,Bullet Normal Char,Paragraph Lvl1 Char,Level 3 Char,List Paragraph numbered Char,List Bullet indent Char,Normal text Char,numbered Char,FooterText Char,列出段落 Char,列出段落1 Char"/>
    <w:basedOn w:val="DefaultParagraphFont"/>
    <w:link w:val="ListParagraph"/>
    <w:uiPriority w:val="34"/>
    <w:qFormat/>
    <w:rsid w:val="00136EB3"/>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136EB3"/>
    <w:rPr>
      <w:sz w:val="16"/>
      <w:szCs w:val="16"/>
    </w:rPr>
  </w:style>
  <w:style w:type="paragraph" w:styleId="CommentText">
    <w:name w:val="annotation text"/>
    <w:basedOn w:val="Normal"/>
    <w:link w:val="CommentTextChar"/>
    <w:uiPriority w:val="99"/>
    <w:unhideWhenUsed/>
    <w:rsid w:val="00136EB3"/>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36EB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36EB3"/>
    <w:rPr>
      <w:b/>
      <w:bCs/>
    </w:rPr>
  </w:style>
  <w:style w:type="character" w:customStyle="1" w:styleId="CommentSubjectChar">
    <w:name w:val="Comment Subject Char"/>
    <w:basedOn w:val="CommentTextChar"/>
    <w:link w:val="CommentSubject"/>
    <w:uiPriority w:val="99"/>
    <w:semiHidden/>
    <w:rsid w:val="00136EB3"/>
    <w:rPr>
      <w:rFonts w:asciiTheme="minorHAnsi" w:eastAsiaTheme="minorHAnsi" w:hAnsiTheme="minorHAnsi" w:cstheme="minorBidi"/>
      <w:b/>
      <w:bCs/>
      <w:lang w:eastAsia="en-US"/>
    </w:rPr>
  </w:style>
  <w:style w:type="paragraph" w:customStyle="1" w:styleId="NumberedParagraphs-MOH">
    <w:name w:val="Numbered Paragraphs - MOH"/>
    <w:basedOn w:val="Normal"/>
    <w:link w:val="NumberedParagraphs-MOHChar"/>
    <w:qFormat/>
    <w:rsid w:val="00136EB3"/>
    <w:pPr>
      <w:spacing w:before="120"/>
      <w:ind w:left="851" w:right="284" w:hanging="851"/>
    </w:pPr>
    <w:rPr>
      <w:rFonts w:cs="Segoe UI"/>
      <w:kern w:val="22"/>
      <w:sz w:val="22"/>
      <w:szCs w:val="22"/>
      <w:lang w:eastAsia="en-NZ"/>
    </w:rPr>
  </w:style>
  <w:style w:type="character" w:customStyle="1" w:styleId="NumberedParagraphs-MOHChar">
    <w:name w:val="Numbered Paragraphs - MOH Char"/>
    <w:basedOn w:val="DefaultParagraphFont"/>
    <w:link w:val="NumberedParagraphs-MOH"/>
    <w:rsid w:val="00136EB3"/>
    <w:rPr>
      <w:rFonts w:ascii="Segoe UI" w:hAnsi="Segoe UI" w:cs="Segoe UI"/>
      <w:kern w:val="22"/>
      <w:sz w:val="22"/>
      <w:szCs w:val="22"/>
    </w:rPr>
  </w:style>
  <w:style w:type="paragraph" w:customStyle="1" w:styleId="Default">
    <w:name w:val="Default"/>
    <w:rsid w:val="00136EB3"/>
    <w:pPr>
      <w:autoSpaceDE w:val="0"/>
      <w:autoSpaceDN w:val="0"/>
      <w:adjustRightInd w:val="0"/>
    </w:pPr>
    <w:rPr>
      <w:rFonts w:eastAsiaTheme="minorHAnsi"/>
      <w:color w:val="000000"/>
      <w:sz w:val="24"/>
      <w:szCs w:val="24"/>
      <w:lang w:eastAsia="en-US"/>
    </w:rPr>
  </w:style>
  <w:style w:type="character" w:customStyle="1" w:styleId="ReportBody-MOHChar">
    <w:name w:val="Report Body - MOH Char"/>
    <w:basedOn w:val="DefaultParagraphFont"/>
    <w:link w:val="ReportBody-MOH"/>
    <w:locked/>
    <w:rsid w:val="00136EB3"/>
    <w:rPr>
      <w:rFonts w:ascii="Segoe UI" w:hAnsi="Segoe UI" w:cs="Segoe UI"/>
    </w:rPr>
  </w:style>
  <w:style w:type="paragraph" w:customStyle="1" w:styleId="ReportBody-MOH">
    <w:name w:val="Report Body - MOH"/>
    <w:basedOn w:val="Normal"/>
    <w:link w:val="ReportBody-MOHChar"/>
    <w:rsid w:val="00136EB3"/>
    <w:pPr>
      <w:numPr>
        <w:numId w:val="7"/>
      </w:numPr>
      <w:spacing w:before="120" w:after="120"/>
      <w:ind w:right="284"/>
    </w:pPr>
    <w:rPr>
      <w:rFonts w:cs="Segoe UI"/>
      <w:sz w:val="20"/>
      <w:lang w:eastAsia="en-NZ"/>
    </w:rPr>
  </w:style>
  <w:style w:type="paragraph" w:customStyle="1" w:styleId="ReportBody2-MOH">
    <w:name w:val="Report Body 2 - MOH"/>
    <w:basedOn w:val="Normal"/>
    <w:rsid w:val="00136EB3"/>
    <w:pPr>
      <w:numPr>
        <w:ilvl w:val="1"/>
        <w:numId w:val="7"/>
      </w:numPr>
      <w:spacing w:before="120" w:after="120"/>
      <w:ind w:right="284"/>
    </w:pPr>
    <w:rPr>
      <w:rFonts w:eastAsiaTheme="minorHAnsi" w:cs="Segoe UI"/>
      <w:sz w:val="22"/>
      <w:szCs w:val="22"/>
      <w:lang w:eastAsia="en-US"/>
    </w:rPr>
  </w:style>
  <w:style w:type="character" w:customStyle="1" w:styleId="ui-provider">
    <w:name w:val="ui-provider"/>
    <w:basedOn w:val="DefaultParagraphFont"/>
    <w:rsid w:val="00136EB3"/>
  </w:style>
  <w:style w:type="character" w:styleId="UnresolvedMention">
    <w:name w:val="Unresolved Mention"/>
    <w:basedOn w:val="DefaultParagraphFont"/>
    <w:uiPriority w:val="99"/>
    <w:unhideWhenUsed/>
    <w:rsid w:val="00136EB3"/>
    <w:rPr>
      <w:color w:val="605E5C"/>
      <w:shd w:val="clear" w:color="auto" w:fill="E1DFDD"/>
    </w:rPr>
  </w:style>
  <w:style w:type="character" w:styleId="Mention">
    <w:name w:val="Mention"/>
    <w:basedOn w:val="DefaultParagraphFont"/>
    <w:uiPriority w:val="99"/>
    <w:unhideWhenUsed/>
    <w:rsid w:val="00136EB3"/>
    <w:rPr>
      <w:color w:val="2B579A"/>
      <w:shd w:val="clear" w:color="auto" w:fill="E1DFDD"/>
    </w:rPr>
  </w:style>
  <w:style w:type="paragraph" w:styleId="NormalWeb">
    <w:name w:val="Normal (Web)"/>
    <w:basedOn w:val="Normal"/>
    <w:uiPriority w:val="99"/>
    <w:semiHidden/>
    <w:unhideWhenUsed/>
    <w:rsid w:val="00136EB3"/>
    <w:pPr>
      <w:spacing w:before="100" w:beforeAutospacing="1" w:after="100" w:afterAutospacing="1"/>
    </w:pPr>
    <w:rPr>
      <w:rFonts w:ascii="Calibri" w:eastAsiaTheme="minorHAnsi" w:hAnsi="Calibri" w:cs="Calibri"/>
      <w:sz w:val="22"/>
      <w:szCs w:val="22"/>
      <w:lang w:eastAsia="en-NZ"/>
    </w:rPr>
  </w:style>
  <w:style w:type="paragraph" w:styleId="Caption">
    <w:name w:val="caption"/>
    <w:basedOn w:val="Normal"/>
    <w:next w:val="Normal"/>
    <w:unhideWhenUsed/>
    <w:qFormat/>
    <w:rsid w:val="00F41EA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t.nz/regulation/public/2015/0140/latest/DLM6485804.html" TargetMode="External"/><Relationship Id="rId7" Type="http://schemas.openxmlformats.org/officeDocument/2006/relationships/hyperlink" Target="http://www.tewhatuora.govt.nz/publications/te-pae-tata-interim-new-zealand-health-plan-2022/" TargetMode="External"/><Relationship Id="rId2" Type="http://schemas.openxmlformats.org/officeDocument/2006/relationships/hyperlink" Target="http://www.health.govt.nz/system/files/documents/pages/220601_final_summary_of_voc_sf_for_cabinet_paper_21_june.pdf" TargetMode="External"/><Relationship Id="rId1" Type="http://schemas.openxmlformats.org/officeDocument/2006/relationships/hyperlink" Target="https://covid19.govt.nz/assets/resources/legislation-and-key-documents/COVID19-National-Action-Plan-3-as-of-22-April-extended.pdf" TargetMode="External"/><Relationship Id="rId6" Type="http://schemas.openxmlformats.org/officeDocument/2006/relationships/hyperlink" Target="http://www.health.govt.nz/publication/whakamaua-maori-health-action-plan-2020-2025" TargetMode="External"/><Relationship Id="rId5" Type="http://schemas.openxmlformats.org/officeDocument/2006/relationships/hyperlink" Target="http://www.health.govt.nz/publication/covid-19-maori-health-protection-plan" TargetMode="External"/><Relationship Id="rId4" Type="http://schemas.openxmlformats.org/officeDocument/2006/relationships/hyperlink" Target="http://www.health.govt.nz/publication/national-health-emergency-plan-framework-health-and-disability-sec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37</TotalTime>
  <Pages>30</Pages>
  <Words>7489</Words>
  <Characters>42693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Aotearoa New Zealand Strategic Framework for Managing COVID-19</dc:title>
  <dc:creator>Ministry of Health</dc:creator>
  <cp:lastModifiedBy>Ministry of Health</cp:lastModifiedBy>
  <cp:revision>10</cp:revision>
  <cp:lastPrinted>2023-08-31T20:31:00Z</cp:lastPrinted>
  <dcterms:created xsi:type="dcterms:W3CDTF">2023-08-31T20:02:00Z</dcterms:created>
  <dcterms:modified xsi:type="dcterms:W3CDTF">2023-08-31T20:31:00Z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